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4F3E" w14:textId="740D2F79" w:rsidR="001414F3" w:rsidRDefault="00243D6B" w:rsidP="00130923">
      <w:pPr>
        <w:pStyle w:val="BodyText"/>
      </w:pPr>
      <w:bookmarkStart w:id="0" w:name="_GoBack"/>
      <w:bookmarkEnd w:id="0"/>
      <w:r>
        <w:rPr>
          <w:noProof/>
        </w:rPr>
        <w:drawing>
          <wp:inline distT="0" distB="0" distL="0" distR="0" wp14:anchorId="4ED1071B" wp14:editId="37661020">
            <wp:extent cx="2252345" cy="403915"/>
            <wp:effectExtent l="0" t="0" r="0" b="0"/>
            <wp:docPr id="1" name="Picture 1" title="Australian Government crest"/>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345" cy="403915"/>
                    </a:xfrm>
                    <a:prstGeom prst="rect">
                      <a:avLst/>
                    </a:prstGeom>
                  </pic:spPr>
                </pic:pic>
              </a:graphicData>
            </a:graphic>
          </wp:inline>
        </w:drawing>
      </w:r>
    </w:p>
    <w:p w14:paraId="7814D20A" w14:textId="77777777" w:rsidR="001414F3" w:rsidRPr="00F47193" w:rsidRDefault="001414F3" w:rsidP="00F80CFC">
      <w:pPr>
        <w:pStyle w:val="Subtitle"/>
        <w:ind w:left="1276" w:right="-22"/>
        <w:rPr>
          <w:sz w:val="120"/>
          <w:szCs w:val="120"/>
        </w:rPr>
      </w:pPr>
    </w:p>
    <w:sdt>
      <w:sdtPr>
        <w:rPr>
          <w:i/>
          <w:color w:val="8064A2" w:themeColor="accent4"/>
          <w:sz w:val="48"/>
          <w:szCs w:val="48"/>
        </w:rPr>
        <w:alias w:val="Title"/>
        <w:tag w:val=""/>
        <w:id w:val="-19171197"/>
        <w:placeholder>
          <w:docPart w:val="600E0571FD79482DB34A650A8C6AB10C"/>
        </w:placeholder>
        <w:dataBinding w:prefixMappings="xmlns:ns0='http://purl.org/dc/elements/1.1/' xmlns:ns1='http://schemas.openxmlformats.org/package/2006/metadata/core-properties' " w:xpath="/ns1:coreProperties[1]/ns0:title[1]" w:storeItemID="{6C3C8BC8-F283-45AE-878A-BAB7291924A1}"/>
        <w:text/>
      </w:sdtPr>
      <w:sdtEndPr/>
      <w:sdtContent>
        <w:p w14:paraId="51CAC5A3" w14:textId="6C28B9E3" w:rsidR="00BA282D" w:rsidRPr="00E533D9" w:rsidRDefault="007F3F0D" w:rsidP="007F3F0D">
          <w:pPr>
            <w:pStyle w:val="Title"/>
            <w:ind w:left="1276" w:right="-23"/>
            <w:rPr>
              <w:i/>
              <w:color w:val="FF0000"/>
              <w:sz w:val="48"/>
              <w:szCs w:val="48"/>
            </w:rPr>
          </w:pPr>
          <w:r>
            <w:rPr>
              <w:i/>
              <w:color w:val="8064A2" w:themeColor="accent4"/>
              <w:sz w:val="48"/>
              <w:szCs w:val="48"/>
            </w:rPr>
            <w:t>Publication of education agent performance data</w:t>
          </w:r>
        </w:p>
      </w:sdtContent>
    </w:sdt>
    <w:p w14:paraId="25DD2BA1" w14:textId="231FC667" w:rsidR="00C02592" w:rsidRPr="00C02592" w:rsidRDefault="007F3F0D" w:rsidP="007C6747">
      <w:pPr>
        <w:pStyle w:val="Subtitle"/>
        <w:ind w:left="1276" w:right="-22"/>
      </w:pPr>
      <w:r>
        <w:rPr>
          <w:b w:val="0"/>
          <w:color w:val="8064A2" w:themeColor="accent4"/>
          <w:sz w:val="28"/>
          <w:szCs w:val="28"/>
        </w:rPr>
        <w:t>Policy paper</w:t>
      </w:r>
    </w:p>
    <w:p w14:paraId="30DF7BBB" w14:textId="77777777" w:rsidR="00130923" w:rsidRPr="00C02592" w:rsidRDefault="00C02592" w:rsidP="00C02592">
      <w:pPr>
        <w:jc w:val="center"/>
        <w:rPr>
          <w:color w:val="FFFFFF" w:themeColor="background1"/>
          <w:sz w:val="620"/>
          <w:szCs w:val="620"/>
        </w:rPr>
        <w:sectPr w:rsidR="00130923" w:rsidRPr="00C02592" w:rsidSect="00AD09E4">
          <w:headerReference w:type="default" r:id="rId12"/>
          <w:footerReference w:type="default" r:id="rId13"/>
          <w:pgSz w:w="11906" w:h="16838"/>
          <w:pgMar w:top="1418" w:right="1558" w:bottom="567" w:left="1440" w:header="708" w:footer="283" w:gutter="0"/>
          <w:cols w:space="708"/>
          <w:docGrid w:linePitch="360"/>
        </w:sectPr>
      </w:pPr>
      <w:r w:rsidRPr="00C02592">
        <w:rPr>
          <w:rStyle w:val="Emphasis"/>
          <w:color w:val="FFFFFF" w:themeColor="background1"/>
        </w:rPr>
        <w:t>Opportunity through learning</w:t>
      </w:r>
      <w:r w:rsidRPr="00C02592">
        <w:rPr>
          <w:noProof/>
          <w:color w:val="FFFFFF" w:themeColor="background1"/>
          <w:lang w:eastAsia="en-AU"/>
        </w:rPr>
        <w:t xml:space="preserve"> </w:t>
      </w:r>
      <w:r w:rsidR="00F47193" w:rsidRPr="00C02592">
        <w:rPr>
          <w:noProof/>
          <w:color w:val="FFFFFF" w:themeColor="background1"/>
          <w:lang w:eastAsia="en-AU"/>
        </w:rPr>
        <w:drawing>
          <wp:anchor distT="0" distB="0" distL="114300" distR="114300" simplePos="0" relativeHeight="251658240" behindDoc="1" locked="0" layoutInCell="1" allowOverlap="1" wp14:anchorId="7CFE5AEE" wp14:editId="44F348F5">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4">
                      <a:extLst>
                        <a:ext uri="{28A0092B-C50C-407E-A947-70E740481C1C}">
                          <a14:useLocalDpi xmlns:a14="http://schemas.microsoft.com/office/drawing/2010/main" val="0"/>
                        </a:ext>
                      </a:extLst>
                    </a:blip>
                    <a:stretch>
                      <a:fillRect/>
                    </a:stretch>
                  </pic:blipFill>
                  <pic:spPr>
                    <a:xfrm>
                      <a:off x="0" y="0"/>
                      <a:ext cx="7653020" cy="5392420"/>
                    </a:xfrm>
                    <a:prstGeom prst="rect">
                      <a:avLst/>
                    </a:prstGeom>
                  </pic:spPr>
                </pic:pic>
              </a:graphicData>
            </a:graphic>
            <wp14:sizeRelH relativeFrom="page">
              <wp14:pctWidth>0</wp14:pctWidth>
            </wp14:sizeRelH>
            <wp14:sizeRelV relativeFrom="page">
              <wp14:pctHeight>0</wp14:pctHeight>
            </wp14:sizeRelV>
          </wp:anchor>
        </w:drawing>
      </w:r>
    </w:p>
    <w:p w14:paraId="089A9046" w14:textId="77777777" w:rsidR="00EF4A38" w:rsidRPr="00B373C2" w:rsidRDefault="00C870A2" w:rsidP="00B373C2">
      <w:pPr>
        <w:sectPr w:rsidR="00EF4A38" w:rsidRPr="00B373C2" w:rsidSect="00EF4A38">
          <w:type w:val="continuous"/>
          <w:pgSz w:w="11906" w:h="16838"/>
          <w:pgMar w:top="3544" w:right="1440" w:bottom="1440" w:left="1440" w:header="708" w:footer="708" w:gutter="0"/>
          <w:cols w:space="708"/>
          <w:docGrid w:linePitch="360"/>
        </w:sectPr>
      </w:pPr>
      <w:r>
        <w:rPr>
          <w:b/>
          <w:bCs/>
        </w:rPr>
        <w:br w:type="page"/>
      </w:r>
    </w:p>
    <w:p w14:paraId="0B475744" w14:textId="18F3E35B" w:rsidR="000D744E" w:rsidRPr="00D36583" w:rsidRDefault="000D744E" w:rsidP="000D744E">
      <w:pPr>
        <w:pStyle w:val="Heading2"/>
      </w:pPr>
      <w:r>
        <w:lastRenderedPageBreak/>
        <w:t xml:space="preserve">Purpose of this paper </w:t>
      </w:r>
    </w:p>
    <w:p w14:paraId="0C4F80BF" w14:textId="06E3A25D" w:rsidR="006C5859" w:rsidRPr="006C5859" w:rsidRDefault="006C5859" w:rsidP="006C5859">
      <w:pPr>
        <w:spacing w:before="120" w:after="120"/>
      </w:pPr>
      <w:r>
        <w:t xml:space="preserve">On 10 October 2018 at the Australian International Education Conference 2018, the Hon Dan Tehan MP, Minister for Education, committed to publish performance data on education agents in Australia’s international education system. This document outlines a </w:t>
      </w:r>
      <w:r w:rsidRPr="00682D3A">
        <w:rPr>
          <w:b/>
        </w:rPr>
        <w:t>Publication Strategy</w:t>
      </w:r>
      <w:r>
        <w:t xml:space="preserve"> (see below) to implement this commitment.</w:t>
      </w:r>
    </w:p>
    <w:p w14:paraId="33D11A26" w14:textId="77777777" w:rsidR="00C10C19" w:rsidRPr="00D36583" w:rsidRDefault="009216D9" w:rsidP="009216D9">
      <w:pPr>
        <w:pStyle w:val="Heading2"/>
      </w:pPr>
      <w:r>
        <w:t>Education agents</w:t>
      </w:r>
    </w:p>
    <w:p w14:paraId="77E4F985" w14:textId="07E309DA" w:rsidR="009216D9" w:rsidRDefault="009216D9" w:rsidP="009216D9">
      <w:pPr>
        <w:pStyle w:val="Normal-AfterTableFigure"/>
        <w:spacing w:before="120"/>
      </w:pPr>
      <w:r>
        <w:t>Education agents are an integral part of Australia’s international education system</w:t>
      </w:r>
      <w:r w:rsidRPr="00F4152F">
        <w:rPr>
          <w:rFonts w:ascii="Calibri" w:hAnsi="Calibri" w:cs="ArialMT"/>
          <w:color w:val="000000"/>
          <w:szCs w:val="28"/>
        </w:rPr>
        <w:t>.</w:t>
      </w:r>
      <w:r>
        <w:rPr>
          <w:rFonts w:ascii="Calibri" w:hAnsi="Calibri" w:cs="Arial"/>
          <w:szCs w:val="19"/>
        </w:rPr>
        <w:t xml:space="preserve"> They represent </w:t>
      </w:r>
      <w:r w:rsidRPr="00897FEC">
        <w:rPr>
          <w:rFonts w:ascii="Calibri" w:eastAsia="Times New Roman" w:hAnsi="Calibri"/>
          <w:szCs w:val="24"/>
          <w:lang w:val="en" w:eastAsia="en-AU"/>
        </w:rPr>
        <w:t>education providers</w:t>
      </w:r>
      <w:r>
        <w:rPr>
          <w:rFonts w:ascii="Calibri" w:eastAsia="Times New Roman" w:hAnsi="Calibri"/>
          <w:szCs w:val="24"/>
          <w:lang w:val="en" w:eastAsia="en-AU"/>
        </w:rPr>
        <w:t xml:space="preserve"> to students and advise prospective students on </w:t>
      </w:r>
      <w:r w:rsidRPr="00897FEC">
        <w:rPr>
          <w:rFonts w:ascii="Calibri" w:eastAsia="Times New Roman" w:hAnsi="Calibri"/>
          <w:szCs w:val="24"/>
          <w:lang w:val="en" w:eastAsia="en-AU"/>
        </w:rPr>
        <w:t>courses of study available to them</w:t>
      </w:r>
      <w:r w:rsidR="007C33F4">
        <w:rPr>
          <w:rFonts w:ascii="Calibri" w:eastAsia="Times New Roman" w:hAnsi="Calibri"/>
          <w:szCs w:val="24"/>
          <w:lang w:val="en" w:eastAsia="en-AU"/>
        </w:rPr>
        <w:t xml:space="preserve"> in all education sectors</w:t>
      </w:r>
      <w:r>
        <w:rPr>
          <w:rFonts w:ascii="Calibri" w:eastAsia="Times New Roman" w:hAnsi="Calibri"/>
          <w:szCs w:val="24"/>
          <w:lang w:val="en" w:eastAsia="en-AU"/>
        </w:rPr>
        <w:t>.</w:t>
      </w:r>
      <w:r>
        <w:rPr>
          <w:rFonts w:cstheme="minorHAnsi"/>
        </w:rPr>
        <w:t xml:space="preserve"> Operating </w:t>
      </w:r>
      <w:r w:rsidRPr="00B82322">
        <w:rPr>
          <w:rFonts w:cstheme="minorHAnsi"/>
        </w:rPr>
        <w:t>in a global market</w:t>
      </w:r>
      <w:r>
        <w:rPr>
          <w:rFonts w:ascii="Calibri" w:eastAsia="Times New Roman" w:hAnsi="Calibri"/>
          <w:szCs w:val="24"/>
          <w:lang w:val="en" w:eastAsia="en-AU"/>
        </w:rPr>
        <w:t xml:space="preserve">, agents have a range of business models, ranging from sole operators to large companies with multinational offices. </w:t>
      </w:r>
      <w:r>
        <w:t>The vast majority of agents achieve good outcomes by recruiting high-quality</w:t>
      </w:r>
      <w:r w:rsidR="0048751F">
        <w:t>, genuine</w:t>
      </w:r>
      <w:r>
        <w:t xml:space="preserve"> students who complete their courses and abide by their visa conditions.</w:t>
      </w:r>
    </w:p>
    <w:p w14:paraId="26455BBA" w14:textId="77777777" w:rsidR="009216D9" w:rsidRDefault="009216D9" w:rsidP="009216D9">
      <w:pPr>
        <w:rPr>
          <w:rFonts w:cstheme="minorHAnsi"/>
        </w:rPr>
      </w:pPr>
      <w:r>
        <w:rPr>
          <w:rFonts w:cstheme="minorHAnsi"/>
        </w:rPr>
        <w:t xml:space="preserve">There </w:t>
      </w:r>
      <w:r w:rsidRPr="00CF42B7">
        <w:rPr>
          <w:rFonts w:cstheme="minorHAnsi"/>
        </w:rPr>
        <w:t>is no legal requirement under Australian law for</w:t>
      </w:r>
      <w:r>
        <w:rPr>
          <w:rFonts w:cstheme="minorHAnsi"/>
        </w:rPr>
        <w:t xml:space="preserve"> providers or students to engage an agent, but most do – agents facilitated </w:t>
      </w:r>
      <w:r w:rsidRPr="00F4152F">
        <w:rPr>
          <w:rFonts w:ascii="Calibri" w:hAnsi="Calibri" w:cs="ArialMT"/>
          <w:color w:val="000000"/>
          <w:szCs w:val="28"/>
        </w:rPr>
        <w:t xml:space="preserve">73.6 per cent of </w:t>
      </w:r>
      <w:r>
        <w:rPr>
          <w:rFonts w:ascii="Calibri" w:hAnsi="Calibri" w:cs="ArialMT"/>
          <w:color w:val="000000"/>
          <w:szCs w:val="28"/>
        </w:rPr>
        <w:t>overseas student</w:t>
      </w:r>
      <w:r w:rsidRPr="00F4152F">
        <w:rPr>
          <w:rFonts w:ascii="Calibri" w:hAnsi="Calibri" w:cs="ArialMT"/>
          <w:color w:val="000000"/>
          <w:szCs w:val="28"/>
        </w:rPr>
        <w:t xml:space="preserve"> enrolments</w:t>
      </w:r>
      <w:r>
        <w:rPr>
          <w:rFonts w:ascii="Calibri" w:hAnsi="Calibri" w:cs="ArialMT"/>
          <w:color w:val="000000"/>
          <w:szCs w:val="28"/>
        </w:rPr>
        <w:t xml:space="preserve"> in 2017</w:t>
      </w:r>
      <w:r>
        <w:rPr>
          <w:rFonts w:cstheme="minorHAnsi"/>
        </w:rPr>
        <w:t>.</w:t>
      </w:r>
      <w:r>
        <w:rPr>
          <w:rStyle w:val="FootnoteReference"/>
          <w:rFonts w:cstheme="minorHAnsi"/>
        </w:rPr>
        <w:footnoteReference w:id="1"/>
      </w:r>
      <w:r>
        <w:rPr>
          <w:rFonts w:cstheme="minorHAnsi"/>
        </w:rPr>
        <w:t xml:space="preserve"> </w:t>
      </w:r>
    </w:p>
    <w:p w14:paraId="4DDCC483" w14:textId="77777777" w:rsidR="009216D9" w:rsidRPr="0073630A" w:rsidRDefault="009216D9" w:rsidP="009216D9">
      <w:pPr>
        <w:tabs>
          <w:tab w:val="left" w:pos="1560"/>
        </w:tabs>
        <w:rPr>
          <w:rFonts w:ascii="Calibri" w:hAnsi="Calibri" w:cs="ArialMT"/>
          <w:color w:val="000000"/>
          <w:szCs w:val="24"/>
        </w:rPr>
      </w:pPr>
      <w:r w:rsidRPr="0073630A">
        <w:rPr>
          <w:rFonts w:ascii="Calibri" w:hAnsi="Calibri" w:cstheme="minorHAnsi"/>
          <w:b/>
        </w:rPr>
        <w:t>Table 1: Percentage of student enrolments facilitated by an education agent by sector</w:t>
      </w:r>
    </w:p>
    <w:tbl>
      <w:tblPr>
        <w:tblStyle w:val="DEEWRTable"/>
        <w:tblpPr w:leftFromText="180" w:rightFromText="180" w:vertAnchor="text" w:tblpY="1"/>
        <w:tblOverlap w:val="never"/>
        <w:tblW w:w="8331" w:type="dxa"/>
        <w:tblLook w:val="04A0" w:firstRow="1" w:lastRow="0" w:firstColumn="1" w:lastColumn="0" w:noHBand="0" w:noVBand="1"/>
        <w:tblCaption w:val="Table 1"/>
        <w:tblDescription w:val="Percentage of student enrolments facilitated by an education agent by sector."/>
      </w:tblPr>
      <w:tblGrid>
        <w:gridCol w:w="1701"/>
        <w:gridCol w:w="1287"/>
        <w:gridCol w:w="1069"/>
        <w:gridCol w:w="1068"/>
        <w:gridCol w:w="1069"/>
        <w:gridCol w:w="1068"/>
        <w:gridCol w:w="1069"/>
      </w:tblGrid>
      <w:tr w:rsidR="009216D9" w:rsidRPr="0073630A" w14:paraId="2508449E" w14:textId="77777777" w:rsidTr="000A66F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01" w:type="dxa"/>
            <w:noWrap/>
            <w:hideMark/>
          </w:tcPr>
          <w:p w14:paraId="296BBC8B" w14:textId="77777777" w:rsidR="009216D9" w:rsidRPr="0073630A" w:rsidRDefault="009216D9" w:rsidP="00C23497">
            <w:pPr>
              <w:tabs>
                <w:tab w:val="left" w:pos="1002"/>
              </w:tabs>
              <w:spacing w:before="60" w:after="60"/>
              <w:ind w:left="57"/>
              <w:rPr>
                <w:rFonts w:ascii="Calibri" w:hAnsi="Calibri" w:cstheme="minorHAnsi"/>
                <w:bCs/>
                <w:sz w:val="22"/>
              </w:rPr>
            </w:pPr>
            <w:r w:rsidRPr="0073630A">
              <w:rPr>
                <w:rFonts w:ascii="Calibri" w:hAnsi="Calibri" w:cstheme="minorHAnsi"/>
                <w:bCs/>
                <w:sz w:val="22"/>
              </w:rPr>
              <w:t>Sector</w:t>
            </w:r>
          </w:p>
        </w:tc>
        <w:tc>
          <w:tcPr>
            <w:tcW w:w="1287" w:type="dxa"/>
          </w:tcPr>
          <w:p w14:paraId="252CEA01" w14:textId="77777777" w:rsidR="009216D9" w:rsidRPr="0073630A" w:rsidRDefault="009216D9" w:rsidP="00C23497">
            <w:pPr>
              <w:tabs>
                <w:tab w:val="left" w:pos="1002"/>
              </w:tabs>
              <w:spacing w:before="60" w:after="60"/>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Total % of enrolments by sector in 2017</w:t>
            </w:r>
          </w:p>
        </w:tc>
        <w:tc>
          <w:tcPr>
            <w:tcW w:w="1069" w:type="dxa"/>
            <w:noWrap/>
            <w:hideMark/>
          </w:tcPr>
          <w:p w14:paraId="4719E31B"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2013</w:t>
            </w:r>
          </w:p>
          <w:p w14:paraId="472A6C3C"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w:t>
            </w:r>
          </w:p>
        </w:tc>
        <w:tc>
          <w:tcPr>
            <w:tcW w:w="1068" w:type="dxa"/>
            <w:noWrap/>
            <w:hideMark/>
          </w:tcPr>
          <w:p w14:paraId="41870314"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2014</w:t>
            </w:r>
          </w:p>
          <w:p w14:paraId="738DE277"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w:t>
            </w:r>
          </w:p>
        </w:tc>
        <w:tc>
          <w:tcPr>
            <w:tcW w:w="1069" w:type="dxa"/>
            <w:noWrap/>
            <w:hideMark/>
          </w:tcPr>
          <w:p w14:paraId="2535E505"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2015</w:t>
            </w:r>
          </w:p>
          <w:p w14:paraId="1F9FB8FA"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w:t>
            </w:r>
          </w:p>
        </w:tc>
        <w:tc>
          <w:tcPr>
            <w:tcW w:w="1068" w:type="dxa"/>
            <w:noWrap/>
            <w:hideMark/>
          </w:tcPr>
          <w:p w14:paraId="4D87FF39"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2016</w:t>
            </w:r>
          </w:p>
          <w:p w14:paraId="75571495"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w:t>
            </w:r>
          </w:p>
        </w:tc>
        <w:tc>
          <w:tcPr>
            <w:tcW w:w="1069" w:type="dxa"/>
            <w:noWrap/>
            <w:hideMark/>
          </w:tcPr>
          <w:p w14:paraId="28BD8108"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2017</w:t>
            </w:r>
          </w:p>
          <w:p w14:paraId="090BCEC6" w14:textId="77777777" w:rsidR="009216D9" w:rsidRPr="0073630A" w:rsidRDefault="009216D9" w:rsidP="00C23497">
            <w:pPr>
              <w:tabs>
                <w:tab w:val="left" w:pos="1002"/>
              </w:tabs>
              <w:spacing w:before="60" w:after="60"/>
              <w:jc w:val="right"/>
              <w:cnfStyle w:val="100000000000" w:firstRow="1" w:lastRow="0" w:firstColumn="0" w:lastColumn="0" w:oddVBand="0" w:evenVBand="0" w:oddHBand="0" w:evenHBand="0" w:firstRowFirstColumn="0" w:firstRowLastColumn="0" w:lastRowFirstColumn="0" w:lastRowLastColumn="0"/>
              <w:rPr>
                <w:rFonts w:ascii="Calibri" w:hAnsi="Calibri" w:cstheme="minorHAnsi"/>
                <w:bCs/>
                <w:sz w:val="22"/>
              </w:rPr>
            </w:pPr>
            <w:r w:rsidRPr="0073630A">
              <w:rPr>
                <w:rFonts w:ascii="Calibri" w:hAnsi="Calibri" w:cstheme="minorHAnsi"/>
                <w:bCs/>
                <w:sz w:val="22"/>
              </w:rPr>
              <w:t>(%)</w:t>
            </w:r>
          </w:p>
        </w:tc>
      </w:tr>
      <w:tr w:rsidR="009216D9" w:rsidRPr="0073630A" w14:paraId="26AEF432" w14:textId="77777777" w:rsidTr="000A66F8">
        <w:trPr>
          <w:trHeight w:val="328"/>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93D2E33" w14:textId="77777777" w:rsidR="009216D9" w:rsidRPr="0073630A" w:rsidRDefault="009216D9" w:rsidP="00C23497">
            <w:pPr>
              <w:tabs>
                <w:tab w:val="left" w:pos="1002"/>
              </w:tabs>
              <w:spacing w:before="60" w:after="60"/>
              <w:ind w:left="57"/>
              <w:rPr>
                <w:rFonts w:ascii="Calibri" w:hAnsi="Calibri" w:cstheme="minorHAnsi"/>
                <w:sz w:val="22"/>
              </w:rPr>
            </w:pPr>
            <w:r w:rsidRPr="0073630A">
              <w:rPr>
                <w:rFonts w:ascii="Calibri" w:hAnsi="Calibri" w:cstheme="minorHAnsi"/>
                <w:sz w:val="22"/>
              </w:rPr>
              <w:t>Higher Education</w:t>
            </w:r>
          </w:p>
        </w:tc>
        <w:tc>
          <w:tcPr>
            <w:tcW w:w="1287" w:type="dxa"/>
          </w:tcPr>
          <w:p w14:paraId="4B223B56" w14:textId="77777777" w:rsidR="009216D9" w:rsidRPr="0073630A" w:rsidRDefault="009216D9" w:rsidP="00C23497">
            <w:pPr>
              <w:tabs>
                <w:tab w:val="left" w:pos="1002"/>
              </w:tabs>
              <w:spacing w:before="60" w:after="60"/>
              <w:ind w:right="113"/>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44</w:t>
            </w:r>
          </w:p>
        </w:tc>
        <w:tc>
          <w:tcPr>
            <w:tcW w:w="1069" w:type="dxa"/>
            <w:noWrap/>
            <w:hideMark/>
          </w:tcPr>
          <w:p w14:paraId="7B4B1FCA"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61.2</w:t>
            </w:r>
          </w:p>
        </w:tc>
        <w:tc>
          <w:tcPr>
            <w:tcW w:w="1068" w:type="dxa"/>
            <w:noWrap/>
            <w:hideMark/>
          </w:tcPr>
          <w:p w14:paraId="0C0F8884"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64.6</w:t>
            </w:r>
          </w:p>
        </w:tc>
        <w:tc>
          <w:tcPr>
            <w:tcW w:w="1069" w:type="dxa"/>
            <w:noWrap/>
            <w:hideMark/>
          </w:tcPr>
          <w:p w14:paraId="4AF4D471"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67.5</w:t>
            </w:r>
          </w:p>
        </w:tc>
        <w:tc>
          <w:tcPr>
            <w:tcW w:w="1068" w:type="dxa"/>
            <w:noWrap/>
            <w:hideMark/>
          </w:tcPr>
          <w:p w14:paraId="2D86DE80"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70.2</w:t>
            </w:r>
          </w:p>
        </w:tc>
        <w:tc>
          <w:tcPr>
            <w:tcW w:w="1069" w:type="dxa"/>
            <w:noWrap/>
            <w:hideMark/>
          </w:tcPr>
          <w:p w14:paraId="2A129A1C"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71.0</w:t>
            </w:r>
          </w:p>
        </w:tc>
      </w:tr>
      <w:tr w:rsidR="009216D9" w:rsidRPr="0073630A" w14:paraId="1CEC74CD" w14:textId="77777777" w:rsidTr="000A66F8">
        <w:trPr>
          <w:trHeight w:val="328"/>
        </w:trPr>
        <w:tc>
          <w:tcPr>
            <w:cnfStyle w:val="001000000000" w:firstRow="0" w:lastRow="0" w:firstColumn="1" w:lastColumn="0" w:oddVBand="0" w:evenVBand="0" w:oddHBand="0" w:evenHBand="0" w:firstRowFirstColumn="0" w:firstRowLastColumn="0" w:lastRowFirstColumn="0" w:lastRowLastColumn="0"/>
            <w:tcW w:w="1701" w:type="dxa"/>
            <w:noWrap/>
            <w:hideMark/>
          </w:tcPr>
          <w:p w14:paraId="20DAFBB5" w14:textId="77777777" w:rsidR="009216D9" w:rsidRPr="0073630A" w:rsidRDefault="009216D9" w:rsidP="00C23497">
            <w:pPr>
              <w:tabs>
                <w:tab w:val="left" w:pos="1002"/>
              </w:tabs>
              <w:spacing w:before="60" w:after="60"/>
              <w:ind w:left="57"/>
              <w:rPr>
                <w:rFonts w:ascii="Calibri" w:hAnsi="Calibri" w:cstheme="minorHAnsi"/>
                <w:sz w:val="22"/>
              </w:rPr>
            </w:pPr>
            <w:r w:rsidRPr="0073630A">
              <w:rPr>
                <w:rFonts w:ascii="Calibri" w:hAnsi="Calibri" w:cstheme="minorHAnsi"/>
                <w:sz w:val="22"/>
              </w:rPr>
              <w:t>VET</w:t>
            </w:r>
          </w:p>
        </w:tc>
        <w:tc>
          <w:tcPr>
            <w:tcW w:w="1287" w:type="dxa"/>
          </w:tcPr>
          <w:p w14:paraId="0BF7048E" w14:textId="77777777" w:rsidR="009216D9" w:rsidRPr="0073630A" w:rsidRDefault="009216D9" w:rsidP="00C23497">
            <w:pPr>
              <w:tabs>
                <w:tab w:val="left" w:pos="1002"/>
              </w:tabs>
              <w:spacing w:before="60" w:after="60"/>
              <w:ind w:right="113"/>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27</w:t>
            </w:r>
          </w:p>
        </w:tc>
        <w:tc>
          <w:tcPr>
            <w:tcW w:w="1069" w:type="dxa"/>
            <w:noWrap/>
            <w:hideMark/>
          </w:tcPr>
          <w:p w14:paraId="1E767F19"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62.6</w:t>
            </w:r>
          </w:p>
        </w:tc>
        <w:tc>
          <w:tcPr>
            <w:tcW w:w="1068" w:type="dxa"/>
            <w:noWrap/>
            <w:hideMark/>
          </w:tcPr>
          <w:p w14:paraId="42F6AECF"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66.8</w:t>
            </w:r>
          </w:p>
        </w:tc>
        <w:tc>
          <w:tcPr>
            <w:tcW w:w="1069" w:type="dxa"/>
            <w:noWrap/>
            <w:hideMark/>
          </w:tcPr>
          <w:p w14:paraId="0C9D150B"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70.8</w:t>
            </w:r>
          </w:p>
        </w:tc>
        <w:tc>
          <w:tcPr>
            <w:tcW w:w="1068" w:type="dxa"/>
            <w:noWrap/>
            <w:hideMark/>
          </w:tcPr>
          <w:p w14:paraId="013CF24F"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70.9</w:t>
            </w:r>
          </w:p>
        </w:tc>
        <w:tc>
          <w:tcPr>
            <w:tcW w:w="1069" w:type="dxa"/>
            <w:noWrap/>
            <w:hideMark/>
          </w:tcPr>
          <w:p w14:paraId="1A2873BA"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72.9</w:t>
            </w:r>
          </w:p>
        </w:tc>
      </w:tr>
      <w:tr w:rsidR="009216D9" w:rsidRPr="0073630A" w14:paraId="64150A0A" w14:textId="77777777" w:rsidTr="000A66F8">
        <w:trPr>
          <w:trHeight w:val="328"/>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6498D5D" w14:textId="77777777" w:rsidR="009216D9" w:rsidRPr="0073630A" w:rsidRDefault="009216D9" w:rsidP="00C23497">
            <w:pPr>
              <w:tabs>
                <w:tab w:val="left" w:pos="1002"/>
              </w:tabs>
              <w:spacing w:before="60" w:after="60"/>
              <w:ind w:left="57"/>
              <w:rPr>
                <w:rFonts w:ascii="Calibri" w:hAnsi="Calibri" w:cstheme="minorHAnsi"/>
                <w:sz w:val="22"/>
              </w:rPr>
            </w:pPr>
            <w:r w:rsidRPr="0073630A">
              <w:rPr>
                <w:rFonts w:ascii="Calibri" w:hAnsi="Calibri" w:cstheme="minorHAnsi"/>
                <w:sz w:val="22"/>
              </w:rPr>
              <w:t>ELICOS</w:t>
            </w:r>
          </w:p>
        </w:tc>
        <w:tc>
          <w:tcPr>
            <w:tcW w:w="1287" w:type="dxa"/>
          </w:tcPr>
          <w:p w14:paraId="3EC10369" w14:textId="77777777" w:rsidR="009216D9" w:rsidRPr="0073630A" w:rsidRDefault="009216D9" w:rsidP="00C23497">
            <w:pPr>
              <w:tabs>
                <w:tab w:val="left" w:pos="1002"/>
              </w:tabs>
              <w:spacing w:before="60" w:after="60"/>
              <w:ind w:right="113"/>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19</w:t>
            </w:r>
          </w:p>
        </w:tc>
        <w:tc>
          <w:tcPr>
            <w:tcW w:w="1069" w:type="dxa"/>
            <w:noWrap/>
            <w:hideMark/>
          </w:tcPr>
          <w:p w14:paraId="0DACB468"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78.6</w:t>
            </w:r>
          </w:p>
        </w:tc>
        <w:tc>
          <w:tcPr>
            <w:tcW w:w="1068" w:type="dxa"/>
            <w:noWrap/>
            <w:hideMark/>
          </w:tcPr>
          <w:p w14:paraId="3591A46B"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81.5</w:t>
            </w:r>
          </w:p>
        </w:tc>
        <w:tc>
          <w:tcPr>
            <w:tcW w:w="1069" w:type="dxa"/>
            <w:noWrap/>
            <w:hideMark/>
          </w:tcPr>
          <w:p w14:paraId="2F5D5DE9"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82.8</w:t>
            </w:r>
          </w:p>
        </w:tc>
        <w:tc>
          <w:tcPr>
            <w:tcW w:w="1068" w:type="dxa"/>
            <w:noWrap/>
            <w:hideMark/>
          </w:tcPr>
          <w:p w14:paraId="2BE88099"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83.8</w:t>
            </w:r>
          </w:p>
        </w:tc>
        <w:tc>
          <w:tcPr>
            <w:tcW w:w="1069" w:type="dxa"/>
            <w:noWrap/>
            <w:hideMark/>
          </w:tcPr>
          <w:p w14:paraId="119A35F7"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85.1</w:t>
            </w:r>
          </w:p>
        </w:tc>
      </w:tr>
      <w:tr w:rsidR="009216D9" w:rsidRPr="0073630A" w14:paraId="6C7239A3" w14:textId="77777777" w:rsidTr="000A66F8">
        <w:trPr>
          <w:trHeight w:val="328"/>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62EFC26" w14:textId="77777777" w:rsidR="009216D9" w:rsidRPr="0073630A" w:rsidRDefault="009216D9" w:rsidP="00C23497">
            <w:pPr>
              <w:tabs>
                <w:tab w:val="left" w:pos="1002"/>
              </w:tabs>
              <w:spacing w:before="60" w:after="60"/>
              <w:ind w:left="57"/>
              <w:rPr>
                <w:rFonts w:ascii="Calibri" w:hAnsi="Calibri" w:cstheme="minorHAnsi"/>
                <w:sz w:val="22"/>
              </w:rPr>
            </w:pPr>
            <w:r w:rsidRPr="0073630A">
              <w:rPr>
                <w:rFonts w:ascii="Calibri" w:hAnsi="Calibri" w:cstheme="minorHAnsi"/>
                <w:sz w:val="22"/>
              </w:rPr>
              <w:t>Non-Award*</w:t>
            </w:r>
          </w:p>
        </w:tc>
        <w:tc>
          <w:tcPr>
            <w:tcW w:w="1287" w:type="dxa"/>
          </w:tcPr>
          <w:p w14:paraId="238C0178" w14:textId="77777777" w:rsidR="009216D9" w:rsidRPr="0073630A" w:rsidRDefault="009216D9" w:rsidP="00C23497">
            <w:pPr>
              <w:tabs>
                <w:tab w:val="left" w:pos="1002"/>
              </w:tabs>
              <w:spacing w:before="60" w:after="60"/>
              <w:ind w:right="113"/>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6</w:t>
            </w:r>
          </w:p>
        </w:tc>
        <w:tc>
          <w:tcPr>
            <w:tcW w:w="1069" w:type="dxa"/>
            <w:noWrap/>
            <w:hideMark/>
          </w:tcPr>
          <w:p w14:paraId="4D210CE5"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49.0</w:t>
            </w:r>
          </w:p>
        </w:tc>
        <w:tc>
          <w:tcPr>
            <w:tcW w:w="1068" w:type="dxa"/>
            <w:noWrap/>
            <w:hideMark/>
          </w:tcPr>
          <w:p w14:paraId="07F87ECB"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49.6</w:t>
            </w:r>
          </w:p>
        </w:tc>
        <w:tc>
          <w:tcPr>
            <w:tcW w:w="1069" w:type="dxa"/>
            <w:noWrap/>
            <w:hideMark/>
          </w:tcPr>
          <w:p w14:paraId="6324DDCD"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48.3</w:t>
            </w:r>
          </w:p>
        </w:tc>
        <w:tc>
          <w:tcPr>
            <w:tcW w:w="1068" w:type="dxa"/>
            <w:noWrap/>
            <w:hideMark/>
          </w:tcPr>
          <w:p w14:paraId="185DFA2F"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53.5</w:t>
            </w:r>
          </w:p>
        </w:tc>
        <w:tc>
          <w:tcPr>
            <w:tcW w:w="1069" w:type="dxa"/>
            <w:noWrap/>
            <w:hideMark/>
          </w:tcPr>
          <w:p w14:paraId="6853A873"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52.0</w:t>
            </w:r>
          </w:p>
        </w:tc>
      </w:tr>
      <w:tr w:rsidR="009216D9" w:rsidRPr="0073630A" w14:paraId="38D8B016" w14:textId="77777777" w:rsidTr="000A66F8">
        <w:trPr>
          <w:trHeight w:val="328"/>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noWrap/>
          </w:tcPr>
          <w:p w14:paraId="751A17B3" w14:textId="77777777" w:rsidR="009216D9" w:rsidRPr="0073630A" w:rsidRDefault="009216D9" w:rsidP="00C23497">
            <w:pPr>
              <w:tabs>
                <w:tab w:val="left" w:pos="1002"/>
              </w:tabs>
              <w:spacing w:before="60" w:after="60"/>
              <w:ind w:left="57"/>
              <w:rPr>
                <w:rFonts w:ascii="Calibri" w:hAnsi="Calibri" w:cstheme="minorHAnsi"/>
                <w:sz w:val="22"/>
              </w:rPr>
            </w:pPr>
            <w:r w:rsidRPr="0073630A">
              <w:rPr>
                <w:rFonts w:ascii="Calibri" w:hAnsi="Calibri" w:cstheme="minorHAnsi"/>
                <w:sz w:val="22"/>
              </w:rPr>
              <w:t>Schools</w:t>
            </w:r>
          </w:p>
        </w:tc>
        <w:tc>
          <w:tcPr>
            <w:tcW w:w="1287" w:type="dxa"/>
            <w:tcBorders>
              <w:bottom w:val="single" w:sz="4" w:space="0" w:color="auto"/>
            </w:tcBorders>
          </w:tcPr>
          <w:p w14:paraId="050C270A" w14:textId="77777777" w:rsidR="009216D9" w:rsidRPr="0073630A" w:rsidRDefault="009216D9" w:rsidP="00C23497">
            <w:pPr>
              <w:tabs>
                <w:tab w:val="left" w:pos="1002"/>
              </w:tabs>
              <w:spacing w:before="60" w:after="60"/>
              <w:ind w:right="113"/>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3</w:t>
            </w:r>
          </w:p>
        </w:tc>
        <w:tc>
          <w:tcPr>
            <w:tcW w:w="1069" w:type="dxa"/>
            <w:tcBorders>
              <w:bottom w:val="single" w:sz="4" w:space="0" w:color="auto"/>
            </w:tcBorders>
            <w:noWrap/>
          </w:tcPr>
          <w:p w14:paraId="3E426B99"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72.7</w:t>
            </w:r>
          </w:p>
        </w:tc>
        <w:tc>
          <w:tcPr>
            <w:tcW w:w="1068" w:type="dxa"/>
            <w:tcBorders>
              <w:bottom w:val="single" w:sz="4" w:space="0" w:color="auto"/>
            </w:tcBorders>
            <w:noWrap/>
          </w:tcPr>
          <w:p w14:paraId="15269291"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72.7</w:t>
            </w:r>
          </w:p>
        </w:tc>
        <w:tc>
          <w:tcPr>
            <w:tcW w:w="1069" w:type="dxa"/>
            <w:tcBorders>
              <w:bottom w:val="single" w:sz="4" w:space="0" w:color="auto"/>
            </w:tcBorders>
            <w:noWrap/>
          </w:tcPr>
          <w:p w14:paraId="03D1912E"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74.5</w:t>
            </w:r>
          </w:p>
        </w:tc>
        <w:tc>
          <w:tcPr>
            <w:tcW w:w="1068" w:type="dxa"/>
            <w:tcBorders>
              <w:bottom w:val="single" w:sz="4" w:space="0" w:color="auto"/>
            </w:tcBorders>
            <w:noWrap/>
          </w:tcPr>
          <w:p w14:paraId="19BB56A6"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74.5</w:t>
            </w:r>
          </w:p>
        </w:tc>
        <w:tc>
          <w:tcPr>
            <w:tcW w:w="1069" w:type="dxa"/>
            <w:tcBorders>
              <w:bottom w:val="single" w:sz="4" w:space="0" w:color="auto"/>
            </w:tcBorders>
            <w:noWrap/>
          </w:tcPr>
          <w:p w14:paraId="42F7D5FA"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sz w:val="22"/>
              </w:rPr>
            </w:pPr>
            <w:r w:rsidRPr="0073630A">
              <w:rPr>
                <w:rFonts w:ascii="Calibri" w:hAnsi="Calibri" w:cstheme="minorHAnsi"/>
                <w:sz w:val="22"/>
              </w:rPr>
              <w:t>76.2</w:t>
            </w:r>
          </w:p>
        </w:tc>
      </w:tr>
      <w:tr w:rsidR="009216D9" w:rsidRPr="0073630A" w14:paraId="3F5B3DF5" w14:textId="77777777" w:rsidTr="000A66F8">
        <w:trPr>
          <w:trHeight w:val="32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noWrap/>
            <w:hideMark/>
          </w:tcPr>
          <w:p w14:paraId="6BE814C8" w14:textId="77777777" w:rsidR="009216D9" w:rsidRPr="0073630A" w:rsidRDefault="009216D9" w:rsidP="00C23497">
            <w:pPr>
              <w:tabs>
                <w:tab w:val="left" w:pos="1002"/>
              </w:tabs>
              <w:spacing w:before="60" w:after="60"/>
              <w:ind w:left="57"/>
              <w:rPr>
                <w:rFonts w:ascii="Calibri" w:hAnsi="Calibri" w:cstheme="minorHAnsi"/>
                <w:sz w:val="22"/>
              </w:rPr>
            </w:pPr>
            <w:r w:rsidRPr="0073630A">
              <w:rPr>
                <w:rFonts w:ascii="Calibri" w:hAnsi="Calibri" w:cstheme="minorHAnsi"/>
                <w:sz w:val="22"/>
              </w:rPr>
              <w:t>All Sectors</w:t>
            </w:r>
          </w:p>
        </w:tc>
        <w:tc>
          <w:tcPr>
            <w:tcW w:w="1287" w:type="dxa"/>
            <w:tcBorders>
              <w:top w:val="single" w:sz="4" w:space="0" w:color="auto"/>
              <w:bottom w:val="single" w:sz="4" w:space="0" w:color="auto"/>
            </w:tcBorders>
          </w:tcPr>
          <w:p w14:paraId="41721FDD" w14:textId="77777777" w:rsidR="009216D9" w:rsidRPr="0073630A" w:rsidRDefault="009216D9" w:rsidP="00C23497">
            <w:pPr>
              <w:tabs>
                <w:tab w:val="left" w:pos="1002"/>
              </w:tabs>
              <w:spacing w:before="60" w:after="60"/>
              <w:ind w:right="113"/>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b/>
                <w:sz w:val="22"/>
              </w:rPr>
            </w:pPr>
            <w:r w:rsidRPr="0073630A">
              <w:rPr>
                <w:rFonts w:ascii="Calibri" w:hAnsi="Calibri" w:cstheme="minorHAnsi"/>
                <w:b/>
                <w:sz w:val="22"/>
              </w:rPr>
              <w:t>**99</w:t>
            </w:r>
          </w:p>
        </w:tc>
        <w:tc>
          <w:tcPr>
            <w:tcW w:w="1069" w:type="dxa"/>
            <w:tcBorders>
              <w:top w:val="single" w:sz="4" w:space="0" w:color="auto"/>
              <w:bottom w:val="single" w:sz="4" w:space="0" w:color="auto"/>
            </w:tcBorders>
            <w:noWrap/>
            <w:hideMark/>
          </w:tcPr>
          <w:p w14:paraId="523D27A4"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b/>
                <w:sz w:val="22"/>
              </w:rPr>
            </w:pPr>
            <w:r w:rsidRPr="0073630A">
              <w:rPr>
                <w:rFonts w:ascii="Calibri" w:hAnsi="Calibri" w:cstheme="minorHAnsi"/>
                <w:b/>
                <w:sz w:val="22"/>
              </w:rPr>
              <w:t>65.1</w:t>
            </w:r>
          </w:p>
        </w:tc>
        <w:tc>
          <w:tcPr>
            <w:tcW w:w="1068" w:type="dxa"/>
            <w:tcBorders>
              <w:top w:val="single" w:sz="4" w:space="0" w:color="auto"/>
              <w:bottom w:val="single" w:sz="4" w:space="0" w:color="auto"/>
            </w:tcBorders>
            <w:noWrap/>
            <w:hideMark/>
          </w:tcPr>
          <w:p w14:paraId="0F26ADED"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b/>
                <w:sz w:val="22"/>
              </w:rPr>
            </w:pPr>
            <w:r w:rsidRPr="0073630A">
              <w:rPr>
                <w:rFonts w:ascii="Calibri" w:hAnsi="Calibri" w:cstheme="minorHAnsi"/>
                <w:b/>
                <w:sz w:val="22"/>
              </w:rPr>
              <w:t>68.5</w:t>
            </w:r>
          </w:p>
        </w:tc>
        <w:tc>
          <w:tcPr>
            <w:tcW w:w="1069" w:type="dxa"/>
            <w:tcBorders>
              <w:top w:val="single" w:sz="4" w:space="0" w:color="auto"/>
              <w:bottom w:val="single" w:sz="4" w:space="0" w:color="auto"/>
            </w:tcBorders>
            <w:noWrap/>
            <w:hideMark/>
          </w:tcPr>
          <w:p w14:paraId="59EB0D6D"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b/>
                <w:sz w:val="22"/>
              </w:rPr>
            </w:pPr>
            <w:r w:rsidRPr="0073630A">
              <w:rPr>
                <w:rFonts w:ascii="Calibri" w:hAnsi="Calibri" w:cstheme="minorHAnsi"/>
                <w:b/>
                <w:sz w:val="22"/>
              </w:rPr>
              <w:t>71.2</w:t>
            </w:r>
          </w:p>
        </w:tc>
        <w:tc>
          <w:tcPr>
            <w:tcW w:w="1068" w:type="dxa"/>
            <w:tcBorders>
              <w:top w:val="single" w:sz="4" w:space="0" w:color="auto"/>
              <w:bottom w:val="single" w:sz="4" w:space="0" w:color="auto"/>
            </w:tcBorders>
            <w:noWrap/>
            <w:hideMark/>
          </w:tcPr>
          <w:p w14:paraId="296EEE82"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b/>
                <w:sz w:val="22"/>
              </w:rPr>
            </w:pPr>
            <w:r w:rsidRPr="0073630A">
              <w:rPr>
                <w:rFonts w:ascii="Calibri" w:hAnsi="Calibri" w:cstheme="minorHAnsi"/>
                <w:b/>
                <w:sz w:val="22"/>
              </w:rPr>
              <w:t>72.4</w:t>
            </w:r>
          </w:p>
        </w:tc>
        <w:tc>
          <w:tcPr>
            <w:tcW w:w="1069" w:type="dxa"/>
            <w:tcBorders>
              <w:top w:val="single" w:sz="4" w:space="0" w:color="auto"/>
              <w:bottom w:val="single" w:sz="4" w:space="0" w:color="auto"/>
            </w:tcBorders>
            <w:noWrap/>
            <w:hideMark/>
          </w:tcPr>
          <w:p w14:paraId="1FC0B7E3" w14:textId="77777777" w:rsidR="009216D9" w:rsidRPr="0073630A" w:rsidRDefault="009216D9" w:rsidP="00C23497">
            <w:pPr>
              <w:tabs>
                <w:tab w:val="left" w:pos="1002"/>
              </w:tabs>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theme="minorHAnsi"/>
                <w:b/>
                <w:sz w:val="22"/>
              </w:rPr>
            </w:pPr>
            <w:r w:rsidRPr="0073630A">
              <w:rPr>
                <w:rFonts w:ascii="Calibri" w:hAnsi="Calibri" w:cstheme="minorHAnsi"/>
                <w:b/>
                <w:sz w:val="22"/>
              </w:rPr>
              <w:t>73.6</w:t>
            </w:r>
          </w:p>
        </w:tc>
      </w:tr>
    </w:tbl>
    <w:p w14:paraId="2AD92013" w14:textId="77777777" w:rsidR="009216D9" w:rsidRPr="003A00C0" w:rsidRDefault="009216D9" w:rsidP="009216D9">
      <w:pPr>
        <w:tabs>
          <w:tab w:val="left" w:pos="709"/>
        </w:tabs>
        <w:spacing w:after="0"/>
        <w:rPr>
          <w:rFonts w:ascii="Calibri" w:hAnsi="Calibri" w:cstheme="minorHAnsi"/>
          <w:sz w:val="20"/>
          <w:szCs w:val="16"/>
        </w:rPr>
      </w:pPr>
      <w:r w:rsidRPr="003A00C0">
        <w:rPr>
          <w:rFonts w:ascii="Calibri" w:hAnsi="Calibri" w:cstheme="minorHAnsi"/>
          <w:sz w:val="20"/>
          <w:szCs w:val="16"/>
        </w:rPr>
        <w:t>Sourced from voluntary records by education providers in PRISMS.</w:t>
      </w:r>
    </w:p>
    <w:p w14:paraId="66B05596" w14:textId="77777777" w:rsidR="009216D9" w:rsidRPr="003A00C0" w:rsidRDefault="009216D9" w:rsidP="009216D9">
      <w:pPr>
        <w:tabs>
          <w:tab w:val="left" w:pos="709"/>
        </w:tabs>
        <w:spacing w:after="0"/>
        <w:rPr>
          <w:rFonts w:ascii="Calibri" w:hAnsi="Calibri" w:cstheme="minorHAnsi"/>
          <w:sz w:val="20"/>
          <w:szCs w:val="16"/>
        </w:rPr>
      </w:pPr>
      <w:r w:rsidRPr="003A00C0">
        <w:rPr>
          <w:rFonts w:ascii="Calibri" w:hAnsi="Calibri" w:cstheme="minorHAnsi"/>
          <w:sz w:val="20"/>
          <w:szCs w:val="16"/>
        </w:rPr>
        <w:t>VET: Vocational Education and Training.</w:t>
      </w:r>
    </w:p>
    <w:p w14:paraId="15D04FC9" w14:textId="77777777" w:rsidR="009216D9" w:rsidRPr="003A00C0" w:rsidRDefault="009216D9" w:rsidP="009216D9">
      <w:pPr>
        <w:tabs>
          <w:tab w:val="left" w:pos="709"/>
        </w:tabs>
        <w:spacing w:after="0"/>
        <w:rPr>
          <w:rFonts w:ascii="Calibri" w:hAnsi="Calibri" w:cstheme="minorHAnsi"/>
          <w:sz w:val="20"/>
          <w:szCs w:val="16"/>
        </w:rPr>
      </w:pPr>
      <w:r w:rsidRPr="003A00C0">
        <w:rPr>
          <w:rFonts w:ascii="Calibri" w:hAnsi="Calibri" w:cstheme="minorHAnsi"/>
          <w:sz w:val="20"/>
          <w:szCs w:val="16"/>
        </w:rPr>
        <w:t>ELICOS: English Language Intensive Courses for Overseas Students.</w:t>
      </w:r>
    </w:p>
    <w:p w14:paraId="739181E5" w14:textId="77777777" w:rsidR="009216D9" w:rsidRPr="003A00C0" w:rsidRDefault="009216D9" w:rsidP="009216D9">
      <w:pPr>
        <w:tabs>
          <w:tab w:val="left" w:pos="709"/>
        </w:tabs>
        <w:spacing w:after="0"/>
        <w:rPr>
          <w:rFonts w:ascii="Calibri" w:hAnsi="Calibri" w:cstheme="minorHAnsi"/>
          <w:sz w:val="20"/>
          <w:szCs w:val="16"/>
        </w:rPr>
      </w:pPr>
      <w:r w:rsidRPr="003A00C0">
        <w:rPr>
          <w:rFonts w:ascii="Calibri" w:hAnsi="Calibri" w:cstheme="minorHAnsi"/>
          <w:sz w:val="20"/>
          <w:szCs w:val="16"/>
        </w:rPr>
        <w:t>*Non-Award includes courses that do not lead to a qualification, including Foundation Courses and Tertiary Preparation Programs.</w:t>
      </w:r>
    </w:p>
    <w:p w14:paraId="30313104" w14:textId="77777777" w:rsidR="009216D9" w:rsidRDefault="009216D9" w:rsidP="009216D9">
      <w:pPr>
        <w:tabs>
          <w:tab w:val="left" w:pos="709"/>
        </w:tabs>
        <w:spacing w:after="0"/>
        <w:rPr>
          <w:rFonts w:ascii="Calibri" w:hAnsi="Calibri" w:cs="ArialMT"/>
          <w:color w:val="000000"/>
          <w:szCs w:val="24"/>
        </w:rPr>
      </w:pPr>
      <w:r w:rsidRPr="003A00C0">
        <w:rPr>
          <w:rFonts w:ascii="Calibri" w:hAnsi="Calibri"/>
          <w:noProof/>
          <w:sz w:val="20"/>
          <w:szCs w:val="16"/>
          <w:lang w:eastAsia="en-AU"/>
        </w:rPr>
        <w:t>**Does not equal 100 % due to rounding.</w:t>
      </w:r>
    </w:p>
    <w:p w14:paraId="6A3245FC" w14:textId="77777777" w:rsidR="009216D9" w:rsidRDefault="009216D9" w:rsidP="009216D9">
      <w:pPr>
        <w:tabs>
          <w:tab w:val="left" w:pos="1134"/>
        </w:tabs>
        <w:rPr>
          <w:rFonts w:cstheme="minorHAnsi"/>
        </w:rPr>
      </w:pPr>
    </w:p>
    <w:p w14:paraId="25B3C517" w14:textId="533B44F6" w:rsidR="009216D9" w:rsidRPr="00B373C2" w:rsidRDefault="009216D9" w:rsidP="00741955">
      <w:pPr>
        <w:tabs>
          <w:tab w:val="left" w:pos="1134"/>
        </w:tabs>
        <w:rPr>
          <w:rFonts w:cstheme="minorHAnsi"/>
        </w:rPr>
      </w:pPr>
      <w:r w:rsidRPr="00B373C2">
        <w:rPr>
          <w:rFonts w:cstheme="minorHAnsi"/>
        </w:rPr>
        <w:t>Since 2013</w:t>
      </w:r>
      <w:r>
        <w:rPr>
          <w:rFonts w:cstheme="minorHAnsi"/>
        </w:rPr>
        <w:t>,</w:t>
      </w:r>
      <w:r w:rsidRPr="00B373C2">
        <w:rPr>
          <w:rFonts w:cstheme="minorHAnsi"/>
        </w:rPr>
        <w:t xml:space="preserve"> the number of enrolments involving education agents recorded in </w:t>
      </w:r>
      <w:r>
        <w:rPr>
          <w:rFonts w:cstheme="minorHAnsi"/>
        </w:rPr>
        <w:t xml:space="preserve">the Department of Education and Training’s </w:t>
      </w:r>
      <w:r w:rsidRPr="001B27BC">
        <w:rPr>
          <w:rFonts w:cstheme="minorHAnsi"/>
        </w:rPr>
        <w:t>Provider Registration and International Student Management System (</w:t>
      </w:r>
      <w:r w:rsidRPr="00B373C2">
        <w:rPr>
          <w:rFonts w:cstheme="minorHAnsi"/>
        </w:rPr>
        <w:t>PRISMS</w:t>
      </w:r>
      <w:r>
        <w:rPr>
          <w:rFonts w:cstheme="minorHAnsi"/>
        </w:rPr>
        <w:t>)</w:t>
      </w:r>
      <w:r w:rsidRPr="00B373C2">
        <w:rPr>
          <w:rFonts w:cstheme="minorHAnsi"/>
        </w:rPr>
        <w:t xml:space="preserve"> has increased by 8.5 per cent. This</w:t>
      </w:r>
      <w:r w:rsidR="0048751F">
        <w:rPr>
          <w:rFonts w:cstheme="minorHAnsi"/>
        </w:rPr>
        <w:t xml:space="preserve"> may</w:t>
      </w:r>
      <w:r w:rsidR="00741955">
        <w:rPr>
          <w:rFonts w:cstheme="minorHAnsi"/>
        </w:rPr>
        <w:t xml:space="preserve"> reflect an</w:t>
      </w:r>
      <w:r w:rsidRPr="00B373C2">
        <w:rPr>
          <w:rFonts w:cstheme="minorHAnsi"/>
        </w:rPr>
        <w:t xml:space="preserve"> increased</w:t>
      </w:r>
      <w:r>
        <w:rPr>
          <w:rFonts w:cstheme="minorHAnsi"/>
        </w:rPr>
        <w:t xml:space="preserve"> rate of</w:t>
      </w:r>
      <w:r w:rsidRPr="00B373C2">
        <w:rPr>
          <w:rFonts w:cstheme="minorHAnsi"/>
        </w:rPr>
        <w:t xml:space="preserve"> voluntary reporting in the PRISMS interface of education agent involvement </w:t>
      </w:r>
      <w:r>
        <w:rPr>
          <w:rFonts w:cstheme="minorHAnsi"/>
        </w:rPr>
        <w:t xml:space="preserve">in </w:t>
      </w:r>
      <w:r w:rsidRPr="00B373C2">
        <w:rPr>
          <w:rFonts w:cstheme="minorHAnsi"/>
        </w:rPr>
        <w:t>enrolments.</w:t>
      </w:r>
    </w:p>
    <w:p w14:paraId="7C9CD673" w14:textId="77777777" w:rsidR="009216D9" w:rsidRDefault="009216D9" w:rsidP="009216D9">
      <w:pPr>
        <w:rPr>
          <w:rFonts w:ascii="Calibri" w:hAnsi="Calibri" w:cs="ArialMT"/>
          <w:color w:val="000000"/>
          <w:szCs w:val="24"/>
        </w:rPr>
      </w:pPr>
      <w:r>
        <w:rPr>
          <w:rFonts w:ascii="Calibri" w:hAnsi="Calibri" w:cs="ArialMT"/>
          <w:color w:val="000000"/>
          <w:szCs w:val="24"/>
        </w:rPr>
        <w:lastRenderedPageBreak/>
        <w:t xml:space="preserve">In </w:t>
      </w:r>
      <w:r w:rsidRPr="0073630A">
        <w:rPr>
          <w:rFonts w:ascii="Calibri" w:hAnsi="Calibri" w:cs="ArialMT"/>
          <w:color w:val="000000"/>
          <w:szCs w:val="24"/>
        </w:rPr>
        <w:t>2017, of Australia’s top 10 source countries for international students, agents were most involved in enrolments from Brazil (89 per cent), Thailand (85.8 per cent) and the Republic of South Korea (84.6 per cent).</w:t>
      </w:r>
    </w:p>
    <w:p w14:paraId="27DBE47A" w14:textId="77777777" w:rsidR="009216D9" w:rsidRPr="0073630A" w:rsidRDefault="009216D9" w:rsidP="009216D9">
      <w:pPr>
        <w:rPr>
          <w:rFonts w:ascii="Calibri" w:hAnsi="Calibri"/>
          <w:b/>
          <w:szCs w:val="24"/>
        </w:rPr>
      </w:pPr>
      <w:r w:rsidRPr="0073630A">
        <w:rPr>
          <w:rFonts w:ascii="Calibri" w:hAnsi="Calibri"/>
          <w:b/>
          <w:szCs w:val="24"/>
        </w:rPr>
        <w:t>Table 2: Percentage of student enrolments facilitated by an education agent by nationality of student for Australia’s top 10 source countries</w:t>
      </w:r>
    </w:p>
    <w:tbl>
      <w:tblPr>
        <w:tblStyle w:val="DEEWRTable"/>
        <w:tblW w:w="8364" w:type="dxa"/>
        <w:tblBorders>
          <w:bottom w:val="none" w:sz="0" w:space="0" w:color="auto"/>
        </w:tblBorders>
        <w:tblLook w:val="04A0" w:firstRow="1" w:lastRow="0" w:firstColumn="1" w:lastColumn="0" w:noHBand="0" w:noVBand="1"/>
        <w:tblCaption w:val="Table 2"/>
        <w:tblDescription w:val="Percentage of student enrolments facilitated by an education agent by nationality of student for Australia’s top 10 source countries."/>
      </w:tblPr>
      <w:tblGrid>
        <w:gridCol w:w="2235"/>
        <w:gridCol w:w="2585"/>
        <w:gridCol w:w="3544"/>
      </w:tblGrid>
      <w:tr w:rsidR="009216D9" w:rsidRPr="0073630A" w14:paraId="030DEEB8" w14:textId="77777777" w:rsidTr="00E57A26">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235" w:type="dxa"/>
          </w:tcPr>
          <w:p w14:paraId="39D8E8F9" w14:textId="4E763C46" w:rsidR="009216D9" w:rsidRPr="00E57A26" w:rsidRDefault="00E57A26" w:rsidP="00C23497">
            <w:pPr>
              <w:spacing w:before="60" w:after="60"/>
              <w:rPr>
                <w:rFonts w:ascii="Calibri" w:hAnsi="Calibri"/>
                <w:sz w:val="22"/>
                <w:szCs w:val="24"/>
                <w:lang w:eastAsia="en-AU"/>
              </w:rPr>
            </w:pPr>
            <w:r w:rsidRPr="00E57A26">
              <w:rPr>
                <w:rFonts w:ascii="Calibri" w:hAnsi="Calibri"/>
                <w:sz w:val="22"/>
                <w:szCs w:val="24"/>
                <w:lang w:eastAsia="en-AU"/>
              </w:rPr>
              <w:t>Ranking for enrolments 2017</w:t>
            </w:r>
          </w:p>
        </w:tc>
        <w:tc>
          <w:tcPr>
            <w:tcW w:w="2585" w:type="dxa"/>
            <w:noWrap/>
          </w:tcPr>
          <w:p w14:paraId="516E6B54" w14:textId="1E14BA92" w:rsidR="009216D9" w:rsidRPr="00E57A26" w:rsidRDefault="00E57A26" w:rsidP="00C2349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sz w:val="22"/>
                <w:szCs w:val="24"/>
                <w:lang w:eastAsia="en-AU"/>
              </w:rPr>
            </w:pPr>
            <w:r w:rsidRPr="00E57A26">
              <w:rPr>
                <w:rFonts w:ascii="Calibri" w:hAnsi="Calibri"/>
                <w:sz w:val="22"/>
                <w:szCs w:val="24"/>
                <w:lang w:eastAsia="en-AU"/>
              </w:rPr>
              <w:t>Country</w:t>
            </w:r>
          </w:p>
        </w:tc>
        <w:tc>
          <w:tcPr>
            <w:tcW w:w="3544" w:type="dxa"/>
            <w:noWrap/>
          </w:tcPr>
          <w:p w14:paraId="14184B50" w14:textId="61614D2D" w:rsidR="009216D9" w:rsidRPr="0073630A" w:rsidRDefault="00E57A26" w:rsidP="00C23497">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bCs/>
                <w:color w:val="auto"/>
                <w:sz w:val="22"/>
                <w:szCs w:val="24"/>
                <w:lang w:eastAsia="en-AU"/>
              </w:rPr>
              <w:t>% Student enrolments facilitated by an education agent</w:t>
            </w:r>
          </w:p>
        </w:tc>
      </w:tr>
      <w:tr w:rsidR="009216D9" w:rsidRPr="0073630A" w14:paraId="1ADE9B9A"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488BB43A"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1</w:t>
            </w:r>
          </w:p>
        </w:tc>
        <w:tc>
          <w:tcPr>
            <w:tcW w:w="2585" w:type="dxa"/>
            <w:noWrap/>
            <w:hideMark/>
          </w:tcPr>
          <w:p w14:paraId="328DF56E"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China</w:t>
            </w:r>
          </w:p>
        </w:tc>
        <w:tc>
          <w:tcPr>
            <w:tcW w:w="3544" w:type="dxa"/>
            <w:noWrap/>
            <w:hideMark/>
          </w:tcPr>
          <w:p w14:paraId="0B0D5E12"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76.5</w:t>
            </w:r>
          </w:p>
        </w:tc>
      </w:tr>
      <w:tr w:rsidR="009216D9" w:rsidRPr="0073630A" w14:paraId="5F8936B7"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69042C39"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2</w:t>
            </w:r>
          </w:p>
        </w:tc>
        <w:tc>
          <w:tcPr>
            <w:tcW w:w="2585" w:type="dxa"/>
            <w:noWrap/>
            <w:hideMark/>
          </w:tcPr>
          <w:p w14:paraId="60217945"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India</w:t>
            </w:r>
          </w:p>
        </w:tc>
        <w:tc>
          <w:tcPr>
            <w:tcW w:w="3544" w:type="dxa"/>
            <w:noWrap/>
            <w:hideMark/>
          </w:tcPr>
          <w:p w14:paraId="7F3641DA"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68.6</w:t>
            </w:r>
          </w:p>
        </w:tc>
      </w:tr>
      <w:tr w:rsidR="009216D9" w:rsidRPr="0073630A" w14:paraId="124F3918"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2E04E153"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3</w:t>
            </w:r>
          </w:p>
        </w:tc>
        <w:tc>
          <w:tcPr>
            <w:tcW w:w="2585" w:type="dxa"/>
            <w:noWrap/>
            <w:hideMark/>
          </w:tcPr>
          <w:p w14:paraId="0C44F4A3"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Nepal</w:t>
            </w:r>
          </w:p>
        </w:tc>
        <w:tc>
          <w:tcPr>
            <w:tcW w:w="3544" w:type="dxa"/>
            <w:noWrap/>
            <w:hideMark/>
          </w:tcPr>
          <w:p w14:paraId="4C69CFA1"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83.0</w:t>
            </w:r>
          </w:p>
        </w:tc>
      </w:tr>
      <w:tr w:rsidR="009216D9" w:rsidRPr="0073630A" w14:paraId="33593136"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044E0CE3"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4</w:t>
            </w:r>
          </w:p>
        </w:tc>
        <w:tc>
          <w:tcPr>
            <w:tcW w:w="2585" w:type="dxa"/>
            <w:noWrap/>
            <w:hideMark/>
          </w:tcPr>
          <w:p w14:paraId="415118A9"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Brazil</w:t>
            </w:r>
          </w:p>
        </w:tc>
        <w:tc>
          <w:tcPr>
            <w:tcW w:w="3544" w:type="dxa"/>
            <w:noWrap/>
            <w:hideMark/>
          </w:tcPr>
          <w:p w14:paraId="5F2BEE13"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89.2</w:t>
            </w:r>
          </w:p>
        </w:tc>
      </w:tr>
      <w:tr w:rsidR="009216D9" w:rsidRPr="0073630A" w14:paraId="1F47D441"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7FC1A414"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5</w:t>
            </w:r>
          </w:p>
        </w:tc>
        <w:tc>
          <w:tcPr>
            <w:tcW w:w="2585" w:type="dxa"/>
            <w:noWrap/>
            <w:hideMark/>
          </w:tcPr>
          <w:p w14:paraId="42C08DB3"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Korea, Republic of (South)</w:t>
            </w:r>
          </w:p>
        </w:tc>
        <w:tc>
          <w:tcPr>
            <w:tcW w:w="3544" w:type="dxa"/>
            <w:noWrap/>
            <w:hideMark/>
          </w:tcPr>
          <w:p w14:paraId="7008DE5F"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84.6</w:t>
            </w:r>
          </w:p>
        </w:tc>
      </w:tr>
      <w:tr w:rsidR="009216D9" w:rsidRPr="0073630A" w14:paraId="77F24949"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21A69144"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6</w:t>
            </w:r>
          </w:p>
        </w:tc>
        <w:tc>
          <w:tcPr>
            <w:tcW w:w="2585" w:type="dxa"/>
            <w:noWrap/>
            <w:hideMark/>
          </w:tcPr>
          <w:p w14:paraId="0E1F9467"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Malaysia</w:t>
            </w:r>
          </w:p>
        </w:tc>
        <w:tc>
          <w:tcPr>
            <w:tcW w:w="3544" w:type="dxa"/>
            <w:noWrap/>
            <w:hideMark/>
          </w:tcPr>
          <w:p w14:paraId="6C8CFDD2"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66.8</w:t>
            </w:r>
          </w:p>
        </w:tc>
      </w:tr>
      <w:tr w:rsidR="009216D9" w:rsidRPr="0073630A" w14:paraId="62864645"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24F27A38"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7</w:t>
            </w:r>
          </w:p>
        </w:tc>
        <w:tc>
          <w:tcPr>
            <w:tcW w:w="2585" w:type="dxa"/>
            <w:noWrap/>
            <w:hideMark/>
          </w:tcPr>
          <w:p w14:paraId="05478433"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Thailand</w:t>
            </w:r>
          </w:p>
        </w:tc>
        <w:tc>
          <w:tcPr>
            <w:tcW w:w="3544" w:type="dxa"/>
            <w:noWrap/>
            <w:hideMark/>
          </w:tcPr>
          <w:p w14:paraId="23A74171"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85.8</w:t>
            </w:r>
          </w:p>
        </w:tc>
      </w:tr>
      <w:tr w:rsidR="009216D9" w:rsidRPr="0073630A" w14:paraId="4469341F"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5442A413"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8</w:t>
            </w:r>
          </w:p>
        </w:tc>
        <w:tc>
          <w:tcPr>
            <w:tcW w:w="2585" w:type="dxa"/>
            <w:noWrap/>
            <w:hideMark/>
          </w:tcPr>
          <w:p w14:paraId="1B9D5308"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Vietnam</w:t>
            </w:r>
          </w:p>
        </w:tc>
        <w:tc>
          <w:tcPr>
            <w:tcW w:w="3544" w:type="dxa"/>
            <w:noWrap/>
            <w:hideMark/>
          </w:tcPr>
          <w:p w14:paraId="7D87237B"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74.8</w:t>
            </w:r>
          </w:p>
        </w:tc>
      </w:tr>
      <w:tr w:rsidR="009216D9" w:rsidRPr="0073630A" w14:paraId="2CF6BA56"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13016EA5"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9</w:t>
            </w:r>
          </w:p>
        </w:tc>
        <w:tc>
          <w:tcPr>
            <w:tcW w:w="2585" w:type="dxa"/>
            <w:noWrap/>
            <w:hideMark/>
          </w:tcPr>
          <w:p w14:paraId="38FE5A34"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Colombia</w:t>
            </w:r>
          </w:p>
        </w:tc>
        <w:tc>
          <w:tcPr>
            <w:tcW w:w="3544" w:type="dxa"/>
            <w:noWrap/>
            <w:hideMark/>
          </w:tcPr>
          <w:p w14:paraId="10D74174"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82.6</w:t>
            </w:r>
          </w:p>
        </w:tc>
      </w:tr>
      <w:tr w:rsidR="009216D9" w:rsidRPr="0073630A" w14:paraId="35105AC6" w14:textId="77777777" w:rsidTr="00E57A26">
        <w:trPr>
          <w:trHeight w:val="256"/>
        </w:trPr>
        <w:tc>
          <w:tcPr>
            <w:cnfStyle w:val="001000000000" w:firstRow="0" w:lastRow="0" w:firstColumn="1" w:lastColumn="0" w:oddVBand="0" w:evenVBand="0" w:oddHBand="0" w:evenHBand="0" w:firstRowFirstColumn="0" w:firstRowLastColumn="0" w:lastRowFirstColumn="0" w:lastRowLastColumn="0"/>
            <w:tcW w:w="2235" w:type="dxa"/>
          </w:tcPr>
          <w:p w14:paraId="10573BC1" w14:textId="77777777" w:rsidR="009216D9" w:rsidRPr="0073630A" w:rsidRDefault="009216D9" w:rsidP="00C23497">
            <w:pPr>
              <w:spacing w:before="60" w:after="60"/>
              <w:rPr>
                <w:rFonts w:ascii="Calibri" w:hAnsi="Calibri"/>
                <w:color w:val="000000"/>
                <w:sz w:val="22"/>
                <w:szCs w:val="24"/>
                <w:lang w:eastAsia="en-AU"/>
              </w:rPr>
            </w:pPr>
            <w:r w:rsidRPr="0073630A">
              <w:rPr>
                <w:rFonts w:ascii="Calibri" w:hAnsi="Calibri"/>
                <w:color w:val="000000"/>
                <w:sz w:val="22"/>
                <w:szCs w:val="24"/>
                <w:lang w:eastAsia="en-AU"/>
              </w:rPr>
              <w:t>10</w:t>
            </w:r>
          </w:p>
        </w:tc>
        <w:tc>
          <w:tcPr>
            <w:tcW w:w="2585" w:type="dxa"/>
            <w:noWrap/>
            <w:hideMark/>
          </w:tcPr>
          <w:p w14:paraId="7D9C0BAA" w14:textId="77777777" w:rsidR="009216D9" w:rsidRPr="0073630A" w:rsidRDefault="009216D9" w:rsidP="00C23497">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Taiwan</w:t>
            </w:r>
          </w:p>
        </w:tc>
        <w:tc>
          <w:tcPr>
            <w:tcW w:w="3544" w:type="dxa"/>
            <w:noWrap/>
            <w:hideMark/>
          </w:tcPr>
          <w:p w14:paraId="66786D92" w14:textId="77777777" w:rsidR="009216D9" w:rsidRPr="0073630A" w:rsidRDefault="009216D9" w:rsidP="00C2349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4"/>
                <w:lang w:eastAsia="en-AU"/>
              </w:rPr>
            </w:pPr>
            <w:r w:rsidRPr="0073630A">
              <w:rPr>
                <w:rFonts w:ascii="Calibri" w:hAnsi="Calibri"/>
                <w:color w:val="000000"/>
                <w:sz w:val="22"/>
                <w:szCs w:val="24"/>
                <w:lang w:eastAsia="en-AU"/>
              </w:rPr>
              <w:t>82.7</w:t>
            </w:r>
          </w:p>
        </w:tc>
      </w:tr>
    </w:tbl>
    <w:p w14:paraId="4F772483" w14:textId="77777777" w:rsidR="009216D9" w:rsidRPr="0073630A" w:rsidRDefault="009216D9" w:rsidP="009216D9">
      <w:pPr>
        <w:tabs>
          <w:tab w:val="left" w:pos="709"/>
        </w:tabs>
        <w:rPr>
          <w:rFonts w:ascii="Calibri" w:hAnsi="Calibri" w:cstheme="minorHAnsi"/>
          <w:szCs w:val="16"/>
        </w:rPr>
      </w:pPr>
    </w:p>
    <w:p w14:paraId="28C0937A" w14:textId="77777777" w:rsidR="00B50E86" w:rsidRDefault="009216D9" w:rsidP="009216D9">
      <w:pPr>
        <w:rPr>
          <w:rFonts w:ascii="Calibri" w:hAnsi="Calibri" w:cstheme="minorHAnsi"/>
          <w:sz w:val="20"/>
          <w:szCs w:val="16"/>
        </w:rPr>
      </w:pPr>
      <w:r w:rsidRPr="003A00C0">
        <w:rPr>
          <w:rFonts w:ascii="Calibri" w:hAnsi="Calibri" w:cstheme="minorHAnsi"/>
          <w:sz w:val="20"/>
          <w:szCs w:val="16"/>
        </w:rPr>
        <w:t>Sourced from voluntary records by education providers in PRISMS</w:t>
      </w:r>
      <w:r>
        <w:rPr>
          <w:rFonts w:ascii="Calibri" w:hAnsi="Calibri" w:cstheme="minorHAnsi"/>
          <w:sz w:val="20"/>
          <w:szCs w:val="16"/>
        </w:rPr>
        <w:t>.</w:t>
      </w:r>
    </w:p>
    <w:p w14:paraId="7EE679A5" w14:textId="77777777" w:rsidR="009216D9" w:rsidRDefault="009216D9" w:rsidP="009216D9">
      <w:pPr>
        <w:rPr>
          <w:rFonts w:cstheme="minorHAnsi"/>
        </w:rPr>
      </w:pPr>
    </w:p>
    <w:p w14:paraId="6AD5B656" w14:textId="77777777" w:rsidR="009216D9" w:rsidRPr="004E76F4" w:rsidRDefault="009216D9" w:rsidP="009216D9">
      <w:pPr>
        <w:pStyle w:val="Heading2"/>
      </w:pPr>
      <w:r w:rsidRPr="004E76F4">
        <w:t>Managing education agents</w:t>
      </w:r>
    </w:p>
    <w:p w14:paraId="23C0E3C6" w14:textId="77777777" w:rsidR="009216D9" w:rsidRPr="004E76F4" w:rsidRDefault="009216D9" w:rsidP="009216D9">
      <w:pPr>
        <w:rPr>
          <w:rFonts w:ascii="Calibri" w:hAnsi="Calibri" w:cstheme="minorHAnsi"/>
        </w:rPr>
      </w:pPr>
      <w:r w:rsidRPr="004E76F4">
        <w:rPr>
          <w:rFonts w:ascii="Calibri" w:hAnsi="Calibri" w:cstheme="minorHAnsi"/>
        </w:rPr>
        <w:t>The</w:t>
      </w:r>
      <w:r w:rsidRPr="004E76F4">
        <w:rPr>
          <w:rFonts w:ascii="Calibri" w:hAnsi="Calibri" w:cstheme="minorHAnsi"/>
          <w:i/>
        </w:rPr>
        <w:t xml:space="preserve"> Education Services for Overseas Students Act 2000 </w:t>
      </w:r>
      <w:r w:rsidRPr="004E76F4">
        <w:rPr>
          <w:rFonts w:ascii="Calibri" w:hAnsi="Calibri" w:cstheme="minorHAnsi"/>
        </w:rPr>
        <w:t xml:space="preserve">(ESOS Act) and the </w:t>
      </w:r>
      <w:r w:rsidRPr="004E76F4">
        <w:rPr>
          <w:rFonts w:ascii="Calibri" w:hAnsi="Calibri" w:cstheme="minorHAnsi"/>
          <w:i/>
        </w:rPr>
        <w:t>National Code of Practice for Providers of Education and Training to Overseas Students</w:t>
      </w:r>
      <w:r w:rsidRPr="004E76F4">
        <w:rPr>
          <w:rFonts w:ascii="Calibri" w:hAnsi="Calibri" w:cstheme="minorHAnsi"/>
        </w:rPr>
        <w:t xml:space="preserve"> </w:t>
      </w:r>
      <w:r w:rsidRPr="004E76F4">
        <w:rPr>
          <w:rFonts w:ascii="Calibri" w:hAnsi="Calibri" w:cstheme="minorHAnsi"/>
          <w:i/>
        </w:rPr>
        <w:t>2018</w:t>
      </w:r>
      <w:r w:rsidRPr="004E76F4">
        <w:rPr>
          <w:rFonts w:ascii="Calibri" w:hAnsi="Calibri" w:cstheme="minorHAnsi"/>
        </w:rPr>
        <w:t xml:space="preserve"> (National Code) are the key elements of the legislative framework that</w:t>
      </w:r>
      <w:r>
        <w:rPr>
          <w:rFonts w:ascii="Calibri" w:hAnsi="Calibri" w:cstheme="minorHAnsi"/>
        </w:rPr>
        <w:t xml:space="preserve"> protects the interests of </w:t>
      </w:r>
      <w:r w:rsidRPr="004E76F4">
        <w:rPr>
          <w:rFonts w:ascii="Calibri" w:hAnsi="Calibri" w:cstheme="minorHAnsi"/>
        </w:rPr>
        <w:t xml:space="preserve">overseas students. </w:t>
      </w:r>
    </w:p>
    <w:p w14:paraId="39EEF760" w14:textId="4C8F22C0" w:rsidR="009216D9" w:rsidRPr="004E76F4" w:rsidRDefault="009216D9" w:rsidP="00B10B61">
      <w:pPr>
        <w:rPr>
          <w:rFonts w:ascii="Calibri" w:hAnsi="Calibri"/>
        </w:rPr>
      </w:pPr>
      <w:r w:rsidRPr="004E76F4">
        <w:rPr>
          <w:rFonts w:ascii="Calibri" w:hAnsi="Calibri" w:cstheme="minorHAnsi"/>
        </w:rPr>
        <w:t>Providers must meet the requirements established in the ESOS legislative framework and be listed on the Commonwealth Register of Institutions and Courses for Overseas Students (CRICOS) to deliver education to overseas students</w:t>
      </w:r>
      <w:r w:rsidR="00BB1E64">
        <w:rPr>
          <w:rFonts w:ascii="Calibri" w:hAnsi="Calibri" w:cstheme="minorHAnsi"/>
        </w:rPr>
        <w:t xml:space="preserve"> </w:t>
      </w:r>
      <w:r w:rsidR="00BB1E64" w:rsidRPr="004E76F4">
        <w:rPr>
          <w:rFonts w:ascii="Calibri" w:hAnsi="Calibri" w:cstheme="minorHAnsi"/>
        </w:rPr>
        <w:t>in Australia</w:t>
      </w:r>
      <w:r w:rsidRPr="004E76F4">
        <w:rPr>
          <w:rFonts w:ascii="Calibri" w:hAnsi="Calibri" w:cstheme="minorHAnsi"/>
        </w:rPr>
        <w:t xml:space="preserve">. </w:t>
      </w:r>
      <w:r w:rsidRPr="004E76F4">
        <w:rPr>
          <w:rFonts w:ascii="Calibri" w:hAnsi="Calibri"/>
        </w:rPr>
        <w:t>The ESOS legislative framework also requires providers to manage the conduct and behaviour of the education agents they</w:t>
      </w:r>
      <w:r w:rsidR="003A0C28">
        <w:rPr>
          <w:rFonts w:ascii="Calibri" w:hAnsi="Calibri"/>
        </w:rPr>
        <w:t xml:space="preserve"> have a written agreement </w:t>
      </w:r>
      <w:r w:rsidRPr="004E76F4">
        <w:rPr>
          <w:rFonts w:ascii="Calibri" w:hAnsi="Calibri"/>
        </w:rPr>
        <w:t>with, the majority of whom are based overseas.</w:t>
      </w:r>
      <w:r w:rsidR="004008A1">
        <w:rPr>
          <w:rFonts w:ascii="Calibri" w:hAnsi="Calibri"/>
        </w:rPr>
        <w:t xml:space="preserve"> </w:t>
      </w:r>
      <w:r w:rsidR="00B10B61">
        <w:rPr>
          <w:rFonts w:ascii="Calibri" w:hAnsi="Calibri"/>
        </w:rPr>
        <w:t xml:space="preserve">The ESOS legislative framework </w:t>
      </w:r>
      <w:r w:rsidR="004008A1">
        <w:rPr>
          <w:rFonts w:ascii="Calibri" w:hAnsi="Calibri"/>
        </w:rPr>
        <w:t>does not directly regulate education agents.</w:t>
      </w:r>
    </w:p>
    <w:p w14:paraId="5F17FF9B" w14:textId="714BA99A" w:rsidR="00CF712A" w:rsidRDefault="008D3A7D" w:rsidP="00F35E00">
      <w:r>
        <w:t xml:space="preserve">Successive </w:t>
      </w:r>
      <w:r w:rsidR="00B10B61">
        <w:t>Australian G</w:t>
      </w:r>
      <w:r>
        <w:t>overnments have identified constraints on t</w:t>
      </w:r>
      <w:r w:rsidR="009216D9" w:rsidRPr="004E76F4">
        <w:t xml:space="preserve">he </w:t>
      </w:r>
      <w:r w:rsidR="00F35E00">
        <w:t>g</w:t>
      </w:r>
      <w:r w:rsidR="009216D9" w:rsidRPr="004E76F4">
        <w:t>overnment</w:t>
      </w:r>
      <w:r>
        <w:t>’s ability</w:t>
      </w:r>
      <w:r w:rsidR="009216D9" w:rsidRPr="004E76F4">
        <w:t xml:space="preserve"> </w:t>
      </w:r>
      <w:r w:rsidR="00B10B61">
        <w:t xml:space="preserve">to regulate agents. </w:t>
      </w:r>
      <w:r w:rsidR="00B10B61" w:rsidRPr="00CA077D">
        <w:t>The</w:t>
      </w:r>
      <w:r w:rsidR="00B10B61">
        <w:t xml:space="preserve"> 2009</w:t>
      </w:r>
      <w:r w:rsidR="00B10B61" w:rsidRPr="00CA077D">
        <w:t xml:space="preserve"> Baird Review of the ESOS Act found “</w:t>
      </w:r>
      <w:r w:rsidR="00B10B61">
        <w:t>…</w:t>
      </w:r>
      <w:r w:rsidR="00B10B61" w:rsidRPr="00CA077D">
        <w:t>there is little scope to regulate the activities of foreign nationals or foreign companies operating outside of Austr</w:t>
      </w:r>
      <w:r w:rsidR="00B10B61">
        <w:t>alia.”</w:t>
      </w:r>
      <w:r w:rsidR="00E73E11">
        <w:t xml:space="preserve"> </w:t>
      </w:r>
      <w:r w:rsidR="00B10B61" w:rsidRPr="00CA077D">
        <w:t>The 2011 Knight Review of the Student Visa Program support</w:t>
      </w:r>
      <w:r w:rsidR="00B10B61">
        <w:t>ed</w:t>
      </w:r>
      <w:r w:rsidR="00B10B61" w:rsidRPr="00CA077D">
        <w:t xml:space="preserve"> the promotion of agent professionalism and self‐regulation </w:t>
      </w:r>
      <w:r w:rsidR="00B10B61">
        <w:t>and “</w:t>
      </w:r>
      <w:r w:rsidR="00B10B61" w:rsidRPr="00CA077D">
        <w:t xml:space="preserve">that the Department should </w:t>
      </w:r>
      <w:r w:rsidR="00B10B61">
        <w:t>continue</w:t>
      </w:r>
      <w:r w:rsidR="00B10B61" w:rsidRPr="00CA077D">
        <w:t xml:space="preserve"> to influencing education agent behaviour.”</w:t>
      </w:r>
      <w:r w:rsidR="009216D9" w:rsidRPr="00AE462E">
        <w:t xml:space="preserve"> </w:t>
      </w:r>
      <w:r w:rsidR="00B10B61">
        <w:t>T</w:t>
      </w:r>
      <w:r>
        <w:t xml:space="preserve">he Government </w:t>
      </w:r>
      <w:r w:rsidR="009216D9" w:rsidRPr="00AE462E">
        <w:t>concentrate</w:t>
      </w:r>
      <w:r>
        <w:t>s</w:t>
      </w:r>
      <w:r w:rsidR="009216D9" w:rsidRPr="00AE462E">
        <w:t xml:space="preserve"> on improving</w:t>
      </w:r>
      <w:r w:rsidR="00E73E11">
        <w:t xml:space="preserve"> the information available to</w:t>
      </w:r>
      <w:r w:rsidR="009216D9" w:rsidRPr="00AE462E">
        <w:t xml:space="preserve"> providers </w:t>
      </w:r>
      <w:r w:rsidR="009C41B4">
        <w:t xml:space="preserve">to </w:t>
      </w:r>
      <w:r w:rsidR="00E73E11">
        <w:t xml:space="preserve">support them </w:t>
      </w:r>
      <w:r w:rsidR="009216D9" w:rsidRPr="00AE462E">
        <w:t>manag</w:t>
      </w:r>
      <w:r w:rsidR="00E73E11">
        <w:t>ing</w:t>
      </w:r>
      <w:r w:rsidR="009216D9" w:rsidRPr="00AE462E">
        <w:t xml:space="preserve"> their agents</w:t>
      </w:r>
      <w:r w:rsidR="00E73E11">
        <w:t>,</w:t>
      </w:r>
      <w:r w:rsidR="009216D9" w:rsidRPr="00AE462E">
        <w:t xml:space="preserve"> and </w:t>
      </w:r>
      <w:r w:rsidR="009C41B4">
        <w:t xml:space="preserve">encouraging </w:t>
      </w:r>
      <w:r w:rsidR="009216D9" w:rsidRPr="00AE462E">
        <w:t>self-regulation by agents</w:t>
      </w:r>
      <w:r w:rsidR="00CF1F6C">
        <w:t>.</w:t>
      </w:r>
      <w:r w:rsidR="009C41B4">
        <w:t xml:space="preserve"> The department </w:t>
      </w:r>
      <w:r w:rsidR="00F35201">
        <w:t xml:space="preserve">works with a </w:t>
      </w:r>
      <w:r w:rsidR="00F35201">
        <w:lastRenderedPageBreak/>
        <w:t>range of stakeholders</w:t>
      </w:r>
      <w:r w:rsidR="009160C1">
        <w:t>,</w:t>
      </w:r>
      <w:r w:rsidR="00F35201">
        <w:t xml:space="preserve"> including</w:t>
      </w:r>
      <w:r w:rsidR="00F97B6E">
        <w:t xml:space="preserve"> Austrade, </w:t>
      </w:r>
      <w:r w:rsidR="00F35201">
        <w:t>the national regulators</w:t>
      </w:r>
      <w:r w:rsidR="00F97B6E">
        <w:t xml:space="preserve"> </w:t>
      </w:r>
      <w:r w:rsidR="00F97B6E" w:rsidRPr="002B5B65">
        <w:t>– the Australian Skills Quality Authority, the Tertiary Education Quality Standards Agency, and the Overseas Students Ombudsman –</w:t>
      </w:r>
      <w:r w:rsidR="00F97B6E">
        <w:t xml:space="preserve"> and education agent bodies</w:t>
      </w:r>
      <w:r w:rsidR="009160C1">
        <w:t>, to achieve this</w:t>
      </w:r>
      <w:r w:rsidR="009216D9" w:rsidRPr="00AE462E">
        <w:t>.</w:t>
      </w:r>
    </w:p>
    <w:p w14:paraId="6B731585" w14:textId="3A15EFC2" w:rsidR="00B64B01" w:rsidRDefault="009216D9" w:rsidP="00B64B01">
      <w:pPr>
        <w:rPr>
          <w:rFonts w:cstheme="minorHAnsi"/>
        </w:rPr>
      </w:pPr>
      <w:r w:rsidRPr="00AE462E">
        <w:rPr>
          <w:rFonts w:cstheme="minorHAnsi"/>
        </w:rPr>
        <w:t xml:space="preserve">Standard 1 of the National Code requires providers to ensure the marketing and promotion of their </w:t>
      </w:r>
      <w:r w:rsidRPr="00650AF8">
        <w:rPr>
          <w:rFonts w:cstheme="minorHAnsi"/>
        </w:rPr>
        <w:t xml:space="preserve">courses and education services, including through an agent, is not false or misleading, and is consistent with Australian Consumer Law. Standard 4 of the National Code requires providers to ensure their agents act ethically, honestly and in the best interest of overseas students, and uphold the reputation of Australia’s international education sector. </w:t>
      </w:r>
      <w:r w:rsidR="00B64B01">
        <w:rPr>
          <w:rFonts w:cstheme="minorHAnsi"/>
        </w:rPr>
        <w:t>T</w:t>
      </w:r>
      <w:r w:rsidRPr="00650AF8">
        <w:rPr>
          <w:rFonts w:cstheme="minorHAnsi"/>
        </w:rPr>
        <w:t>hey must have a written agreement with each agent who formally represents them</w:t>
      </w:r>
      <w:r w:rsidR="004008A1">
        <w:rPr>
          <w:rFonts w:cstheme="minorHAnsi"/>
        </w:rPr>
        <w:t xml:space="preserve">. </w:t>
      </w:r>
      <w:r w:rsidR="00B64B01">
        <w:rPr>
          <w:rFonts w:cstheme="minorHAnsi"/>
        </w:rPr>
        <w:t xml:space="preserve">They must </w:t>
      </w:r>
      <w:r w:rsidR="00B64B01" w:rsidRPr="00CF42B7">
        <w:rPr>
          <w:rFonts w:cstheme="minorHAnsi"/>
        </w:rPr>
        <w:t>require</w:t>
      </w:r>
      <w:r w:rsidR="00B64B01">
        <w:rPr>
          <w:rFonts w:cstheme="minorHAnsi"/>
        </w:rPr>
        <w:t xml:space="preserve"> their</w:t>
      </w:r>
      <w:r w:rsidR="00B64B01" w:rsidRPr="00CF42B7">
        <w:rPr>
          <w:rFonts w:cstheme="minorHAnsi"/>
        </w:rPr>
        <w:t xml:space="preserve"> agents to have appropriate knowledge and understanding of the international education</w:t>
      </w:r>
      <w:r w:rsidR="00B64B01">
        <w:rPr>
          <w:rFonts w:cstheme="minorHAnsi"/>
        </w:rPr>
        <w:t xml:space="preserve"> system in Australia, including the </w:t>
      </w:r>
      <w:r w:rsidR="00B64B01" w:rsidRPr="007325E4">
        <w:rPr>
          <w:rFonts w:cstheme="minorHAnsi"/>
          <w:i/>
        </w:rPr>
        <w:t xml:space="preserve">Agent Code of Ethics </w:t>
      </w:r>
      <w:r w:rsidR="00B64B01">
        <w:rPr>
          <w:rFonts w:cstheme="minorHAnsi"/>
        </w:rPr>
        <w:t>(ACE)</w:t>
      </w:r>
      <w:r w:rsidR="00B64B01" w:rsidRPr="009E260F">
        <w:rPr>
          <w:rFonts w:cstheme="minorHAnsi"/>
        </w:rPr>
        <w:t>.</w:t>
      </w:r>
      <w:r w:rsidR="00AB58D7">
        <w:rPr>
          <w:rFonts w:cstheme="minorHAnsi"/>
        </w:rPr>
        <w:t xml:space="preserve"> </w:t>
      </w:r>
      <w:r w:rsidR="00311E35">
        <w:rPr>
          <w:rFonts w:cstheme="minorHAnsi"/>
        </w:rPr>
        <w:t>In addition,</w:t>
      </w:r>
      <w:r w:rsidR="0045233A">
        <w:rPr>
          <w:rFonts w:cstheme="minorHAnsi"/>
        </w:rPr>
        <w:t xml:space="preserve"> providers </w:t>
      </w:r>
      <w:r w:rsidR="00AE1A03">
        <w:rPr>
          <w:rFonts w:cstheme="minorHAnsi"/>
        </w:rPr>
        <w:t>must terminate their relationship with an education agent if they become aware, or have reason to believe, that the agent is engaging in false or misleading recruitment practices, or require the agent to terminate its relationship with the employee or subcontractor who engaged in those practices.</w:t>
      </w:r>
    </w:p>
    <w:p w14:paraId="63FD32BE" w14:textId="0CA16D04" w:rsidR="009216D9" w:rsidRPr="00184B1E" w:rsidRDefault="007325E4" w:rsidP="007325E4">
      <w:r>
        <w:t xml:space="preserve">Established in 2016, the </w:t>
      </w:r>
      <w:r w:rsidR="00B64B01">
        <w:t>ACE</w:t>
      </w:r>
      <w:r w:rsidR="00B70519">
        <w:t xml:space="preserve"> </w:t>
      </w:r>
      <w:r w:rsidR="00B70519" w:rsidRPr="00563CC4">
        <w:rPr>
          <w:rFonts w:cstheme="minorHAnsi"/>
        </w:rPr>
        <w:t xml:space="preserve">provides a guide to the professional behaviour </w:t>
      </w:r>
      <w:r w:rsidRPr="00563CC4">
        <w:rPr>
          <w:rFonts w:cstheme="minorHAnsi"/>
        </w:rPr>
        <w:t xml:space="preserve">expected </w:t>
      </w:r>
      <w:r w:rsidR="00B70519" w:rsidRPr="00563CC4">
        <w:rPr>
          <w:rFonts w:cstheme="minorHAnsi"/>
        </w:rPr>
        <w:t xml:space="preserve">of agents working with </w:t>
      </w:r>
      <w:r w:rsidR="00B70519">
        <w:rPr>
          <w:rFonts w:cstheme="minorHAnsi"/>
        </w:rPr>
        <w:t xml:space="preserve">overseas </w:t>
      </w:r>
      <w:r w:rsidR="00B70519" w:rsidRPr="00563CC4">
        <w:rPr>
          <w:rFonts w:cstheme="minorHAnsi"/>
        </w:rPr>
        <w:t>students, parents, providers and fellow agents</w:t>
      </w:r>
      <w:r w:rsidR="00B70519">
        <w:rPr>
          <w:rFonts w:cstheme="minorHAnsi"/>
        </w:rPr>
        <w:t>,</w:t>
      </w:r>
      <w:r w:rsidR="00BD7488">
        <w:rPr>
          <w:rFonts w:cstheme="minorHAnsi"/>
        </w:rPr>
        <w:t xml:space="preserve"> and is intended </w:t>
      </w:r>
      <w:r w:rsidR="00BD7488" w:rsidRPr="00563CC4">
        <w:rPr>
          <w:rFonts w:ascii="Calibri" w:hAnsi="Calibri" w:cs="Calibri"/>
          <w:color w:val="000000"/>
        </w:rPr>
        <w:t xml:space="preserve">to support </w:t>
      </w:r>
      <w:r w:rsidR="00BD7488" w:rsidRPr="008B46F0">
        <w:rPr>
          <w:rFonts w:cstheme="minorHAnsi"/>
          <w:lang w:val="en"/>
        </w:rPr>
        <w:t>providers to meet their obligations under the National Code.</w:t>
      </w:r>
    </w:p>
    <w:p w14:paraId="5E6B3E65" w14:textId="77777777" w:rsidR="009216D9" w:rsidRPr="00A239CC" w:rsidRDefault="009216D9" w:rsidP="009216D9">
      <w:pPr>
        <w:pStyle w:val="Heading2"/>
      </w:pPr>
      <w:r w:rsidRPr="00A239CC">
        <w:t>Improving transparency</w:t>
      </w:r>
      <w:r>
        <w:t xml:space="preserve"> of agent performance</w:t>
      </w:r>
    </w:p>
    <w:p w14:paraId="5345A359" w14:textId="77777777" w:rsidR="009216D9" w:rsidRDefault="009216D9" w:rsidP="009216D9">
      <w:r>
        <w:t xml:space="preserve">As a result of the passage of the </w:t>
      </w:r>
      <w:r w:rsidRPr="00A239CC">
        <w:t>Education Legislation Amendment (Provider Integrity and Other Measures) Bill 2017,</w:t>
      </w:r>
      <w:r>
        <w:t xml:space="preserve"> the</w:t>
      </w:r>
      <w:r w:rsidRPr="00A239CC">
        <w:t xml:space="preserve"> </w:t>
      </w:r>
      <w:r>
        <w:t xml:space="preserve">ESOS Act permits the </w:t>
      </w:r>
      <w:r w:rsidRPr="00A239CC">
        <w:t>Government</w:t>
      </w:r>
      <w:r>
        <w:t xml:space="preserve"> to give </w:t>
      </w:r>
      <w:r w:rsidRPr="00A239CC">
        <w:t>information about education agents’ performance</w:t>
      </w:r>
      <w:r>
        <w:t xml:space="preserve"> to </w:t>
      </w:r>
      <w:r w:rsidRPr="00A239CC">
        <w:t>providers, and publish information</w:t>
      </w:r>
      <w:r>
        <w:t xml:space="preserve"> about </w:t>
      </w:r>
      <w:r w:rsidRPr="00A239CC">
        <w:t>education agents</w:t>
      </w:r>
      <w:r>
        <w:t xml:space="preserve">’ performance. This may be done for the purposes of promoting </w:t>
      </w:r>
      <w:r w:rsidRPr="00A239CC">
        <w:t xml:space="preserve">compliance with the ESOS </w:t>
      </w:r>
      <w:r>
        <w:t xml:space="preserve">legislative </w:t>
      </w:r>
      <w:r w:rsidRPr="00A239CC">
        <w:t>framework</w:t>
      </w:r>
      <w:r>
        <w:t xml:space="preserve"> and student visa conditions</w:t>
      </w:r>
      <w:r w:rsidRPr="00A239CC">
        <w:t>.</w:t>
      </w:r>
      <w:r>
        <w:t xml:space="preserve"> </w:t>
      </w:r>
      <w:r w:rsidRPr="006148BC">
        <w:rPr>
          <w:rFonts w:cstheme="minorHAnsi"/>
        </w:rPr>
        <w:t>Since</w:t>
      </w:r>
      <w:r>
        <w:rPr>
          <w:rFonts w:cstheme="minorHAnsi"/>
        </w:rPr>
        <w:t xml:space="preserve"> 1 January </w:t>
      </w:r>
      <w:r w:rsidRPr="006148BC">
        <w:rPr>
          <w:rFonts w:cstheme="minorHAnsi"/>
        </w:rPr>
        <w:t>2018, providers must enter and maintain details of the agents they use in PRISMS. Prior to this, details of agents were voluntarily entered</w:t>
      </w:r>
      <w:r>
        <w:rPr>
          <w:rFonts w:cstheme="minorHAnsi"/>
        </w:rPr>
        <w:t xml:space="preserve"> in </w:t>
      </w:r>
      <w:r w:rsidRPr="006148BC">
        <w:rPr>
          <w:rFonts w:cstheme="minorHAnsi"/>
        </w:rPr>
        <w:t>PRISMS by providers.</w:t>
      </w:r>
    </w:p>
    <w:p w14:paraId="3198746F" w14:textId="77777777" w:rsidR="009216D9" w:rsidRDefault="009216D9" w:rsidP="009216D9">
      <w:r>
        <w:t>These reforms have addressed a suggestion made by the Productivity Commission in its 2015 Research Paper on International Education Services that systematic tracking of student outcomes against agents could encourage agents and providers to reduce their risk by working to reduce adverse student outcomes and adhere to the National Code</w:t>
      </w:r>
    </w:p>
    <w:p w14:paraId="2460D80A" w14:textId="76260775" w:rsidR="0029636B" w:rsidRDefault="009216D9" w:rsidP="00D31880">
      <w:pPr>
        <w:rPr>
          <w:rFonts w:cstheme="minorHAnsi"/>
        </w:rPr>
      </w:pPr>
      <w:r w:rsidRPr="00CC5BEA">
        <w:rPr>
          <w:rFonts w:cstheme="minorHAnsi"/>
        </w:rPr>
        <w:t xml:space="preserve">To support providers to meet their legislative obligations with regard to agents, the department has </w:t>
      </w:r>
      <w:r w:rsidR="004008A1">
        <w:rPr>
          <w:rFonts w:cstheme="minorHAnsi"/>
        </w:rPr>
        <w:t>begun</w:t>
      </w:r>
      <w:r w:rsidR="004008A1" w:rsidRPr="00CC5BEA">
        <w:rPr>
          <w:rFonts w:cstheme="minorHAnsi"/>
        </w:rPr>
        <w:t xml:space="preserve"> </w:t>
      </w:r>
      <w:r w:rsidRPr="00CC5BEA">
        <w:rPr>
          <w:rFonts w:cstheme="minorHAnsi"/>
        </w:rPr>
        <w:t>provid</w:t>
      </w:r>
      <w:r w:rsidR="004008A1">
        <w:rPr>
          <w:rFonts w:cstheme="minorHAnsi"/>
        </w:rPr>
        <w:t xml:space="preserve">ing </w:t>
      </w:r>
      <w:r w:rsidRPr="00CC5BEA">
        <w:rPr>
          <w:rFonts w:cstheme="minorHAnsi"/>
        </w:rPr>
        <w:t xml:space="preserve">performance data on </w:t>
      </w:r>
      <w:r w:rsidR="00D31880">
        <w:rPr>
          <w:rFonts w:cstheme="minorHAnsi"/>
        </w:rPr>
        <w:t xml:space="preserve">each </w:t>
      </w:r>
      <w:r w:rsidRPr="00CC5BEA">
        <w:rPr>
          <w:rFonts w:cstheme="minorHAnsi"/>
        </w:rPr>
        <w:t xml:space="preserve">agent </w:t>
      </w:r>
      <w:r w:rsidR="004008A1">
        <w:rPr>
          <w:rFonts w:cstheme="minorHAnsi"/>
        </w:rPr>
        <w:t xml:space="preserve">a provider has </w:t>
      </w:r>
      <w:r w:rsidRPr="00CC5BEA">
        <w:rPr>
          <w:rFonts w:cstheme="minorHAnsi"/>
        </w:rPr>
        <w:t xml:space="preserve">engaged to represent them. </w:t>
      </w:r>
    </w:p>
    <w:p w14:paraId="5F2C4111" w14:textId="0385F8C4" w:rsidR="009216D9" w:rsidRPr="00CC5BEA" w:rsidRDefault="009216D9" w:rsidP="009216D9">
      <w:pPr>
        <w:spacing w:after="0"/>
        <w:rPr>
          <w:rFonts w:cstheme="minorHAnsi"/>
        </w:rPr>
      </w:pPr>
      <w:r w:rsidRPr="00CC5BEA">
        <w:rPr>
          <w:rFonts w:cstheme="minorHAnsi"/>
        </w:rPr>
        <w:t>The</w:t>
      </w:r>
      <w:r>
        <w:rPr>
          <w:rFonts w:cstheme="minorHAnsi"/>
        </w:rPr>
        <w:t xml:space="preserve"> performance data includes </w:t>
      </w:r>
      <w:r w:rsidRPr="00CC5BEA">
        <w:rPr>
          <w:rFonts w:cstheme="minorHAnsi"/>
        </w:rPr>
        <w:t>student enrolment outcomes and</w:t>
      </w:r>
      <w:r>
        <w:rPr>
          <w:rFonts w:cstheme="minorHAnsi"/>
        </w:rPr>
        <w:t xml:space="preserve"> student visa outcomes</w:t>
      </w:r>
      <w:r w:rsidRPr="00CC5BEA">
        <w:rPr>
          <w:rFonts w:cstheme="minorHAnsi"/>
        </w:rPr>
        <w:t>. Enrolment outcomes</w:t>
      </w:r>
      <w:r>
        <w:rPr>
          <w:rFonts w:cstheme="minorHAnsi"/>
        </w:rPr>
        <w:t xml:space="preserve"> show </w:t>
      </w:r>
      <w:r w:rsidR="00B40B51">
        <w:rPr>
          <w:rFonts w:cstheme="minorHAnsi"/>
        </w:rPr>
        <w:t>whether a student went on to:</w:t>
      </w:r>
    </w:p>
    <w:p w14:paraId="3FC91359" w14:textId="1D938F38" w:rsidR="009216D9" w:rsidRPr="00A239CC" w:rsidRDefault="009216D9" w:rsidP="009216D9">
      <w:pPr>
        <w:pStyle w:val="ListParagraph"/>
        <w:numPr>
          <w:ilvl w:val="0"/>
          <w:numId w:val="37"/>
        </w:numPr>
        <w:spacing w:before="120" w:after="120" w:line="259" w:lineRule="auto"/>
      </w:pPr>
      <w:r w:rsidRPr="00A239CC">
        <w:t>successfully comple</w:t>
      </w:r>
      <w:r w:rsidR="00B40B51">
        <w:t>te their enrolment</w:t>
      </w:r>
    </w:p>
    <w:p w14:paraId="1FF825EF" w14:textId="6B90F18C" w:rsidR="009216D9" w:rsidRPr="00A239CC" w:rsidRDefault="00B40B51" w:rsidP="009216D9">
      <w:pPr>
        <w:pStyle w:val="ListParagraph"/>
        <w:numPr>
          <w:ilvl w:val="0"/>
          <w:numId w:val="37"/>
        </w:numPr>
        <w:spacing w:before="120" w:after="120" w:line="259" w:lineRule="auto"/>
      </w:pPr>
      <w:r>
        <w:t>transfer to another provider</w:t>
      </w:r>
    </w:p>
    <w:p w14:paraId="0DD40B2F" w14:textId="25777968" w:rsidR="009216D9" w:rsidRPr="00A239CC" w:rsidRDefault="009216D9" w:rsidP="00B40B51">
      <w:pPr>
        <w:pStyle w:val="ListParagraph"/>
        <w:numPr>
          <w:ilvl w:val="0"/>
          <w:numId w:val="37"/>
        </w:numPr>
        <w:spacing w:before="120" w:after="120" w:line="259" w:lineRule="auto"/>
      </w:pPr>
      <w:r w:rsidRPr="00A239CC">
        <w:t>notify early cessation of their studies</w:t>
      </w:r>
    </w:p>
    <w:p w14:paraId="1ABDB6E2" w14:textId="77777777" w:rsidR="009216D9" w:rsidRPr="00A239CC" w:rsidRDefault="009216D9" w:rsidP="009216D9">
      <w:pPr>
        <w:pStyle w:val="ListParagraph"/>
        <w:numPr>
          <w:ilvl w:val="0"/>
          <w:numId w:val="37"/>
        </w:numPr>
        <w:spacing w:before="120" w:after="120" w:line="259" w:lineRule="auto"/>
      </w:pPr>
      <w:r w:rsidRPr="00A239CC">
        <w:t>have their studies terminated for non-payment of fees or disciplinary reasons</w:t>
      </w:r>
    </w:p>
    <w:p w14:paraId="7B1DC767" w14:textId="1D7B0E13" w:rsidR="009216D9" w:rsidRPr="00A239CC" w:rsidRDefault="009216D9" w:rsidP="009216D9">
      <w:pPr>
        <w:pStyle w:val="ListParagraph"/>
        <w:numPr>
          <w:ilvl w:val="0"/>
          <w:numId w:val="37"/>
        </w:numPr>
        <w:spacing w:before="120" w:after="120" w:line="259" w:lineRule="auto"/>
      </w:pPr>
      <w:r w:rsidRPr="00A239CC">
        <w:t>be reported for unsatisfactory course</w:t>
      </w:r>
      <w:r w:rsidR="00B40B51">
        <w:t xml:space="preserve"> progress or course attendance</w:t>
      </w:r>
    </w:p>
    <w:p w14:paraId="6628031D" w14:textId="77777777" w:rsidR="00442A38" w:rsidRDefault="009216D9" w:rsidP="009216D9">
      <w:pPr>
        <w:pStyle w:val="ListParagraph"/>
        <w:numPr>
          <w:ilvl w:val="0"/>
          <w:numId w:val="37"/>
        </w:numPr>
        <w:spacing w:before="120" w:after="120" w:line="259" w:lineRule="auto"/>
      </w:pPr>
      <w:r w:rsidRPr="00A239CC">
        <w:t>defer or suspend their studies</w:t>
      </w:r>
    </w:p>
    <w:p w14:paraId="4077A950" w14:textId="1EAA584F" w:rsidR="009216D9" w:rsidRDefault="00442A38" w:rsidP="009216D9">
      <w:pPr>
        <w:pStyle w:val="ListParagraph"/>
        <w:numPr>
          <w:ilvl w:val="0"/>
          <w:numId w:val="37"/>
        </w:numPr>
        <w:spacing w:before="120" w:after="120" w:line="259" w:lineRule="auto"/>
      </w:pPr>
      <w:r>
        <w:t>not complete for any other reason</w:t>
      </w:r>
      <w:r w:rsidR="009216D9">
        <w:t>.</w:t>
      </w:r>
    </w:p>
    <w:p w14:paraId="49A7354F" w14:textId="77777777" w:rsidR="009216D9" w:rsidRDefault="009216D9" w:rsidP="00571396">
      <w:pPr>
        <w:spacing w:after="0"/>
      </w:pPr>
      <w:r>
        <w:lastRenderedPageBreak/>
        <w:t>Student visa outcomes show whether:</w:t>
      </w:r>
    </w:p>
    <w:p w14:paraId="2EB4E9F9" w14:textId="77777777" w:rsidR="009216D9" w:rsidRDefault="009216D9" w:rsidP="009216D9">
      <w:pPr>
        <w:pStyle w:val="ListParagraph"/>
        <w:numPr>
          <w:ilvl w:val="0"/>
          <w:numId w:val="38"/>
        </w:numPr>
        <w:spacing w:before="120" w:after="120" w:line="259" w:lineRule="auto"/>
      </w:pPr>
      <w:r>
        <w:t>a student visa application was granted</w:t>
      </w:r>
    </w:p>
    <w:p w14:paraId="6D80B9DD" w14:textId="77777777" w:rsidR="009216D9" w:rsidRDefault="009216D9" w:rsidP="009216D9">
      <w:pPr>
        <w:pStyle w:val="ListParagraph"/>
        <w:numPr>
          <w:ilvl w:val="0"/>
          <w:numId w:val="38"/>
        </w:numPr>
        <w:spacing w:before="120" w:after="120" w:line="259" w:lineRule="auto"/>
      </w:pPr>
      <w:r>
        <w:t>a student visa application was refused</w:t>
      </w:r>
    </w:p>
    <w:p w14:paraId="7E674D44" w14:textId="77777777" w:rsidR="009216D9" w:rsidRDefault="009216D9" w:rsidP="009216D9">
      <w:pPr>
        <w:pStyle w:val="ListParagraph"/>
        <w:numPr>
          <w:ilvl w:val="0"/>
          <w:numId w:val="38"/>
        </w:numPr>
        <w:spacing w:before="120" w:after="120" w:line="259" w:lineRule="auto"/>
      </w:pPr>
      <w:r>
        <w:t>a student visa application was withdrawn</w:t>
      </w:r>
    </w:p>
    <w:p w14:paraId="5C0C1ED1" w14:textId="77777777" w:rsidR="009216D9" w:rsidRDefault="009216D9" w:rsidP="009216D9">
      <w:pPr>
        <w:pStyle w:val="ListParagraph"/>
        <w:numPr>
          <w:ilvl w:val="0"/>
          <w:numId w:val="38"/>
        </w:numPr>
        <w:spacing w:before="120" w:after="120" w:line="259" w:lineRule="auto"/>
      </w:pPr>
      <w:r>
        <w:t>a student visa application was invalid</w:t>
      </w:r>
    </w:p>
    <w:p w14:paraId="21B76416" w14:textId="413A29B0" w:rsidR="009216D9" w:rsidRDefault="009216D9" w:rsidP="00895A0C">
      <w:pPr>
        <w:pStyle w:val="ListParagraph"/>
        <w:numPr>
          <w:ilvl w:val="0"/>
          <w:numId w:val="38"/>
        </w:numPr>
        <w:spacing w:before="120" w:after="120" w:line="259" w:lineRule="auto"/>
      </w:pPr>
      <w:r>
        <w:t>a student visa was cancelled.</w:t>
      </w:r>
    </w:p>
    <w:p w14:paraId="12974A01" w14:textId="51654136" w:rsidR="009216D9" w:rsidRPr="00A239CC" w:rsidRDefault="009216D9" w:rsidP="009216D9">
      <w:pPr>
        <w:pStyle w:val="Heading2"/>
      </w:pPr>
      <w:r>
        <w:t>Benefits of publication of agent performance data</w:t>
      </w:r>
    </w:p>
    <w:p w14:paraId="59E2FCF9" w14:textId="59EDEDA5" w:rsidR="009216D9" w:rsidRDefault="00F55651" w:rsidP="009216D9">
      <w:r>
        <w:t>Providing g</w:t>
      </w:r>
      <w:r w:rsidR="009216D9">
        <w:t>reater transparency of agent performance through publication of data</w:t>
      </w:r>
      <w:r w:rsidR="00CF1F6C">
        <w:t xml:space="preserve"> relating to </w:t>
      </w:r>
      <w:r w:rsidR="009216D9">
        <w:t>student enrolment and visa outcomes will</w:t>
      </w:r>
      <w:r w:rsidR="003F0613">
        <w:t xml:space="preserve"> support </w:t>
      </w:r>
      <w:r w:rsidR="009216D9">
        <w:t>stakeholders</w:t>
      </w:r>
      <w:r w:rsidR="003F0613">
        <w:t xml:space="preserve"> and encourage better practice in the international education system overall</w:t>
      </w:r>
      <w:r w:rsidR="009216D9">
        <w:t>.</w:t>
      </w:r>
    </w:p>
    <w:p w14:paraId="740FB22C" w14:textId="16C217E6" w:rsidR="009216D9" w:rsidRDefault="009216D9" w:rsidP="009216D9">
      <w:r w:rsidRPr="004B61A4">
        <w:rPr>
          <w:b/>
        </w:rPr>
        <w:t>Providers</w:t>
      </w:r>
      <w:r>
        <w:t xml:space="preserve"> will gain an improved understanding of the agents they have engaged and other agents working in the international education system</w:t>
      </w:r>
      <w:r w:rsidR="008E1133">
        <w:t>, through the availability of a</w:t>
      </w:r>
      <w:r w:rsidR="00F15FAF">
        <w:t xml:space="preserve"> more detailed </w:t>
      </w:r>
      <w:r w:rsidR="008E1133">
        <w:t>range of data that</w:t>
      </w:r>
      <w:r w:rsidR="004B61A4">
        <w:t xml:space="preserve"> allows </w:t>
      </w:r>
      <w:r w:rsidR="00F15FAF">
        <w:t>comparisons</w:t>
      </w:r>
      <w:r>
        <w:t xml:space="preserve">. This will assist them to make more informed choices as to which agents they engage to represent them and encourage good </w:t>
      </w:r>
      <w:r w:rsidR="00490759">
        <w:t xml:space="preserve">management </w:t>
      </w:r>
      <w:r>
        <w:t>practice</w:t>
      </w:r>
      <w:r w:rsidR="00490759">
        <w:t>s</w:t>
      </w:r>
      <w:r>
        <w:t xml:space="preserve"> in accordance with the </w:t>
      </w:r>
      <w:r w:rsidR="00490759">
        <w:t>requirements</w:t>
      </w:r>
      <w:r w:rsidR="00953A0B">
        <w:t xml:space="preserve"> of </w:t>
      </w:r>
      <w:r w:rsidR="00490759">
        <w:t xml:space="preserve">the ESOS Act and </w:t>
      </w:r>
      <w:r>
        <w:t>National Code.</w:t>
      </w:r>
    </w:p>
    <w:p w14:paraId="19333A66" w14:textId="5C2C70F5" w:rsidR="009216D9" w:rsidRDefault="009216D9" w:rsidP="009216D9">
      <w:r w:rsidRPr="004B61A4">
        <w:rPr>
          <w:b/>
        </w:rPr>
        <w:t>Agents</w:t>
      </w:r>
      <w:r>
        <w:t xml:space="preserve"> will gain an improved understanding of their performance relative to that of other agents working in the international education system. This will encourage them to evaluate their own performance and engage in continuous improvement in accordance with </w:t>
      </w:r>
      <w:r w:rsidR="007C33F4">
        <w:t>the requirements</w:t>
      </w:r>
      <w:r w:rsidR="00953A0B">
        <w:t xml:space="preserve"> of </w:t>
      </w:r>
      <w:r>
        <w:t>the National Code.</w:t>
      </w:r>
    </w:p>
    <w:p w14:paraId="5D540AA2" w14:textId="665FF76D" w:rsidR="009216D9" w:rsidRDefault="009216D9" w:rsidP="008E1133">
      <w:r w:rsidRPr="004B61A4">
        <w:rPr>
          <w:b/>
        </w:rPr>
        <w:t>Students</w:t>
      </w:r>
      <w:r>
        <w:t xml:space="preserve"> will </w:t>
      </w:r>
      <w:r w:rsidR="00F55651">
        <w:t>be given</w:t>
      </w:r>
      <w:r w:rsidR="008E1133">
        <w:t xml:space="preserve"> access to information on </w:t>
      </w:r>
      <w:r w:rsidR="00F55651">
        <w:t xml:space="preserve">the performance of </w:t>
      </w:r>
      <w:r w:rsidR="00584A2F">
        <w:t xml:space="preserve">individual </w:t>
      </w:r>
      <w:r w:rsidR="00F55651">
        <w:t>agents</w:t>
      </w:r>
      <w:r w:rsidR="008E1133">
        <w:t xml:space="preserve"> for the first time</w:t>
      </w:r>
      <w:r w:rsidR="00584A2F">
        <w:t>. This will</w:t>
      </w:r>
      <w:r w:rsidR="008E1133">
        <w:t xml:space="preserve"> enable </w:t>
      </w:r>
      <w:r w:rsidR="00584A2F">
        <w:t xml:space="preserve">them to make </w:t>
      </w:r>
      <w:r w:rsidR="008E1133">
        <w:t xml:space="preserve">a </w:t>
      </w:r>
      <w:r w:rsidR="00584A2F">
        <w:t>more informed choice</w:t>
      </w:r>
      <w:r w:rsidR="008E1133">
        <w:t xml:space="preserve"> from</w:t>
      </w:r>
      <w:r w:rsidR="00584A2F">
        <w:t xml:space="preserve"> amongst the large range of agents</w:t>
      </w:r>
      <w:r w:rsidR="00F55651">
        <w:t xml:space="preserve"> </w:t>
      </w:r>
      <w:r w:rsidR="00584A2F">
        <w:t xml:space="preserve">available to them. Students </w:t>
      </w:r>
      <w:r w:rsidR="00F55651">
        <w:t xml:space="preserve">will </w:t>
      </w:r>
      <w:r w:rsidR="00584A2F">
        <w:t xml:space="preserve">also </w:t>
      </w:r>
      <w:r>
        <w:t>benefit from better practice by providers and agents, facilitating improved consumer protection under the ESOS legislative framework and better individual outcomes.</w:t>
      </w:r>
    </w:p>
    <w:p w14:paraId="57B28E39" w14:textId="1D005DFB" w:rsidR="00624CD8" w:rsidRDefault="009216D9" w:rsidP="00584A2F">
      <w:pPr>
        <w:spacing w:after="160"/>
      </w:pPr>
      <w:r>
        <w:t xml:space="preserve">The department </w:t>
      </w:r>
      <w:r w:rsidR="003F0613">
        <w:t>recognises that data held in PRISMS can only</w:t>
      </w:r>
      <w:r w:rsidR="00B25C30">
        <w:t xml:space="preserve"> inform </w:t>
      </w:r>
      <w:r w:rsidR="003F0613">
        <w:t xml:space="preserve">some aspects of </w:t>
      </w:r>
      <w:r w:rsidR="00CF1F6C">
        <w:t>agents’ performance</w:t>
      </w:r>
      <w:r w:rsidR="003F0613">
        <w:t xml:space="preserve"> and the valuable services they provide to both providers and students.</w:t>
      </w:r>
    </w:p>
    <w:p w14:paraId="25EAE632" w14:textId="660963CD" w:rsidR="00AD20B9" w:rsidRPr="00A239CC" w:rsidRDefault="00AD20B9" w:rsidP="00AD20B9">
      <w:pPr>
        <w:pStyle w:val="Heading2"/>
      </w:pPr>
      <w:r>
        <w:t>Next steps</w:t>
      </w:r>
    </w:p>
    <w:p w14:paraId="25BC8F4D" w14:textId="7A17700E" w:rsidR="002261E0" w:rsidRDefault="001A4BAF" w:rsidP="002261E0">
      <w:r>
        <w:t xml:space="preserve">The </w:t>
      </w:r>
      <w:r w:rsidRPr="002261E0">
        <w:rPr>
          <w:b/>
        </w:rPr>
        <w:t xml:space="preserve">Publication Strategy </w:t>
      </w:r>
      <w:r>
        <w:t>(below)</w:t>
      </w:r>
      <w:r w:rsidR="0045233A">
        <w:t xml:space="preserve"> outlines </w:t>
      </w:r>
      <w:r w:rsidR="002261E0">
        <w:t>the actions and timing of</w:t>
      </w:r>
      <w:r w:rsidR="0045233A">
        <w:t xml:space="preserve"> work towards release of data on education agent performance</w:t>
      </w:r>
      <w:r w:rsidR="002261E0">
        <w:t>.</w:t>
      </w:r>
    </w:p>
    <w:p w14:paraId="0CFE9F1D" w14:textId="77777777" w:rsidR="00342196" w:rsidRDefault="002261E0" w:rsidP="004C18BD">
      <w:pPr>
        <w:pStyle w:val="ListParagraph"/>
        <w:numPr>
          <w:ilvl w:val="0"/>
          <w:numId w:val="47"/>
        </w:numPr>
      </w:pPr>
      <w:r>
        <w:t>Phases 1 and 2 have already been completed and were well received by providers.</w:t>
      </w:r>
    </w:p>
    <w:p w14:paraId="1D0EF54A" w14:textId="0283952D" w:rsidR="002261E0" w:rsidRDefault="002261E0" w:rsidP="0023460E">
      <w:pPr>
        <w:pStyle w:val="ListParagraph"/>
      </w:pPr>
    </w:p>
    <w:p w14:paraId="419B01B5" w14:textId="77777777" w:rsidR="00342196" w:rsidRDefault="002261E0" w:rsidP="004C18BD">
      <w:pPr>
        <w:pStyle w:val="ListParagraph"/>
        <w:numPr>
          <w:ilvl w:val="0"/>
          <w:numId w:val="47"/>
        </w:numPr>
      </w:pPr>
      <w:r>
        <w:t xml:space="preserve">Phases 3 and 4 will result in more detailed reports to providers and are due for completion </w:t>
      </w:r>
      <w:r w:rsidR="00A04254">
        <w:t>by early to mid-2019</w:t>
      </w:r>
      <w:r>
        <w:t>.</w:t>
      </w:r>
    </w:p>
    <w:p w14:paraId="58E1D29F" w14:textId="0AA0459B" w:rsidR="002261E0" w:rsidRDefault="002261E0" w:rsidP="0023460E">
      <w:pPr>
        <w:pStyle w:val="ListParagraph"/>
      </w:pPr>
    </w:p>
    <w:p w14:paraId="5BFBB92C" w14:textId="66BCB96D" w:rsidR="002261E0" w:rsidRDefault="002261E0" w:rsidP="004C18BD">
      <w:pPr>
        <w:pStyle w:val="ListParagraph"/>
        <w:numPr>
          <w:ilvl w:val="0"/>
          <w:numId w:val="47"/>
        </w:numPr>
      </w:pPr>
      <w:r>
        <w:t>Phase 5 will result in full publication of education performance data on a public website and will be completed</w:t>
      </w:r>
      <w:r w:rsidR="00A04254">
        <w:t xml:space="preserve"> by the middle of 2019</w:t>
      </w:r>
      <w:r>
        <w:t>.</w:t>
      </w:r>
    </w:p>
    <w:p w14:paraId="3F8DCA81" w14:textId="63E8B5AA" w:rsidR="00AD20B9" w:rsidRDefault="002261E0" w:rsidP="002261E0">
      <w:r>
        <w:t xml:space="preserve">The department invites feedback from stakeholders to inform </w:t>
      </w:r>
      <w:r w:rsidR="0045233A">
        <w:t>P</w:t>
      </w:r>
      <w:r>
        <w:t xml:space="preserve">hases </w:t>
      </w:r>
      <w:r w:rsidR="0045233A">
        <w:t xml:space="preserve">3-5 </w:t>
      </w:r>
      <w:r>
        <w:t>of the</w:t>
      </w:r>
      <w:r w:rsidR="009E7281">
        <w:t xml:space="preserve"> Publication Strategy</w:t>
      </w:r>
      <w:r>
        <w:t>.</w:t>
      </w:r>
    </w:p>
    <w:p w14:paraId="7C28CFCD" w14:textId="09F0BA4A" w:rsidR="009216D9" w:rsidRDefault="009216D9" w:rsidP="009216D9">
      <w:pPr>
        <w:spacing w:after="160"/>
      </w:pPr>
      <w:r>
        <w:br w:type="page"/>
      </w:r>
    </w:p>
    <w:p w14:paraId="02C379CB" w14:textId="7EDC660B" w:rsidR="009216D9" w:rsidRDefault="009216D9" w:rsidP="009216D9">
      <w:pPr>
        <w:pStyle w:val="Heading2"/>
      </w:pPr>
      <w:r>
        <w:lastRenderedPageBreak/>
        <w:t xml:space="preserve">Publication </w:t>
      </w:r>
      <w:r w:rsidR="001A4BAF">
        <w:t>S</w:t>
      </w:r>
      <w:r>
        <w:t>trategy</w:t>
      </w:r>
    </w:p>
    <w:tbl>
      <w:tblPr>
        <w:tblStyle w:val="TableGrid"/>
        <w:tblW w:w="9493" w:type="dxa"/>
        <w:tblLook w:val="04A0" w:firstRow="1" w:lastRow="0" w:firstColumn="1" w:lastColumn="0" w:noHBand="0" w:noVBand="1"/>
        <w:tblCaption w:val="Publication Strategy "/>
        <w:tblDescription w:val="Table describing the five phases of the publication strategy."/>
      </w:tblPr>
      <w:tblGrid>
        <w:gridCol w:w="1413"/>
        <w:gridCol w:w="5953"/>
        <w:gridCol w:w="2127"/>
      </w:tblGrid>
      <w:tr w:rsidR="00B50E86" w:rsidRPr="00B50E86" w14:paraId="4935863A" w14:textId="77777777" w:rsidTr="00B50E86">
        <w:trPr>
          <w:tblHeader/>
        </w:trPr>
        <w:tc>
          <w:tcPr>
            <w:tcW w:w="1413" w:type="dxa"/>
            <w:shd w:val="clear" w:color="auto" w:fill="522761"/>
          </w:tcPr>
          <w:p w14:paraId="2024046A" w14:textId="77777777" w:rsidR="009216D9" w:rsidRPr="00B50E86" w:rsidRDefault="009216D9" w:rsidP="00C23497">
            <w:pPr>
              <w:jc w:val="center"/>
              <w:rPr>
                <w:b/>
                <w:color w:val="FFFFFF" w:themeColor="background1"/>
              </w:rPr>
            </w:pPr>
            <w:r w:rsidRPr="00B50E86">
              <w:rPr>
                <w:b/>
                <w:color w:val="FFFFFF" w:themeColor="background1"/>
              </w:rPr>
              <w:t>Phase</w:t>
            </w:r>
          </w:p>
        </w:tc>
        <w:tc>
          <w:tcPr>
            <w:tcW w:w="5953" w:type="dxa"/>
            <w:shd w:val="clear" w:color="auto" w:fill="522761"/>
          </w:tcPr>
          <w:p w14:paraId="20CA1BAC" w14:textId="77777777" w:rsidR="009216D9" w:rsidRPr="00B50E86" w:rsidRDefault="009216D9" w:rsidP="00C23497">
            <w:pPr>
              <w:jc w:val="center"/>
              <w:rPr>
                <w:b/>
                <w:color w:val="FFFFFF" w:themeColor="background1"/>
              </w:rPr>
            </w:pPr>
            <w:r w:rsidRPr="00B50E86">
              <w:rPr>
                <w:b/>
                <w:color w:val="FFFFFF" w:themeColor="background1"/>
              </w:rPr>
              <w:t>Action</w:t>
            </w:r>
          </w:p>
        </w:tc>
        <w:tc>
          <w:tcPr>
            <w:tcW w:w="2127" w:type="dxa"/>
            <w:shd w:val="clear" w:color="auto" w:fill="522761"/>
          </w:tcPr>
          <w:p w14:paraId="049452B4" w14:textId="77777777" w:rsidR="009216D9" w:rsidRPr="00B50E86" w:rsidRDefault="009216D9" w:rsidP="00C23497">
            <w:pPr>
              <w:jc w:val="center"/>
              <w:rPr>
                <w:b/>
                <w:color w:val="FFFFFF" w:themeColor="background1"/>
              </w:rPr>
            </w:pPr>
            <w:r w:rsidRPr="00B50E86">
              <w:rPr>
                <w:b/>
                <w:color w:val="FFFFFF" w:themeColor="background1"/>
              </w:rPr>
              <w:t>Timing</w:t>
            </w:r>
          </w:p>
        </w:tc>
      </w:tr>
      <w:tr w:rsidR="009216D9" w14:paraId="09ED9C5A" w14:textId="77777777" w:rsidTr="00C23497">
        <w:tc>
          <w:tcPr>
            <w:tcW w:w="1413" w:type="dxa"/>
          </w:tcPr>
          <w:p w14:paraId="256B39CF" w14:textId="77777777" w:rsidR="009216D9" w:rsidRDefault="009216D9" w:rsidP="00C23497">
            <w:pPr>
              <w:jc w:val="center"/>
            </w:pPr>
            <w:r>
              <w:t>1</w:t>
            </w:r>
          </w:p>
        </w:tc>
        <w:tc>
          <w:tcPr>
            <w:tcW w:w="5953" w:type="dxa"/>
          </w:tcPr>
          <w:p w14:paraId="1D9592C4" w14:textId="77777777" w:rsidR="009216D9" w:rsidRDefault="009216D9" w:rsidP="00C23497">
            <w:pPr>
              <w:spacing w:after="60"/>
            </w:pPr>
            <w:r w:rsidRPr="00781D34">
              <w:rPr>
                <w:b/>
              </w:rPr>
              <w:t xml:space="preserve">Basic Data </w:t>
            </w:r>
          </w:p>
          <w:p w14:paraId="0E2C3782" w14:textId="77777777" w:rsidR="009216D9" w:rsidRDefault="009216D9" w:rsidP="00C23497">
            <w:pPr>
              <w:spacing w:after="60"/>
            </w:pPr>
            <w:r>
              <w:t>Basic reports to providers on their agents’ performance</w:t>
            </w:r>
          </w:p>
        </w:tc>
        <w:tc>
          <w:tcPr>
            <w:tcW w:w="2127" w:type="dxa"/>
          </w:tcPr>
          <w:p w14:paraId="515A2295" w14:textId="77777777" w:rsidR="009216D9" w:rsidRDefault="009216D9" w:rsidP="00C23497">
            <w:r>
              <w:t xml:space="preserve">Completed </w:t>
            </w:r>
            <w:r w:rsidRPr="00724F80">
              <w:rPr>
                <w:b/>
              </w:rPr>
              <w:t>November 2017</w:t>
            </w:r>
          </w:p>
        </w:tc>
      </w:tr>
      <w:tr w:rsidR="009216D9" w14:paraId="3B9D55EA" w14:textId="77777777" w:rsidTr="00C23497">
        <w:tc>
          <w:tcPr>
            <w:tcW w:w="1413" w:type="dxa"/>
          </w:tcPr>
          <w:p w14:paraId="7B93E396" w14:textId="77777777" w:rsidR="009216D9" w:rsidRDefault="009216D9" w:rsidP="00C23497">
            <w:pPr>
              <w:jc w:val="center"/>
            </w:pPr>
            <w:r>
              <w:t>2</w:t>
            </w:r>
          </w:p>
        </w:tc>
        <w:tc>
          <w:tcPr>
            <w:tcW w:w="5953" w:type="dxa"/>
          </w:tcPr>
          <w:p w14:paraId="738EE8DA" w14:textId="77777777" w:rsidR="009216D9" w:rsidRDefault="009216D9" w:rsidP="00C23497">
            <w:pPr>
              <w:spacing w:after="60"/>
            </w:pPr>
            <w:r w:rsidRPr="00781D34">
              <w:rPr>
                <w:b/>
              </w:rPr>
              <w:t>Detailed Data</w:t>
            </w:r>
          </w:p>
          <w:p w14:paraId="4C87DAAC" w14:textId="77777777" w:rsidR="009216D9" w:rsidRDefault="009216D9" w:rsidP="00C23497">
            <w:pPr>
              <w:spacing w:after="60"/>
            </w:pPr>
            <w:r>
              <w:t>Detailed reports to providers on their agents’ performance</w:t>
            </w:r>
          </w:p>
        </w:tc>
        <w:tc>
          <w:tcPr>
            <w:tcW w:w="2127" w:type="dxa"/>
          </w:tcPr>
          <w:p w14:paraId="12DCCC7B" w14:textId="77777777" w:rsidR="009216D9" w:rsidRDefault="009216D9" w:rsidP="00C23497">
            <w:r>
              <w:t xml:space="preserve">Completed </w:t>
            </w:r>
            <w:r w:rsidRPr="00724F80">
              <w:rPr>
                <w:b/>
              </w:rPr>
              <w:t>May 2018</w:t>
            </w:r>
          </w:p>
        </w:tc>
      </w:tr>
      <w:tr w:rsidR="009216D9" w14:paraId="7EB14EB4" w14:textId="77777777" w:rsidTr="00C23497">
        <w:tc>
          <w:tcPr>
            <w:tcW w:w="1413" w:type="dxa"/>
          </w:tcPr>
          <w:p w14:paraId="1DF5B393" w14:textId="77777777" w:rsidR="009216D9" w:rsidRDefault="009216D9" w:rsidP="00C23497">
            <w:pPr>
              <w:jc w:val="center"/>
            </w:pPr>
            <w:r>
              <w:t>3</w:t>
            </w:r>
          </w:p>
        </w:tc>
        <w:tc>
          <w:tcPr>
            <w:tcW w:w="5953" w:type="dxa"/>
          </w:tcPr>
          <w:p w14:paraId="75F6BF67" w14:textId="77777777" w:rsidR="009216D9" w:rsidRPr="007B5F60" w:rsidRDefault="009216D9" w:rsidP="00C23497">
            <w:pPr>
              <w:keepNext/>
              <w:spacing w:after="60"/>
            </w:pPr>
            <w:r w:rsidRPr="007B5F60">
              <w:rPr>
                <w:b/>
              </w:rPr>
              <w:t>Comparative Data</w:t>
            </w:r>
          </w:p>
          <w:p w14:paraId="1619CAAE" w14:textId="77777777" w:rsidR="009216D9" w:rsidRPr="007B5F60" w:rsidRDefault="009216D9" w:rsidP="00C23497">
            <w:pPr>
              <w:spacing w:after="60"/>
            </w:pPr>
            <w:r w:rsidRPr="007B5F60">
              <w:t>Reports to providers of data on:</w:t>
            </w:r>
          </w:p>
          <w:p w14:paraId="76813D37" w14:textId="77777777" w:rsidR="009216D9" w:rsidRPr="007B5F60" w:rsidRDefault="009216D9" w:rsidP="009216D9">
            <w:pPr>
              <w:pStyle w:val="ListParagraph"/>
              <w:numPr>
                <w:ilvl w:val="0"/>
                <w:numId w:val="39"/>
              </w:numPr>
              <w:spacing w:after="60"/>
              <w:ind w:left="327" w:hanging="283"/>
            </w:pPr>
            <w:r w:rsidRPr="007B5F60">
              <w:t>each agent with which they have an agreement (overall performance and average performance)</w:t>
            </w:r>
          </w:p>
          <w:p w14:paraId="5716562C" w14:textId="77777777" w:rsidR="009216D9" w:rsidRPr="007B5F60" w:rsidRDefault="009216D9" w:rsidP="009216D9">
            <w:pPr>
              <w:pStyle w:val="ListParagraph"/>
              <w:numPr>
                <w:ilvl w:val="0"/>
                <w:numId w:val="39"/>
              </w:numPr>
              <w:spacing w:after="60"/>
              <w:ind w:left="327" w:hanging="283"/>
            </w:pPr>
            <w:r w:rsidRPr="007B5F60">
              <w:t>all agents (overall performance and average performance).</w:t>
            </w:r>
          </w:p>
          <w:p w14:paraId="0EF4C51B" w14:textId="77777777" w:rsidR="009216D9" w:rsidRPr="007B5F60" w:rsidRDefault="009216D9" w:rsidP="00C23497">
            <w:pPr>
              <w:spacing w:after="60"/>
              <w:rPr>
                <w:rFonts w:cstheme="minorHAnsi"/>
              </w:rPr>
            </w:pPr>
            <w:r w:rsidRPr="007B5F60">
              <w:rPr>
                <w:rFonts w:cstheme="minorHAnsi"/>
              </w:rPr>
              <w:t>Benefits:</w:t>
            </w:r>
          </w:p>
          <w:p w14:paraId="5F3A5E98" w14:textId="77777777" w:rsidR="009216D9" w:rsidRPr="007B5F60" w:rsidRDefault="009216D9" w:rsidP="009216D9">
            <w:pPr>
              <w:pStyle w:val="ListParagraph"/>
              <w:numPr>
                <w:ilvl w:val="0"/>
                <w:numId w:val="40"/>
              </w:numPr>
              <w:spacing w:after="60"/>
              <w:ind w:left="327" w:hanging="283"/>
              <w:rPr>
                <w:rFonts w:cstheme="minorHAnsi"/>
              </w:rPr>
            </w:pPr>
            <w:r w:rsidRPr="007B5F60">
              <w:rPr>
                <w:rFonts w:cstheme="minorHAnsi"/>
              </w:rPr>
              <w:t>allows providers to compare agent performance against:</w:t>
            </w:r>
          </w:p>
          <w:p w14:paraId="5D4BD97D" w14:textId="77777777" w:rsidR="009216D9" w:rsidRPr="007B5F60" w:rsidRDefault="009216D9" w:rsidP="009216D9">
            <w:pPr>
              <w:pStyle w:val="ListParagraph"/>
              <w:numPr>
                <w:ilvl w:val="0"/>
                <w:numId w:val="42"/>
              </w:numPr>
              <w:spacing w:after="60"/>
              <w:rPr>
                <w:rFonts w:cstheme="minorHAnsi"/>
              </w:rPr>
            </w:pPr>
            <w:r w:rsidRPr="007B5F60">
              <w:rPr>
                <w:rFonts w:cstheme="minorHAnsi"/>
              </w:rPr>
              <w:t>the agent’s overall perfor</w:t>
            </w:r>
            <w:r>
              <w:rPr>
                <w:rFonts w:cstheme="minorHAnsi"/>
              </w:rPr>
              <w:t>mance by country and sector</w:t>
            </w:r>
          </w:p>
          <w:p w14:paraId="41E37C4F" w14:textId="418B012E" w:rsidR="009216D9" w:rsidRPr="007B5F60" w:rsidRDefault="00615A09" w:rsidP="009216D9">
            <w:pPr>
              <w:pStyle w:val="ListParagraph"/>
              <w:numPr>
                <w:ilvl w:val="0"/>
                <w:numId w:val="42"/>
              </w:numPr>
              <w:spacing w:after="60"/>
              <w:rPr>
                <w:rFonts w:cstheme="minorHAnsi"/>
              </w:rPr>
            </w:pPr>
            <w:r>
              <w:rPr>
                <w:rFonts w:cstheme="minorHAnsi"/>
              </w:rPr>
              <w:t xml:space="preserve">overall </w:t>
            </w:r>
            <w:r w:rsidR="009216D9" w:rsidRPr="007B5F60">
              <w:rPr>
                <w:rFonts w:cstheme="minorHAnsi"/>
              </w:rPr>
              <w:t xml:space="preserve">performance </w:t>
            </w:r>
            <w:r>
              <w:rPr>
                <w:rFonts w:cstheme="minorHAnsi"/>
              </w:rPr>
              <w:t>of all agents,</w:t>
            </w:r>
            <w:r w:rsidRPr="007B5F60">
              <w:rPr>
                <w:rFonts w:cstheme="minorHAnsi"/>
              </w:rPr>
              <w:t xml:space="preserve"> </w:t>
            </w:r>
            <w:r w:rsidR="009216D9" w:rsidRPr="007B5F60">
              <w:rPr>
                <w:rFonts w:cstheme="minorHAnsi"/>
              </w:rPr>
              <w:t>by country and sector</w:t>
            </w:r>
          </w:p>
          <w:p w14:paraId="4F24ABC1" w14:textId="77777777" w:rsidR="009216D9" w:rsidRPr="007B5F60" w:rsidRDefault="009216D9" w:rsidP="009216D9">
            <w:pPr>
              <w:pStyle w:val="ListParagraph"/>
              <w:numPr>
                <w:ilvl w:val="0"/>
                <w:numId w:val="42"/>
              </w:numPr>
              <w:spacing w:after="60"/>
              <w:rPr>
                <w:rFonts w:cstheme="minorHAnsi"/>
              </w:rPr>
            </w:pPr>
            <w:r w:rsidRPr="007B5F60">
              <w:rPr>
                <w:rFonts w:cstheme="minorHAnsi"/>
              </w:rPr>
              <w:t>by education and visa outcomes for every enrolment</w:t>
            </w:r>
          </w:p>
          <w:p w14:paraId="4CDDE8C6" w14:textId="77777777" w:rsidR="009216D9" w:rsidRPr="007B5F60" w:rsidRDefault="009216D9" w:rsidP="009216D9">
            <w:pPr>
              <w:pStyle w:val="ListParagraph"/>
              <w:numPr>
                <w:ilvl w:val="0"/>
                <w:numId w:val="42"/>
              </w:numPr>
              <w:spacing w:after="60"/>
              <w:rPr>
                <w:rFonts w:cstheme="minorHAnsi"/>
              </w:rPr>
            </w:pPr>
            <w:r w:rsidRPr="007B5F60">
              <w:rPr>
                <w:rFonts w:cstheme="minorHAnsi"/>
              </w:rPr>
              <w:t>by country and education sector</w:t>
            </w:r>
          </w:p>
          <w:p w14:paraId="7837CFB7" w14:textId="77777777" w:rsidR="009216D9" w:rsidRPr="007B5F60" w:rsidRDefault="009216D9" w:rsidP="009216D9">
            <w:pPr>
              <w:pStyle w:val="ListParagraph"/>
              <w:numPr>
                <w:ilvl w:val="0"/>
                <w:numId w:val="41"/>
              </w:numPr>
              <w:spacing w:after="60"/>
              <w:ind w:left="327" w:hanging="283"/>
              <w:rPr>
                <w:rFonts w:cstheme="minorHAnsi"/>
                <w:sz w:val="21"/>
              </w:rPr>
            </w:pPr>
            <w:r w:rsidRPr="007B5F60">
              <w:rPr>
                <w:rFonts w:cstheme="minorHAnsi"/>
              </w:rPr>
              <w:t>allows providers to compare how their agents perform for other providers.</w:t>
            </w:r>
          </w:p>
        </w:tc>
        <w:tc>
          <w:tcPr>
            <w:tcW w:w="2127" w:type="dxa"/>
          </w:tcPr>
          <w:p w14:paraId="10288CE1" w14:textId="77777777" w:rsidR="009216D9" w:rsidRDefault="009216D9" w:rsidP="00C23497">
            <w:pPr>
              <w:keepNext/>
            </w:pPr>
            <w:r>
              <w:t>Due for completion</w:t>
            </w:r>
            <w:r>
              <w:rPr>
                <w:b/>
              </w:rPr>
              <w:t xml:space="preserve"> early to mid-</w:t>
            </w:r>
            <w:r w:rsidRPr="00724F80">
              <w:rPr>
                <w:b/>
              </w:rPr>
              <w:t>2019</w:t>
            </w:r>
          </w:p>
        </w:tc>
      </w:tr>
      <w:tr w:rsidR="009216D9" w14:paraId="5105A98A" w14:textId="77777777" w:rsidTr="00C23497">
        <w:tc>
          <w:tcPr>
            <w:tcW w:w="1413" w:type="dxa"/>
          </w:tcPr>
          <w:p w14:paraId="73254DB8" w14:textId="77777777" w:rsidR="009216D9" w:rsidRDefault="009216D9" w:rsidP="00C23497">
            <w:pPr>
              <w:jc w:val="center"/>
            </w:pPr>
            <w:r>
              <w:t>4</w:t>
            </w:r>
          </w:p>
        </w:tc>
        <w:tc>
          <w:tcPr>
            <w:tcW w:w="5953" w:type="dxa"/>
          </w:tcPr>
          <w:p w14:paraId="79236F45" w14:textId="77777777" w:rsidR="009216D9" w:rsidRDefault="009216D9" w:rsidP="00C23497">
            <w:pPr>
              <w:keepNext/>
              <w:spacing w:after="60"/>
            </w:pPr>
            <w:r w:rsidRPr="00781D34">
              <w:rPr>
                <w:b/>
              </w:rPr>
              <w:t>Pilot data release</w:t>
            </w:r>
          </w:p>
          <w:p w14:paraId="5F70ABC4" w14:textId="358DB472" w:rsidR="009216D9" w:rsidRDefault="009216D9" w:rsidP="00C23497">
            <w:pPr>
              <w:pStyle w:val="Normal-AfterTableFigure"/>
              <w:spacing w:before="0" w:after="60"/>
            </w:pPr>
            <w:r>
              <w:t>A selection of test reports to all providers:</w:t>
            </w:r>
          </w:p>
          <w:p w14:paraId="007A683B" w14:textId="77777777" w:rsidR="009216D9" w:rsidRDefault="009216D9" w:rsidP="009216D9">
            <w:pPr>
              <w:pStyle w:val="Normal-AfterTableFigure"/>
              <w:numPr>
                <w:ilvl w:val="0"/>
                <w:numId w:val="43"/>
              </w:numPr>
              <w:spacing w:before="0" w:after="60" w:line="240" w:lineRule="auto"/>
              <w:ind w:left="327" w:hanging="283"/>
            </w:pPr>
            <w:r>
              <w:t>potential reports:</w:t>
            </w:r>
          </w:p>
          <w:p w14:paraId="72FD53BB" w14:textId="77777777" w:rsidR="009216D9" w:rsidRDefault="009216D9" w:rsidP="009216D9">
            <w:pPr>
              <w:pStyle w:val="Normal-AfterTableFigure"/>
              <w:numPr>
                <w:ilvl w:val="0"/>
                <w:numId w:val="44"/>
              </w:numPr>
              <w:spacing w:before="0" w:after="60" w:line="240" w:lineRule="auto"/>
            </w:pPr>
            <w:r>
              <w:t>top 50 or 100 agents by number of enrolments</w:t>
            </w:r>
          </w:p>
          <w:p w14:paraId="7B8224E4" w14:textId="77777777" w:rsidR="009216D9" w:rsidRDefault="009216D9" w:rsidP="009216D9">
            <w:pPr>
              <w:pStyle w:val="Normal-AfterTableFigure"/>
              <w:numPr>
                <w:ilvl w:val="0"/>
                <w:numId w:val="44"/>
              </w:numPr>
              <w:spacing w:before="0" w:after="60" w:line="240" w:lineRule="auto"/>
            </w:pPr>
            <w:r>
              <w:t>all agents for three to five important or high-risk source countries</w:t>
            </w:r>
          </w:p>
          <w:p w14:paraId="4ACE433A" w14:textId="77777777" w:rsidR="009216D9" w:rsidRDefault="009216D9" w:rsidP="009216D9">
            <w:pPr>
              <w:pStyle w:val="Normal-AfterTableFigure"/>
              <w:numPr>
                <w:ilvl w:val="0"/>
                <w:numId w:val="44"/>
              </w:numPr>
              <w:spacing w:before="0" w:after="60" w:line="240" w:lineRule="auto"/>
            </w:pPr>
            <w:r>
              <w:t>other subsets of agents (e.g. all agents that facilitated more than 100 enrolments)</w:t>
            </w:r>
          </w:p>
          <w:p w14:paraId="65F5E069" w14:textId="77777777" w:rsidR="009216D9" w:rsidRDefault="009216D9" w:rsidP="009216D9">
            <w:pPr>
              <w:pStyle w:val="Normal-AfterTableFigure"/>
              <w:numPr>
                <w:ilvl w:val="0"/>
                <w:numId w:val="43"/>
              </w:numPr>
              <w:spacing w:before="0" w:after="60" w:line="240" w:lineRule="auto"/>
              <w:ind w:left="327" w:hanging="283"/>
            </w:pPr>
            <w:r>
              <w:t>demonstrates the value of the agent data received from providers</w:t>
            </w:r>
          </w:p>
          <w:p w14:paraId="24AEFBE8" w14:textId="77777777" w:rsidR="009216D9" w:rsidRDefault="009216D9" w:rsidP="009216D9">
            <w:pPr>
              <w:pStyle w:val="Normal-AfterTableFigure"/>
              <w:numPr>
                <w:ilvl w:val="0"/>
                <w:numId w:val="43"/>
              </w:numPr>
              <w:spacing w:before="0" w:after="60" w:line="240" w:lineRule="auto"/>
              <w:ind w:left="327" w:hanging="283"/>
            </w:pPr>
            <w:r>
              <w:t>shows the details of each provider who engages in agent</w:t>
            </w:r>
          </w:p>
          <w:p w14:paraId="6802AC00" w14:textId="77777777" w:rsidR="009216D9" w:rsidRDefault="009216D9" w:rsidP="009216D9">
            <w:pPr>
              <w:pStyle w:val="Normal-AfterTableFigure"/>
              <w:numPr>
                <w:ilvl w:val="0"/>
                <w:numId w:val="43"/>
              </w:numPr>
              <w:spacing w:before="0" w:after="60" w:line="240" w:lineRule="auto"/>
              <w:ind w:left="327" w:hanging="283"/>
            </w:pPr>
            <w:r>
              <w:t>allows reports on combined agent performance by country and sector.</w:t>
            </w:r>
          </w:p>
        </w:tc>
        <w:tc>
          <w:tcPr>
            <w:tcW w:w="2127" w:type="dxa"/>
          </w:tcPr>
          <w:p w14:paraId="498D6918" w14:textId="77777777" w:rsidR="009216D9" w:rsidRDefault="009216D9" w:rsidP="00C23497">
            <w:pPr>
              <w:keepNext/>
            </w:pPr>
            <w:r>
              <w:t xml:space="preserve">Due for completion </w:t>
            </w:r>
            <w:r w:rsidRPr="0021542F">
              <w:rPr>
                <w:b/>
              </w:rPr>
              <w:t>mid-</w:t>
            </w:r>
            <w:r w:rsidRPr="00724F80">
              <w:rPr>
                <w:b/>
              </w:rPr>
              <w:t>2019</w:t>
            </w:r>
          </w:p>
        </w:tc>
      </w:tr>
      <w:tr w:rsidR="009216D9" w14:paraId="594D74F0" w14:textId="77777777" w:rsidTr="00C23497">
        <w:tc>
          <w:tcPr>
            <w:tcW w:w="1413" w:type="dxa"/>
          </w:tcPr>
          <w:p w14:paraId="6145FB95" w14:textId="77777777" w:rsidR="009216D9" w:rsidRDefault="009216D9" w:rsidP="00C23497">
            <w:pPr>
              <w:jc w:val="center"/>
            </w:pPr>
            <w:r>
              <w:t>5</w:t>
            </w:r>
          </w:p>
        </w:tc>
        <w:tc>
          <w:tcPr>
            <w:tcW w:w="5953" w:type="dxa"/>
          </w:tcPr>
          <w:p w14:paraId="54D164E9" w14:textId="48E97060" w:rsidR="009216D9" w:rsidRDefault="009216D9" w:rsidP="00C23497">
            <w:pPr>
              <w:keepNext/>
              <w:spacing w:after="60"/>
            </w:pPr>
            <w:r w:rsidRPr="00781D34">
              <w:rPr>
                <w:b/>
              </w:rPr>
              <w:t>Publication</w:t>
            </w:r>
          </w:p>
          <w:p w14:paraId="00191A10" w14:textId="77777777" w:rsidR="009216D9" w:rsidRDefault="009216D9" w:rsidP="00C23497">
            <w:pPr>
              <w:keepNext/>
              <w:spacing w:after="60"/>
            </w:pPr>
            <w:r>
              <w:t>Publication of performance data for all agents on a public website</w:t>
            </w:r>
          </w:p>
          <w:p w14:paraId="5E097C00" w14:textId="77777777" w:rsidR="009216D9" w:rsidRPr="00281E85" w:rsidRDefault="009216D9" w:rsidP="009216D9">
            <w:pPr>
              <w:pStyle w:val="ListParagraph"/>
              <w:numPr>
                <w:ilvl w:val="0"/>
                <w:numId w:val="45"/>
              </w:numPr>
              <w:spacing w:after="60"/>
              <w:ind w:left="327" w:hanging="283"/>
            </w:pPr>
            <w:r w:rsidRPr="00281E85">
              <w:t>gives providers access to performance data for all agents</w:t>
            </w:r>
          </w:p>
          <w:p w14:paraId="2CE701F1" w14:textId="77777777" w:rsidR="009216D9" w:rsidRPr="00281E85" w:rsidRDefault="009216D9" w:rsidP="009216D9">
            <w:pPr>
              <w:pStyle w:val="ListParagraph"/>
              <w:numPr>
                <w:ilvl w:val="0"/>
                <w:numId w:val="45"/>
              </w:numPr>
              <w:spacing w:after="60"/>
              <w:ind w:left="327" w:hanging="283"/>
            </w:pPr>
            <w:r w:rsidRPr="00281E85">
              <w:t>allows students to assess the performance of a specific agent</w:t>
            </w:r>
          </w:p>
          <w:p w14:paraId="354237EB" w14:textId="77777777" w:rsidR="009216D9" w:rsidRDefault="009216D9" w:rsidP="009216D9">
            <w:pPr>
              <w:pStyle w:val="ListParagraph"/>
              <w:numPr>
                <w:ilvl w:val="0"/>
                <w:numId w:val="45"/>
              </w:numPr>
              <w:spacing w:after="60"/>
              <w:ind w:left="327" w:hanging="283"/>
            </w:pPr>
            <w:r w:rsidRPr="00281E85">
              <w:t>allows agents to benchmark their performance against that of other agents</w:t>
            </w:r>
            <w:r>
              <w:t>.</w:t>
            </w:r>
          </w:p>
        </w:tc>
        <w:tc>
          <w:tcPr>
            <w:tcW w:w="2127" w:type="dxa"/>
          </w:tcPr>
          <w:p w14:paraId="48680325" w14:textId="77777777" w:rsidR="009216D9" w:rsidRDefault="009216D9" w:rsidP="00C23497">
            <w:pPr>
              <w:keepNext/>
            </w:pPr>
            <w:r>
              <w:t>Due for completion</w:t>
            </w:r>
            <w:r>
              <w:rPr>
                <w:b/>
              </w:rPr>
              <w:t xml:space="preserve"> mid-</w:t>
            </w:r>
            <w:r w:rsidRPr="00724F80">
              <w:rPr>
                <w:b/>
              </w:rPr>
              <w:t>2019</w:t>
            </w:r>
          </w:p>
        </w:tc>
      </w:tr>
    </w:tbl>
    <w:p w14:paraId="0B8BF481" w14:textId="77777777" w:rsidR="009216D9" w:rsidRDefault="009216D9" w:rsidP="009216D9"/>
    <w:p w14:paraId="717A9241" w14:textId="77777777" w:rsidR="004F2D55" w:rsidRDefault="004F2D55">
      <w:pPr>
        <w:rPr>
          <w:rFonts w:ascii="Calibri" w:eastAsiaTheme="majorEastAsia" w:hAnsi="Calibri" w:cstheme="majorBidi"/>
          <w:b/>
          <w:bCs/>
          <w:sz w:val="28"/>
          <w:szCs w:val="26"/>
        </w:rPr>
      </w:pPr>
      <w:r>
        <w:br w:type="page"/>
      </w:r>
    </w:p>
    <w:p w14:paraId="29EA3523" w14:textId="135CFDA0" w:rsidR="009216D9" w:rsidRPr="0046637C" w:rsidRDefault="009216D9" w:rsidP="009216D9">
      <w:pPr>
        <w:pStyle w:val="Heading2"/>
      </w:pPr>
      <w:r>
        <w:lastRenderedPageBreak/>
        <w:t>Feedback</w:t>
      </w:r>
    </w:p>
    <w:p w14:paraId="04017EB9" w14:textId="5F8F73A4" w:rsidR="00915742" w:rsidRDefault="00C07E5A" w:rsidP="00DE6FD5">
      <w:pPr>
        <w:rPr>
          <w:rStyle w:val="Hyperlink"/>
          <w:color w:val="auto"/>
          <w:u w:val="none"/>
        </w:rPr>
      </w:pPr>
      <w:r>
        <w:t>The department</w:t>
      </w:r>
      <w:r w:rsidR="00F02A2F">
        <w:t xml:space="preserve"> invites </w:t>
      </w:r>
      <w:r w:rsidR="009216D9">
        <w:t>feedback from stakeholders on</w:t>
      </w:r>
      <w:r w:rsidR="00342196">
        <w:t xml:space="preserve"> the </w:t>
      </w:r>
      <w:r w:rsidR="00347AE6">
        <w:t>proposed approach to</w:t>
      </w:r>
      <w:r w:rsidR="00F02A2F">
        <w:t xml:space="preserve"> publishing education agent performance data</w:t>
      </w:r>
      <w:r w:rsidR="009216D9">
        <w:t>. Please</w:t>
      </w:r>
      <w:r w:rsidR="001F05D5">
        <w:t xml:space="preserve"> submit </w:t>
      </w:r>
      <w:r w:rsidR="009216D9">
        <w:t>your feedback</w:t>
      </w:r>
      <w:r w:rsidR="00915742">
        <w:t xml:space="preserve"> at</w:t>
      </w:r>
      <w:r w:rsidR="00DE6FD5">
        <w:t xml:space="preserve"> </w:t>
      </w:r>
      <w:hyperlink r:id="rId15" w:history="1">
        <w:r w:rsidR="00DE6FD5" w:rsidRPr="00615E99">
          <w:rPr>
            <w:rStyle w:val="Hyperlink"/>
          </w:rPr>
          <w:t>https://www.education.gov.au/submissions-publication-education-agent-performance-data</w:t>
        </w:r>
      </w:hyperlink>
      <w:r w:rsidR="00915742">
        <w:t>.</w:t>
      </w:r>
      <w:r w:rsidR="00615A09" w:rsidRPr="00ED2558">
        <w:rPr>
          <w:rStyle w:val="Hyperlink"/>
          <w:color w:val="auto"/>
          <w:u w:val="none"/>
        </w:rPr>
        <w:t xml:space="preserve"> </w:t>
      </w:r>
    </w:p>
    <w:p w14:paraId="7B2746D4" w14:textId="30362167" w:rsidR="009216D9" w:rsidRDefault="00915742" w:rsidP="00271CB1">
      <w:r>
        <w:rPr>
          <w:rStyle w:val="Hyperlink"/>
          <w:color w:val="auto"/>
          <w:u w:val="none"/>
        </w:rPr>
        <w:t xml:space="preserve">The closing date for submissions is </w:t>
      </w:r>
      <w:r w:rsidR="00F965B5">
        <w:rPr>
          <w:rStyle w:val="Hyperlink"/>
          <w:b/>
          <w:color w:val="auto"/>
          <w:u w:val="none"/>
        </w:rPr>
        <w:t>5 pm on</w:t>
      </w:r>
      <w:r w:rsidR="00271CB1">
        <w:rPr>
          <w:rStyle w:val="Hyperlink"/>
          <w:b/>
          <w:color w:val="auto"/>
          <w:u w:val="none"/>
        </w:rPr>
        <w:t xml:space="preserve"> 8 February </w:t>
      </w:r>
      <w:r w:rsidR="004F2D55" w:rsidRPr="00D473E0">
        <w:rPr>
          <w:rStyle w:val="Hyperlink"/>
          <w:b/>
          <w:color w:val="auto"/>
          <w:u w:val="none"/>
        </w:rPr>
        <w:t>2019</w:t>
      </w:r>
      <w:r w:rsidR="009216D9">
        <w:t xml:space="preserve">. </w:t>
      </w:r>
    </w:p>
    <w:p w14:paraId="3D32CAA2" w14:textId="77777777" w:rsidR="009C6767" w:rsidRDefault="007A0CC9" w:rsidP="009C6767">
      <w:pPr>
        <w:pStyle w:val="Heading3"/>
      </w:pPr>
      <w:r>
        <w:t xml:space="preserve">1. </w:t>
      </w:r>
      <w:r w:rsidR="009C6767">
        <w:t>Users</w:t>
      </w:r>
    </w:p>
    <w:p w14:paraId="609488D5" w14:textId="77777777" w:rsidR="009C6767" w:rsidRDefault="009C6767" w:rsidP="009C6767">
      <w:r>
        <w:t xml:space="preserve">Understanding who will use agent performance data and for what purpose will assist the department to present it in the most helpful way. </w:t>
      </w:r>
    </w:p>
    <w:p w14:paraId="3D52475E" w14:textId="77777777" w:rsidR="009C6767" w:rsidRPr="0023460E" w:rsidRDefault="009C6767" w:rsidP="009C6767">
      <w:pPr>
        <w:spacing w:before="120" w:after="120" w:line="259" w:lineRule="auto"/>
        <w:rPr>
          <w:b/>
        </w:rPr>
      </w:pPr>
      <w:r w:rsidRPr="0023460E">
        <w:rPr>
          <w:b/>
        </w:rPr>
        <w:t>Who within your organisation would find agent performance data useful?</w:t>
      </w:r>
    </w:p>
    <w:p w14:paraId="1888C1E2" w14:textId="77777777" w:rsidR="009C6767" w:rsidRDefault="009C6767" w:rsidP="009C6767">
      <w:pPr>
        <w:pStyle w:val="Heading3"/>
      </w:pPr>
      <w:r w:rsidRPr="0023460E">
        <w:t>How do you think you would use it?</w:t>
      </w:r>
    </w:p>
    <w:p w14:paraId="4C9D9EAF" w14:textId="77777777" w:rsidR="009C6767" w:rsidRDefault="007A0CC9" w:rsidP="009C6767">
      <w:pPr>
        <w:pStyle w:val="Heading3"/>
      </w:pPr>
      <w:r>
        <w:t xml:space="preserve">2. </w:t>
      </w:r>
      <w:r w:rsidR="009C6767">
        <w:t>Data and variables</w:t>
      </w:r>
    </w:p>
    <w:p w14:paraId="55DD7E35" w14:textId="03FE4D3D" w:rsidR="009C6767" w:rsidRDefault="009C6767" w:rsidP="009C6767">
      <w:r>
        <w:t>PRISMS data includes a broad range of variables around student</w:t>
      </w:r>
      <w:r w:rsidR="008348D2">
        <w:t xml:space="preserve"> enrolment outcome</w:t>
      </w:r>
      <w:r>
        <w:t xml:space="preserve">s, </w:t>
      </w:r>
      <w:r w:rsidR="008348D2">
        <w:t xml:space="preserve">these outcomes, </w:t>
      </w:r>
      <w:r>
        <w:t xml:space="preserve">providers </w:t>
      </w:r>
      <w:r w:rsidR="008348D2">
        <w:t xml:space="preserve">and </w:t>
      </w:r>
      <w:r>
        <w:t>courses.</w:t>
      </w:r>
    </w:p>
    <w:p w14:paraId="4BB50F14" w14:textId="4857FFA5" w:rsidR="0002310A" w:rsidRDefault="009C6767" w:rsidP="009C6767">
      <w:pPr>
        <w:spacing w:before="120" w:after="120" w:line="259" w:lineRule="auto"/>
      </w:pPr>
      <w:r w:rsidRPr="0023460E">
        <w:rPr>
          <w:b/>
        </w:rPr>
        <w:t>Which variables would be most useful for analysing agent performance in relation to student outcomes? For example, education sector, field of study, country/state/province of student origin, time of agent in market?</w:t>
      </w:r>
    </w:p>
    <w:p w14:paraId="13F8E723" w14:textId="6F07F3A2" w:rsidR="009216D9" w:rsidRDefault="0002310A" w:rsidP="0002310A">
      <w:pPr>
        <w:pStyle w:val="Heading3"/>
      </w:pPr>
      <w:r>
        <w:t xml:space="preserve">3. </w:t>
      </w:r>
      <w:r w:rsidR="009216D9">
        <w:t>Publication format</w:t>
      </w:r>
    </w:p>
    <w:p w14:paraId="4EC7D9F8" w14:textId="11653BC0" w:rsidR="009216D9" w:rsidRDefault="009216D9" w:rsidP="009216D9">
      <w:r>
        <w:t xml:space="preserve">Agent performance data could be presented in a range of formats, including </w:t>
      </w:r>
      <w:r w:rsidR="00393845">
        <w:t xml:space="preserve">static </w:t>
      </w:r>
      <w:r>
        <w:t>tables</w:t>
      </w:r>
      <w:r w:rsidR="00393845">
        <w:t xml:space="preserve"> and</w:t>
      </w:r>
      <w:r>
        <w:t xml:space="preserve"> graphs, or</w:t>
      </w:r>
      <w:r w:rsidR="00393845">
        <w:t xml:space="preserve"> pivot tables that allow the user to manipulate the data</w:t>
      </w:r>
      <w:r>
        <w:t>.</w:t>
      </w:r>
    </w:p>
    <w:p w14:paraId="6401D808" w14:textId="0BF001B1" w:rsidR="009216D9" w:rsidRDefault="00AE03D4" w:rsidP="0023460E">
      <w:pPr>
        <w:spacing w:before="120" w:after="120" w:line="259" w:lineRule="auto"/>
      </w:pPr>
      <w:r w:rsidRPr="0023460E">
        <w:rPr>
          <w:b/>
        </w:rPr>
        <w:t xml:space="preserve">Which </w:t>
      </w:r>
      <w:r w:rsidR="009216D9" w:rsidRPr="0023460E">
        <w:rPr>
          <w:b/>
        </w:rPr>
        <w:t>publication format</w:t>
      </w:r>
      <w:r w:rsidRPr="0023460E">
        <w:rPr>
          <w:b/>
        </w:rPr>
        <w:t>s</w:t>
      </w:r>
      <w:r w:rsidR="009216D9" w:rsidRPr="0023460E">
        <w:rPr>
          <w:b/>
        </w:rPr>
        <w:t xml:space="preserve"> for agent performance data would be most useful?</w:t>
      </w:r>
    </w:p>
    <w:p w14:paraId="35C99C0D" w14:textId="64BAD9B3" w:rsidR="009216D9" w:rsidRDefault="009C6767" w:rsidP="009216D9">
      <w:pPr>
        <w:pStyle w:val="Heading3"/>
      </w:pPr>
      <w:r>
        <w:t>4</w:t>
      </w:r>
      <w:r w:rsidR="007A0CC9">
        <w:t xml:space="preserve">. </w:t>
      </w:r>
      <w:r w:rsidR="009216D9">
        <w:t>Publication location</w:t>
      </w:r>
    </w:p>
    <w:p w14:paraId="12745CD7" w14:textId="6F5E1DE1" w:rsidR="009216D9" w:rsidRDefault="009216D9" w:rsidP="00DA3E86">
      <w:r>
        <w:t xml:space="preserve">The department is considering where to publish agent performance data. It could be located with the international student data collection on the department’s website, </w:t>
      </w:r>
      <w:r w:rsidR="00DA3E86">
        <w:t xml:space="preserve">on the CRICOS website, </w:t>
      </w:r>
      <w:r>
        <w:t>with advice</w:t>
      </w:r>
      <w:r w:rsidR="00D3074F">
        <w:t xml:space="preserve"> to students</w:t>
      </w:r>
      <w:r>
        <w:t xml:space="preserve"> on choosing an education agent on the Study in Australia website</w:t>
      </w:r>
      <w:r w:rsidR="00DA3E86">
        <w:t>, or somewhere completely new</w:t>
      </w:r>
      <w:r>
        <w:t>.</w:t>
      </w:r>
    </w:p>
    <w:p w14:paraId="151A6DD6" w14:textId="1CC002EE" w:rsidR="009216D9" w:rsidRDefault="009216D9" w:rsidP="0023460E">
      <w:pPr>
        <w:spacing w:before="120" w:after="120" w:line="259" w:lineRule="auto"/>
      </w:pPr>
      <w:r w:rsidRPr="0023460E">
        <w:rPr>
          <w:b/>
        </w:rPr>
        <w:t xml:space="preserve">Where would </w:t>
      </w:r>
      <w:r w:rsidR="00AE03D4" w:rsidRPr="0023460E">
        <w:rPr>
          <w:b/>
        </w:rPr>
        <w:t xml:space="preserve">it </w:t>
      </w:r>
      <w:r w:rsidRPr="0023460E">
        <w:rPr>
          <w:b/>
        </w:rPr>
        <w:t>be most</w:t>
      </w:r>
      <w:r w:rsidR="00AE03D4" w:rsidRPr="0023460E">
        <w:rPr>
          <w:b/>
        </w:rPr>
        <w:t xml:space="preserve"> helpful </w:t>
      </w:r>
      <w:r w:rsidRPr="0023460E">
        <w:rPr>
          <w:b/>
        </w:rPr>
        <w:t>to publish agent performance data?</w:t>
      </w:r>
    </w:p>
    <w:p w14:paraId="31F47A64" w14:textId="6F3E8AB5" w:rsidR="009216D9" w:rsidRDefault="009C6767" w:rsidP="009216D9">
      <w:pPr>
        <w:pStyle w:val="Heading3"/>
      </w:pPr>
      <w:r>
        <w:t>5</w:t>
      </w:r>
      <w:r w:rsidR="007A0CC9">
        <w:t xml:space="preserve">. </w:t>
      </w:r>
      <w:r w:rsidR="009216D9">
        <w:t>Publication timing</w:t>
      </w:r>
    </w:p>
    <w:p w14:paraId="0B082B65" w14:textId="0290FB1D" w:rsidR="009216D9" w:rsidRDefault="009216D9" w:rsidP="009216D9">
      <w:r>
        <w:t xml:space="preserve">The department’s initial publication in 2019 </w:t>
      </w:r>
      <w:r w:rsidR="00347AE6">
        <w:t xml:space="preserve">is expected to </w:t>
      </w:r>
      <w:r>
        <w:t xml:space="preserve">include </w:t>
      </w:r>
      <w:r w:rsidR="00956CD2">
        <w:t xml:space="preserve">all </w:t>
      </w:r>
      <w:r>
        <w:t xml:space="preserve">data </w:t>
      </w:r>
      <w:r w:rsidR="00347AE6">
        <w:t>available</w:t>
      </w:r>
      <w:r w:rsidR="00956CD2">
        <w:t xml:space="preserve"> up to the quarter of publication</w:t>
      </w:r>
      <w:r>
        <w:t>. Subsequent publication could occur quarterly, twice yearly or annually.</w:t>
      </w:r>
    </w:p>
    <w:p w14:paraId="537565BB" w14:textId="0D3D1FE2" w:rsidR="009216D9" w:rsidRDefault="009216D9" w:rsidP="0023460E">
      <w:pPr>
        <w:spacing w:before="120" w:after="120" w:line="259" w:lineRule="auto"/>
      </w:pPr>
      <w:r w:rsidRPr="0023460E">
        <w:rPr>
          <w:b/>
        </w:rPr>
        <w:t>What is</w:t>
      </w:r>
      <w:r w:rsidR="00AE03D4" w:rsidRPr="0023460E">
        <w:rPr>
          <w:b/>
        </w:rPr>
        <w:t xml:space="preserve"> the </w:t>
      </w:r>
      <w:r w:rsidRPr="0023460E">
        <w:rPr>
          <w:b/>
        </w:rPr>
        <w:t>preferred timing for regular publication of agent performance data?</w:t>
      </w:r>
    </w:p>
    <w:p w14:paraId="039DE8C7" w14:textId="34B0936C" w:rsidR="009216D9" w:rsidRDefault="007A0CC9" w:rsidP="009216D9">
      <w:pPr>
        <w:pStyle w:val="Heading3"/>
      </w:pPr>
      <w:r>
        <w:t xml:space="preserve">6. </w:t>
      </w:r>
      <w:r w:rsidR="009216D9">
        <w:t>Data quality and coverage</w:t>
      </w:r>
    </w:p>
    <w:p w14:paraId="5BF7D21D" w14:textId="30993E7E" w:rsidR="009216D9" w:rsidRDefault="00F16859" w:rsidP="007E436A">
      <w:r>
        <w:rPr>
          <w:rFonts w:cstheme="minorHAnsi"/>
        </w:rPr>
        <w:t>From 1 July 2012</w:t>
      </w:r>
      <w:r w:rsidRPr="006148BC">
        <w:rPr>
          <w:rFonts w:cstheme="minorHAnsi"/>
        </w:rPr>
        <w:t xml:space="preserve">, </w:t>
      </w:r>
      <w:r>
        <w:rPr>
          <w:rFonts w:cstheme="minorHAnsi"/>
        </w:rPr>
        <w:t xml:space="preserve">providers voluntarily entered agent </w:t>
      </w:r>
      <w:r w:rsidRPr="006148BC">
        <w:rPr>
          <w:rFonts w:cstheme="minorHAnsi"/>
        </w:rPr>
        <w:t xml:space="preserve">details </w:t>
      </w:r>
      <w:r>
        <w:rPr>
          <w:rFonts w:cstheme="minorHAnsi"/>
        </w:rPr>
        <w:t xml:space="preserve">in </w:t>
      </w:r>
      <w:r w:rsidRPr="006148BC">
        <w:rPr>
          <w:rFonts w:cstheme="minorHAnsi"/>
        </w:rPr>
        <w:t>PRISMS</w:t>
      </w:r>
      <w:r w:rsidR="00347AE6">
        <w:t xml:space="preserve">. </w:t>
      </w:r>
      <w:r w:rsidRPr="006148BC">
        <w:rPr>
          <w:rFonts w:cstheme="minorHAnsi"/>
        </w:rPr>
        <w:t>Since</w:t>
      </w:r>
      <w:r>
        <w:rPr>
          <w:rFonts w:cstheme="minorHAnsi"/>
        </w:rPr>
        <w:t xml:space="preserve"> 1 January </w:t>
      </w:r>
      <w:r w:rsidRPr="006148BC">
        <w:rPr>
          <w:rFonts w:cstheme="minorHAnsi"/>
        </w:rPr>
        <w:t xml:space="preserve">2018, providers must enter and maintain </w:t>
      </w:r>
      <w:r>
        <w:rPr>
          <w:rFonts w:cstheme="minorHAnsi"/>
        </w:rPr>
        <w:t xml:space="preserve">agent </w:t>
      </w:r>
      <w:r w:rsidRPr="006148BC">
        <w:rPr>
          <w:rFonts w:cstheme="minorHAnsi"/>
        </w:rPr>
        <w:t>details in PRISMS.</w:t>
      </w:r>
      <w:r w:rsidR="007E436A">
        <w:rPr>
          <w:rFonts w:cstheme="minorHAnsi"/>
        </w:rPr>
        <w:t xml:space="preserve"> The department will clean</w:t>
      </w:r>
      <w:r w:rsidR="00E6305E">
        <w:rPr>
          <w:rFonts w:cstheme="minorHAnsi"/>
        </w:rPr>
        <w:t>se</w:t>
      </w:r>
      <w:r w:rsidR="007E436A">
        <w:rPr>
          <w:rFonts w:cstheme="minorHAnsi"/>
        </w:rPr>
        <w:t xml:space="preserve"> the data prior to publication.</w:t>
      </w:r>
    </w:p>
    <w:p w14:paraId="4D4488BD" w14:textId="63997D4E" w:rsidR="00155AF0" w:rsidRPr="00D36583" w:rsidRDefault="001F05D5" w:rsidP="0023460E">
      <w:r w:rsidRPr="0023460E">
        <w:rPr>
          <w:b/>
        </w:rPr>
        <w:t xml:space="preserve">What </w:t>
      </w:r>
      <w:r w:rsidR="009216D9" w:rsidRPr="0023460E">
        <w:rPr>
          <w:b/>
        </w:rPr>
        <w:t xml:space="preserve">issues </w:t>
      </w:r>
      <w:r w:rsidRPr="0023460E">
        <w:rPr>
          <w:b/>
        </w:rPr>
        <w:t xml:space="preserve">should the department consider when preparing </w:t>
      </w:r>
      <w:r w:rsidR="009216D9" w:rsidRPr="0023460E">
        <w:rPr>
          <w:b/>
        </w:rPr>
        <w:t>the agent performance data</w:t>
      </w:r>
      <w:r w:rsidRPr="0023460E">
        <w:rPr>
          <w:b/>
        </w:rPr>
        <w:t xml:space="preserve"> for publication</w:t>
      </w:r>
      <w:r w:rsidR="009216D9" w:rsidRPr="0023460E">
        <w:rPr>
          <w:b/>
        </w:rPr>
        <w:t>?</w:t>
      </w:r>
    </w:p>
    <w:sectPr w:rsidR="00155AF0" w:rsidRPr="00D36583" w:rsidSect="00592B7A">
      <w:headerReference w:type="default" r:id="rId16"/>
      <w:footerReference w:type="default" r:id="rId17"/>
      <w:type w:val="continuous"/>
      <w:pgSz w:w="11906" w:h="16838"/>
      <w:pgMar w:top="1474" w:right="1440" w:bottom="1474"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28AE5" w14:textId="77777777" w:rsidR="009800EF" w:rsidRDefault="009800EF" w:rsidP="00130923">
      <w:pPr>
        <w:spacing w:after="0" w:line="240" w:lineRule="auto"/>
      </w:pPr>
      <w:r>
        <w:separator/>
      </w:r>
    </w:p>
  </w:endnote>
  <w:endnote w:type="continuationSeparator" w:id="0">
    <w:p w14:paraId="227204D3" w14:textId="77777777" w:rsidR="009800EF" w:rsidRDefault="009800EF"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EF6F5" w14:textId="77777777" w:rsidR="003242B9" w:rsidRDefault="003242B9"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AE937" w14:textId="42CE65C2" w:rsidR="003242B9" w:rsidRDefault="00025A5E" w:rsidP="00A73406">
    <w:pPr>
      <w:pStyle w:val="Footer"/>
      <w:tabs>
        <w:tab w:val="clear" w:pos="9026"/>
        <w:tab w:val="right" w:pos="8647"/>
      </w:tabs>
      <w:ind w:firstLine="720"/>
      <w:jc w:val="right"/>
    </w:pPr>
    <w:sdt>
      <w:sdtPr>
        <w:id w:val="1674606549"/>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7</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2011" w14:textId="77777777" w:rsidR="009800EF" w:rsidRDefault="009800EF" w:rsidP="00130923">
      <w:pPr>
        <w:spacing w:after="0" w:line="240" w:lineRule="auto"/>
      </w:pPr>
      <w:r>
        <w:separator/>
      </w:r>
    </w:p>
  </w:footnote>
  <w:footnote w:type="continuationSeparator" w:id="0">
    <w:p w14:paraId="518B6116" w14:textId="77777777" w:rsidR="009800EF" w:rsidRDefault="009800EF" w:rsidP="00130923">
      <w:pPr>
        <w:spacing w:after="0" w:line="240" w:lineRule="auto"/>
      </w:pPr>
      <w:r>
        <w:continuationSeparator/>
      </w:r>
    </w:p>
  </w:footnote>
  <w:footnote w:id="1">
    <w:p w14:paraId="4B02B878" w14:textId="77777777" w:rsidR="009216D9" w:rsidRDefault="009216D9" w:rsidP="009216D9">
      <w:pPr>
        <w:pStyle w:val="FootnoteText"/>
      </w:pPr>
      <w:r>
        <w:rPr>
          <w:rStyle w:val="FootnoteReference"/>
        </w:rPr>
        <w:footnoteRef/>
      </w:r>
      <w:r>
        <w:t xml:space="preserve"> Provider Registration and International Student Management System (</w:t>
      </w:r>
      <w:r w:rsidRPr="003A00C0">
        <w:rPr>
          <w:rFonts w:ascii="Calibri" w:hAnsi="Calibri" w:cstheme="minorHAnsi"/>
          <w:szCs w:val="16"/>
        </w:rPr>
        <w:t>PRISMS</w:t>
      </w:r>
      <w:r>
        <w:rPr>
          <w:rFonts w:ascii="Calibri" w:hAnsi="Calibri" w:cstheme="minorHAnsi"/>
          <w:szCs w:val="16"/>
        </w:rPr>
        <w:t>) data</w:t>
      </w:r>
      <w:r w:rsidRPr="003A00C0">
        <w:rPr>
          <w:rFonts w:ascii="Calibri" w:hAnsi="Calibr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82A7" w14:textId="77777777" w:rsidR="00560CA0" w:rsidRDefault="00560CA0"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0F75" w14:textId="77777777" w:rsidR="00560CA0" w:rsidRDefault="00C02592" w:rsidP="00560CA0">
    <w:pPr>
      <w:pStyle w:val="Header"/>
      <w:jc w:val="right"/>
    </w:pPr>
    <w:r>
      <w:t>Department of Education and Training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0EB6890"/>
    <w:multiLevelType w:val="hybridMultilevel"/>
    <w:tmpl w:val="44587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32B2602"/>
    <w:multiLevelType w:val="multilevel"/>
    <w:tmpl w:val="C99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CD56D5"/>
    <w:multiLevelType w:val="hybridMultilevel"/>
    <w:tmpl w:val="83446E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8F71096"/>
    <w:multiLevelType w:val="hybridMultilevel"/>
    <w:tmpl w:val="59906BBE"/>
    <w:lvl w:ilvl="0" w:tplc="F2E831A2">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2332A0"/>
    <w:multiLevelType w:val="singleLevel"/>
    <w:tmpl w:val="0C090001"/>
    <w:lvl w:ilvl="0">
      <w:start w:val="1"/>
      <w:numFmt w:val="bullet"/>
      <w:lvlText w:val=""/>
      <w:lvlJc w:val="left"/>
      <w:pPr>
        <w:ind w:left="720" w:hanging="360"/>
      </w:pPr>
      <w:rPr>
        <w:rFonts w:ascii="Symbol" w:hAnsi="Symbol" w:hint="default"/>
      </w:rPr>
    </w:lvl>
  </w:abstractNum>
  <w:abstractNum w:abstractNumId="15" w15:restartNumberingAfterBreak="0">
    <w:nsid w:val="0C0A1026"/>
    <w:multiLevelType w:val="hybridMultilevel"/>
    <w:tmpl w:val="7AC8E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CB632D5"/>
    <w:multiLevelType w:val="singleLevel"/>
    <w:tmpl w:val="0C090001"/>
    <w:lvl w:ilvl="0">
      <w:start w:val="1"/>
      <w:numFmt w:val="bullet"/>
      <w:lvlText w:val=""/>
      <w:lvlJc w:val="left"/>
      <w:pPr>
        <w:ind w:left="720" w:hanging="360"/>
      </w:pPr>
      <w:rPr>
        <w:rFonts w:ascii="Symbol" w:hAnsi="Symbol" w:hint="default"/>
      </w:rPr>
    </w:lvl>
  </w:abstractNum>
  <w:abstractNum w:abstractNumId="19"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43B2754"/>
    <w:multiLevelType w:val="hybridMultilevel"/>
    <w:tmpl w:val="EC3C4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AB3B8E"/>
    <w:multiLevelType w:val="singleLevel"/>
    <w:tmpl w:val="0C090001"/>
    <w:lvl w:ilvl="0">
      <w:start w:val="1"/>
      <w:numFmt w:val="bullet"/>
      <w:lvlText w:val=""/>
      <w:lvlJc w:val="left"/>
      <w:pPr>
        <w:ind w:left="720" w:hanging="360"/>
      </w:pPr>
      <w:rPr>
        <w:rFonts w:ascii="Symbol" w:hAnsi="Symbol" w:hint="default"/>
      </w:rPr>
    </w:lvl>
  </w:abstractNum>
  <w:abstractNum w:abstractNumId="22" w15:restartNumberingAfterBreak="0">
    <w:nsid w:val="25C114EF"/>
    <w:multiLevelType w:val="singleLevel"/>
    <w:tmpl w:val="0C090001"/>
    <w:lvl w:ilvl="0">
      <w:start w:val="1"/>
      <w:numFmt w:val="bullet"/>
      <w:lvlText w:val=""/>
      <w:lvlJc w:val="left"/>
      <w:pPr>
        <w:ind w:left="720" w:hanging="360"/>
      </w:pPr>
      <w:rPr>
        <w:rFonts w:ascii="Symbol" w:hAnsi="Symbol" w:hint="default"/>
      </w:rPr>
    </w:lvl>
  </w:abstractNum>
  <w:abstractNum w:abstractNumId="23" w15:restartNumberingAfterBreak="0">
    <w:nsid w:val="2C2F3178"/>
    <w:multiLevelType w:val="singleLevel"/>
    <w:tmpl w:val="0C090001"/>
    <w:lvl w:ilvl="0">
      <w:start w:val="1"/>
      <w:numFmt w:val="bullet"/>
      <w:lvlText w:val=""/>
      <w:lvlJc w:val="left"/>
      <w:pPr>
        <w:ind w:left="720" w:hanging="360"/>
      </w:pPr>
      <w:rPr>
        <w:rFonts w:ascii="Symbol" w:hAnsi="Symbol" w:hint="default"/>
      </w:rPr>
    </w:lvl>
  </w:abstractNum>
  <w:abstractNum w:abstractNumId="24" w15:restartNumberingAfterBreak="0">
    <w:nsid w:val="2C6029E7"/>
    <w:multiLevelType w:val="hybridMultilevel"/>
    <w:tmpl w:val="5538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9B79AE"/>
    <w:multiLevelType w:val="hybridMultilevel"/>
    <w:tmpl w:val="B73283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9E1F7E"/>
    <w:multiLevelType w:val="hybridMultilevel"/>
    <w:tmpl w:val="99C215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A83A3E"/>
    <w:multiLevelType w:val="singleLevel"/>
    <w:tmpl w:val="0C090001"/>
    <w:lvl w:ilvl="0">
      <w:start w:val="1"/>
      <w:numFmt w:val="bullet"/>
      <w:lvlText w:val=""/>
      <w:lvlJc w:val="left"/>
      <w:pPr>
        <w:ind w:left="720" w:hanging="360"/>
      </w:pPr>
      <w:rPr>
        <w:rFonts w:ascii="Symbol" w:hAnsi="Symbol" w:hint="default"/>
      </w:rPr>
    </w:lvl>
  </w:abstractNum>
  <w:abstractNum w:abstractNumId="28" w15:restartNumberingAfterBreak="0">
    <w:nsid w:val="4AD057DB"/>
    <w:multiLevelType w:val="hybridMultilevel"/>
    <w:tmpl w:val="58841E74"/>
    <w:lvl w:ilvl="0" w:tplc="64E87CC2">
      <w:start w:val="1"/>
      <w:numFmt w:val="bullet"/>
      <w:lvlText w:val=""/>
      <w:lvlJc w:val="left"/>
      <w:pPr>
        <w:ind w:left="360" w:hanging="360"/>
      </w:pPr>
      <w:rPr>
        <w:rFonts w:ascii="Symbol" w:hAnsi="Symbol" w:hint="default"/>
      </w:rPr>
    </w:lvl>
    <w:lvl w:ilvl="1" w:tplc="97CE4D52">
      <w:start w:val="1"/>
      <w:numFmt w:val="bullet"/>
      <w:lvlText w:val="o"/>
      <w:lvlJc w:val="left"/>
      <w:pPr>
        <w:ind w:left="1080" w:hanging="360"/>
      </w:pPr>
      <w:rPr>
        <w:rFonts w:ascii="Courier New" w:hAnsi="Courier New" w:cs="Courier New" w:hint="default"/>
      </w:rPr>
    </w:lvl>
    <w:lvl w:ilvl="2" w:tplc="CB285886" w:tentative="1">
      <w:start w:val="1"/>
      <w:numFmt w:val="bullet"/>
      <w:lvlText w:val=""/>
      <w:lvlJc w:val="left"/>
      <w:pPr>
        <w:ind w:left="1800" w:hanging="360"/>
      </w:pPr>
      <w:rPr>
        <w:rFonts w:ascii="Wingdings" w:hAnsi="Wingdings" w:hint="default"/>
      </w:rPr>
    </w:lvl>
    <w:lvl w:ilvl="3" w:tplc="98209E90" w:tentative="1">
      <w:start w:val="1"/>
      <w:numFmt w:val="bullet"/>
      <w:lvlText w:val=""/>
      <w:lvlJc w:val="left"/>
      <w:pPr>
        <w:ind w:left="2520" w:hanging="360"/>
      </w:pPr>
      <w:rPr>
        <w:rFonts w:ascii="Symbol" w:hAnsi="Symbol" w:hint="default"/>
      </w:rPr>
    </w:lvl>
    <w:lvl w:ilvl="4" w:tplc="6F72D040" w:tentative="1">
      <w:start w:val="1"/>
      <w:numFmt w:val="bullet"/>
      <w:lvlText w:val="o"/>
      <w:lvlJc w:val="left"/>
      <w:pPr>
        <w:ind w:left="3240" w:hanging="360"/>
      </w:pPr>
      <w:rPr>
        <w:rFonts w:ascii="Courier New" w:hAnsi="Courier New" w:cs="Courier New" w:hint="default"/>
      </w:rPr>
    </w:lvl>
    <w:lvl w:ilvl="5" w:tplc="B6A0C49E" w:tentative="1">
      <w:start w:val="1"/>
      <w:numFmt w:val="bullet"/>
      <w:lvlText w:val=""/>
      <w:lvlJc w:val="left"/>
      <w:pPr>
        <w:ind w:left="3960" w:hanging="360"/>
      </w:pPr>
      <w:rPr>
        <w:rFonts w:ascii="Wingdings" w:hAnsi="Wingdings" w:hint="default"/>
      </w:rPr>
    </w:lvl>
    <w:lvl w:ilvl="6" w:tplc="9DD462B4" w:tentative="1">
      <w:start w:val="1"/>
      <w:numFmt w:val="bullet"/>
      <w:lvlText w:val=""/>
      <w:lvlJc w:val="left"/>
      <w:pPr>
        <w:ind w:left="4680" w:hanging="360"/>
      </w:pPr>
      <w:rPr>
        <w:rFonts w:ascii="Symbol" w:hAnsi="Symbol" w:hint="default"/>
      </w:rPr>
    </w:lvl>
    <w:lvl w:ilvl="7" w:tplc="2734790C" w:tentative="1">
      <w:start w:val="1"/>
      <w:numFmt w:val="bullet"/>
      <w:lvlText w:val="o"/>
      <w:lvlJc w:val="left"/>
      <w:pPr>
        <w:ind w:left="5400" w:hanging="360"/>
      </w:pPr>
      <w:rPr>
        <w:rFonts w:ascii="Courier New" w:hAnsi="Courier New" w:cs="Courier New" w:hint="default"/>
      </w:rPr>
    </w:lvl>
    <w:lvl w:ilvl="8" w:tplc="36083426" w:tentative="1">
      <w:start w:val="1"/>
      <w:numFmt w:val="bullet"/>
      <w:lvlText w:val=""/>
      <w:lvlJc w:val="left"/>
      <w:pPr>
        <w:ind w:left="6120" w:hanging="360"/>
      </w:pPr>
      <w:rPr>
        <w:rFonts w:ascii="Wingdings" w:hAnsi="Wingdings" w:hint="default"/>
      </w:rPr>
    </w:lvl>
  </w:abstractNum>
  <w:abstractNum w:abstractNumId="29"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600106C"/>
    <w:multiLevelType w:val="hybridMultilevel"/>
    <w:tmpl w:val="69BCD894"/>
    <w:lvl w:ilvl="0" w:tplc="429848DC">
      <w:start w:val="1"/>
      <w:numFmt w:val="bullet"/>
      <w:lvlText w:val=""/>
      <w:lvlJc w:val="left"/>
      <w:pPr>
        <w:ind w:left="360" w:hanging="360"/>
      </w:pPr>
      <w:rPr>
        <w:rFonts w:ascii="Symbol" w:hAnsi="Symbol" w:hint="default"/>
      </w:rPr>
    </w:lvl>
    <w:lvl w:ilvl="1" w:tplc="84B4517E">
      <w:start w:val="1"/>
      <w:numFmt w:val="bullet"/>
      <w:lvlText w:val="o"/>
      <w:lvlJc w:val="left"/>
      <w:pPr>
        <w:ind w:left="1080" w:hanging="360"/>
      </w:pPr>
      <w:rPr>
        <w:rFonts w:ascii="Courier New" w:hAnsi="Courier New" w:cs="Courier New" w:hint="default"/>
      </w:rPr>
    </w:lvl>
    <w:lvl w:ilvl="2" w:tplc="B5480380" w:tentative="1">
      <w:start w:val="1"/>
      <w:numFmt w:val="bullet"/>
      <w:lvlText w:val=""/>
      <w:lvlJc w:val="left"/>
      <w:pPr>
        <w:ind w:left="1800" w:hanging="360"/>
      </w:pPr>
      <w:rPr>
        <w:rFonts w:ascii="Wingdings" w:hAnsi="Wingdings" w:hint="default"/>
      </w:rPr>
    </w:lvl>
    <w:lvl w:ilvl="3" w:tplc="A07ADD40" w:tentative="1">
      <w:start w:val="1"/>
      <w:numFmt w:val="bullet"/>
      <w:lvlText w:val=""/>
      <w:lvlJc w:val="left"/>
      <w:pPr>
        <w:ind w:left="2520" w:hanging="360"/>
      </w:pPr>
      <w:rPr>
        <w:rFonts w:ascii="Symbol" w:hAnsi="Symbol" w:hint="default"/>
      </w:rPr>
    </w:lvl>
    <w:lvl w:ilvl="4" w:tplc="5998B11C" w:tentative="1">
      <w:start w:val="1"/>
      <w:numFmt w:val="bullet"/>
      <w:lvlText w:val="o"/>
      <w:lvlJc w:val="left"/>
      <w:pPr>
        <w:ind w:left="3240" w:hanging="360"/>
      </w:pPr>
      <w:rPr>
        <w:rFonts w:ascii="Courier New" w:hAnsi="Courier New" w:cs="Courier New" w:hint="default"/>
      </w:rPr>
    </w:lvl>
    <w:lvl w:ilvl="5" w:tplc="2F2E5D52" w:tentative="1">
      <w:start w:val="1"/>
      <w:numFmt w:val="bullet"/>
      <w:lvlText w:val=""/>
      <w:lvlJc w:val="left"/>
      <w:pPr>
        <w:ind w:left="3960" w:hanging="360"/>
      </w:pPr>
      <w:rPr>
        <w:rFonts w:ascii="Wingdings" w:hAnsi="Wingdings" w:hint="default"/>
      </w:rPr>
    </w:lvl>
    <w:lvl w:ilvl="6" w:tplc="94B2FD72" w:tentative="1">
      <w:start w:val="1"/>
      <w:numFmt w:val="bullet"/>
      <w:lvlText w:val=""/>
      <w:lvlJc w:val="left"/>
      <w:pPr>
        <w:ind w:left="4680" w:hanging="360"/>
      </w:pPr>
      <w:rPr>
        <w:rFonts w:ascii="Symbol" w:hAnsi="Symbol" w:hint="default"/>
      </w:rPr>
    </w:lvl>
    <w:lvl w:ilvl="7" w:tplc="CA84B22C" w:tentative="1">
      <w:start w:val="1"/>
      <w:numFmt w:val="bullet"/>
      <w:lvlText w:val="o"/>
      <w:lvlJc w:val="left"/>
      <w:pPr>
        <w:ind w:left="5400" w:hanging="360"/>
      </w:pPr>
      <w:rPr>
        <w:rFonts w:ascii="Courier New" w:hAnsi="Courier New" w:cs="Courier New" w:hint="default"/>
      </w:rPr>
    </w:lvl>
    <w:lvl w:ilvl="8" w:tplc="C72204B0" w:tentative="1">
      <w:start w:val="1"/>
      <w:numFmt w:val="bullet"/>
      <w:lvlText w:val=""/>
      <w:lvlJc w:val="left"/>
      <w:pPr>
        <w:ind w:left="6120" w:hanging="360"/>
      </w:pPr>
      <w:rPr>
        <w:rFonts w:ascii="Wingdings" w:hAnsi="Wingdings" w:hint="default"/>
      </w:rPr>
    </w:lvl>
  </w:abstractNum>
  <w:abstractNum w:abstractNumId="31" w15:restartNumberingAfterBreak="0">
    <w:nsid w:val="59914740"/>
    <w:multiLevelType w:val="hybridMultilevel"/>
    <w:tmpl w:val="5E6A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5F45208F"/>
    <w:multiLevelType w:val="hybridMultilevel"/>
    <w:tmpl w:val="A68C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80642F"/>
    <w:multiLevelType w:val="singleLevel"/>
    <w:tmpl w:val="0C090001"/>
    <w:lvl w:ilvl="0">
      <w:start w:val="1"/>
      <w:numFmt w:val="bullet"/>
      <w:lvlText w:val=""/>
      <w:lvlJc w:val="left"/>
      <w:pPr>
        <w:ind w:left="720" w:hanging="360"/>
      </w:pPr>
      <w:rPr>
        <w:rFonts w:ascii="Symbol" w:hAnsi="Symbol" w:hint="default"/>
      </w:rPr>
    </w:lvl>
  </w:abstractNum>
  <w:abstractNum w:abstractNumId="35" w15:restartNumberingAfterBreak="0">
    <w:nsid w:val="625D55C8"/>
    <w:multiLevelType w:val="hybridMultilevel"/>
    <w:tmpl w:val="6412A6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2AD511F"/>
    <w:multiLevelType w:val="hybridMultilevel"/>
    <w:tmpl w:val="95EE546A"/>
    <w:lvl w:ilvl="0" w:tplc="712866EA">
      <w:numFmt w:val="bullet"/>
      <w:lvlText w:val=""/>
      <w:lvlJc w:val="left"/>
      <w:pPr>
        <w:ind w:left="720" w:hanging="360"/>
      </w:pPr>
      <w:rPr>
        <w:rFonts w:ascii="Symbol" w:eastAsiaTheme="minorEastAsia"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C37733"/>
    <w:multiLevelType w:val="multilevel"/>
    <w:tmpl w:val="7A4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D135C"/>
    <w:multiLevelType w:val="hybridMultilevel"/>
    <w:tmpl w:val="F5FEA0B8"/>
    <w:lvl w:ilvl="0" w:tplc="C840EBCE">
      <w:start w:val="1"/>
      <w:numFmt w:val="bullet"/>
      <w:lvlText w:val="o"/>
      <w:lvlJc w:val="left"/>
      <w:pPr>
        <w:ind w:left="720" w:hanging="360"/>
      </w:pPr>
      <w:rPr>
        <w:rFonts w:ascii="Courier New" w:hAnsi="Courier New" w:cs="Courier New" w:hint="default"/>
      </w:rPr>
    </w:lvl>
    <w:lvl w:ilvl="1" w:tplc="ED5C6294">
      <w:numFmt w:val="bullet"/>
      <w:lvlText w:val="-"/>
      <w:lvlJc w:val="left"/>
      <w:pPr>
        <w:ind w:left="1440" w:hanging="360"/>
      </w:pPr>
      <w:rPr>
        <w:rFonts w:ascii="Arial" w:eastAsia="Times New Roman" w:hAnsi="Arial" w:cs="Arial" w:hint="default"/>
      </w:rPr>
    </w:lvl>
    <w:lvl w:ilvl="2" w:tplc="5FE8C61C" w:tentative="1">
      <w:start w:val="1"/>
      <w:numFmt w:val="bullet"/>
      <w:lvlText w:val=""/>
      <w:lvlJc w:val="left"/>
      <w:pPr>
        <w:ind w:left="2160" w:hanging="360"/>
      </w:pPr>
      <w:rPr>
        <w:rFonts w:ascii="Wingdings" w:hAnsi="Wingdings" w:hint="default"/>
      </w:rPr>
    </w:lvl>
    <w:lvl w:ilvl="3" w:tplc="B336CFFA" w:tentative="1">
      <w:start w:val="1"/>
      <w:numFmt w:val="bullet"/>
      <w:lvlText w:val=""/>
      <w:lvlJc w:val="left"/>
      <w:pPr>
        <w:ind w:left="2880" w:hanging="360"/>
      </w:pPr>
      <w:rPr>
        <w:rFonts w:ascii="Symbol" w:hAnsi="Symbol" w:hint="default"/>
      </w:rPr>
    </w:lvl>
    <w:lvl w:ilvl="4" w:tplc="24F4E6C4" w:tentative="1">
      <w:start w:val="1"/>
      <w:numFmt w:val="bullet"/>
      <w:lvlText w:val="o"/>
      <w:lvlJc w:val="left"/>
      <w:pPr>
        <w:ind w:left="3600" w:hanging="360"/>
      </w:pPr>
      <w:rPr>
        <w:rFonts w:ascii="Courier New" w:hAnsi="Courier New" w:cs="Courier New" w:hint="default"/>
      </w:rPr>
    </w:lvl>
    <w:lvl w:ilvl="5" w:tplc="A58A353A" w:tentative="1">
      <w:start w:val="1"/>
      <w:numFmt w:val="bullet"/>
      <w:lvlText w:val=""/>
      <w:lvlJc w:val="left"/>
      <w:pPr>
        <w:ind w:left="4320" w:hanging="360"/>
      </w:pPr>
      <w:rPr>
        <w:rFonts w:ascii="Wingdings" w:hAnsi="Wingdings" w:hint="default"/>
      </w:rPr>
    </w:lvl>
    <w:lvl w:ilvl="6" w:tplc="7D769238" w:tentative="1">
      <w:start w:val="1"/>
      <w:numFmt w:val="bullet"/>
      <w:lvlText w:val=""/>
      <w:lvlJc w:val="left"/>
      <w:pPr>
        <w:ind w:left="5040" w:hanging="360"/>
      </w:pPr>
      <w:rPr>
        <w:rFonts w:ascii="Symbol" w:hAnsi="Symbol" w:hint="default"/>
      </w:rPr>
    </w:lvl>
    <w:lvl w:ilvl="7" w:tplc="1868CD76" w:tentative="1">
      <w:start w:val="1"/>
      <w:numFmt w:val="bullet"/>
      <w:lvlText w:val="o"/>
      <w:lvlJc w:val="left"/>
      <w:pPr>
        <w:ind w:left="5760" w:hanging="360"/>
      </w:pPr>
      <w:rPr>
        <w:rFonts w:ascii="Courier New" w:hAnsi="Courier New" w:cs="Courier New" w:hint="default"/>
      </w:rPr>
    </w:lvl>
    <w:lvl w:ilvl="8" w:tplc="A1CC7814" w:tentative="1">
      <w:start w:val="1"/>
      <w:numFmt w:val="bullet"/>
      <w:lvlText w:val=""/>
      <w:lvlJc w:val="left"/>
      <w:pPr>
        <w:ind w:left="6480" w:hanging="360"/>
      </w:pPr>
      <w:rPr>
        <w:rFonts w:ascii="Wingdings" w:hAnsi="Wingdings" w:hint="default"/>
      </w:rPr>
    </w:lvl>
  </w:abstractNum>
  <w:abstractNum w:abstractNumId="39" w15:restartNumberingAfterBreak="0">
    <w:nsid w:val="70787EC1"/>
    <w:multiLevelType w:val="hybridMultilevel"/>
    <w:tmpl w:val="66F41AFA"/>
    <w:lvl w:ilvl="0" w:tplc="5D225BC4">
      <w:start w:val="1"/>
      <w:numFmt w:val="bullet"/>
      <w:pStyle w:val="IGBListbullet"/>
      <w:lvlText w:val="•"/>
      <w:lvlJc w:val="left"/>
      <w:pPr>
        <w:ind w:left="284" w:hanging="284"/>
      </w:pPr>
      <w:rPr>
        <w:rFonts w:ascii="Calibri" w:hAnsi="Calibri" w:hint="default"/>
        <w:b w:val="0"/>
        <w:i w:val="0"/>
        <w:color w:val="auto"/>
        <w:sz w:val="22"/>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3061EA"/>
    <w:multiLevelType w:val="hybridMultilevel"/>
    <w:tmpl w:val="2C82EB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D642BFD"/>
    <w:multiLevelType w:val="hybridMultilevel"/>
    <w:tmpl w:val="6FA0D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CD527C"/>
    <w:multiLevelType w:val="hybridMultilevel"/>
    <w:tmpl w:val="5B125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1"/>
  </w:num>
  <w:num w:numId="15">
    <w:abstractNumId w:val="16"/>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5"/>
  </w:num>
  <w:num w:numId="21">
    <w:abstractNumId w:val="43"/>
  </w:num>
  <w:num w:numId="22">
    <w:abstractNumId w:val="13"/>
  </w:num>
  <w:num w:numId="23">
    <w:abstractNumId w:val="39"/>
  </w:num>
  <w:num w:numId="24">
    <w:abstractNumId w:val="37"/>
  </w:num>
  <w:num w:numId="25">
    <w:abstractNumId w:val="10"/>
  </w:num>
  <w:num w:numId="26">
    <w:abstractNumId w:val="38"/>
  </w:num>
  <w:num w:numId="27">
    <w:abstractNumId w:val="12"/>
  </w:num>
  <w:num w:numId="28">
    <w:abstractNumId w:val="30"/>
  </w:num>
  <w:num w:numId="29">
    <w:abstractNumId w:val="28"/>
  </w:num>
  <w:num w:numId="30">
    <w:abstractNumId w:val="17"/>
  </w:num>
  <w:num w:numId="31">
    <w:abstractNumId w:val="9"/>
  </w:num>
  <w:num w:numId="32">
    <w:abstractNumId w:val="40"/>
  </w:num>
  <w:num w:numId="33">
    <w:abstractNumId w:val="42"/>
  </w:num>
  <w:num w:numId="34">
    <w:abstractNumId w:val="34"/>
  </w:num>
  <w:num w:numId="35">
    <w:abstractNumId w:val="27"/>
  </w:num>
  <w:num w:numId="36">
    <w:abstractNumId w:val="14"/>
  </w:num>
  <w:num w:numId="37">
    <w:abstractNumId w:val="23"/>
  </w:num>
  <w:num w:numId="38">
    <w:abstractNumId w:val="18"/>
  </w:num>
  <w:num w:numId="39">
    <w:abstractNumId w:val="31"/>
  </w:num>
  <w:num w:numId="40">
    <w:abstractNumId w:val="24"/>
  </w:num>
  <w:num w:numId="41">
    <w:abstractNumId w:val="15"/>
  </w:num>
  <w:num w:numId="42">
    <w:abstractNumId w:val="26"/>
  </w:num>
  <w:num w:numId="43">
    <w:abstractNumId w:val="33"/>
  </w:num>
  <w:num w:numId="44">
    <w:abstractNumId w:val="25"/>
  </w:num>
  <w:num w:numId="45">
    <w:abstractNumId w:val="20"/>
  </w:num>
  <w:num w:numId="46">
    <w:abstractNumId w:val="2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dgnword-docGUID" w:val="{CE0694FE-9F08-4C06-9487-7AAFED0A42A1}"/>
    <w:docVar w:name="dgnword-eventsink" w:val="470607112"/>
  </w:docVars>
  <w:rsids>
    <w:rsidRoot w:val="007B209C"/>
    <w:rsid w:val="00002721"/>
    <w:rsid w:val="00007E0C"/>
    <w:rsid w:val="00012FA2"/>
    <w:rsid w:val="00016F67"/>
    <w:rsid w:val="0002310A"/>
    <w:rsid w:val="00024E24"/>
    <w:rsid w:val="00025A52"/>
    <w:rsid w:val="00025A5E"/>
    <w:rsid w:val="00034EAA"/>
    <w:rsid w:val="000418B8"/>
    <w:rsid w:val="000446B7"/>
    <w:rsid w:val="000509F1"/>
    <w:rsid w:val="00056F19"/>
    <w:rsid w:val="0006069E"/>
    <w:rsid w:val="00065E76"/>
    <w:rsid w:val="00074C99"/>
    <w:rsid w:val="00084A8F"/>
    <w:rsid w:val="00085450"/>
    <w:rsid w:val="000861A6"/>
    <w:rsid w:val="000A66F8"/>
    <w:rsid w:val="000B3EDA"/>
    <w:rsid w:val="000C3AEB"/>
    <w:rsid w:val="000C6C79"/>
    <w:rsid w:val="000D744E"/>
    <w:rsid w:val="000D7FD3"/>
    <w:rsid w:val="000E7E7B"/>
    <w:rsid w:val="000F3BA2"/>
    <w:rsid w:val="000F75FE"/>
    <w:rsid w:val="001115E0"/>
    <w:rsid w:val="00113711"/>
    <w:rsid w:val="001175BF"/>
    <w:rsid w:val="00123D27"/>
    <w:rsid w:val="00130923"/>
    <w:rsid w:val="001414F3"/>
    <w:rsid w:val="00143FCD"/>
    <w:rsid w:val="00153A58"/>
    <w:rsid w:val="00155AF0"/>
    <w:rsid w:val="0016360D"/>
    <w:rsid w:val="00173D01"/>
    <w:rsid w:val="001750A0"/>
    <w:rsid w:val="001A4BAF"/>
    <w:rsid w:val="001B605A"/>
    <w:rsid w:val="001B6467"/>
    <w:rsid w:val="001E167F"/>
    <w:rsid w:val="001E735B"/>
    <w:rsid w:val="001F05D5"/>
    <w:rsid w:val="001F20D7"/>
    <w:rsid w:val="001F5222"/>
    <w:rsid w:val="00223EB1"/>
    <w:rsid w:val="002261E0"/>
    <w:rsid w:val="0023089F"/>
    <w:rsid w:val="0023460E"/>
    <w:rsid w:val="00236917"/>
    <w:rsid w:val="00243D6B"/>
    <w:rsid w:val="00254CCF"/>
    <w:rsid w:val="002634A8"/>
    <w:rsid w:val="00266297"/>
    <w:rsid w:val="00270090"/>
    <w:rsid w:val="002711CA"/>
    <w:rsid w:val="00271CB1"/>
    <w:rsid w:val="002735DD"/>
    <w:rsid w:val="0027617B"/>
    <w:rsid w:val="0029135B"/>
    <w:rsid w:val="0029636B"/>
    <w:rsid w:val="002A5A46"/>
    <w:rsid w:val="002B06E6"/>
    <w:rsid w:val="002C3AA1"/>
    <w:rsid w:val="002C63AC"/>
    <w:rsid w:val="002D271F"/>
    <w:rsid w:val="002D45B2"/>
    <w:rsid w:val="002D52CD"/>
    <w:rsid w:val="002D6386"/>
    <w:rsid w:val="002E5EF9"/>
    <w:rsid w:val="002F1999"/>
    <w:rsid w:val="002F2FA8"/>
    <w:rsid w:val="0030065B"/>
    <w:rsid w:val="0030331B"/>
    <w:rsid w:val="00305B35"/>
    <w:rsid w:val="00311E35"/>
    <w:rsid w:val="003155A7"/>
    <w:rsid w:val="003166C5"/>
    <w:rsid w:val="00321ED0"/>
    <w:rsid w:val="003242B9"/>
    <w:rsid w:val="00342196"/>
    <w:rsid w:val="003424A8"/>
    <w:rsid w:val="003440BC"/>
    <w:rsid w:val="00347AE6"/>
    <w:rsid w:val="00393845"/>
    <w:rsid w:val="0039765B"/>
    <w:rsid w:val="003979FC"/>
    <w:rsid w:val="003A0C28"/>
    <w:rsid w:val="003B411D"/>
    <w:rsid w:val="003C0E4F"/>
    <w:rsid w:val="003C214D"/>
    <w:rsid w:val="003C5EA4"/>
    <w:rsid w:val="003C61DB"/>
    <w:rsid w:val="003D67FC"/>
    <w:rsid w:val="003E273C"/>
    <w:rsid w:val="003F0613"/>
    <w:rsid w:val="004008A1"/>
    <w:rsid w:val="00402E2F"/>
    <w:rsid w:val="00406E5A"/>
    <w:rsid w:val="00411EDD"/>
    <w:rsid w:val="00416C06"/>
    <w:rsid w:val="00442A38"/>
    <w:rsid w:val="0045233A"/>
    <w:rsid w:val="00455B34"/>
    <w:rsid w:val="00467E2F"/>
    <w:rsid w:val="0047454D"/>
    <w:rsid w:val="004808C1"/>
    <w:rsid w:val="00481472"/>
    <w:rsid w:val="00481F02"/>
    <w:rsid w:val="00482B6B"/>
    <w:rsid w:val="0048751F"/>
    <w:rsid w:val="0048762C"/>
    <w:rsid w:val="00490759"/>
    <w:rsid w:val="00494E45"/>
    <w:rsid w:val="004B256F"/>
    <w:rsid w:val="004B3094"/>
    <w:rsid w:val="004B33F6"/>
    <w:rsid w:val="004B5CB8"/>
    <w:rsid w:val="004B61A4"/>
    <w:rsid w:val="004C18BD"/>
    <w:rsid w:val="004D2039"/>
    <w:rsid w:val="004D3156"/>
    <w:rsid w:val="004D3E72"/>
    <w:rsid w:val="004E28EB"/>
    <w:rsid w:val="004F2D55"/>
    <w:rsid w:val="005113B6"/>
    <w:rsid w:val="00530557"/>
    <w:rsid w:val="00531817"/>
    <w:rsid w:val="00533913"/>
    <w:rsid w:val="00536948"/>
    <w:rsid w:val="00560CA0"/>
    <w:rsid w:val="005624F3"/>
    <w:rsid w:val="00563CC4"/>
    <w:rsid w:val="00571396"/>
    <w:rsid w:val="00576C94"/>
    <w:rsid w:val="005811EF"/>
    <w:rsid w:val="00582241"/>
    <w:rsid w:val="00584A2F"/>
    <w:rsid w:val="00590CD8"/>
    <w:rsid w:val="00592B7A"/>
    <w:rsid w:val="00595F07"/>
    <w:rsid w:val="005B0878"/>
    <w:rsid w:val="005B70DA"/>
    <w:rsid w:val="005C15C0"/>
    <w:rsid w:val="005C2843"/>
    <w:rsid w:val="005D0A17"/>
    <w:rsid w:val="005E2682"/>
    <w:rsid w:val="005F08A5"/>
    <w:rsid w:val="00605EEA"/>
    <w:rsid w:val="00607FF7"/>
    <w:rsid w:val="00610654"/>
    <w:rsid w:val="00615A09"/>
    <w:rsid w:val="00624CD8"/>
    <w:rsid w:val="006318B9"/>
    <w:rsid w:val="00632D5E"/>
    <w:rsid w:val="00643238"/>
    <w:rsid w:val="00647D2F"/>
    <w:rsid w:val="006510ED"/>
    <w:rsid w:val="0067026C"/>
    <w:rsid w:val="006C1BC8"/>
    <w:rsid w:val="006C5859"/>
    <w:rsid w:val="006E2D49"/>
    <w:rsid w:val="006E4741"/>
    <w:rsid w:val="006F61CF"/>
    <w:rsid w:val="0071296D"/>
    <w:rsid w:val="007130C3"/>
    <w:rsid w:val="007325E4"/>
    <w:rsid w:val="007327EF"/>
    <w:rsid w:val="0074182A"/>
    <w:rsid w:val="00741955"/>
    <w:rsid w:val="00743305"/>
    <w:rsid w:val="00745C1C"/>
    <w:rsid w:val="007468FC"/>
    <w:rsid w:val="007509C1"/>
    <w:rsid w:val="0076061F"/>
    <w:rsid w:val="00761118"/>
    <w:rsid w:val="00780D8C"/>
    <w:rsid w:val="00792CA3"/>
    <w:rsid w:val="007A0CC9"/>
    <w:rsid w:val="007A41A6"/>
    <w:rsid w:val="007A67D7"/>
    <w:rsid w:val="007B1F30"/>
    <w:rsid w:val="007B209C"/>
    <w:rsid w:val="007B2FDD"/>
    <w:rsid w:val="007B39A2"/>
    <w:rsid w:val="007B4B69"/>
    <w:rsid w:val="007C33F4"/>
    <w:rsid w:val="007C49AB"/>
    <w:rsid w:val="007C6747"/>
    <w:rsid w:val="007D09C7"/>
    <w:rsid w:val="007D58FB"/>
    <w:rsid w:val="007E436A"/>
    <w:rsid w:val="007F3F0D"/>
    <w:rsid w:val="0080193E"/>
    <w:rsid w:val="00812C70"/>
    <w:rsid w:val="008131F3"/>
    <w:rsid w:val="00816579"/>
    <w:rsid w:val="0082485A"/>
    <w:rsid w:val="00827E9C"/>
    <w:rsid w:val="00832599"/>
    <w:rsid w:val="00832C55"/>
    <w:rsid w:val="0083468A"/>
    <w:rsid w:val="008348D2"/>
    <w:rsid w:val="00842D43"/>
    <w:rsid w:val="0084379F"/>
    <w:rsid w:val="00856D1C"/>
    <w:rsid w:val="008601CE"/>
    <w:rsid w:val="00862166"/>
    <w:rsid w:val="0087670D"/>
    <w:rsid w:val="00876AC0"/>
    <w:rsid w:val="00895A0C"/>
    <w:rsid w:val="008B46F0"/>
    <w:rsid w:val="008B5683"/>
    <w:rsid w:val="008C6C59"/>
    <w:rsid w:val="008D3A7D"/>
    <w:rsid w:val="008E1133"/>
    <w:rsid w:val="008E3555"/>
    <w:rsid w:val="008F7D5A"/>
    <w:rsid w:val="009001CD"/>
    <w:rsid w:val="00903408"/>
    <w:rsid w:val="009116EA"/>
    <w:rsid w:val="00912931"/>
    <w:rsid w:val="00914A2B"/>
    <w:rsid w:val="00915742"/>
    <w:rsid w:val="009160C1"/>
    <w:rsid w:val="009216D9"/>
    <w:rsid w:val="0093193B"/>
    <w:rsid w:val="00933671"/>
    <w:rsid w:val="00936B0E"/>
    <w:rsid w:val="00953A0B"/>
    <w:rsid w:val="00956CD2"/>
    <w:rsid w:val="009676C9"/>
    <w:rsid w:val="00972BF7"/>
    <w:rsid w:val="00972DD5"/>
    <w:rsid w:val="009800EF"/>
    <w:rsid w:val="00984879"/>
    <w:rsid w:val="00985632"/>
    <w:rsid w:val="00991B63"/>
    <w:rsid w:val="009A53F9"/>
    <w:rsid w:val="009B2428"/>
    <w:rsid w:val="009B46B5"/>
    <w:rsid w:val="009B5CB7"/>
    <w:rsid w:val="009C41B4"/>
    <w:rsid w:val="009C6767"/>
    <w:rsid w:val="009D354D"/>
    <w:rsid w:val="009E260F"/>
    <w:rsid w:val="009E70C7"/>
    <w:rsid w:val="009E7281"/>
    <w:rsid w:val="009F6CD9"/>
    <w:rsid w:val="00A04254"/>
    <w:rsid w:val="00A050EB"/>
    <w:rsid w:val="00A16189"/>
    <w:rsid w:val="00A21335"/>
    <w:rsid w:val="00A22764"/>
    <w:rsid w:val="00A31242"/>
    <w:rsid w:val="00A32072"/>
    <w:rsid w:val="00A475CB"/>
    <w:rsid w:val="00A52530"/>
    <w:rsid w:val="00A551BF"/>
    <w:rsid w:val="00A62154"/>
    <w:rsid w:val="00A6632F"/>
    <w:rsid w:val="00A70524"/>
    <w:rsid w:val="00A71CE1"/>
    <w:rsid w:val="00A73406"/>
    <w:rsid w:val="00A77FD2"/>
    <w:rsid w:val="00A94C16"/>
    <w:rsid w:val="00A95043"/>
    <w:rsid w:val="00AA23C0"/>
    <w:rsid w:val="00AA323A"/>
    <w:rsid w:val="00AB58D7"/>
    <w:rsid w:val="00AB7613"/>
    <w:rsid w:val="00AC4443"/>
    <w:rsid w:val="00AC65DA"/>
    <w:rsid w:val="00AD09E4"/>
    <w:rsid w:val="00AD20B9"/>
    <w:rsid w:val="00AE03D4"/>
    <w:rsid w:val="00AE18E2"/>
    <w:rsid w:val="00AE1A03"/>
    <w:rsid w:val="00AE462E"/>
    <w:rsid w:val="00AF1737"/>
    <w:rsid w:val="00B00FC0"/>
    <w:rsid w:val="00B0161E"/>
    <w:rsid w:val="00B01D99"/>
    <w:rsid w:val="00B10738"/>
    <w:rsid w:val="00B10B61"/>
    <w:rsid w:val="00B15935"/>
    <w:rsid w:val="00B25C30"/>
    <w:rsid w:val="00B2722A"/>
    <w:rsid w:val="00B32DC9"/>
    <w:rsid w:val="00B373C2"/>
    <w:rsid w:val="00B37D4E"/>
    <w:rsid w:val="00B40B51"/>
    <w:rsid w:val="00B42168"/>
    <w:rsid w:val="00B47E75"/>
    <w:rsid w:val="00B50E86"/>
    <w:rsid w:val="00B52799"/>
    <w:rsid w:val="00B57F22"/>
    <w:rsid w:val="00B61668"/>
    <w:rsid w:val="00B618BA"/>
    <w:rsid w:val="00B64B01"/>
    <w:rsid w:val="00B70519"/>
    <w:rsid w:val="00B71315"/>
    <w:rsid w:val="00B77EBF"/>
    <w:rsid w:val="00B82322"/>
    <w:rsid w:val="00B8305E"/>
    <w:rsid w:val="00B90576"/>
    <w:rsid w:val="00BA282D"/>
    <w:rsid w:val="00BA4D57"/>
    <w:rsid w:val="00BB1E64"/>
    <w:rsid w:val="00BB6260"/>
    <w:rsid w:val="00BD7488"/>
    <w:rsid w:val="00BE47DE"/>
    <w:rsid w:val="00BE66D9"/>
    <w:rsid w:val="00C02592"/>
    <w:rsid w:val="00C05E74"/>
    <w:rsid w:val="00C066EE"/>
    <w:rsid w:val="00C0720C"/>
    <w:rsid w:val="00C07E5A"/>
    <w:rsid w:val="00C107ED"/>
    <w:rsid w:val="00C10C19"/>
    <w:rsid w:val="00C143B8"/>
    <w:rsid w:val="00C17D02"/>
    <w:rsid w:val="00C26F28"/>
    <w:rsid w:val="00C44DCC"/>
    <w:rsid w:val="00C51595"/>
    <w:rsid w:val="00C5649C"/>
    <w:rsid w:val="00C63D7D"/>
    <w:rsid w:val="00C75486"/>
    <w:rsid w:val="00C81136"/>
    <w:rsid w:val="00C8202C"/>
    <w:rsid w:val="00C84E0C"/>
    <w:rsid w:val="00C870A2"/>
    <w:rsid w:val="00C928CF"/>
    <w:rsid w:val="00C92A5B"/>
    <w:rsid w:val="00CA46EC"/>
    <w:rsid w:val="00CB6EEC"/>
    <w:rsid w:val="00CD1EC5"/>
    <w:rsid w:val="00CD5E42"/>
    <w:rsid w:val="00CF0F31"/>
    <w:rsid w:val="00CF1F6C"/>
    <w:rsid w:val="00CF712A"/>
    <w:rsid w:val="00CF7663"/>
    <w:rsid w:val="00D036E9"/>
    <w:rsid w:val="00D05B29"/>
    <w:rsid w:val="00D12411"/>
    <w:rsid w:val="00D1394D"/>
    <w:rsid w:val="00D14AD3"/>
    <w:rsid w:val="00D3074F"/>
    <w:rsid w:val="00D31880"/>
    <w:rsid w:val="00D36583"/>
    <w:rsid w:val="00D4171D"/>
    <w:rsid w:val="00D4584E"/>
    <w:rsid w:val="00D473E0"/>
    <w:rsid w:val="00D47740"/>
    <w:rsid w:val="00D55784"/>
    <w:rsid w:val="00D612AF"/>
    <w:rsid w:val="00D71C7B"/>
    <w:rsid w:val="00D812B9"/>
    <w:rsid w:val="00D903FD"/>
    <w:rsid w:val="00D907B2"/>
    <w:rsid w:val="00D94BC5"/>
    <w:rsid w:val="00D96C08"/>
    <w:rsid w:val="00DA268E"/>
    <w:rsid w:val="00DA3E86"/>
    <w:rsid w:val="00DA4320"/>
    <w:rsid w:val="00DB2A7F"/>
    <w:rsid w:val="00DB503A"/>
    <w:rsid w:val="00DC1458"/>
    <w:rsid w:val="00DC3052"/>
    <w:rsid w:val="00DC4044"/>
    <w:rsid w:val="00DC719A"/>
    <w:rsid w:val="00DE6FD5"/>
    <w:rsid w:val="00DF46C4"/>
    <w:rsid w:val="00DF4CA3"/>
    <w:rsid w:val="00E3140A"/>
    <w:rsid w:val="00E376D2"/>
    <w:rsid w:val="00E52FF2"/>
    <w:rsid w:val="00E533D9"/>
    <w:rsid w:val="00E57A26"/>
    <w:rsid w:val="00E6305E"/>
    <w:rsid w:val="00E737C8"/>
    <w:rsid w:val="00E73E11"/>
    <w:rsid w:val="00E951BD"/>
    <w:rsid w:val="00E952BF"/>
    <w:rsid w:val="00EB2550"/>
    <w:rsid w:val="00EB3B89"/>
    <w:rsid w:val="00EB4400"/>
    <w:rsid w:val="00EB7E08"/>
    <w:rsid w:val="00EC78E7"/>
    <w:rsid w:val="00ED2558"/>
    <w:rsid w:val="00ED43D2"/>
    <w:rsid w:val="00EE3B8C"/>
    <w:rsid w:val="00EF4A38"/>
    <w:rsid w:val="00EF5845"/>
    <w:rsid w:val="00F01000"/>
    <w:rsid w:val="00F02A2F"/>
    <w:rsid w:val="00F05CA5"/>
    <w:rsid w:val="00F11B8F"/>
    <w:rsid w:val="00F128C5"/>
    <w:rsid w:val="00F13E67"/>
    <w:rsid w:val="00F15FAF"/>
    <w:rsid w:val="00F16859"/>
    <w:rsid w:val="00F2345D"/>
    <w:rsid w:val="00F25C83"/>
    <w:rsid w:val="00F35201"/>
    <w:rsid w:val="00F35E00"/>
    <w:rsid w:val="00F47193"/>
    <w:rsid w:val="00F55651"/>
    <w:rsid w:val="00F627D4"/>
    <w:rsid w:val="00F74011"/>
    <w:rsid w:val="00F75E1F"/>
    <w:rsid w:val="00F80CFC"/>
    <w:rsid w:val="00F80DE1"/>
    <w:rsid w:val="00F81A74"/>
    <w:rsid w:val="00F921D4"/>
    <w:rsid w:val="00F95D9C"/>
    <w:rsid w:val="00F965B5"/>
    <w:rsid w:val="00F97B6E"/>
    <w:rsid w:val="00FA6290"/>
    <w:rsid w:val="00FB02E6"/>
    <w:rsid w:val="00FB10CB"/>
    <w:rsid w:val="00FC7209"/>
    <w:rsid w:val="00FD3403"/>
    <w:rsid w:val="00FE4F2D"/>
    <w:rsid w:val="00FE733C"/>
    <w:rsid w:val="00FF0871"/>
    <w:rsid w:val="00FF0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6C05CF"/>
  <w15:docId w15:val="{27AEB230-D40D-4693-BFFE-159D6C2B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1F497D"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Brief List Paragraph 1,Bullets,CV text,DDM Gen Text,Dot pt,F5 List Paragraph,L,List Paragraph1,List Paragraph11,List Paragraph111,List Paragraph2,Medium Grid 1 - Accent 21,Numbered Paragraph,Numbered paragraph,Recommendation,0Bullet,列"/>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aliases w:val="NSRB Table"/>
    <w:basedOn w:val="TableNormal"/>
    <w:uiPriority w:val="3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8064A2"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8064A2" w:themeColor="accent4"/>
      <w:u w:val="single"/>
    </w:rPr>
  </w:style>
  <w:style w:type="paragraph" w:customStyle="1" w:styleId="IGBBodyText">
    <w:name w:val="IGB_Body Text"/>
    <w:basedOn w:val="Normal"/>
    <w:rsid w:val="00153A58"/>
    <w:pPr>
      <w:suppressAutoHyphens/>
      <w:autoSpaceDE w:val="0"/>
      <w:autoSpaceDN w:val="0"/>
      <w:adjustRightInd w:val="0"/>
      <w:spacing w:after="120" w:line="240" w:lineRule="atLeast"/>
      <w:textAlignment w:val="center"/>
    </w:pPr>
    <w:rPr>
      <w:rFonts w:ascii="Calibri" w:eastAsia="Times New Roman" w:hAnsi="Calibri" w:cs="Garamond"/>
      <w:color w:val="000000"/>
      <w:sz w:val="21"/>
      <w:lang w:val="en-GB" w:eastAsia="en-AU"/>
    </w:rPr>
  </w:style>
  <w:style w:type="paragraph" w:customStyle="1" w:styleId="IGBListbullet">
    <w:name w:val="IGB_List bullet"/>
    <w:basedOn w:val="Normal"/>
    <w:link w:val="IGBListbulletChar"/>
    <w:rsid w:val="00153A58"/>
    <w:pPr>
      <w:numPr>
        <w:numId w:val="23"/>
      </w:numPr>
      <w:tabs>
        <w:tab w:val="left" w:pos="567"/>
      </w:tabs>
      <w:suppressAutoHyphens/>
      <w:autoSpaceDE w:val="0"/>
      <w:autoSpaceDN w:val="0"/>
      <w:adjustRightInd w:val="0"/>
      <w:spacing w:after="120" w:line="240" w:lineRule="atLeast"/>
      <w:contextualSpacing/>
      <w:textAlignment w:val="center"/>
    </w:pPr>
    <w:rPr>
      <w:rFonts w:ascii="Calibri" w:eastAsia="Times New Roman" w:hAnsi="Calibri" w:cs="Garamond"/>
      <w:color w:val="000000"/>
      <w:sz w:val="21"/>
      <w:lang w:val="en-GB" w:eastAsia="en-AU"/>
    </w:rPr>
  </w:style>
  <w:style w:type="character" w:customStyle="1" w:styleId="IGBListbulletChar">
    <w:name w:val="IGB_List bullet Char"/>
    <w:basedOn w:val="DefaultParagraphFont"/>
    <w:link w:val="IGBListbullet"/>
    <w:rsid w:val="00153A58"/>
    <w:rPr>
      <w:rFonts w:ascii="Calibri" w:eastAsia="Times New Roman" w:hAnsi="Calibri" w:cs="Garamond"/>
      <w:color w:val="000000"/>
      <w:sz w:val="21"/>
      <w:lang w:val="en-GB" w:eastAsia="en-AU"/>
    </w:rPr>
  </w:style>
  <w:style w:type="paragraph" w:styleId="NormalWeb">
    <w:name w:val="Normal (Web)"/>
    <w:basedOn w:val="Normal"/>
    <w:uiPriority w:val="99"/>
    <w:unhideWhenUsed/>
    <w:rsid w:val="00780D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qFormat/>
    <w:locked/>
    <w:rsid w:val="003C214D"/>
  </w:style>
  <w:style w:type="character" w:customStyle="1" w:styleId="st1">
    <w:name w:val="st1"/>
    <w:basedOn w:val="DefaultParagraphFont"/>
    <w:rsid w:val="00A21335"/>
  </w:style>
  <w:style w:type="character" w:styleId="CommentReference">
    <w:name w:val="annotation reference"/>
    <w:basedOn w:val="DefaultParagraphFont"/>
    <w:uiPriority w:val="99"/>
    <w:semiHidden/>
    <w:unhideWhenUsed/>
    <w:rsid w:val="00F128C5"/>
    <w:rPr>
      <w:sz w:val="16"/>
      <w:szCs w:val="16"/>
    </w:rPr>
  </w:style>
  <w:style w:type="paragraph" w:styleId="CommentText">
    <w:name w:val="annotation text"/>
    <w:basedOn w:val="Normal"/>
    <w:link w:val="CommentTextChar"/>
    <w:uiPriority w:val="99"/>
    <w:semiHidden/>
    <w:unhideWhenUsed/>
    <w:rsid w:val="00F128C5"/>
    <w:pPr>
      <w:spacing w:line="240" w:lineRule="auto"/>
    </w:pPr>
    <w:rPr>
      <w:sz w:val="20"/>
      <w:szCs w:val="20"/>
    </w:rPr>
  </w:style>
  <w:style w:type="character" w:customStyle="1" w:styleId="CommentTextChar">
    <w:name w:val="Comment Text Char"/>
    <w:basedOn w:val="DefaultParagraphFont"/>
    <w:link w:val="CommentText"/>
    <w:uiPriority w:val="99"/>
    <w:semiHidden/>
    <w:rsid w:val="00F128C5"/>
    <w:rPr>
      <w:sz w:val="20"/>
      <w:szCs w:val="20"/>
    </w:rPr>
  </w:style>
  <w:style w:type="paragraph" w:styleId="CommentSubject">
    <w:name w:val="annotation subject"/>
    <w:basedOn w:val="CommentText"/>
    <w:next w:val="CommentText"/>
    <w:link w:val="CommentSubjectChar"/>
    <w:uiPriority w:val="99"/>
    <w:semiHidden/>
    <w:unhideWhenUsed/>
    <w:rsid w:val="00F128C5"/>
    <w:rPr>
      <w:b/>
      <w:bCs/>
    </w:rPr>
  </w:style>
  <w:style w:type="character" w:customStyle="1" w:styleId="CommentSubjectChar">
    <w:name w:val="Comment Subject Char"/>
    <w:basedOn w:val="CommentTextChar"/>
    <w:link w:val="CommentSubject"/>
    <w:uiPriority w:val="99"/>
    <w:semiHidden/>
    <w:rsid w:val="00F128C5"/>
    <w:rPr>
      <w:b/>
      <w:bCs/>
      <w:sz w:val="20"/>
      <w:szCs w:val="20"/>
    </w:rPr>
  </w:style>
  <w:style w:type="paragraph" w:styleId="FootnoteText">
    <w:name w:val="footnote text"/>
    <w:basedOn w:val="Normal"/>
    <w:link w:val="FootnoteTextChar"/>
    <w:uiPriority w:val="99"/>
    <w:unhideWhenUsed/>
    <w:rsid w:val="0084379F"/>
    <w:pPr>
      <w:spacing w:after="0" w:line="240" w:lineRule="auto"/>
    </w:pPr>
    <w:rPr>
      <w:sz w:val="20"/>
      <w:szCs w:val="20"/>
    </w:rPr>
  </w:style>
  <w:style w:type="character" w:customStyle="1" w:styleId="FootnoteTextChar">
    <w:name w:val="Footnote Text Char"/>
    <w:basedOn w:val="DefaultParagraphFont"/>
    <w:link w:val="FootnoteText"/>
    <w:uiPriority w:val="99"/>
    <w:rsid w:val="0084379F"/>
    <w:rPr>
      <w:sz w:val="20"/>
      <w:szCs w:val="20"/>
    </w:rPr>
  </w:style>
  <w:style w:type="character" w:styleId="FootnoteReference">
    <w:name w:val="footnote reference"/>
    <w:basedOn w:val="DefaultParagraphFont"/>
    <w:uiPriority w:val="99"/>
    <w:semiHidden/>
    <w:unhideWhenUsed/>
    <w:rsid w:val="0084379F"/>
    <w:rPr>
      <w:vertAlign w:val="superscript"/>
    </w:rPr>
  </w:style>
  <w:style w:type="paragraph" w:customStyle="1" w:styleId="Normal-AfterTableFigure">
    <w:name w:val="Normal - After Table/Figure"/>
    <w:basedOn w:val="Normal"/>
    <w:qFormat/>
    <w:rsid w:val="009216D9"/>
    <w:pPr>
      <w:spacing w:before="240" w:after="12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56">
      <w:bodyDiv w:val="1"/>
      <w:marLeft w:val="0"/>
      <w:marRight w:val="0"/>
      <w:marTop w:val="0"/>
      <w:marBottom w:val="0"/>
      <w:divBdr>
        <w:top w:val="none" w:sz="0" w:space="0" w:color="auto"/>
        <w:left w:val="none" w:sz="0" w:space="0" w:color="auto"/>
        <w:bottom w:val="none" w:sz="0" w:space="0" w:color="auto"/>
        <w:right w:val="none" w:sz="0" w:space="0" w:color="auto"/>
      </w:divBdr>
      <w:divsChild>
        <w:div w:id="1469056791">
          <w:marLeft w:val="0"/>
          <w:marRight w:val="0"/>
          <w:marTop w:val="0"/>
          <w:marBottom w:val="0"/>
          <w:divBdr>
            <w:top w:val="none" w:sz="0" w:space="0" w:color="auto"/>
            <w:left w:val="none" w:sz="0" w:space="0" w:color="auto"/>
            <w:bottom w:val="none" w:sz="0" w:space="0" w:color="auto"/>
            <w:right w:val="none" w:sz="0" w:space="0" w:color="auto"/>
          </w:divBdr>
          <w:divsChild>
            <w:div w:id="965160398">
              <w:marLeft w:val="0"/>
              <w:marRight w:val="0"/>
              <w:marTop w:val="0"/>
              <w:marBottom w:val="0"/>
              <w:divBdr>
                <w:top w:val="none" w:sz="0" w:space="0" w:color="auto"/>
                <w:left w:val="none" w:sz="0" w:space="0" w:color="auto"/>
                <w:bottom w:val="none" w:sz="0" w:space="0" w:color="auto"/>
                <w:right w:val="none" w:sz="0" w:space="0" w:color="auto"/>
              </w:divBdr>
              <w:divsChild>
                <w:div w:id="518662582">
                  <w:marLeft w:val="0"/>
                  <w:marRight w:val="0"/>
                  <w:marTop w:val="0"/>
                  <w:marBottom w:val="0"/>
                  <w:divBdr>
                    <w:top w:val="none" w:sz="0" w:space="0" w:color="auto"/>
                    <w:left w:val="none" w:sz="0" w:space="0" w:color="auto"/>
                    <w:bottom w:val="none" w:sz="0" w:space="0" w:color="auto"/>
                    <w:right w:val="none" w:sz="0" w:space="0" w:color="auto"/>
                  </w:divBdr>
                  <w:divsChild>
                    <w:div w:id="1743874049">
                      <w:marLeft w:val="0"/>
                      <w:marRight w:val="0"/>
                      <w:marTop w:val="0"/>
                      <w:marBottom w:val="0"/>
                      <w:divBdr>
                        <w:top w:val="none" w:sz="0" w:space="0" w:color="auto"/>
                        <w:left w:val="none" w:sz="0" w:space="0" w:color="auto"/>
                        <w:bottom w:val="none" w:sz="0" w:space="0" w:color="auto"/>
                        <w:right w:val="none" w:sz="0" w:space="0" w:color="auto"/>
                      </w:divBdr>
                      <w:divsChild>
                        <w:div w:id="1588074727">
                          <w:marLeft w:val="0"/>
                          <w:marRight w:val="0"/>
                          <w:marTop w:val="0"/>
                          <w:marBottom w:val="0"/>
                          <w:divBdr>
                            <w:top w:val="none" w:sz="0" w:space="0" w:color="auto"/>
                            <w:left w:val="none" w:sz="0" w:space="0" w:color="auto"/>
                            <w:bottom w:val="none" w:sz="0" w:space="0" w:color="auto"/>
                            <w:right w:val="none" w:sz="0" w:space="0" w:color="auto"/>
                          </w:divBdr>
                          <w:divsChild>
                            <w:div w:id="436408183">
                              <w:marLeft w:val="0"/>
                              <w:marRight w:val="0"/>
                              <w:marTop w:val="0"/>
                              <w:marBottom w:val="0"/>
                              <w:divBdr>
                                <w:top w:val="none" w:sz="0" w:space="0" w:color="auto"/>
                                <w:left w:val="none" w:sz="0" w:space="0" w:color="auto"/>
                                <w:bottom w:val="none" w:sz="0" w:space="0" w:color="auto"/>
                                <w:right w:val="none" w:sz="0" w:space="0" w:color="auto"/>
                              </w:divBdr>
                              <w:divsChild>
                                <w:div w:id="395973317">
                                  <w:marLeft w:val="0"/>
                                  <w:marRight w:val="0"/>
                                  <w:marTop w:val="0"/>
                                  <w:marBottom w:val="0"/>
                                  <w:divBdr>
                                    <w:top w:val="none" w:sz="0" w:space="0" w:color="auto"/>
                                    <w:left w:val="none" w:sz="0" w:space="0" w:color="auto"/>
                                    <w:bottom w:val="none" w:sz="0" w:space="0" w:color="auto"/>
                                    <w:right w:val="none" w:sz="0" w:space="0" w:color="auto"/>
                                  </w:divBdr>
                                  <w:divsChild>
                                    <w:div w:id="19502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168">
      <w:bodyDiv w:val="1"/>
      <w:marLeft w:val="0"/>
      <w:marRight w:val="0"/>
      <w:marTop w:val="0"/>
      <w:marBottom w:val="0"/>
      <w:divBdr>
        <w:top w:val="none" w:sz="0" w:space="0" w:color="auto"/>
        <w:left w:val="none" w:sz="0" w:space="0" w:color="auto"/>
        <w:bottom w:val="none" w:sz="0" w:space="0" w:color="auto"/>
        <w:right w:val="none" w:sz="0" w:space="0" w:color="auto"/>
      </w:divBdr>
    </w:div>
    <w:div w:id="64113625">
      <w:bodyDiv w:val="1"/>
      <w:marLeft w:val="0"/>
      <w:marRight w:val="0"/>
      <w:marTop w:val="0"/>
      <w:marBottom w:val="0"/>
      <w:divBdr>
        <w:top w:val="none" w:sz="0" w:space="0" w:color="auto"/>
        <w:left w:val="none" w:sz="0" w:space="0" w:color="auto"/>
        <w:bottom w:val="none" w:sz="0" w:space="0" w:color="auto"/>
        <w:right w:val="none" w:sz="0" w:space="0" w:color="auto"/>
      </w:divBdr>
    </w:div>
    <w:div w:id="156772228">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34752999">
      <w:bodyDiv w:val="1"/>
      <w:marLeft w:val="0"/>
      <w:marRight w:val="0"/>
      <w:marTop w:val="0"/>
      <w:marBottom w:val="0"/>
      <w:divBdr>
        <w:top w:val="none" w:sz="0" w:space="0" w:color="auto"/>
        <w:left w:val="none" w:sz="0" w:space="0" w:color="auto"/>
        <w:bottom w:val="none" w:sz="0" w:space="0" w:color="auto"/>
        <w:right w:val="none" w:sz="0" w:space="0" w:color="auto"/>
      </w:divBdr>
    </w:div>
    <w:div w:id="291788725">
      <w:bodyDiv w:val="1"/>
      <w:marLeft w:val="0"/>
      <w:marRight w:val="0"/>
      <w:marTop w:val="0"/>
      <w:marBottom w:val="0"/>
      <w:divBdr>
        <w:top w:val="none" w:sz="0" w:space="0" w:color="auto"/>
        <w:left w:val="none" w:sz="0" w:space="0" w:color="auto"/>
        <w:bottom w:val="none" w:sz="0" w:space="0" w:color="auto"/>
        <w:right w:val="none" w:sz="0" w:space="0" w:color="auto"/>
      </w:divBdr>
    </w:div>
    <w:div w:id="403797085">
      <w:bodyDiv w:val="1"/>
      <w:marLeft w:val="0"/>
      <w:marRight w:val="0"/>
      <w:marTop w:val="0"/>
      <w:marBottom w:val="0"/>
      <w:divBdr>
        <w:top w:val="none" w:sz="0" w:space="0" w:color="auto"/>
        <w:left w:val="none" w:sz="0" w:space="0" w:color="auto"/>
        <w:bottom w:val="none" w:sz="0" w:space="0" w:color="auto"/>
        <w:right w:val="none" w:sz="0" w:space="0" w:color="auto"/>
      </w:divBdr>
    </w:div>
    <w:div w:id="814103027">
      <w:bodyDiv w:val="1"/>
      <w:marLeft w:val="0"/>
      <w:marRight w:val="0"/>
      <w:marTop w:val="0"/>
      <w:marBottom w:val="0"/>
      <w:divBdr>
        <w:top w:val="none" w:sz="0" w:space="0" w:color="auto"/>
        <w:left w:val="none" w:sz="0" w:space="0" w:color="auto"/>
        <w:bottom w:val="none" w:sz="0" w:space="0" w:color="auto"/>
        <w:right w:val="none" w:sz="0" w:space="0" w:color="auto"/>
      </w:divBdr>
    </w:div>
    <w:div w:id="1456673606">
      <w:bodyDiv w:val="1"/>
      <w:marLeft w:val="0"/>
      <w:marRight w:val="0"/>
      <w:marTop w:val="0"/>
      <w:marBottom w:val="0"/>
      <w:divBdr>
        <w:top w:val="none" w:sz="0" w:space="0" w:color="auto"/>
        <w:left w:val="none" w:sz="0" w:space="0" w:color="auto"/>
        <w:bottom w:val="none" w:sz="0" w:space="0" w:color="auto"/>
        <w:right w:val="none" w:sz="0" w:space="0" w:color="auto"/>
      </w:divBdr>
      <w:divsChild>
        <w:div w:id="1683236692">
          <w:marLeft w:val="0"/>
          <w:marRight w:val="0"/>
          <w:marTop w:val="0"/>
          <w:marBottom w:val="0"/>
          <w:divBdr>
            <w:top w:val="none" w:sz="0" w:space="0" w:color="auto"/>
            <w:left w:val="none" w:sz="0" w:space="0" w:color="auto"/>
            <w:bottom w:val="none" w:sz="0" w:space="0" w:color="auto"/>
            <w:right w:val="none" w:sz="0" w:space="0" w:color="auto"/>
          </w:divBdr>
          <w:divsChild>
            <w:div w:id="1372077943">
              <w:marLeft w:val="0"/>
              <w:marRight w:val="0"/>
              <w:marTop w:val="0"/>
              <w:marBottom w:val="0"/>
              <w:divBdr>
                <w:top w:val="none" w:sz="0" w:space="0" w:color="auto"/>
                <w:left w:val="none" w:sz="0" w:space="0" w:color="auto"/>
                <w:bottom w:val="none" w:sz="0" w:space="0" w:color="auto"/>
                <w:right w:val="none" w:sz="0" w:space="0" w:color="auto"/>
              </w:divBdr>
              <w:divsChild>
                <w:div w:id="885603888">
                  <w:marLeft w:val="0"/>
                  <w:marRight w:val="0"/>
                  <w:marTop w:val="0"/>
                  <w:marBottom w:val="0"/>
                  <w:divBdr>
                    <w:top w:val="none" w:sz="0" w:space="0" w:color="auto"/>
                    <w:left w:val="none" w:sz="0" w:space="0" w:color="auto"/>
                    <w:bottom w:val="none" w:sz="0" w:space="0" w:color="auto"/>
                    <w:right w:val="none" w:sz="0" w:space="0" w:color="auto"/>
                  </w:divBdr>
                  <w:divsChild>
                    <w:div w:id="115418876">
                      <w:marLeft w:val="0"/>
                      <w:marRight w:val="0"/>
                      <w:marTop w:val="0"/>
                      <w:marBottom w:val="0"/>
                      <w:divBdr>
                        <w:top w:val="none" w:sz="0" w:space="0" w:color="auto"/>
                        <w:left w:val="none" w:sz="0" w:space="0" w:color="auto"/>
                        <w:bottom w:val="none" w:sz="0" w:space="0" w:color="auto"/>
                        <w:right w:val="none" w:sz="0" w:space="0" w:color="auto"/>
                      </w:divBdr>
                      <w:divsChild>
                        <w:div w:id="424691587">
                          <w:marLeft w:val="0"/>
                          <w:marRight w:val="0"/>
                          <w:marTop w:val="0"/>
                          <w:marBottom w:val="0"/>
                          <w:divBdr>
                            <w:top w:val="none" w:sz="0" w:space="0" w:color="auto"/>
                            <w:left w:val="none" w:sz="0" w:space="0" w:color="auto"/>
                            <w:bottom w:val="none" w:sz="0" w:space="0" w:color="auto"/>
                            <w:right w:val="none" w:sz="0" w:space="0" w:color="auto"/>
                          </w:divBdr>
                          <w:divsChild>
                            <w:div w:id="1984313235">
                              <w:marLeft w:val="0"/>
                              <w:marRight w:val="0"/>
                              <w:marTop w:val="0"/>
                              <w:marBottom w:val="0"/>
                              <w:divBdr>
                                <w:top w:val="none" w:sz="0" w:space="0" w:color="auto"/>
                                <w:left w:val="none" w:sz="0" w:space="0" w:color="auto"/>
                                <w:bottom w:val="none" w:sz="0" w:space="0" w:color="auto"/>
                                <w:right w:val="none" w:sz="0" w:space="0" w:color="auto"/>
                              </w:divBdr>
                              <w:divsChild>
                                <w:div w:id="473370224">
                                  <w:marLeft w:val="0"/>
                                  <w:marRight w:val="0"/>
                                  <w:marTop w:val="0"/>
                                  <w:marBottom w:val="0"/>
                                  <w:divBdr>
                                    <w:top w:val="none" w:sz="0" w:space="0" w:color="auto"/>
                                    <w:left w:val="none" w:sz="0" w:space="0" w:color="auto"/>
                                    <w:bottom w:val="none" w:sz="0" w:space="0" w:color="auto"/>
                                    <w:right w:val="none" w:sz="0" w:space="0" w:color="auto"/>
                                  </w:divBdr>
                                  <w:divsChild>
                                    <w:div w:id="1883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24131">
      <w:bodyDiv w:val="1"/>
      <w:marLeft w:val="0"/>
      <w:marRight w:val="0"/>
      <w:marTop w:val="0"/>
      <w:marBottom w:val="0"/>
      <w:divBdr>
        <w:top w:val="none" w:sz="0" w:space="0" w:color="auto"/>
        <w:left w:val="none" w:sz="0" w:space="0" w:color="auto"/>
        <w:bottom w:val="none" w:sz="0" w:space="0" w:color="auto"/>
        <w:right w:val="none" w:sz="0" w:space="0" w:color="auto"/>
      </w:divBdr>
    </w:div>
    <w:div w:id="1693265528">
      <w:bodyDiv w:val="1"/>
      <w:marLeft w:val="0"/>
      <w:marRight w:val="0"/>
      <w:marTop w:val="0"/>
      <w:marBottom w:val="0"/>
      <w:divBdr>
        <w:top w:val="none" w:sz="0" w:space="0" w:color="auto"/>
        <w:left w:val="none" w:sz="0" w:space="0" w:color="auto"/>
        <w:bottom w:val="none" w:sz="0" w:space="0" w:color="auto"/>
        <w:right w:val="none" w:sz="0" w:space="0" w:color="auto"/>
      </w:divBdr>
    </w:div>
    <w:div w:id="20258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submissions-publication-education-agent-performance-dat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20inquiries\Joint%20Standing%20Committee%20on%20the%20NDIS\Department%20of%20Education%20and%20Trai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0E0571FD79482DB34A650A8C6AB10C"/>
        <w:category>
          <w:name w:val="General"/>
          <w:gallery w:val="placeholder"/>
        </w:category>
        <w:types>
          <w:type w:val="bbPlcHdr"/>
        </w:types>
        <w:behaviors>
          <w:behavior w:val="content"/>
        </w:behaviors>
        <w:guid w:val="{06BADB46-7B4F-44C7-BD26-4D07EC030C0F}"/>
      </w:docPartPr>
      <w:docPartBody>
        <w:p w:rsidR="004135AB" w:rsidRDefault="004135AB">
          <w:pPr>
            <w:pStyle w:val="600E0571FD79482DB34A650A8C6AB10C"/>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AB"/>
    <w:rsid w:val="00382C96"/>
    <w:rsid w:val="004135AB"/>
    <w:rsid w:val="004C31DE"/>
    <w:rsid w:val="005E7677"/>
    <w:rsid w:val="008D3CFD"/>
    <w:rsid w:val="008F37AC"/>
    <w:rsid w:val="009F27A4"/>
    <w:rsid w:val="00A87B19"/>
    <w:rsid w:val="00FF7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0E0571FD79482DB34A650A8C6AB10C">
    <w:name w:val="600E0571FD79482DB34A650A8C6AB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3F24DDEA8ED341AB615F0D7A0EE2FD" ma:contentTypeVersion="" ma:contentTypeDescription="PDMS Document Site Content Type" ma:contentTypeScope="" ma:versionID="483a78ef983f2c06f4d56318543318ae">
  <xsd:schema xmlns:xsd="http://www.w3.org/2001/XMLSchema" xmlns:xs="http://www.w3.org/2001/XMLSchema" xmlns:p="http://schemas.microsoft.com/office/2006/metadata/properties" xmlns:ns2="6F8BEB73-CF0A-45C6-9A8C-D3144ACA54EA" targetNamespace="http://schemas.microsoft.com/office/2006/metadata/properties" ma:root="true" ma:fieldsID="0e98b1ae2181f4f6aa6503505f35635a" ns2:_="">
    <xsd:import namespace="6F8BEB73-CF0A-45C6-9A8C-D3144ACA5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B73-CF0A-45C6-9A8C-D3144ACA5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F8BEB73-CF0A-45C6-9A8C-D3144ACA54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2.xml><?xml version="1.0" encoding="utf-8"?>
<ds:datastoreItem xmlns:ds="http://schemas.openxmlformats.org/officeDocument/2006/customXml" ds:itemID="{79816016-AB56-4204-B048-EC44D255C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B73-CF0A-45C6-9A8C-D3144ACA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B4C30-6D86-487A-8B5B-3A5DEC448181}">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6F8BEB73-CF0A-45C6-9A8C-D3144ACA54E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490AD7-458D-4DC4-9276-E4B42118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Education and Training.dotx</Template>
  <TotalTime>127</TotalTime>
  <Pages>7</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Publication of education agent performance data</vt:lpstr>
    </vt:vector>
  </TitlesOfParts>
  <Company>Australian Government</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of education agent performance data</dc:title>
  <dc:creator>BORG,Amanda</dc:creator>
  <cp:lastModifiedBy>EB</cp:lastModifiedBy>
  <cp:revision>40</cp:revision>
  <cp:lastPrinted>2018-11-20T06:37:00Z</cp:lastPrinted>
  <dcterms:created xsi:type="dcterms:W3CDTF">2018-12-05T22:29:00Z</dcterms:created>
  <dcterms:modified xsi:type="dcterms:W3CDTF">2019-01-10T23:16:00Z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0x010100266966F133664895A6EE3632470D45F500BA3F24DDEA8ED341AB615F0D7A0EE2FD</vt:lpwstr>
  </property>
</Properties>
</file>