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EF235" w14:textId="77777777" w:rsidR="00372CDD" w:rsidRDefault="00372CDD">
      <w:pPr>
        <w:pStyle w:val="BodyText"/>
        <w:rPr>
          <w:rFonts w:ascii="Times New Roman"/>
          <w:sz w:val="20"/>
        </w:rPr>
      </w:pPr>
    </w:p>
    <w:p w14:paraId="6B5EC4E7" w14:textId="77777777" w:rsidR="00372CDD" w:rsidRDefault="00372CDD">
      <w:pPr>
        <w:pStyle w:val="BodyText"/>
        <w:spacing w:before="7"/>
        <w:rPr>
          <w:rFonts w:ascii="Times New Roman"/>
          <w:sz w:val="22"/>
        </w:rPr>
      </w:pPr>
    </w:p>
    <w:p w14:paraId="2DB4B01B" w14:textId="34A9FE7C" w:rsidR="00372CDD" w:rsidRDefault="00C87ECC">
      <w:pPr>
        <w:pStyle w:val="Heading2"/>
        <w:spacing w:before="42"/>
        <w:ind w:right="351"/>
      </w:pPr>
      <w:r>
        <w:rPr>
          <w:color w:val="306E71"/>
        </w:rPr>
        <w:t xml:space="preserve">APPENDIX </w:t>
      </w:r>
      <w:r w:rsidR="0068635F">
        <w:rPr>
          <w:color w:val="306E71"/>
        </w:rPr>
        <w:t>7</w:t>
      </w:r>
      <w:r>
        <w:rPr>
          <w:color w:val="306E71"/>
        </w:rPr>
        <w:t>: BILATERAL AGREEMENT BETWEEN QUEENSLAND AND THE COMMONWEALTH ON IMPLEMENTATION OF SCHOOL EDUCATION REFORM</w:t>
      </w:r>
    </w:p>
    <w:p w14:paraId="07D4BBBA" w14:textId="77777777" w:rsidR="00372CDD" w:rsidRDefault="00C87ECC">
      <w:pPr>
        <w:spacing w:before="122"/>
        <w:ind w:left="100"/>
        <w:rPr>
          <w:b/>
          <w:sz w:val="28"/>
        </w:rPr>
      </w:pPr>
      <w:r>
        <w:rPr>
          <w:b/>
          <w:color w:val="306E71"/>
          <w:sz w:val="28"/>
        </w:rPr>
        <w:t>Preliminaries</w:t>
      </w:r>
    </w:p>
    <w:p w14:paraId="07327FBA" w14:textId="77777777" w:rsidR="00372CDD" w:rsidRDefault="00C87ECC">
      <w:pPr>
        <w:pStyle w:val="ListParagraph"/>
        <w:numPr>
          <w:ilvl w:val="0"/>
          <w:numId w:val="3"/>
        </w:numPr>
        <w:tabs>
          <w:tab w:val="left" w:pos="667"/>
        </w:tabs>
        <w:spacing w:before="225" w:line="220" w:lineRule="auto"/>
        <w:ind w:right="108" w:hanging="566"/>
        <w:rPr>
          <w:sz w:val="23"/>
        </w:rPr>
      </w:pPr>
      <w:r>
        <w:rPr>
          <w:sz w:val="23"/>
        </w:rPr>
        <w:t xml:space="preserve">This agreement satisfies the conditions of subsection 22(2)(b) of the </w:t>
      </w:r>
      <w:r>
        <w:rPr>
          <w:i/>
          <w:sz w:val="23"/>
        </w:rPr>
        <w:t xml:space="preserve">Australian Education Act 2013 </w:t>
      </w:r>
      <w:r>
        <w:rPr>
          <w:sz w:val="23"/>
        </w:rPr>
        <w:t>(the Act) requiring each State and Territory to be party to an agreement with the Commonwealth relating to the implementation of school education</w:t>
      </w:r>
      <w:r>
        <w:rPr>
          <w:spacing w:val="-8"/>
          <w:sz w:val="23"/>
        </w:rPr>
        <w:t xml:space="preserve"> </w:t>
      </w:r>
      <w:r>
        <w:rPr>
          <w:sz w:val="23"/>
        </w:rPr>
        <w:t>reform.</w:t>
      </w:r>
    </w:p>
    <w:p w14:paraId="375ABC0B" w14:textId="77777777" w:rsidR="00372CDD" w:rsidRDefault="00372CDD">
      <w:pPr>
        <w:pStyle w:val="BodyText"/>
        <w:spacing w:before="1"/>
        <w:rPr>
          <w:sz w:val="20"/>
        </w:rPr>
      </w:pPr>
    </w:p>
    <w:p w14:paraId="2EECB1B0" w14:textId="77777777" w:rsidR="00372CDD" w:rsidRDefault="00C87ECC">
      <w:pPr>
        <w:pStyle w:val="ListParagraph"/>
        <w:numPr>
          <w:ilvl w:val="0"/>
          <w:numId w:val="3"/>
        </w:numPr>
        <w:tabs>
          <w:tab w:val="left" w:pos="667"/>
        </w:tabs>
        <w:spacing w:line="220" w:lineRule="auto"/>
        <w:ind w:right="106" w:hanging="566"/>
        <w:rPr>
          <w:sz w:val="23"/>
        </w:rPr>
      </w:pPr>
      <w:r>
        <w:rPr>
          <w:sz w:val="23"/>
        </w:rPr>
        <w:t>This bilateral agreement will inform the priorities for the work plans for non-government representative bodies in Queensland under the Australian Government’s Non-Government Reform Support</w:t>
      </w:r>
      <w:r>
        <w:rPr>
          <w:spacing w:val="-3"/>
          <w:sz w:val="23"/>
        </w:rPr>
        <w:t xml:space="preserve"> </w:t>
      </w:r>
      <w:r>
        <w:rPr>
          <w:sz w:val="23"/>
        </w:rPr>
        <w:t>Fund.</w:t>
      </w:r>
    </w:p>
    <w:p w14:paraId="49696F8C" w14:textId="77777777" w:rsidR="00372CDD" w:rsidRDefault="00372CDD">
      <w:pPr>
        <w:pStyle w:val="BodyText"/>
        <w:spacing w:before="8"/>
        <w:rPr>
          <w:sz w:val="18"/>
        </w:rPr>
      </w:pPr>
    </w:p>
    <w:p w14:paraId="6CE93A0E" w14:textId="77777777" w:rsidR="00372CDD" w:rsidRDefault="00C87ECC">
      <w:pPr>
        <w:pStyle w:val="ListParagraph"/>
        <w:numPr>
          <w:ilvl w:val="0"/>
          <w:numId w:val="3"/>
        </w:numPr>
        <w:tabs>
          <w:tab w:val="left" w:pos="666"/>
          <w:tab w:val="left" w:pos="667"/>
        </w:tabs>
        <w:spacing w:before="1"/>
        <w:ind w:right="0" w:hanging="566"/>
        <w:rPr>
          <w:sz w:val="23"/>
        </w:rPr>
      </w:pPr>
      <w:r>
        <w:rPr>
          <w:sz w:val="23"/>
        </w:rPr>
        <w:t>This bilateral agreement sets</w:t>
      </w:r>
      <w:r>
        <w:rPr>
          <w:spacing w:val="-12"/>
          <w:sz w:val="23"/>
        </w:rPr>
        <w:t xml:space="preserve"> </w:t>
      </w:r>
      <w:r>
        <w:rPr>
          <w:sz w:val="23"/>
        </w:rPr>
        <w:t>out:</w:t>
      </w:r>
    </w:p>
    <w:p w14:paraId="4A651004" w14:textId="77777777" w:rsidR="00372CDD" w:rsidRDefault="00372CDD">
      <w:pPr>
        <w:pStyle w:val="BodyText"/>
        <w:spacing w:before="3"/>
        <w:rPr>
          <w:sz w:val="19"/>
        </w:rPr>
      </w:pPr>
    </w:p>
    <w:p w14:paraId="222436B5" w14:textId="77777777" w:rsidR="00372CDD" w:rsidRDefault="00C87ECC">
      <w:pPr>
        <w:pStyle w:val="ListParagraph"/>
        <w:numPr>
          <w:ilvl w:val="1"/>
          <w:numId w:val="3"/>
        </w:numPr>
        <w:tabs>
          <w:tab w:val="left" w:pos="1094"/>
        </w:tabs>
        <w:spacing w:before="1" w:line="220" w:lineRule="auto"/>
        <w:ind w:right="109"/>
        <w:rPr>
          <w:sz w:val="23"/>
        </w:rPr>
      </w:pPr>
      <w:r>
        <w:rPr>
          <w:sz w:val="23"/>
        </w:rPr>
        <w:t>the state-specific actions that Queensland will implement in line with the three reform directions</w:t>
      </w:r>
      <w:r>
        <w:rPr>
          <w:spacing w:val="-3"/>
          <w:sz w:val="23"/>
        </w:rPr>
        <w:t xml:space="preserve"> </w:t>
      </w:r>
      <w:r>
        <w:rPr>
          <w:sz w:val="23"/>
        </w:rPr>
        <w:t>outlined</w:t>
      </w:r>
      <w:r>
        <w:rPr>
          <w:spacing w:val="-5"/>
          <w:sz w:val="23"/>
        </w:rPr>
        <w:t xml:space="preserve"> </w:t>
      </w:r>
      <w:r>
        <w:rPr>
          <w:sz w:val="23"/>
        </w:rPr>
        <w:t>in</w:t>
      </w:r>
      <w:r>
        <w:rPr>
          <w:spacing w:val="-2"/>
          <w:sz w:val="23"/>
        </w:rPr>
        <w:t xml:space="preserve"> </w:t>
      </w:r>
      <w:r>
        <w:rPr>
          <w:sz w:val="23"/>
        </w:rPr>
        <w:t>the</w:t>
      </w:r>
      <w:r>
        <w:rPr>
          <w:spacing w:val="-1"/>
          <w:sz w:val="23"/>
        </w:rPr>
        <w:t xml:space="preserve"> </w:t>
      </w:r>
      <w:r>
        <w:rPr>
          <w:sz w:val="23"/>
        </w:rPr>
        <w:t>National</w:t>
      </w:r>
      <w:r>
        <w:rPr>
          <w:spacing w:val="-4"/>
          <w:sz w:val="23"/>
        </w:rPr>
        <w:t xml:space="preserve"> </w:t>
      </w:r>
      <w:r>
        <w:rPr>
          <w:sz w:val="23"/>
        </w:rPr>
        <w:t>School</w:t>
      </w:r>
      <w:r>
        <w:rPr>
          <w:spacing w:val="-5"/>
          <w:sz w:val="23"/>
        </w:rPr>
        <w:t xml:space="preserve"> </w:t>
      </w:r>
      <w:r>
        <w:rPr>
          <w:sz w:val="23"/>
        </w:rPr>
        <w:t>Reform</w:t>
      </w:r>
      <w:r>
        <w:rPr>
          <w:spacing w:val="-5"/>
          <w:sz w:val="23"/>
        </w:rPr>
        <w:t xml:space="preserve"> </w:t>
      </w:r>
      <w:r>
        <w:rPr>
          <w:sz w:val="23"/>
        </w:rPr>
        <w:t>Agreement</w:t>
      </w:r>
      <w:r>
        <w:rPr>
          <w:spacing w:val="-4"/>
          <w:sz w:val="23"/>
        </w:rPr>
        <w:t xml:space="preserve"> </w:t>
      </w:r>
      <w:r>
        <w:rPr>
          <w:sz w:val="23"/>
        </w:rPr>
        <w:t>(the</w:t>
      </w:r>
      <w:r>
        <w:rPr>
          <w:spacing w:val="-3"/>
          <w:sz w:val="23"/>
        </w:rPr>
        <w:t xml:space="preserve"> </w:t>
      </w:r>
      <w:r>
        <w:rPr>
          <w:sz w:val="23"/>
        </w:rPr>
        <w:t>National</w:t>
      </w:r>
      <w:r>
        <w:rPr>
          <w:spacing w:val="-7"/>
          <w:sz w:val="23"/>
        </w:rPr>
        <w:t xml:space="preserve"> </w:t>
      </w:r>
      <w:r>
        <w:rPr>
          <w:sz w:val="23"/>
        </w:rPr>
        <w:t>Agreement);</w:t>
      </w:r>
    </w:p>
    <w:p w14:paraId="62537BA5" w14:textId="77777777" w:rsidR="00372CDD" w:rsidRDefault="00372CDD">
      <w:pPr>
        <w:pStyle w:val="BodyText"/>
        <w:rPr>
          <w:sz w:val="20"/>
        </w:rPr>
      </w:pPr>
    </w:p>
    <w:p w14:paraId="37BB4421" w14:textId="77777777" w:rsidR="00372CDD" w:rsidRDefault="00C87ECC">
      <w:pPr>
        <w:pStyle w:val="ListParagraph"/>
        <w:numPr>
          <w:ilvl w:val="1"/>
          <w:numId w:val="3"/>
        </w:numPr>
        <w:tabs>
          <w:tab w:val="left" w:pos="1094"/>
        </w:tabs>
        <w:spacing w:line="220" w:lineRule="auto"/>
        <w:ind w:right="117"/>
        <w:rPr>
          <w:sz w:val="23"/>
        </w:rPr>
      </w:pPr>
      <w:r>
        <w:rPr>
          <w:sz w:val="23"/>
        </w:rPr>
        <w:t>Queensland’s financial contribution obligations and reporting requirements associated with these</w:t>
      </w:r>
      <w:r>
        <w:rPr>
          <w:spacing w:val="-2"/>
          <w:sz w:val="23"/>
        </w:rPr>
        <w:t xml:space="preserve"> </w:t>
      </w:r>
      <w:r>
        <w:rPr>
          <w:sz w:val="23"/>
        </w:rPr>
        <w:t>obligations;</w:t>
      </w:r>
      <w:r w:rsidR="005D6C88">
        <w:rPr>
          <w:sz w:val="23"/>
        </w:rPr>
        <w:t xml:space="preserve"> and</w:t>
      </w:r>
    </w:p>
    <w:p w14:paraId="26318201" w14:textId="77777777" w:rsidR="00372CDD" w:rsidRDefault="00372CDD">
      <w:pPr>
        <w:pStyle w:val="BodyText"/>
        <w:spacing w:before="7"/>
        <w:rPr>
          <w:sz w:val="19"/>
        </w:rPr>
      </w:pPr>
    </w:p>
    <w:p w14:paraId="545515F0" w14:textId="77777777" w:rsidR="00372CDD" w:rsidRDefault="00C87ECC">
      <w:pPr>
        <w:pStyle w:val="ListParagraph"/>
        <w:numPr>
          <w:ilvl w:val="1"/>
          <w:numId w:val="3"/>
        </w:numPr>
        <w:tabs>
          <w:tab w:val="left" w:pos="1094"/>
        </w:tabs>
        <w:spacing w:line="223" w:lineRule="auto"/>
        <w:ind w:right="113"/>
        <w:rPr>
          <w:sz w:val="23"/>
        </w:rPr>
      </w:pPr>
      <w:r>
        <w:rPr>
          <w:sz w:val="23"/>
        </w:rPr>
        <w:t>cooperative arrangements between the Commonwealth and Queensland and the Queensland Government and the non-government schooling</w:t>
      </w:r>
      <w:r>
        <w:rPr>
          <w:spacing w:val="-11"/>
          <w:sz w:val="23"/>
        </w:rPr>
        <w:t xml:space="preserve"> </w:t>
      </w:r>
      <w:r>
        <w:rPr>
          <w:sz w:val="23"/>
        </w:rPr>
        <w:t>sector.</w:t>
      </w:r>
    </w:p>
    <w:p w14:paraId="5F376D28" w14:textId="77777777" w:rsidR="00372CDD" w:rsidRDefault="00372CDD">
      <w:pPr>
        <w:pStyle w:val="BodyText"/>
        <w:spacing w:before="7"/>
        <w:rPr>
          <w:sz w:val="19"/>
        </w:rPr>
      </w:pPr>
    </w:p>
    <w:p w14:paraId="6C63709E" w14:textId="01263114" w:rsidR="00372CDD" w:rsidRDefault="00C87ECC">
      <w:pPr>
        <w:pStyle w:val="ListParagraph"/>
        <w:numPr>
          <w:ilvl w:val="0"/>
          <w:numId w:val="3"/>
        </w:numPr>
        <w:tabs>
          <w:tab w:val="left" w:pos="667"/>
        </w:tabs>
        <w:spacing w:line="223" w:lineRule="auto"/>
        <w:ind w:right="108" w:hanging="566"/>
        <w:rPr>
          <w:sz w:val="23"/>
        </w:rPr>
      </w:pPr>
      <w:r>
        <w:rPr>
          <w:sz w:val="23"/>
        </w:rPr>
        <w:t>This bilateral agreement between the Commonwealth and Queensland (the Parties) will commence on 1 January 2019 and expire on 31 December 2023. Although these agreements</w:t>
      </w:r>
      <w:r>
        <w:rPr>
          <w:spacing w:val="-5"/>
          <w:sz w:val="23"/>
        </w:rPr>
        <w:t xml:space="preserve"> </w:t>
      </w:r>
      <w:r>
        <w:rPr>
          <w:sz w:val="23"/>
        </w:rPr>
        <w:t>commence</w:t>
      </w:r>
      <w:r>
        <w:rPr>
          <w:spacing w:val="-5"/>
          <w:sz w:val="23"/>
        </w:rPr>
        <w:t xml:space="preserve"> </w:t>
      </w:r>
      <w:r>
        <w:rPr>
          <w:sz w:val="23"/>
        </w:rPr>
        <w:t>on</w:t>
      </w:r>
      <w:r>
        <w:rPr>
          <w:spacing w:val="-4"/>
          <w:sz w:val="23"/>
        </w:rPr>
        <w:t xml:space="preserve"> </w:t>
      </w:r>
      <w:r>
        <w:rPr>
          <w:sz w:val="23"/>
        </w:rPr>
        <w:t>1</w:t>
      </w:r>
      <w:r>
        <w:rPr>
          <w:spacing w:val="-6"/>
          <w:sz w:val="23"/>
        </w:rPr>
        <w:t xml:space="preserve"> </w:t>
      </w:r>
      <w:r>
        <w:rPr>
          <w:sz w:val="23"/>
        </w:rPr>
        <w:t>January</w:t>
      </w:r>
      <w:r>
        <w:rPr>
          <w:spacing w:val="-4"/>
          <w:sz w:val="23"/>
        </w:rPr>
        <w:t xml:space="preserve"> </w:t>
      </w:r>
      <w:r>
        <w:rPr>
          <w:sz w:val="23"/>
        </w:rPr>
        <w:t>2019,</w:t>
      </w:r>
      <w:r>
        <w:rPr>
          <w:spacing w:val="-6"/>
          <w:sz w:val="23"/>
        </w:rPr>
        <w:t xml:space="preserve"> </w:t>
      </w:r>
      <w:r>
        <w:rPr>
          <w:sz w:val="23"/>
        </w:rPr>
        <w:t>a</w:t>
      </w:r>
      <w:r>
        <w:rPr>
          <w:spacing w:val="-5"/>
          <w:sz w:val="23"/>
        </w:rPr>
        <w:t xml:space="preserve"> </w:t>
      </w:r>
      <w:r w:rsidR="00127FDC">
        <w:rPr>
          <w:sz w:val="23"/>
        </w:rPr>
        <w:t>s</w:t>
      </w:r>
      <w:r>
        <w:rPr>
          <w:sz w:val="23"/>
        </w:rPr>
        <w:t>tate-</w:t>
      </w:r>
      <w:r w:rsidR="00127FDC">
        <w:rPr>
          <w:sz w:val="23"/>
        </w:rPr>
        <w:t>t</w:t>
      </w:r>
      <w:r>
        <w:rPr>
          <w:sz w:val="23"/>
        </w:rPr>
        <w:t>erritory</w:t>
      </w:r>
      <w:r>
        <w:rPr>
          <w:spacing w:val="-4"/>
          <w:sz w:val="23"/>
        </w:rPr>
        <w:t xml:space="preserve"> </w:t>
      </w:r>
      <w:r>
        <w:rPr>
          <w:sz w:val="23"/>
        </w:rPr>
        <w:t>share</w:t>
      </w:r>
      <w:r>
        <w:rPr>
          <w:spacing w:val="-5"/>
          <w:sz w:val="23"/>
        </w:rPr>
        <w:t xml:space="preserve"> </w:t>
      </w:r>
      <w:r>
        <w:rPr>
          <w:sz w:val="23"/>
        </w:rPr>
        <w:t>stipulated</w:t>
      </w:r>
      <w:r>
        <w:rPr>
          <w:spacing w:val="-2"/>
          <w:sz w:val="23"/>
        </w:rPr>
        <w:t xml:space="preserve"> </w:t>
      </w:r>
      <w:r>
        <w:rPr>
          <w:sz w:val="23"/>
        </w:rPr>
        <w:t>in</w:t>
      </w:r>
      <w:r>
        <w:rPr>
          <w:spacing w:val="-5"/>
          <w:sz w:val="23"/>
        </w:rPr>
        <w:t xml:space="preserve"> </w:t>
      </w:r>
      <w:r>
        <w:rPr>
          <w:sz w:val="23"/>
        </w:rPr>
        <w:t>this</w:t>
      </w:r>
      <w:r>
        <w:rPr>
          <w:spacing w:val="-5"/>
          <w:sz w:val="23"/>
        </w:rPr>
        <w:t xml:space="preserve"> </w:t>
      </w:r>
      <w:r>
        <w:rPr>
          <w:sz w:val="23"/>
        </w:rPr>
        <w:t>agreement for 2018 will apply to the 2018 calendar</w:t>
      </w:r>
      <w:r>
        <w:rPr>
          <w:spacing w:val="-8"/>
          <w:sz w:val="23"/>
        </w:rPr>
        <w:t xml:space="preserve"> </w:t>
      </w:r>
      <w:r>
        <w:rPr>
          <w:sz w:val="23"/>
        </w:rPr>
        <w:t>year.</w:t>
      </w:r>
    </w:p>
    <w:p w14:paraId="3DE45C7A" w14:textId="77777777" w:rsidR="00372CDD" w:rsidRDefault="00372CDD">
      <w:pPr>
        <w:pStyle w:val="BodyText"/>
        <w:spacing w:before="3"/>
        <w:rPr>
          <w:sz w:val="19"/>
        </w:rPr>
      </w:pPr>
    </w:p>
    <w:p w14:paraId="7CBC908E" w14:textId="77777777" w:rsidR="00372CDD" w:rsidRDefault="00C87ECC">
      <w:pPr>
        <w:pStyle w:val="ListParagraph"/>
        <w:numPr>
          <w:ilvl w:val="0"/>
          <w:numId w:val="3"/>
        </w:numPr>
        <w:tabs>
          <w:tab w:val="left" w:pos="667"/>
        </w:tabs>
        <w:spacing w:line="223" w:lineRule="auto"/>
        <w:ind w:right="112" w:hanging="566"/>
        <w:rPr>
          <w:sz w:val="23"/>
        </w:rPr>
      </w:pPr>
      <w:r>
        <w:rPr>
          <w:sz w:val="23"/>
        </w:rPr>
        <w:t>In the event the Commonwealth offers terms to the agreement that are more favourable in bilateral agreements with other jurisdictions, including but not limited</w:t>
      </w:r>
      <w:r>
        <w:rPr>
          <w:spacing w:val="-11"/>
          <w:sz w:val="23"/>
        </w:rPr>
        <w:t xml:space="preserve"> </w:t>
      </w:r>
      <w:r>
        <w:rPr>
          <w:sz w:val="23"/>
        </w:rPr>
        <w:t>to:</w:t>
      </w:r>
    </w:p>
    <w:p w14:paraId="6902886D" w14:textId="77777777" w:rsidR="00372CDD" w:rsidRDefault="00372CDD">
      <w:pPr>
        <w:pStyle w:val="BodyText"/>
        <w:spacing w:before="9"/>
        <w:rPr>
          <w:sz w:val="19"/>
        </w:rPr>
      </w:pPr>
    </w:p>
    <w:p w14:paraId="2138ACB8" w14:textId="31358570" w:rsidR="00372CDD" w:rsidRDefault="00C87ECC">
      <w:pPr>
        <w:pStyle w:val="ListParagraph"/>
        <w:numPr>
          <w:ilvl w:val="1"/>
          <w:numId w:val="3"/>
        </w:numPr>
        <w:tabs>
          <w:tab w:val="left" w:pos="1027"/>
        </w:tabs>
        <w:spacing w:line="220" w:lineRule="auto"/>
        <w:ind w:left="1026" w:right="113"/>
        <w:rPr>
          <w:sz w:val="23"/>
        </w:rPr>
      </w:pPr>
      <w:r>
        <w:rPr>
          <w:sz w:val="23"/>
        </w:rPr>
        <w:t>an</w:t>
      </w:r>
      <w:r>
        <w:rPr>
          <w:spacing w:val="-13"/>
          <w:sz w:val="23"/>
        </w:rPr>
        <w:t xml:space="preserve"> </w:t>
      </w:r>
      <w:r>
        <w:rPr>
          <w:sz w:val="23"/>
        </w:rPr>
        <w:t>adjustment</w:t>
      </w:r>
      <w:r>
        <w:rPr>
          <w:spacing w:val="-13"/>
          <w:sz w:val="23"/>
        </w:rPr>
        <w:t xml:space="preserve"> </w:t>
      </w:r>
      <w:r>
        <w:rPr>
          <w:sz w:val="23"/>
        </w:rPr>
        <w:t>to</w:t>
      </w:r>
      <w:r>
        <w:rPr>
          <w:spacing w:val="-13"/>
          <w:sz w:val="23"/>
        </w:rPr>
        <w:t xml:space="preserve"> </w:t>
      </w:r>
      <w:r>
        <w:rPr>
          <w:sz w:val="23"/>
        </w:rPr>
        <w:t>the</w:t>
      </w:r>
      <w:r>
        <w:rPr>
          <w:spacing w:val="-12"/>
          <w:sz w:val="23"/>
        </w:rPr>
        <w:t xml:space="preserve"> </w:t>
      </w:r>
      <w:r>
        <w:rPr>
          <w:sz w:val="23"/>
        </w:rPr>
        <w:t>measurement</w:t>
      </w:r>
      <w:r>
        <w:rPr>
          <w:spacing w:val="-13"/>
          <w:sz w:val="23"/>
        </w:rPr>
        <w:t xml:space="preserve"> </w:t>
      </w:r>
      <w:r>
        <w:rPr>
          <w:sz w:val="23"/>
        </w:rPr>
        <w:t>of</w:t>
      </w:r>
      <w:r>
        <w:rPr>
          <w:spacing w:val="-12"/>
          <w:sz w:val="23"/>
        </w:rPr>
        <w:t xml:space="preserve"> </w:t>
      </w:r>
      <w:r>
        <w:rPr>
          <w:sz w:val="23"/>
        </w:rPr>
        <w:t>state</w:t>
      </w:r>
      <w:r>
        <w:rPr>
          <w:spacing w:val="-14"/>
          <w:sz w:val="23"/>
        </w:rPr>
        <w:t xml:space="preserve"> </w:t>
      </w:r>
      <w:r>
        <w:rPr>
          <w:sz w:val="23"/>
        </w:rPr>
        <w:t>funding</w:t>
      </w:r>
      <w:r>
        <w:rPr>
          <w:spacing w:val="-15"/>
          <w:sz w:val="23"/>
        </w:rPr>
        <w:t xml:space="preserve"> </w:t>
      </w:r>
      <w:r>
        <w:rPr>
          <w:sz w:val="23"/>
        </w:rPr>
        <w:t>contribution</w:t>
      </w:r>
      <w:r>
        <w:rPr>
          <w:spacing w:val="-12"/>
          <w:sz w:val="23"/>
        </w:rPr>
        <w:t xml:space="preserve"> </w:t>
      </w:r>
      <w:r>
        <w:rPr>
          <w:sz w:val="23"/>
        </w:rPr>
        <w:t>included</w:t>
      </w:r>
      <w:r>
        <w:rPr>
          <w:spacing w:val="-13"/>
          <w:sz w:val="23"/>
        </w:rPr>
        <w:t xml:space="preserve"> </w:t>
      </w:r>
      <w:r>
        <w:rPr>
          <w:sz w:val="23"/>
        </w:rPr>
        <w:t>in</w:t>
      </w:r>
      <w:r>
        <w:rPr>
          <w:spacing w:val="-12"/>
          <w:sz w:val="23"/>
        </w:rPr>
        <w:t xml:space="preserve"> </w:t>
      </w:r>
      <w:r>
        <w:rPr>
          <w:sz w:val="23"/>
        </w:rPr>
        <w:t>another</w:t>
      </w:r>
      <w:r>
        <w:rPr>
          <w:spacing w:val="-13"/>
          <w:sz w:val="23"/>
        </w:rPr>
        <w:t xml:space="preserve"> </w:t>
      </w:r>
      <w:r>
        <w:rPr>
          <w:sz w:val="23"/>
        </w:rPr>
        <w:t>state’s bilateral agreement</w:t>
      </w:r>
      <w:r w:rsidR="005D6C88">
        <w:rPr>
          <w:sz w:val="23"/>
        </w:rPr>
        <w:t>;</w:t>
      </w:r>
      <w:r>
        <w:rPr>
          <w:spacing w:val="-3"/>
          <w:sz w:val="23"/>
        </w:rPr>
        <w:t xml:space="preserve"> </w:t>
      </w:r>
      <w:r>
        <w:rPr>
          <w:sz w:val="23"/>
        </w:rPr>
        <w:t>or</w:t>
      </w:r>
    </w:p>
    <w:p w14:paraId="1646D0A2" w14:textId="77777777" w:rsidR="00372CDD" w:rsidRDefault="00372CDD">
      <w:pPr>
        <w:pStyle w:val="BodyText"/>
        <w:spacing w:before="5"/>
        <w:rPr>
          <w:sz w:val="21"/>
        </w:rPr>
      </w:pPr>
    </w:p>
    <w:p w14:paraId="35BE9CC3" w14:textId="77777777" w:rsidR="00372CDD" w:rsidRDefault="00C87ECC">
      <w:pPr>
        <w:pStyle w:val="ListParagraph"/>
        <w:numPr>
          <w:ilvl w:val="1"/>
          <w:numId w:val="3"/>
        </w:numPr>
        <w:tabs>
          <w:tab w:val="left" w:pos="1027"/>
        </w:tabs>
        <w:spacing w:line="223" w:lineRule="auto"/>
        <w:ind w:left="1026" w:right="113"/>
        <w:rPr>
          <w:sz w:val="23"/>
        </w:rPr>
      </w:pPr>
      <w:r>
        <w:rPr>
          <w:sz w:val="23"/>
        </w:rPr>
        <w:t>any subsequent agreement the Commonwealth makes with any other state or territory which favourably impacts on that state’s financial contributions or risk sharing arrangements under the</w:t>
      </w:r>
      <w:r>
        <w:rPr>
          <w:spacing w:val="-3"/>
          <w:sz w:val="23"/>
        </w:rPr>
        <w:t xml:space="preserve"> </w:t>
      </w:r>
      <w:r>
        <w:rPr>
          <w:sz w:val="23"/>
        </w:rPr>
        <w:t>agreement,</w:t>
      </w:r>
    </w:p>
    <w:p w14:paraId="6C90AA5F" w14:textId="77777777" w:rsidR="00372CDD" w:rsidRDefault="00372CDD">
      <w:pPr>
        <w:pStyle w:val="BodyText"/>
        <w:spacing w:before="5"/>
        <w:rPr>
          <w:sz w:val="19"/>
        </w:rPr>
      </w:pPr>
    </w:p>
    <w:p w14:paraId="04E4EDEF" w14:textId="77777777" w:rsidR="00372CDD" w:rsidRDefault="008727C5">
      <w:pPr>
        <w:pStyle w:val="BodyText"/>
        <w:spacing w:line="223" w:lineRule="auto"/>
        <w:ind w:left="666" w:right="109"/>
        <w:jc w:val="both"/>
      </w:pPr>
      <w:r>
        <w:rPr>
          <w:noProof/>
          <w:lang w:bidi="ar-SA"/>
        </w:rPr>
        <mc:AlternateContent>
          <mc:Choice Requires="wps">
            <w:drawing>
              <wp:anchor distT="0" distB="0" distL="114300" distR="114300" simplePos="0" relativeHeight="251657216" behindDoc="1" locked="0" layoutInCell="1" allowOverlap="1" wp14:anchorId="68BFFEAC" wp14:editId="289A0259">
                <wp:simplePos x="0" y="0"/>
                <wp:positionH relativeFrom="page">
                  <wp:posOffset>5014595</wp:posOffset>
                </wp:positionH>
                <wp:positionV relativeFrom="paragraph">
                  <wp:posOffset>650875</wp:posOffset>
                </wp:positionV>
                <wp:extent cx="1915795" cy="178435"/>
                <wp:effectExtent l="4445" t="3810" r="381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795"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8EED0" id="Rectangle 3" o:spid="_x0000_s1026" style="position:absolute;margin-left:394.85pt;margin-top:51.25pt;width:150.85pt;height:14.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" stroked="f">
                <w10:wrap anchorx="page"/>
              </v:rect>
            </w:pict>
          </mc:Fallback>
        </mc:AlternateContent>
      </w:r>
      <w:r w:rsidR="00C87ECC">
        <w:t>then</w:t>
      </w:r>
      <w:r w:rsidR="00C87ECC">
        <w:rPr>
          <w:spacing w:val="-7"/>
        </w:rPr>
        <w:t xml:space="preserve"> </w:t>
      </w:r>
      <w:r w:rsidR="00C87ECC">
        <w:t>these</w:t>
      </w:r>
      <w:r w:rsidR="00C87ECC">
        <w:rPr>
          <w:spacing w:val="-7"/>
        </w:rPr>
        <w:t xml:space="preserve"> </w:t>
      </w:r>
      <w:r w:rsidR="00C87ECC">
        <w:t>terms</w:t>
      </w:r>
      <w:r w:rsidR="00C87ECC">
        <w:rPr>
          <w:spacing w:val="-6"/>
        </w:rPr>
        <w:t xml:space="preserve"> </w:t>
      </w:r>
      <w:r w:rsidR="00C87ECC">
        <w:t>will</w:t>
      </w:r>
      <w:r w:rsidR="00C87ECC">
        <w:rPr>
          <w:spacing w:val="-8"/>
        </w:rPr>
        <w:t xml:space="preserve"> </w:t>
      </w:r>
      <w:r w:rsidR="00C87ECC">
        <w:t>also</w:t>
      </w:r>
      <w:r w:rsidR="00C87ECC">
        <w:rPr>
          <w:spacing w:val="-7"/>
        </w:rPr>
        <w:t xml:space="preserve"> </w:t>
      </w:r>
      <w:r w:rsidR="00C87ECC">
        <w:t>be</w:t>
      </w:r>
      <w:r w:rsidR="00C87ECC">
        <w:rPr>
          <w:spacing w:val="-7"/>
        </w:rPr>
        <w:t xml:space="preserve"> </w:t>
      </w:r>
      <w:r w:rsidR="00C87ECC">
        <w:t>made</w:t>
      </w:r>
      <w:r w:rsidR="00C87ECC">
        <w:rPr>
          <w:spacing w:val="-6"/>
        </w:rPr>
        <w:t xml:space="preserve"> </w:t>
      </w:r>
      <w:r w:rsidR="00C87ECC">
        <w:t>available</w:t>
      </w:r>
      <w:r w:rsidR="00C87ECC">
        <w:rPr>
          <w:spacing w:val="-8"/>
        </w:rPr>
        <w:t xml:space="preserve"> </w:t>
      </w:r>
      <w:r w:rsidR="00C87ECC">
        <w:t>to</w:t>
      </w:r>
      <w:r w:rsidR="00C87ECC">
        <w:rPr>
          <w:spacing w:val="2"/>
        </w:rPr>
        <w:t xml:space="preserve"> </w:t>
      </w:r>
      <w:r w:rsidR="00C87ECC">
        <w:rPr>
          <w:rFonts w:ascii="Calibri" w:hAnsi="Calibri"/>
        </w:rPr>
        <w:t>Queensland</w:t>
      </w:r>
      <w:r w:rsidR="00C87ECC">
        <w:rPr>
          <w:rFonts w:ascii="Calibri" w:hAnsi="Calibri"/>
          <w:spacing w:val="-7"/>
        </w:rPr>
        <w:t xml:space="preserve"> </w:t>
      </w:r>
      <w:r w:rsidR="00C87ECC">
        <w:t>and</w:t>
      </w:r>
      <w:r w:rsidR="00C87ECC">
        <w:rPr>
          <w:spacing w:val="-8"/>
        </w:rPr>
        <w:t xml:space="preserve"> </w:t>
      </w:r>
      <w:r w:rsidR="00C87ECC">
        <w:t>this</w:t>
      </w:r>
      <w:r w:rsidR="00C87ECC">
        <w:rPr>
          <w:spacing w:val="-7"/>
        </w:rPr>
        <w:t xml:space="preserve"> </w:t>
      </w:r>
      <w:r w:rsidR="00C87ECC">
        <w:t>agreement</w:t>
      </w:r>
      <w:r w:rsidR="00C87ECC">
        <w:rPr>
          <w:spacing w:val="-7"/>
        </w:rPr>
        <w:t xml:space="preserve"> </w:t>
      </w:r>
      <w:r w:rsidR="00C87ECC">
        <w:t>will</w:t>
      </w:r>
      <w:r w:rsidR="00C87ECC">
        <w:rPr>
          <w:spacing w:val="-6"/>
        </w:rPr>
        <w:t xml:space="preserve"> </w:t>
      </w:r>
      <w:r w:rsidR="00C87ECC">
        <w:t>be</w:t>
      </w:r>
      <w:r w:rsidR="00C87ECC">
        <w:rPr>
          <w:spacing w:val="-7"/>
        </w:rPr>
        <w:t xml:space="preserve"> </w:t>
      </w:r>
      <w:r w:rsidR="00C87ECC">
        <w:t xml:space="preserve">updated to take into account the adjustment or material change to circumstance. The agreement may also be updated through agreement with the Commonwealth if there is a material change in the state’s circumstances, beyond its reasonable control, which will affect Queensland’s fiscal position or the recognition of the state’s funding contribution. </w:t>
      </w:r>
    </w:p>
    <w:p w14:paraId="5D88A132" w14:textId="77777777" w:rsidR="00372CDD" w:rsidRDefault="00372CDD">
      <w:pPr>
        <w:pStyle w:val="BodyText"/>
        <w:spacing w:before="2"/>
        <w:rPr>
          <w:sz w:val="19"/>
        </w:rPr>
      </w:pPr>
    </w:p>
    <w:p w14:paraId="5D9CDDEB" w14:textId="77777777" w:rsidR="00372CDD" w:rsidRDefault="00C87ECC">
      <w:pPr>
        <w:pStyle w:val="ListParagraph"/>
        <w:numPr>
          <w:ilvl w:val="0"/>
          <w:numId w:val="3"/>
        </w:numPr>
        <w:tabs>
          <w:tab w:val="left" w:pos="667"/>
        </w:tabs>
        <w:spacing w:line="223" w:lineRule="auto"/>
        <w:ind w:right="108" w:hanging="566"/>
        <w:rPr>
          <w:sz w:val="23"/>
        </w:rPr>
      </w:pPr>
      <w:r>
        <w:rPr>
          <w:sz w:val="23"/>
        </w:rPr>
        <w:t>Consistent with clause 22 of the National Agreement, Queensland may initiate re-negotiation of</w:t>
      </w:r>
      <w:r>
        <w:rPr>
          <w:spacing w:val="-6"/>
          <w:sz w:val="23"/>
        </w:rPr>
        <w:t xml:space="preserve"> </w:t>
      </w:r>
      <w:r>
        <w:rPr>
          <w:sz w:val="23"/>
        </w:rPr>
        <w:t>the</w:t>
      </w:r>
      <w:r>
        <w:rPr>
          <w:spacing w:val="-7"/>
          <w:sz w:val="23"/>
        </w:rPr>
        <w:t xml:space="preserve"> </w:t>
      </w:r>
      <w:r>
        <w:rPr>
          <w:sz w:val="23"/>
        </w:rPr>
        <w:t>state-specific</w:t>
      </w:r>
      <w:r>
        <w:rPr>
          <w:spacing w:val="-7"/>
          <w:sz w:val="23"/>
        </w:rPr>
        <w:t xml:space="preserve"> </w:t>
      </w:r>
      <w:r>
        <w:rPr>
          <w:sz w:val="23"/>
        </w:rPr>
        <w:t>actions</w:t>
      </w:r>
      <w:r>
        <w:rPr>
          <w:spacing w:val="-6"/>
          <w:sz w:val="23"/>
        </w:rPr>
        <w:t xml:space="preserve"> </w:t>
      </w:r>
      <w:r>
        <w:rPr>
          <w:sz w:val="23"/>
        </w:rPr>
        <w:t>set</w:t>
      </w:r>
      <w:r>
        <w:rPr>
          <w:spacing w:val="-7"/>
          <w:sz w:val="23"/>
        </w:rPr>
        <w:t xml:space="preserve"> </w:t>
      </w:r>
      <w:r>
        <w:rPr>
          <w:sz w:val="23"/>
        </w:rPr>
        <w:t>out</w:t>
      </w:r>
      <w:r>
        <w:rPr>
          <w:spacing w:val="-6"/>
          <w:sz w:val="23"/>
        </w:rPr>
        <w:t xml:space="preserve"> </w:t>
      </w:r>
      <w:r>
        <w:rPr>
          <w:sz w:val="23"/>
        </w:rPr>
        <w:t>in</w:t>
      </w:r>
      <w:r>
        <w:rPr>
          <w:spacing w:val="-4"/>
          <w:sz w:val="23"/>
        </w:rPr>
        <w:t xml:space="preserve"> </w:t>
      </w:r>
      <w:r>
        <w:rPr>
          <w:sz w:val="23"/>
        </w:rPr>
        <w:t>this</w:t>
      </w:r>
      <w:r>
        <w:rPr>
          <w:spacing w:val="-6"/>
          <w:sz w:val="23"/>
        </w:rPr>
        <w:t xml:space="preserve"> </w:t>
      </w:r>
      <w:r>
        <w:rPr>
          <w:sz w:val="23"/>
        </w:rPr>
        <w:t>agreement</w:t>
      </w:r>
      <w:r>
        <w:rPr>
          <w:spacing w:val="-7"/>
          <w:sz w:val="23"/>
        </w:rPr>
        <w:t xml:space="preserve"> </w:t>
      </w:r>
      <w:r>
        <w:rPr>
          <w:sz w:val="23"/>
        </w:rPr>
        <w:t>at</w:t>
      </w:r>
      <w:r>
        <w:rPr>
          <w:spacing w:val="-8"/>
          <w:sz w:val="23"/>
        </w:rPr>
        <w:t xml:space="preserve"> </w:t>
      </w:r>
      <w:r>
        <w:rPr>
          <w:sz w:val="23"/>
        </w:rPr>
        <w:t>any</w:t>
      </w:r>
      <w:r>
        <w:rPr>
          <w:spacing w:val="-4"/>
          <w:sz w:val="23"/>
        </w:rPr>
        <w:t xml:space="preserve"> </w:t>
      </w:r>
      <w:r>
        <w:rPr>
          <w:sz w:val="23"/>
        </w:rPr>
        <w:t>time</w:t>
      </w:r>
      <w:r>
        <w:rPr>
          <w:spacing w:val="-6"/>
          <w:sz w:val="23"/>
        </w:rPr>
        <w:t xml:space="preserve"> </w:t>
      </w:r>
      <w:r>
        <w:rPr>
          <w:sz w:val="23"/>
        </w:rPr>
        <w:t>should</w:t>
      </w:r>
      <w:r>
        <w:rPr>
          <w:spacing w:val="-5"/>
          <w:sz w:val="23"/>
        </w:rPr>
        <w:t xml:space="preserve"> </w:t>
      </w:r>
      <w:r>
        <w:rPr>
          <w:sz w:val="23"/>
        </w:rPr>
        <w:t>its</w:t>
      </w:r>
      <w:r>
        <w:rPr>
          <w:spacing w:val="-6"/>
          <w:sz w:val="23"/>
        </w:rPr>
        <w:t xml:space="preserve"> </w:t>
      </w:r>
      <w:r>
        <w:rPr>
          <w:sz w:val="23"/>
        </w:rPr>
        <w:t>education</w:t>
      </w:r>
      <w:r>
        <w:rPr>
          <w:spacing w:val="-6"/>
          <w:sz w:val="23"/>
        </w:rPr>
        <w:t xml:space="preserve"> </w:t>
      </w:r>
      <w:r>
        <w:rPr>
          <w:sz w:val="23"/>
        </w:rPr>
        <w:t>priorities change.</w:t>
      </w:r>
    </w:p>
    <w:p w14:paraId="65FA69A5" w14:textId="77777777" w:rsidR="00372CDD" w:rsidRDefault="00372CDD">
      <w:pPr>
        <w:spacing w:line="223" w:lineRule="auto"/>
        <w:jc w:val="both"/>
        <w:rPr>
          <w:sz w:val="23"/>
        </w:rPr>
        <w:sectPr w:rsidR="00372CDD" w:rsidSect="00A829E7">
          <w:footerReference w:type="default" r:id="rId10"/>
          <w:type w:val="continuous"/>
          <w:pgSz w:w="11910" w:h="16840"/>
          <w:pgMar w:top="1380" w:right="880" w:bottom="280" w:left="1340" w:header="746" w:footer="287" w:gutter="0"/>
          <w:cols w:space="720"/>
        </w:sectPr>
      </w:pPr>
    </w:p>
    <w:p w14:paraId="52B3C0A6" w14:textId="460035FB" w:rsidR="0065612E" w:rsidRDefault="0065612E" w:rsidP="0065612E">
      <w:pPr>
        <w:pStyle w:val="ListParagraph"/>
        <w:numPr>
          <w:ilvl w:val="0"/>
          <w:numId w:val="3"/>
        </w:numPr>
        <w:tabs>
          <w:tab w:val="left" w:pos="667"/>
        </w:tabs>
        <w:spacing w:line="220" w:lineRule="auto"/>
        <w:ind w:right="110" w:hanging="566"/>
        <w:rPr>
          <w:sz w:val="23"/>
        </w:rPr>
      </w:pPr>
      <w:r>
        <w:rPr>
          <w:sz w:val="23"/>
        </w:rPr>
        <w:lastRenderedPageBreak/>
        <w:t xml:space="preserve">The Commonwealth will work with Queensland and other jurisdictions through Education Council </w:t>
      </w:r>
      <w:r w:rsidR="004C076B">
        <w:rPr>
          <w:sz w:val="23"/>
        </w:rPr>
        <w:t xml:space="preserve">processes </w:t>
      </w:r>
      <w:r>
        <w:rPr>
          <w:sz w:val="23"/>
        </w:rPr>
        <w:t xml:space="preserve">to </w:t>
      </w:r>
      <w:r w:rsidR="004C076B">
        <w:rPr>
          <w:sz w:val="23"/>
        </w:rPr>
        <w:t xml:space="preserve">clearly specify </w:t>
      </w:r>
      <w:r>
        <w:rPr>
          <w:sz w:val="23"/>
        </w:rPr>
        <w:t xml:space="preserve">the reporting, compliance, governance and review arrangements related to the requirements of the </w:t>
      </w:r>
      <w:r w:rsidR="00485B30">
        <w:rPr>
          <w:sz w:val="23"/>
        </w:rPr>
        <w:t xml:space="preserve">Act, </w:t>
      </w:r>
      <w:r>
        <w:rPr>
          <w:sz w:val="23"/>
        </w:rPr>
        <w:t>National Agreement and associated bilateral reform</w:t>
      </w:r>
      <w:r>
        <w:rPr>
          <w:spacing w:val="-11"/>
          <w:sz w:val="23"/>
        </w:rPr>
        <w:t xml:space="preserve"> </w:t>
      </w:r>
      <w:r>
        <w:rPr>
          <w:sz w:val="23"/>
        </w:rPr>
        <w:t>agreements.</w:t>
      </w:r>
    </w:p>
    <w:p w14:paraId="54F274BF" w14:textId="77777777" w:rsidR="00372CDD" w:rsidRDefault="00C87ECC">
      <w:pPr>
        <w:pStyle w:val="Heading2"/>
        <w:spacing w:before="52"/>
      </w:pPr>
      <w:r>
        <w:rPr>
          <w:color w:val="306E71"/>
        </w:rPr>
        <w:t>Reform context</w:t>
      </w:r>
    </w:p>
    <w:p w14:paraId="7475B86C" w14:textId="1123C8E2" w:rsidR="00372CDD" w:rsidRDefault="00C87ECC">
      <w:pPr>
        <w:pStyle w:val="ListParagraph"/>
        <w:numPr>
          <w:ilvl w:val="0"/>
          <w:numId w:val="3"/>
        </w:numPr>
        <w:tabs>
          <w:tab w:val="left" w:pos="667"/>
        </w:tabs>
        <w:spacing w:before="125" w:line="223" w:lineRule="auto"/>
        <w:ind w:right="109" w:hanging="566"/>
        <w:rPr>
          <w:sz w:val="23"/>
        </w:rPr>
      </w:pPr>
      <w:r>
        <w:rPr>
          <w:sz w:val="23"/>
        </w:rPr>
        <w:t>Since amendments were passed by the Commonwealth in 2017, the</w:t>
      </w:r>
      <w:r w:rsidR="00416B71">
        <w:rPr>
          <w:sz w:val="23"/>
        </w:rPr>
        <w:t xml:space="preserve"> Act</w:t>
      </w:r>
      <w:r>
        <w:rPr>
          <w:sz w:val="23"/>
        </w:rPr>
        <w:t xml:space="preserve"> requires Queensland to be party to an agreement on school education reform in order to receive federal financial assistance for Queensland schools. Queensland’s agreement to the National Agreement and this agreement is in this </w:t>
      </w:r>
      <w:proofErr w:type="gramStart"/>
      <w:r>
        <w:rPr>
          <w:sz w:val="23"/>
        </w:rPr>
        <w:t>context, and</w:t>
      </w:r>
      <w:proofErr w:type="gramEnd"/>
      <w:r>
        <w:rPr>
          <w:sz w:val="23"/>
        </w:rPr>
        <w:t xml:space="preserve"> noting the state’s limited revenue capacity and constitutional responsibility for school education as well as the majority of other frontline services in this</w:t>
      </w:r>
      <w:r>
        <w:rPr>
          <w:spacing w:val="-5"/>
          <w:sz w:val="23"/>
        </w:rPr>
        <w:t xml:space="preserve"> </w:t>
      </w:r>
      <w:r>
        <w:rPr>
          <w:sz w:val="23"/>
        </w:rPr>
        <w:t>state.</w:t>
      </w:r>
    </w:p>
    <w:p w14:paraId="6330FCCC" w14:textId="77777777" w:rsidR="00372CDD" w:rsidRDefault="00372CDD">
      <w:pPr>
        <w:pStyle w:val="BodyText"/>
        <w:spacing w:before="1"/>
        <w:rPr>
          <w:sz w:val="19"/>
        </w:rPr>
      </w:pPr>
    </w:p>
    <w:p w14:paraId="695EF7CC" w14:textId="77777777" w:rsidR="00372CDD" w:rsidRDefault="00C87ECC">
      <w:pPr>
        <w:pStyle w:val="ListParagraph"/>
        <w:numPr>
          <w:ilvl w:val="0"/>
          <w:numId w:val="3"/>
        </w:numPr>
        <w:tabs>
          <w:tab w:val="left" w:pos="667"/>
        </w:tabs>
        <w:spacing w:line="223" w:lineRule="auto"/>
        <w:ind w:right="118" w:hanging="566"/>
        <w:rPr>
          <w:sz w:val="23"/>
        </w:rPr>
      </w:pPr>
      <w:r>
        <w:rPr>
          <w:sz w:val="23"/>
        </w:rPr>
        <w:t>Queensland is a large state with a geographically dispersed student population spread across the government and non-government (Catholic and independent) school</w:t>
      </w:r>
      <w:r>
        <w:rPr>
          <w:spacing w:val="-16"/>
          <w:sz w:val="23"/>
        </w:rPr>
        <w:t xml:space="preserve"> </w:t>
      </w:r>
      <w:r>
        <w:rPr>
          <w:sz w:val="23"/>
        </w:rPr>
        <w:t>sectors.</w:t>
      </w:r>
    </w:p>
    <w:p w14:paraId="7B553734" w14:textId="77777777" w:rsidR="00372CDD" w:rsidRDefault="00372CDD">
      <w:pPr>
        <w:pStyle w:val="BodyText"/>
        <w:spacing w:before="7"/>
        <w:rPr>
          <w:sz w:val="19"/>
        </w:rPr>
      </w:pPr>
    </w:p>
    <w:p w14:paraId="0F33CDE4" w14:textId="77777777" w:rsidR="00372CDD" w:rsidRDefault="00C87ECC">
      <w:pPr>
        <w:pStyle w:val="ListParagraph"/>
        <w:numPr>
          <w:ilvl w:val="0"/>
          <w:numId w:val="3"/>
        </w:numPr>
        <w:tabs>
          <w:tab w:val="left" w:pos="667"/>
        </w:tabs>
        <w:spacing w:line="223" w:lineRule="auto"/>
        <w:ind w:right="112" w:hanging="566"/>
        <w:rPr>
          <w:sz w:val="23"/>
        </w:rPr>
      </w:pPr>
      <w:r>
        <w:rPr>
          <w:sz w:val="23"/>
        </w:rPr>
        <w:t>Around 58 percent of Queensland schools operate outside the Metropolitan region and approximately</w:t>
      </w:r>
      <w:r>
        <w:rPr>
          <w:spacing w:val="-9"/>
          <w:sz w:val="23"/>
        </w:rPr>
        <w:t xml:space="preserve"> </w:t>
      </w:r>
      <w:r>
        <w:rPr>
          <w:sz w:val="23"/>
        </w:rPr>
        <w:t>24</w:t>
      </w:r>
      <w:r>
        <w:rPr>
          <w:spacing w:val="-6"/>
          <w:sz w:val="23"/>
        </w:rPr>
        <w:t xml:space="preserve"> </w:t>
      </w:r>
      <w:r>
        <w:rPr>
          <w:sz w:val="23"/>
        </w:rPr>
        <w:t>percent</w:t>
      </w:r>
      <w:r>
        <w:rPr>
          <w:spacing w:val="-11"/>
          <w:sz w:val="23"/>
        </w:rPr>
        <w:t xml:space="preserve"> </w:t>
      </w:r>
      <w:r>
        <w:rPr>
          <w:sz w:val="23"/>
        </w:rPr>
        <w:t>of</w:t>
      </w:r>
      <w:r>
        <w:rPr>
          <w:spacing w:val="-6"/>
          <w:sz w:val="23"/>
        </w:rPr>
        <w:t xml:space="preserve"> </w:t>
      </w:r>
      <w:r>
        <w:rPr>
          <w:sz w:val="23"/>
        </w:rPr>
        <w:t>all</w:t>
      </w:r>
      <w:r>
        <w:rPr>
          <w:spacing w:val="-8"/>
          <w:sz w:val="23"/>
        </w:rPr>
        <w:t xml:space="preserve"> </w:t>
      </w:r>
      <w:r>
        <w:rPr>
          <w:sz w:val="23"/>
        </w:rPr>
        <w:t>Queensland</w:t>
      </w:r>
      <w:r>
        <w:rPr>
          <w:spacing w:val="-8"/>
          <w:sz w:val="23"/>
        </w:rPr>
        <w:t xml:space="preserve"> </w:t>
      </w:r>
      <w:r>
        <w:rPr>
          <w:sz w:val="23"/>
        </w:rPr>
        <w:t>schools</w:t>
      </w:r>
      <w:r>
        <w:rPr>
          <w:spacing w:val="-10"/>
          <w:sz w:val="23"/>
        </w:rPr>
        <w:t xml:space="preserve"> </w:t>
      </w:r>
      <w:r>
        <w:rPr>
          <w:sz w:val="23"/>
        </w:rPr>
        <w:t>have</w:t>
      </w:r>
      <w:r>
        <w:rPr>
          <w:spacing w:val="-6"/>
          <w:sz w:val="23"/>
        </w:rPr>
        <w:t xml:space="preserve"> </w:t>
      </w:r>
      <w:r>
        <w:rPr>
          <w:sz w:val="23"/>
        </w:rPr>
        <w:t>fewer</w:t>
      </w:r>
      <w:r>
        <w:rPr>
          <w:spacing w:val="-8"/>
          <w:sz w:val="23"/>
        </w:rPr>
        <w:t xml:space="preserve"> </w:t>
      </w:r>
      <w:r>
        <w:rPr>
          <w:sz w:val="23"/>
        </w:rPr>
        <w:t>than</w:t>
      </w:r>
      <w:r>
        <w:rPr>
          <w:spacing w:val="-6"/>
          <w:sz w:val="23"/>
        </w:rPr>
        <w:t xml:space="preserve"> </w:t>
      </w:r>
      <w:r>
        <w:rPr>
          <w:sz w:val="23"/>
        </w:rPr>
        <w:t>100</w:t>
      </w:r>
      <w:r>
        <w:rPr>
          <w:spacing w:val="-9"/>
          <w:sz w:val="23"/>
        </w:rPr>
        <w:t xml:space="preserve"> </w:t>
      </w:r>
      <w:r>
        <w:rPr>
          <w:sz w:val="23"/>
        </w:rPr>
        <w:t>students.</w:t>
      </w:r>
      <w:r>
        <w:rPr>
          <w:spacing w:val="-7"/>
          <w:sz w:val="23"/>
        </w:rPr>
        <w:t xml:space="preserve"> </w:t>
      </w:r>
      <w:r>
        <w:rPr>
          <w:sz w:val="23"/>
        </w:rPr>
        <w:t>Queensland schools have the second largest Indigenous student cohort in the country. From 2014 to 2017, Indigenous</w:t>
      </w:r>
      <w:r>
        <w:rPr>
          <w:spacing w:val="-7"/>
          <w:sz w:val="23"/>
        </w:rPr>
        <w:t xml:space="preserve"> </w:t>
      </w:r>
      <w:r>
        <w:rPr>
          <w:sz w:val="23"/>
        </w:rPr>
        <w:t>student</w:t>
      </w:r>
      <w:r>
        <w:rPr>
          <w:spacing w:val="-7"/>
          <w:sz w:val="23"/>
        </w:rPr>
        <w:t xml:space="preserve"> </w:t>
      </w:r>
      <w:r>
        <w:rPr>
          <w:sz w:val="23"/>
        </w:rPr>
        <w:t>enrolments</w:t>
      </w:r>
      <w:r>
        <w:rPr>
          <w:spacing w:val="-6"/>
          <w:sz w:val="23"/>
        </w:rPr>
        <w:t xml:space="preserve"> </w:t>
      </w:r>
      <w:r>
        <w:rPr>
          <w:sz w:val="23"/>
        </w:rPr>
        <w:t>(full</w:t>
      </w:r>
      <w:r>
        <w:rPr>
          <w:spacing w:val="-7"/>
          <w:sz w:val="23"/>
        </w:rPr>
        <w:t xml:space="preserve"> </w:t>
      </w:r>
      <w:r>
        <w:rPr>
          <w:sz w:val="23"/>
        </w:rPr>
        <w:t>and</w:t>
      </w:r>
      <w:r>
        <w:rPr>
          <w:spacing w:val="-8"/>
          <w:sz w:val="23"/>
        </w:rPr>
        <w:t xml:space="preserve"> </w:t>
      </w:r>
      <w:r>
        <w:rPr>
          <w:sz w:val="23"/>
        </w:rPr>
        <w:t>part-time)</w:t>
      </w:r>
      <w:r>
        <w:rPr>
          <w:spacing w:val="-6"/>
          <w:sz w:val="23"/>
        </w:rPr>
        <w:t xml:space="preserve"> </w:t>
      </w:r>
      <w:r>
        <w:rPr>
          <w:sz w:val="23"/>
        </w:rPr>
        <w:t>in</w:t>
      </w:r>
      <w:r>
        <w:rPr>
          <w:spacing w:val="-6"/>
          <w:sz w:val="23"/>
        </w:rPr>
        <w:t xml:space="preserve"> </w:t>
      </w:r>
      <w:r>
        <w:rPr>
          <w:sz w:val="23"/>
        </w:rPr>
        <w:t>Queensland</w:t>
      </w:r>
      <w:r>
        <w:rPr>
          <w:spacing w:val="-8"/>
          <w:sz w:val="23"/>
        </w:rPr>
        <w:t xml:space="preserve"> </w:t>
      </w:r>
      <w:r>
        <w:rPr>
          <w:sz w:val="23"/>
        </w:rPr>
        <w:t>schools</w:t>
      </w:r>
      <w:r>
        <w:rPr>
          <w:spacing w:val="-6"/>
          <w:sz w:val="23"/>
        </w:rPr>
        <w:t xml:space="preserve"> </w:t>
      </w:r>
      <w:r>
        <w:rPr>
          <w:sz w:val="23"/>
        </w:rPr>
        <w:t>grew</w:t>
      </w:r>
      <w:r>
        <w:rPr>
          <w:spacing w:val="-8"/>
          <w:sz w:val="23"/>
        </w:rPr>
        <w:t xml:space="preserve"> </w:t>
      </w:r>
      <w:r>
        <w:rPr>
          <w:sz w:val="23"/>
        </w:rPr>
        <w:t>by</w:t>
      </w:r>
      <w:r>
        <w:rPr>
          <w:spacing w:val="-7"/>
          <w:sz w:val="23"/>
        </w:rPr>
        <w:t xml:space="preserve"> </w:t>
      </w:r>
      <w:r>
        <w:rPr>
          <w:sz w:val="23"/>
        </w:rPr>
        <w:t>13.1</w:t>
      </w:r>
      <w:r>
        <w:rPr>
          <w:spacing w:val="-7"/>
          <w:sz w:val="23"/>
        </w:rPr>
        <w:t xml:space="preserve"> </w:t>
      </w:r>
      <w:r>
        <w:rPr>
          <w:sz w:val="23"/>
        </w:rPr>
        <w:t>percent compared to 4.3 percent for all students in</w:t>
      </w:r>
      <w:r>
        <w:rPr>
          <w:spacing w:val="-10"/>
          <w:sz w:val="23"/>
        </w:rPr>
        <w:t xml:space="preserve"> </w:t>
      </w:r>
      <w:r>
        <w:rPr>
          <w:sz w:val="23"/>
        </w:rPr>
        <w:t>Queensland.</w:t>
      </w:r>
    </w:p>
    <w:p w14:paraId="516E4B04" w14:textId="77777777" w:rsidR="00372CDD" w:rsidRDefault="00372CDD">
      <w:pPr>
        <w:pStyle w:val="BodyText"/>
        <w:spacing w:before="6"/>
        <w:rPr>
          <w:sz w:val="19"/>
        </w:rPr>
      </w:pPr>
    </w:p>
    <w:p w14:paraId="0F40B238" w14:textId="77777777" w:rsidR="00372CDD" w:rsidRDefault="00C87ECC">
      <w:pPr>
        <w:pStyle w:val="ListParagraph"/>
        <w:numPr>
          <w:ilvl w:val="0"/>
          <w:numId w:val="3"/>
        </w:numPr>
        <w:tabs>
          <w:tab w:val="left" w:pos="667"/>
        </w:tabs>
        <w:spacing w:line="220" w:lineRule="auto"/>
        <w:ind w:right="109" w:hanging="566"/>
        <w:rPr>
          <w:sz w:val="23"/>
        </w:rPr>
      </w:pPr>
      <w:r>
        <w:rPr>
          <w:sz w:val="23"/>
        </w:rPr>
        <w:t>The</w:t>
      </w:r>
      <w:r>
        <w:rPr>
          <w:spacing w:val="-6"/>
          <w:sz w:val="23"/>
        </w:rPr>
        <w:t xml:space="preserve"> </w:t>
      </w:r>
      <w:r>
        <w:rPr>
          <w:sz w:val="23"/>
        </w:rPr>
        <w:t>Queensland</w:t>
      </w:r>
      <w:r>
        <w:rPr>
          <w:spacing w:val="-8"/>
          <w:sz w:val="23"/>
        </w:rPr>
        <w:t xml:space="preserve"> </w:t>
      </w:r>
      <w:r>
        <w:rPr>
          <w:sz w:val="23"/>
        </w:rPr>
        <w:t>Government</w:t>
      </w:r>
      <w:r>
        <w:rPr>
          <w:spacing w:val="-6"/>
          <w:sz w:val="23"/>
        </w:rPr>
        <w:t xml:space="preserve"> </w:t>
      </w:r>
      <w:r>
        <w:rPr>
          <w:sz w:val="23"/>
        </w:rPr>
        <w:t>has</w:t>
      </w:r>
      <w:r>
        <w:rPr>
          <w:spacing w:val="-6"/>
          <w:sz w:val="23"/>
        </w:rPr>
        <w:t xml:space="preserve"> </w:t>
      </w:r>
      <w:r>
        <w:rPr>
          <w:sz w:val="23"/>
        </w:rPr>
        <w:t>fostered</w:t>
      </w:r>
      <w:r>
        <w:rPr>
          <w:spacing w:val="-7"/>
          <w:sz w:val="23"/>
        </w:rPr>
        <w:t xml:space="preserve"> </w:t>
      </w:r>
      <w:r>
        <w:rPr>
          <w:sz w:val="23"/>
        </w:rPr>
        <w:t>a</w:t>
      </w:r>
      <w:r>
        <w:rPr>
          <w:spacing w:val="-5"/>
          <w:sz w:val="23"/>
        </w:rPr>
        <w:t xml:space="preserve"> </w:t>
      </w:r>
      <w:r>
        <w:rPr>
          <w:sz w:val="23"/>
        </w:rPr>
        <w:t>strong</w:t>
      </w:r>
      <w:r>
        <w:rPr>
          <w:spacing w:val="-6"/>
          <w:sz w:val="23"/>
        </w:rPr>
        <w:t xml:space="preserve"> </w:t>
      </w:r>
      <w:r>
        <w:rPr>
          <w:sz w:val="23"/>
        </w:rPr>
        <w:t>government</w:t>
      </w:r>
      <w:r>
        <w:rPr>
          <w:spacing w:val="-6"/>
          <w:sz w:val="23"/>
        </w:rPr>
        <w:t xml:space="preserve"> </w:t>
      </w:r>
      <w:r>
        <w:rPr>
          <w:sz w:val="23"/>
        </w:rPr>
        <w:t>education</w:t>
      </w:r>
      <w:r>
        <w:rPr>
          <w:spacing w:val="-8"/>
          <w:sz w:val="23"/>
        </w:rPr>
        <w:t xml:space="preserve"> </w:t>
      </w:r>
      <w:r>
        <w:rPr>
          <w:sz w:val="23"/>
        </w:rPr>
        <w:t>system</w:t>
      </w:r>
      <w:r>
        <w:rPr>
          <w:spacing w:val="-5"/>
          <w:sz w:val="23"/>
        </w:rPr>
        <w:t xml:space="preserve"> </w:t>
      </w:r>
      <w:r>
        <w:rPr>
          <w:sz w:val="23"/>
        </w:rPr>
        <w:t>in</w:t>
      </w:r>
      <w:r>
        <w:rPr>
          <w:spacing w:val="-5"/>
          <w:sz w:val="23"/>
        </w:rPr>
        <w:t xml:space="preserve"> </w:t>
      </w:r>
      <w:r>
        <w:rPr>
          <w:sz w:val="23"/>
        </w:rPr>
        <w:t>the</w:t>
      </w:r>
      <w:r>
        <w:rPr>
          <w:spacing w:val="-6"/>
          <w:sz w:val="23"/>
        </w:rPr>
        <w:t xml:space="preserve"> </w:t>
      </w:r>
      <w:r>
        <w:rPr>
          <w:sz w:val="23"/>
        </w:rPr>
        <w:t>state, specifically suited to its student cohorts. The Queensland Government’s overarching plan for government</w:t>
      </w:r>
      <w:r>
        <w:rPr>
          <w:spacing w:val="-11"/>
          <w:sz w:val="23"/>
        </w:rPr>
        <w:t xml:space="preserve"> </w:t>
      </w:r>
      <w:r>
        <w:rPr>
          <w:sz w:val="23"/>
        </w:rPr>
        <w:t>school</w:t>
      </w:r>
      <w:r>
        <w:rPr>
          <w:spacing w:val="-10"/>
          <w:sz w:val="23"/>
        </w:rPr>
        <w:t xml:space="preserve"> </w:t>
      </w:r>
      <w:r>
        <w:rPr>
          <w:sz w:val="23"/>
        </w:rPr>
        <w:t>education</w:t>
      </w:r>
      <w:r>
        <w:rPr>
          <w:spacing w:val="-8"/>
          <w:sz w:val="23"/>
        </w:rPr>
        <w:t xml:space="preserve"> </w:t>
      </w:r>
      <w:r>
        <w:rPr>
          <w:sz w:val="23"/>
        </w:rPr>
        <w:t>is</w:t>
      </w:r>
      <w:r>
        <w:rPr>
          <w:spacing w:val="-10"/>
          <w:sz w:val="23"/>
        </w:rPr>
        <w:t xml:space="preserve"> </w:t>
      </w:r>
      <w:r>
        <w:rPr>
          <w:sz w:val="23"/>
        </w:rPr>
        <w:t>set</w:t>
      </w:r>
      <w:r>
        <w:rPr>
          <w:spacing w:val="-10"/>
          <w:sz w:val="23"/>
        </w:rPr>
        <w:t xml:space="preserve"> </w:t>
      </w:r>
      <w:r>
        <w:rPr>
          <w:sz w:val="23"/>
        </w:rPr>
        <w:t>out</w:t>
      </w:r>
      <w:r>
        <w:rPr>
          <w:spacing w:val="-7"/>
          <w:sz w:val="23"/>
        </w:rPr>
        <w:t xml:space="preserve"> </w:t>
      </w:r>
      <w:r>
        <w:rPr>
          <w:sz w:val="23"/>
        </w:rPr>
        <w:t>in</w:t>
      </w:r>
      <w:r>
        <w:rPr>
          <w:spacing w:val="-9"/>
          <w:sz w:val="23"/>
        </w:rPr>
        <w:t xml:space="preserve"> </w:t>
      </w:r>
      <w:r>
        <w:rPr>
          <w:i/>
          <w:sz w:val="23"/>
        </w:rPr>
        <w:t>Advancing</w:t>
      </w:r>
      <w:r>
        <w:rPr>
          <w:i/>
          <w:spacing w:val="-9"/>
          <w:sz w:val="23"/>
        </w:rPr>
        <w:t xml:space="preserve"> </w:t>
      </w:r>
      <w:r>
        <w:rPr>
          <w:i/>
          <w:sz w:val="23"/>
        </w:rPr>
        <w:t>Education</w:t>
      </w:r>
      <w:r>
        <w:rPr>
          <w:i/>
          <w:spacing w:val="-8"/>
          <w:sz w:val="23"/>
        </w:rPr>
        <w:t xml:space="preserve"> </w:t>
      </w:r>
      <w:r>
        <w:rPr>
          <w:sz w:val="23"/>
        </w:rPr>
        <w:t>and</w:t>
      </w:r>
      <w:r>
        <w:rPr>
          <w:spacing w:val="-10"/>
          <w:sz w:val="23"/>
        </w:rPr>
        <w:t xml:space="preserve"> </w:t>
      </w:r>
      <w:r>
        <w:rPr>
          <w:sz w:val="23"/>
        </w:rPr>
        <w:t>supported</w:t>
      </w:r>
      <w:r>
        <w:rPr>
          <w:spacing w:val="-11"/>
          <w:sz w:val="23"/>
        </w:rPr>
        <w:t xml:space="preserve"> </w:t>
      </w:r>
      <w:r>
        <w:rPr>
          <w:sz w:val="23"/>
        </w:rPr>
        <w:t>by</w:t>
      </w:r>
      <w:r>
        <w:rPr>
          <w:spacing w:val="-7"/>
          <w:sz w:val="23"/>
        </w:rPr>
        <w:t xml:space="preserve"> </w:t>
      </w:r>
      <w:r>
        <w:rPr>
          <w:sz w:val="23"/>
        </w:rPr>
        <w:t>the</w:t>
      </w:r>
      <w:r>
        <w:rPr>
          <w:spacing w:val="-9"/>
          <w:sz w:val="23"/>
        </w:rPr>
        <w:t xml:space="preserve"> </w:t>
      </w:r>
      <w:r>
        <w:rPr>
          <w:sz w:val="23"/>
        </w:rPr>
        <w:t>following:</w:t>
      </w:r>
    </w:p>
    <w:p w14:paraId="4001D90C" w14:textId="77777777" w:rsidR="00372CDD" w:rsidRDefault="00372CDD">
      <w:pPr>
        <w:pStyle w:val="BodyText"/>
        <w:spacing w:before="1"/>
        <w:rPr>
          <w:sz w:val="20"/>
        </w:rPr>
      </w:pPr>
    </w:p>
    <w:p w14:paraId="21F07EDF" w14:textId="24DE52C1" w:rsidR="00372CDD" w:rsidRDefault="00C87ECC">
      <w:pPr>
        <w:pStyle w:val="ListParagraph"/>
        <w:numPr>
          <w:ilvl w:val="1"/>
          <w:numId w:val="3"/>
        </w:numPr>
        <w:tabs>
          <w:tab w:val="left" w:pos="1094"/>
        </w:tabs>
        <w:spacing w:line="220" w:lineRule="auto"/>
        <w:ind w:right="110"/>
        <w:rPr>
          <w:sz w:val="23"/>
        </w:rPr>
      </w:pPr>
      <w:r>
        <w:rPr>
          <w:i/>
          <w:sz w:val="23"/>
        </w:rPr>
        <w:t>Every</w:t>
      </w:r>
      <w:r>
        <w:rPr>
          <w:i/>
          <w:spacing w:val="-5"/>
          <w:sz w:val="23"/>
        </w:rPr>
        <w:t xml:space="preserve"> </w:t>
      </w:r>
      <w:r>
        <w:rPr>
          <w:i/>
          <w:sz w:val="23"/>
        </w:rPr>
        <w:t>student</w:t>
      </w:r>
      <w:r>
        <w:rPr>
          <w:i/>
          <w:spacing w:val="-4"/>
          <w:sz w:val="23"/>
        </w:rPr>
        <w:t xml:space="preserve"> </w:t>
      </w:r>
      <w:r>
        <w:rPr>
          <w:i/>
          <w:sz w:val="23"/>
        </w:rPr>
        <w:t>succeeding</w:t>
      </w:r>
      <w:r>
        <w:rPr>
          <w:i/>
          <w:spacing w:val="-6"/>
          <w:sz w:val="23"/>
        </w:rPr>
        <w:t xml:space="preserve"> </w:t>
      </w:r>
      <w:r>
        <w:rPr>
          <w:i/>
          <w:sz w:val="23"/>
        </w:rPr>
        <w:t>State</w:t>
      </w:r>
      <w:r>
        <w:rPr>
          <w:i/>
          <w:spacing w:val="-7"/>
          <w:sz w:val="23"/>
        </w:rPr>
        <w:t xml:space="preserve"> </w:t>
      </w:r>
      <w:r>
        <w:rPr>
          <w:i/>
          <w:sz w:val="23"/>
        </w:rPr>
        <w:t>Schools</w:t>
      </w:r>
      <w:r>
        <w:rPr>
          <w:i/>
          <w:spacing w:val="-5"/>
          <w:sz w:val="23"/>
        </w:rPr>
        <w:t xml:space="preserve"> </w:t>
      </w:r>
      <w:r>
        <w:rPr>
          <w:i/>
          <w:sz w:val="23"/>
        </w:rPr>
        <w:t>Strategy</w:t>
      </w:r>
      <w:r>
        <w:rPr>
          <w:i/>
          <w:spacing w:val="-3"/>
          <w:sz w:val="23"/>
        </w:rPr>
        <w:t xml:space="preserve"> </w:t>
      </w:r>
      <w:r>
        <w:rPr>
          <w:i/>
          <w:sz w:val="23"/>
        </w:rPr>
        <w:t>2018-2022</w:t>
      </w:r>
      <w:r>
        <w:rPr>
          <w:sz w:val="23"/>
        </w:rPr>
        <w:t>,</w:t>
      </w:r>
      <w:r>
        <w:rPr>
          <w:spacing w:val="-5"/>
          <w:sz w:val="23"/>
        </w:rPr>
        <w:t xml:space="preserve"> </w:t>
      </w:r>
      <w:r>
        <w:rPr>
          <w:sz w:val="23"/>
        </w:rPr>
        <w:t>which</w:t>
      </w:r>
      <w:r>
        <w:rPr>
          <w:spacing w:val="-4"/>
          <w:sz w:val="23"/>
        </w:rPr>
        <w:t xml:space="preserve"> </w:t>
      </w:r>
      <w:r>
        <w:rPr>
          <w:sz w:val="23"/>
        </w:rPr>
        <w:t>will</w:t>
      </w:r>
      <w:r>
        <w:rPr>
          <w:spacing w:val="-5"/>
          <w:sz w:val="23"/>
        </w:rPr>
        <w:t xml:space="preserve"> </w:t>
      </w:r>
      <w:r>
        <w:rPr>
          <w:sz w:val="23"/>
        </w:rPr>
        <w:t>lift</w:t>
      </w:r>
      <w:r>
        <w:rPr>
          <w:spacing w:val="-4"/>
          <w:sz w:val="23"/>
        </w:rPr>
        <w:t xml:space="preserve"> </w:t>
      </w:r>
      <w:r>
        <w:rPr>
          <w:sz w:val="23"/>
        </w:rPr>
        <w:t>the</w:t>
      </w:r>
      <w:r>
        <w:rPr>
          <w:spacing w:val="-4"/>
          <w:sz w:val="23"/>
        </w:rPr>
        <w:t xml:space="preserve"> </w:t>
      </w:r>
      <w:r>
        <w:rPr>
          <w:sz w:val="23"/>
        </w:rPr>
        <w:t xml:space="preserve">performance of each </w:t>
      </w:r>
      <w:r w:rsidR="003C166B">
        <w:rPr>
          <w:sz w:val="23"/>
        </w:rPr>
        <w:t xml:space="preserve">government </w:t>
      </w:r>
      <w:r>
        <w:rPr>
          <w:sz w:val="23"/>
        </w:rPr>
        <w:t>school student, teacher and</w:t>
      </w:r>
      <w:r>
        <w:rPr>
          <w:spacing w:val="-6"/>
          <w:sz w:val="23"/>
        </w:rPr>
        <w:t xml:space="preserve"> </w:t>
      </w:r>
      <w:r>
        <w:rPr>
          <w:sz w:val="23"/>
        </w:rPr>
        <w:t>principal.</w:t>
      </w:r>
    </w:p>
    <w:p w14:paraId="223FFEDD" w14:textId="77777777" w:rsidR="00372CDD" w:rsidRDefault="00372CDD">
      <w:pPr>
        <w:pStyle w:val="BodyText"/>
        <w:spacing w:before="7"/>
        <w:rPr>
          <w:sz w:val="19"/>
        </w:rPr>
      </w:pPr>
    </w:p>
    <w:p w14:paraId="0C213390" w14:textId="77777777" w:rsidR="00372CDD" w:rsidRDefault="00C87ECC">
      <w:pPr>
        <w:pStyle w:val="ListParagraph"/>
        <w:numPr>
          <w:ilvl w:val="1"/>
          <w:numId w:val="3"/>
        </w:numPr>
        <w:tabs>
          <w:tab w:val="left" w:pos="1094"/>
        </w:tabs>
        <w:spacing w:before="1" w:line="223" w:lineRule="auto"/>
        <w:ind w:right="112"/>
        <w:rPr>
          <w:sz w:val="23"/>
        </w:rPr>
      </w:pPr>
      <w:r>
        <w:rPr>
          <w:i/>
          <w:sz w:val="23"/>
        </w:rPr>
        <w:t>Advancing Aboriginal and Torres Strait Islander education action plan</w:t>
      </w:r>
      <w:r>
        <w:rPr>
          <w:sz w:val="23"/>
        </w:rPr>
        <w:t>, which will improve early childhood and school education outcomes for Aboriginal and Torres Strait Islander children and students</w:t>
      </w:r>
      <w:r>
        <w:rPr>
          <w:spacing w:val="-3"/>
          <w:sz w:val="23"/>
        </w:rPr>
        <w:t xml:space="preserve"> </w:t>
      </w:r>
      <w:r>
        <w:rPr>
          <w:sz w:val="23"/>
        </w:rPr>
        <w:t>[pending].</w:t>
      </w:r>
    </w:p>
    <w:p w14:paraId="70C3D587" w14:textId="77777777" w:rsidR="00372CDD" w:rsidRDefault="00372CDD">
      <w:pPr>
        <w:pStyle w:val="BodyText"/>
        <w:spacing w:before="4"/>
        <w:rPr>
          <w:sz w:val="19"/>
        </w:rPr>
      </w:pPr>
    </w:p>
    <w:p w14:paraId="23E3A16B" w14:textId="77777777" w:rsidR="00372CDD" w:rsidRDefault="00C87ECC">
      <w:pPr>
        <w:pStyle w:val="ListParagraph"/>
        <w:numPr>
          <w:ilvl w:val="1"/>
          <w:numId w:val="3"/>
        </w:numPr>
        <w:tabs>
          <w:tab w:val="left" w:pos="1094"/>
        </w:tabs>
        <w:spacing w:line="223" w:lineRule="auto"/>
        <w:rPr>
          <w:sz w:val="23"/>
        </w:rPr>
      </w:pPr>
      <w:r>
        <w:rPr>
          <w:i/>
          <w:sz w:val="23"/>
        </w:rPr>
        <w:t xml:space="preserve">Inclusive Education Policy </w:t>
      </w:r>
      <w:r>
        <w:rPr>
          <w:sz w:val="23"/>
        </w:rPr>
        <w:t>which will ensure that students from all backgrounds, of all identities and all abilities are able to access and participate in education and</w:t>
      </w:r>
      <w:r>
        <w:rPr>
          <w:spacing w:val="-9"/>
          <w:sz w:val="23"/>
        </w:rPr>
        <w:t xml:space="preserve"> </w:t>
      </w:r>
      <w:r>
        <w:rPr>
          <w:sz w:val="23"/>
        </w:rPr>
        <w:t>achieve.</w:t>
      </w:r>
    </w:p>
    <w:p w14:paraId="6EB445A2" w14:textId="77777777" w:rsidR="00372CDD" w:rsidRDefault="00372CDD">
      <w:pPr>
        <w:pStyle w:val="BodyText"/>
        <w:spacing w:before="7"/>
        <w:rPr>
          <w:sz w:val="19"/>
        </w:rPr>
      </w:pPr>
    </w:p>
    <w:p w14:paraId="14E047CC" w14:textId="77777777" w:rsidR="00372CDD" w:rsidRDefault="00C87ECC">
      <w:pPr>
        <w:pStyle w:val="ListParagraph"/>
        <w:numPr>
          <w:ilvl w:val="1"/>
          <w:numId w:val="3"/>
        </w:numPr>
        <w:tabs>
          <w:tab w:val="left" w:pos="1094"/>
        </w:tabs>
        <w:spacing w:line="223" w:lineRule="auto"/>
        <w:ind w:right="112"/>
        <w:rPr>
          <w:sz w:val="23"/>
        </w:rPr>
      </w:pPr>
      <w:r>
        <w:rPr>
          <w:i/>
          <w:sz w:val="23"/>
        </w:rPr>
        <w:t xml:space="preserve">Advancing Rural and Remote Education in Queensland state schools action plan </w:t>
      </w:r>
      <w:r>
        <w:rPr>
          <w:sz w:val="23"/>
        </w:rPr>
        <w:t>which will recognise unique challenges of teaching in rural and remote schools and address the particular needs of students living in geographically isolated</w:t>
      </w:r>
      <w:r>
        <w:rPr>
          <w:spacing w:val="-8"/>
          <w:sz w:val="23"/>
        </w:rPr>
        <w:t xml:space="preserve"> </w:t>
      </w:r>
      <w:r>
        <w:rPr>
          <w:sz w:val="23"/>
        </w:rPr>
        <w:t>areas.</w:t>
      </w:r>
    </w:p>
    <w:p w14:paraId="7B2F1EF8" w14:textId="77777777" w:rsidR="00372CDD" w:rsidRDefault="00372CDD">
      <w:pPr>
        <w:pStyle w:val="BodyText"/>
        <w:spacing w:before="7"/>
        <w:rPr>
          <w:sz w:val="19"/>
        </w:rPr>
      </w:pPr>
    </w:p>
    <w:p w14:paraId="59C40355" w14:textId="77777777" w:rsidR="00372CDD" w:rsidRDefault="00C87ECC">
      <w:pPr>
        <w:pStyle w:val="ListParagraph"/>
        <w:numPr>
          <w:ilvl w:val="0"/>
          <w:numId w:val="3"/>
        </w:numPr>
        <w:tabs>
          <w:tab w:val="left" w:pos="667"/>
        </w:tabs>
        <w:spacing w:line="220" w:lineRule="auto"/>
        <w:ind w:right="113" w:hanging="566"/>
        <w:rPr>
          <w:sz w:val="23"/>
        </w:rPr>
      </w:pPr>
      <w:r>
        <w:rPr>
          <w:sz w:val="23"/>
        </w:rPr>
        <w:t>Non-government schools pursue their own reform and improvement agendas to meet the diverse and specific needs of their school students and</w:t>
      </w:r>
      <w:r>
        <w:rPr>
          <w:spacing w:val="-16"/>
          <w:sz w:val="23"/>
        </w:rPr>
        <w:t xml:space="preserve"> </w:t>
      </w:r>
      <w:r>
        <w:rPr>
          <w:sz w:val="23"/>
        </w:rPr>
        <w:t>communities.</w:t>
      </w:r>
    </w:p>
    <w:p w14:paraId="4FC0BBCE" w14:textId="77777777" w:rsidR="00372CDD" w:rsidRDefault="00372CDD">
      <w:pPr>
        <w:pStyle w:val="BodyText"/>
        <w:spacing w:before="10"/>
        <w:rPr>
          <w:sz w:val="19"/>
        </w:rPr>
      </w:pPr>
    </w:p>
    <w:p w14:paraId="2FF1A534" w14:textId="7040ABC9" w:rsidR="00372CDD" w:rsidRDefault="00C87ECC">
      <w:pPr>
        <w:pStyle w:val="ListParagraph"/>
        <w:numPr>
          <w:ilvl w:val="0"/>
          <w:numId w:val="3"/>
        </w:numPr>
        <w:tabs>
          <w:tab w:val="left" w:pos="667"/>
        </w:tabs>
        <w:spacing w:line="223" w:lineRule="auto"/>
        <w:ind w:right="107" w:hanging="566"/>
        <w:rPr>
          <w:sz w:val="23"/>
        </w:rPr>
      </w:pPr>
      <w:r>
        <w:rPr>
          <w:sz w:val="23"/>
        </w:rPr>
        <w:t>Consistent with clause</w:t>
      </w:r>
      <w:r w:rsidR="00597066">
        <w:rPr>
          <w:sz w:val="23"/>
        </w:rPr>
        <w:t>s</w:t>
      </w:r>
      <w:r>
        <w:rPr>
          <w:sz w:val="23"/>
        </w:rPr>
        <w:t xml:space="preserve"> 67 </w:t>
      </w:r>
      <w:r w:rsidR="00597066">
        <w:rPr>
          <w:sz w:val="23"/>
        </w:rPr>
        <w:t xml:space="preserve">and 68 </w:t>
      </w:r>
      <w:r>
        <w:rPr>
          <w:sz w:val="23"/>
        </w:rPr>
        <w:t>of the National Agreement and section 77(2A) of the Act, non-government representative bodies (NGRBs) – the Queensland Catholic Education Commission (QCEC)</w:t>
      </w:r>
      <w:r>
        <w:rPr>
          <w:spacing w:val="-5"/>
          <w:sz w:val="23"/>
        </w:rPr>
        <w:t xml:space="preserve"> </w:t>
      </w:r>
      <w:r>
        <w:rPr>
          <w:sz w:val="23"/>
        </w:rPr>
        <w:t>and</w:t>
      </w:r>
      <w:r>
        <w:rPr>
          <w:spacing w:val="-9"/>
          <w:sz w:val="23"/>
        </w:rPr>
        <w:t xml:space="preserve"> </w:t>
      </w:r>
      <w:r>
        <w:rPr>
          <w:sz w:val="23"/>
        </w:rPr>
        <w:t>Independent</w:t>
      </w:r>
      <w:r>
        <w:rPr>
          <w:spacing w:val="-8"/>
          <w:sz w:val="23"/>
        </w:rPr>
        <w:t xml:space="preserve"> </w:t>
      </w:r>
      <w:r>
        <w:rPr>
          <w:sz w:val="23"/>
        </w:rPr>
        <w:t>Schools</w:t>
      </w:r>
      <w:r>
        <w:rPr>
          <w:spacing w:val="-5"/>
          <w:sz w:val="23"/>
        </w:rPr>
        <w:t xml:space="preserve"> </w:t>
      </w:r>
      <w:r>
        <w:rPr>
          <w:sz w:val="23"/>
        </w:rPr>
        <w:t>Queensland</w:t>
      </w:r>
      <w:r>
        <w:rPr>
          <w:spacing w:val="-6"/>
          <w:sz w:val="23"/>
        </w:rPr>
        <w:t xml:space="preserve"> </w:t>
      </w:r>
      <w:r>
        <w:rPr>
          <w:sz w:val="23"/>
        </w:rPr>
        <w:t>(ISQ)</w:t>
      </w:r>
      <w:r>
        <w:rPr>
          <w:spacing w:val="-3"/>
          <w:sz w:val="23"/>
        </w:rPr>
        <w:t xml:space="preserve"> </w:t>
      </w:r>
      <w:r>
        <w:rPr>
          <w:sz w:val="23"/>
        </w:rPr>
        <w:t>–</w:t>
      </w:r>
      <w:r>
        <w:rPr>
          <w:spacing w:val="-5"/>
          <w:sz w:val="23"/>
        </w:rPr>
        <w:t xml:space="preserve"> </w:t>
      </w:r>
      <w:r w:rsidR="00D62333">
        <w:rPr>
          <w:spacing w:val="-5"/>
          <w:sz w:val="23"/>
        </w:rPr>
        <w:t xml:space="preserve">and non-government approved authorities </w:t>
      </w:r>
      <w:r>
        <w:rPr>
          <w:sz w:val="23"/>
        </w:rPr>
        <w:t>are</w:t>
      </w:r>
      <w:r>
        <w:rPr>
          <w:spacing w:val="-5"/>
          <w:sz w:val="23"/>
        </w:rPr>
        <w:t xml:space="preserve"> </w:t>
      </w:r>
      <w:r>
        <w:rPr>
          <w:sz w:val="23"/>
        </w:rPr>
        <w:t>required</w:t>
      </w:r>
      <w:r>
        <w:rPr>
          <w:spacing w:val="-6"/>
          <w:sz w:val="23"/>
        </w:rPr>
        <w:t xml:space="preserve"> </w:t>
      </w:r>
      <w:r>
        <w:rPr>
          <w:sz w:val="23"/>
        </w:rPr>
        <w:t>to</w:t>
      </w:r>
      <w:r>
        <w:rPr>
          <w:spacing w:val="-5"/>
          <w:sz w:val="23"/>
        </w:rPr>
        <w:t xml:space="preserve"> </w:t>
      </w:r>
      <w:r>
        <w:rPr>
          <w:sz w:val="23"/>
        </w:rPr>
        <w:t>cooperate</w:t>
      </w:r>
      <w:r>
        <w:rPr>
          <w:spacing w:val="-5"/>
          <w:sz w:val="23"/>
        </w:rPr>
        <w:t xml:space="preserve"> </w:t>
      </w:r>
      <w:r>
        <w:rPr>
          <w:sz w:val="23"/>
        </w:rPr>
        <w:t>with</w:t>
      </w:r>
      <w:r>
        <w:rPr>
          <w:spacing w:val="-6"/>
          <w:sz w:val="23"/>
        </w:rPr>
        <w:t xml:space="preserve"> </w:t>
      </w:r>
      <w:r>
        <w:rPr>
          <w:sz w:val="23"/>
        </w:rPr>
        <w:t>the</w:t>
      </w:r>
      <w:r w:rsidR="005D6C88">
        <w:rPr>
          <w:sz w:val="23"/>
        </w:rPr>
        <w:t xml:space="preserve"> Queensland G</w:t>
      </w:r>
      <w:r>
        <w:rPr>
          <w:sz w:val="23"/>
        </w:rPr>
        <w:t>overnment in the implementation of this</w:t>
      </w:r>
      <w:r>
        <w:rPr>
          <w:spacing w:val="-6"/>
          <w:sz w:val="23"/>
        </w:rPr>
        <w:t xml:space="preserve"> </w:t>
      </w:r>
      <w:r>
        <w:rPr>
          <w:sz w:val="23"/>
        </w:rPr>
        <w:t>agreement.</w:t>
      </w:r>
    </w:p>
    <w:p w14:paraId="645B8DC9" w14:textId="77777777" w:rsidR="00372CDD" w:rsidRDefault="00372CDD">
      <w:pPr>
        <w:pStyle w:val="BodyText"/>
        <w:spacing w:before="3"/>
        <w:rPr>
          <w:sz w:val="19"/>
        </w:rPr>
      </w:pPr>
    </w:p>
    <w:p w14:paraId="275B4651" w14:textId="77777777" w:rsidR="00372CDD" w:rsidRDefault="00C87ECC">
      <w:pPr>
        <w:pStyle w:val="ListParagraph"/>
        <w:numPr>
          <w:ilvl w:val="0"/>
          <w:numId w:val="3"/>
        </w:numPr>
        <w:tabs>
          <w:tab w:val="left" w:pos="667"/>
        </w:tabs>
        <w:spacing w:line="223" w:lineRule="auto"/>
        <w:ind w:right="113" w:hanging="566"/>
        <w:rPr>
          <w:sz w:val="23"/>
        </w:rPr>
      </w:pPr>
      <w:r>
        <w:rPr>
          <w:sz w:val="23"/>
        </w:rPr>
        <w:t>Queensland is already implementing an ambitious education reform agenda designed to improve educational outcomes for all students. Existing reforms build on major changes introduced over the past decade for all school sectors to improve teaching and learning in Queensland, including introduction of the Prep Year in 2007, and the move of Year 7 to high school in</w:t>
      </w:r>
      <w:r>
        <w:rPr>
          <w:spacing w:val="-3"/>
          <w:sz w:val="23"/>
        </w:rPr>
        <w:t xml:space="preserve"> </w:t>
      </w:r>
      <w:r>
        <w:rPr>
          <w:sz w:val="23"/>
        </w:rPr>
        <w:t>2015.</w:t>
      </w:r>
    </w:p>
    <w:p w14:paraId="73A55349" w14:textId="77777777" w:rsidR="00CC1102" w:rsidRPr="00CC1102" w:rsidRDefault="00CC1102" w:rsidP="00CC1102">
      <w:pPr>
        <w:pStyle w:val="ListParagraph"/>
        <w:rPr>
          <w:sz w:val="23"/>
        </w:rPr>
      </w:pPr>
    </w:p>
    <w:p w14:paraId="28790AC3" w14:textId="77777777" w:rsidR="00CC1102" w:rsidRDefault="00CC1102" w:rsidP="00CC1102">
      <w:pPr>
        <w:tabs>
          <w:tab w:val="left" w:pos="667"/>
        </w:tabs>
        <w:spacing w:line="223" w:lineRule="auto"/>
        <w:ind w:right="113"/>
        <w:rPr>
          <w:sz w:val="23"/>
        </w:rPr>
      </w:pPr>
    </w:p>
    <w:p w14:paraId="469E9C67" w14:textId="77777777" w:rsidR="00CC1102" w:rsidRDefault="00CC1102" w:rsidP="00CC1102">
      <w:pPr>
        <w:tabs>
          <w:tab w:val="left" w:pos="667"/>
        </w:tabs>
        <w:spacing w:line="223" w:lineRule="auto"/>
        <w:ind w:right="113"/>
        <w:rPr>
          <w:sz w:val="23"/>
        </w:rPr>
      </w:pPr>
    </w:p>
    <w:p w14:paraId="4DE2F2C9" w14:textId="77777777" w:rsidR="00CC1102" w:rsidRDefault="00CC1102" w:rsidP="00CC1102">
      <w:pPr>
        <w:tabs>
          <w:tab w:val="left" w:pos="667"/>
        </w:tabs>
        <w:spacing w:line="223" w:lineRule="auto"/>
        <w:ind w:right="113"/>
        <w:rPr>
          <w:sz w:val="23"/>
        </w:rPr>
      </w:pPr>
    </w:p>
    <w:p w14:paraId="1B43314E" w14:textId="77777777" w:rsidR="00372CDD" w:rsidRDefault="00372CDD">
      <w:pPr>
        <w:pStyle w:val="BodyText"/>
        <w:spacing w:before="4"/>
        <w:rPr>
          <w:sz w:val="19"/>
        </w:rPr>
      </w:pPr>
    </w:p>
    <w:p w14:paraId="7BC73F32" w14:textId="307CB5BD" w:rsidR="00372CDD" w:rsidRPr="00CC1102" w:rsidRDefault="00C87ECC" w:rsidP="00CC1102">
      <w:pPr>
        <w:pStyle w:val="ListParagraph"/>
        <w:numPr>
          <w:ilvl w:val="0"/>
          <w:numId w:val="3"/>
        </w:numPr>
        <w:tabs>
          <w:tab w:val="left" w:pos="667"/>
        </w:tabs>
        <w:spacing w:line="220" w:lineRule="auto"/>
        <w:ind w:right="115" w:hanging="566"/>
        <w:rPr>
          <w:sz w:val="23"/>
        </w:rPr>
      </w:pPr>
      <w:r w:rsidRPr="00CC1102">
        <w:rPr>
          <w:sz w:val="23"/>
        </w:rPr>
        <w:t xml:space="preserve">Queensland has a significant and well-established school improvement agenda and is one of the most improved states since the introduction of NAPLAN in 2008. In 2017, 96.4 percent of all Year 12 </w:t>
      </w:r>
      <w:r w:rsidR="00416B71">
        <w:rPr>
          <w:sz w:val="23"/>
        </w:rPr>
        <w:t xml:space="preserve">students </w:t>
      </w:r>
      <w:r w:rsidRPr="00CC1102">
        <w:rPr>
          <w:sz w:val="23"/>
        </w:rPr>
        <w:t>were awarded either a Queensland Certificate of Education (QCE) or a Queensland Certificate of Individual Achievement (QCIA). A key success for Queensland government</w:t>
      </w:r>
      <w:r w:rsidR="00CC1102" w:rsidRPr="00CC1102">
        <w:rPr>
          <w:sz w:val="23"/>
        </w:rPr>
        <w:t xml:space="preserve"> </w:t>
      </w:r>
      <w:r w:rsidRPr="00CC1102">
        <w:rPr>
          <w:sz w:val="23"/>
        </w:rPr>
        <w:t>schools is that the gap in certification (QCE or QCIA) for Indigenous students continues to be less than 1</w:t>
      </w:r>
      <w:r w:rsidR="00B00D58">
        <w:rPr>
          <w:sz w:val="23"/>
        </w:rPr>
        <w:t> </w:t>
      </w:r>
      <w:r w:rsidRPr="00CC1102">
        <w:rPr>
          <w:sz w:val="23"/>
        </w:rPr>
        <w:t>percentage point.</w:t>
      </w:r>
    </w:p>
    <w:p w14:paraId="25D05468" w14:textId="77777777" w:rsidR="00372CDD" w:rsidRDefault="00372CDD">
      <w:pPr>
        <w:pStyle w:val="BodyText"/>
        <w:rPr>
          <w:sz w:val="20"/>
        </w:rPr>
      </w:pPr>
    </w:p>
    <w:p w14:paraId="4442DB58" w14:textId="77777777" w:rsidR="00372CDD" w:rsidRDefault="00C87ECC">
      <w:pPr>
        <w:pStyle w:val="ListParagraph"/>
        <w:numPr>
          <w:ilvl w:val="0"/>
          <w:numId w:val="3"/>
        </w:numPr>
        <w:tabs>
          <w:tab w:val="left" w:pos="667"/>
        </w:tabs>
        <w:spacing w:line="220" w:lineRule="auto"/>
        <w:ind w:right="115" w:hanging="566"/>
        <w:rPr>
          <w:sz w:val="23"/>
        </w:rPr>
      </w:pPr>
      <w:r>
        <w:rPr>
          <w:sz w:val="23"/>
        </w:rPr>
        <w:t>The activities listed above are provided for context and are not considered part of the Agreement for the purposes of subsections 22(2)(b) and (c) of the</w:t>
      </w:r>
      <w:r>
        <w:rPr>
          <w:spacing w:val="-10"/>
          <w:sz w:val="23"/>
        </w:rPr>
        <w:t xml:space="preserve"> </w:t>
      </w:r>
      <w:r>
        <w:rPr>
          <w:sz w:val="23"/>
        </w:rPr>
        <w:t>Act.</w:t>
      </w:r>
    </w:p>
    <w:p w14:paraId="53E59656" w14:textId="77777777" w:rsidR="00372CDD" w:rsidRDefault="00372CDD">
      <w:pPr>
        <w:pStyle w:val="BodyText"/>
        <w:rPr>
          <w:sz w:val="19"/>
        </w:rPr>
      </w:pPr>
    </w:p>
    <w:p w14:paraId="29C53324" w14:textId="77777777" w:rsidR="00372CDD" w:rsidRDefault="00C87ECC">
      <w:pPr>
        <w:pStyle w:val="Heading1"/>
      </w:pPr>
      <w:r>
        <w:rPr>
          <w:color w:val="306E71"/>
        </w:rPr>
        <w:t>Part 1 — REFORMS</w:t>
      </w:r>
    </w:p>
    <w:p w14:paraId="0D47B403" w14:textId="77777777" w:rsidR="00372CDD" w:rsidRDefault="00C87ECC">
      <w:pPr>
        <w:pStyle w:val="Heading2"/>
        <w:spacing w:before="212"/>
      </w:pPr>
      <w:r>
        <w:rPr>
          <w:color w:val="306E71"/>
        </w:rPr>
        <w:t>State specific actions</w:t>
      </w:r>
    </w:p>
    <w:p w14:paraId="12D198F4" w14:textId="77777777" w:rsidR="00372CDD" w:rsidRDefault="00C87ECC">
      <w:pPr>
        <w:pStyle w:val="ListParagraph"/>
        <w:numPr>
          <w:ilvl w:val="0"/>
          <w:numId w:val="3"/>
        </w:numPr>
        <w:tabs>
          <w:tab w:val="left" w:pos="667"/>
        </w:tabs>
        <w:spacing w:before="122" w:line="223" w:lineRule="auto"/>
        <w:ind w:right="108" w:hanging="566"/>
        <w:rPr>
          <w:sz w:val="23"/>
        </w:rPr>
      </w:pPr>
      <w:r>
        <w:rPr>
          <w:sz w:val="23"/>
        </w:rPr>
        <w:t>Building on existing reform activities, this bilateral agreement sets out state-specific actions to be</w:t>
      </w:r>
      <w:r>
        <w:rPr>
          <w:spacing w:val="-9"/>
          <w:sz w:val="23"/>
        </w:rPr>
        <w:t xml:space="preserve"> </w:t>
      </w:r>
      <w:r>
        <w:rPr>
          <w:sz w:val="23"/>
        </w:rPr>
        <w:t>undertaken</w:t>
      </w:r>
      <w:r>
        <w:rPr>
          <w:spacing w:val="-9"/>
          <w:sz w:val="23"/>
        </w:rPr>
        <w:t xml:space="preserve"> </w:t>
      </w:r>
      <w:r>
        <w:rPr>
          <w:sz w:val="23"/>
        </w:rPr>
        <w:t>during</w:t>
      </w:r>
      <w:r>
        <w:rPr>
          <w:spacing w:val="-8"/>
          <w:sz w:val="23"/>
        </w:rPr>
        <w:t xml:space="preserve"> </w:t>
      </w:r>
      <w:r>
        <w:rPr>
          <w:sz w:val="23"/>
        </w:rPr>
        <w:t>the</w:t>
      </w:r>
      <w:r>
        <w:rPr>
          <w:spacing w:val="-10"/>
          <w:sz w:val="23"/>
        </w:rPr>
        <w:t xml:space="preserve"> </w:t>
      </w:r>
      <w:r>
        <w:rPr>
          <w:sz w:val="23"/>
        </w:rPr>
        <w:t>term</w:t>
      </w:r>
      <w:r>
        <w:rPr>
          <w:spacing w:val="-8"/>
          <w:sz w:val="23"/>
        </w:rPr>
        <w:t xml:space="preserve"> </w:t>
      </w:r>
      <w:r>
        <w:rPr>
          <w:sz w:val="23"/>
        </w:rPr>
        <w:t>of</w:t>
      </w:r>
      <w:r>
        <w:rPr>
          <w:spacing w:val="-10"/>
          <w:sz w:val="23"/>
        </w:rPr>
        <w:t xml:space="preserve"> </w:t>
      </w:r>
      <w:r>
        <w:rPr>
          <w:sz w:val="23"/>
        </w:rPr>
        <w:t>this</w:t>
      </w:r>
      <w:r>
        <w:rPr>
          <w:spacing w:val="-10"/>
          <w:sz w:val="23"/>
        </w:rPr>
        <w:t xml:space="preserve"> </w:t>
      </w:r>
      <w:r>
        <w:rPr>
          <w:sz w:val="23"/>
        </w:rPr>
        <w:t>agreement,</w:t>
      </w:r>
      <w:r>
        <w:rPr>
          <w:spacing w:val="-10"/>
          <w:sz w:val="23"/>
        </w:rPr>
        <w:t xml:space="preserve"> </w:t>
      </w:r>
      <w:r>
        <w:rPr>
          <w:sz w:val="23"/>
        </w:rPr>
        <w:t>in</w:t>
      </w:r>
      <w:r>
        <w:rPr>
          <w:spacing w:val="-10"/>
          <w:sz w:val="23"/>
        </w:rPr>
        <w:t xml:space="preserve"> </w:t>
      </w:r>
      <w:r>
        <w:rPr>
          <w:sz w:val="23"/>
        </w:rPr>
        <w:t>line</w:t>
      </w:r>
      <w:r>
        <w:rPr>
          <w:spacing w:val="-8"/>
          <w:sz w:val="23"/>
        </w:rPr>
        <w:t xml:space="preserve"> </w:t>
      </w:r>
      <w:r>
        <w:rPr>
          <w:sz w:val="23"/>
        </w:rPr>
        <w:t>with</w:t>
      </w:r>
      <w:r>
        <w:rPr>
          <w:spacing w:val="-8"/>
          <w:sz w:val="23"/>
        </w:rPr>
        <w:t xml:space="preserve"> </w:t>
      </w:r>
      <w:r>
        <w:rPr>
          <w:sz w:val="23"/>
        </w:rPr>
        <w:t>Queensland’s</w:t>
      </w:r>
      <w:r>
        <w:rPr>
          <w:spacing w:val="-10"/>
          <w:sz w:val="23"/>
        </w:rPr>
        <w:t xml:space="preserve"> </w:t>
      </w:r>
      <w:r>
        <w:rPr>
          <w:sz w:val="23"/>
        </w:rPr>
        <w:t>education</w:t>
      </w:r>
      <w:r>
        <w:rPr>
          <w:spacing w:val="-8"/>
          <w:sz w:val="23"/>
        </w:rPr>
        <w:t xml:space="preserve"> </w:t>
      </w:r>
      <w:r>
        <w:rPr>
          <w:sz w:val="23"/>
        </w:rPr>
        <w:t>priorities across government and non-government sectors and the reform directions identified in the National</w:t>
      </w:r>
      <w:r>
        <w:rPr>
          <w:spacing w:val="-2"/>
          <w:sz w:val="23"/>
        </w:rPr>
        <w:t xml:space="preserve"> </w:t>
      </w:r>
      <w:r>
        <w:rPr>
          <w:sz w:val="23"/>
        </w:rPr>
        <w:t>Agreement:</w:t>
      </w:r>
    </w:p>
    <w:p w14:paraId="0DE59585" w14:textId="77777777" w:rsidR="00372CDD" w:rsidRDefault="00372CDD">
      <w:pPr>
        <w:pStyle w:val="BodyText"/>
        <w:spacing w:before="2"/>
        <w:rPr>
          <w:sz w:val="18"/>
        </w:rPr>
      </w:pPr>
    </w:p>
    <w:p w14:paraId="3BA5D0BB" w14:textId="77777777" w:rsidR="00372CDD" w:rsidRDefault="00C87ECC">
      <w:pPr>
        <w:pStyle w:val="ListParagraph"/>
        <w:numPr>
          <w:ilvl w:val="1"/>
          <w:numId w:val="3"/>
        </w:numPr>
        <w:tabs>
          <w:tab w:val="left" w:pos="1094"/>
        </w:tabs>
        <w:ind w:right="0"/>
        <w:rPr>
          <w:sz w:val="23"/>
        </w:rPr>
      </w:pPr>
      <w:r>
        <w:rPr>
          <w:sz w:val="23"/>
        </w:rPr>
        <w:t>Supporting students, student learning and student</w:t>
      </w:r>
      <w:r>
        <w:rPr>
          <w:spacing w:val="-10"/>
          <w:sz w:val="23"/>
        </w:rPr>
        <w:t xml:space="preserve"> </w:t>
      </w:r>
      <w:r>
        <w:rPr>
          <w:sz w:val="23"/>
        </w:rPr>
        <w:t>achievement;</w:t>
      </w:r>
    </w:p>
    <w:p w14:paraId="63455F5D" w14:textId="77777777" w:rsidR="00372CDD" w:rsidRDefault="00372CDD">
      <w:pPr>
        <w:pStyle w:val="BodyText"/>
        <w:spacing w:before="11"/>
        <w:rPr>
          <w:sz w:val="17"/>
        </w:rPr>
      </w:pPr>
    </w:p>
    <w:p w14:paraId="77684CEC" w14:textId="77777777" w:rsidR="00372CDD" w:rsidRDefault="00C87ECC">
      <w:pPr>
        <w:pStyle w:val="ListParagraph"/>
        <w:numPr>
          <w:ilvl w:val="1"/>
          <w:numId w:val="3"/>
        </w:numPr>
        <w:tabs>
          <w:tab w:val="left" w:pos="1094"/>
        </w:tabs>
        <w:ind w:right="0"/>
        <w:rPr>
          <w:sz w:val="23"/>
        </w:rPr>
      </w:pPr>
      <w:r>
        <w:rPr>
          <w:sz w:val="23"/>
        </w:rPr>
        <w:t>Supporting teaching, school leadership and school improvement;</w:t>
      </w:r>
      <w:r>
        <w:rPr>
          <w:spacing w:val="-6"/>
          <w:sz w:val="23"/>
        </w:rPr>
        <w:t xml:space="preserve"> </w:t>
      </w:r>
      <w:r>
        <w:rPr>
          <w:sz w:val="23"/>
        </w:rPr>
        <w:t>and</w:t>
      </w:r>
    </w:p>
    <w:p w14:paraId="775BE747" w14:textId="77777777" w:rsidR="00372CDD" w:rsidRDefault="00372CDD">
      <w:pPr>
        <w:pStyle w:val="BodyText"/>
        <w:spacing w:before="11"/>
        <w:rPr>
          <w:sz w:val="17"/>
        </w:rPr>
      </w:pPr>
    </w:p>
    <w:p w14:paraId="1BC47E37" w14:textId="77777777" w:rsidR="00372CDD" w:rsidRDefault="00C87ECC">
      <w:pPr>
        <w:pStyle w:val="ListParagraph"/>
        <w:numPr>
          <w:ilvl w:val="1"/>
          <w:numId w:val="3"/>
        </w:numPr>
        <w:tabs>
          <w:tab w:val="left" w:pos="1094"/>
        </w:tabs>
        <w:ind w:right="0"/>
        <w:rPr>
          <w:sz w:val="23"/>
        </w:rPr>
      </w:pPr>
      <w:r>
        <w:rPr>
          <w:sz w:val="23"/>
        </w:rPr>
        <w:t>Enhancing the national evidence</w:t>
      </w:r>
      <w:r>
        <w:rPr>
          <w:spacing w:val="-6"/>
          <w:sz w:val="23"/>
        </w:rPr>
        <w:t xml:space="preserve"> </w:t>
      </w:r>
      <w:r>
        <w:rPr>
          <w:sz w:val="23"/>
        </w:rPr>
        <w:t>base.</w:t>
      </w:r>
    </w:p>
    <w:p w14:paraId="5C2ABB5A" w14:textId="77777777" w:rsidR="00372CDD" w:rsidRDefault="00372CDD">
      <w:pPr>
        <w:pStyle w:val="BodyText"/>
        <w:spacing w:before="6"/>
        <w:rPr>
          <w:sz w:val="19"/>
        </w:rPr>
      </w:pPr>
    </w:p>
    <w:p w14:paraId="6E624E73" w14:textId="77777777" w:rsidR="00372CDD" w:rsidRDefault="00C87ECC">
      <w:pPr>
        <w:pStyle w:val="ListParagraph"/>
        <w:numPr>
          <w:ilvl w:val="0"/>
          <w:numId w:val="3"/>
        </w:numPr>
        <w:tabs>
          <w:tab w:val="left" w:pos="667"/>
        </w:tabs>
        <w:spacing w:before="1" w:line="220" w:lineRule="auto"/>
        <w:ind w:right="112" w:hanging="566"/>
        <w:rPr>
          <w:sz w:val="23"/>
        </w:rPr>
      </w:pPr>
      <w:r>
        <w:rPr>
          <w:sz w:val="23"/>
        </w:rPr>
        <w:t>Bilateral actions will include activity to support improved outcomes for specific cohorts of students as appropriate, including Aboriginal and Torres Strait Islander</w:t>
      </w:r>
      <w:r>
        <w:rPr>
          <w:spacing w:val="-10"/>
          <w:sz w:val="23"/>
        </w:rPr>
        <w:t xml:space="preserve"> </w:t>
      </w:r>
      <w:r>
        <w:rPr>
          <w:sz w:val="23"/>
        </w:rPr>
        <w:t>students.</w:t>
      </w:r>
    </w:p>
    <w:p w14:paraId="4C687B0D" w14:textId="77777777" w:rsidR="00372CDD" w:rsidRDefault="00372CDD">
      <w:pPr>
        <w:pStyle w:val="BodyText"/>
        <w:spacing w:before="7"/>
        <w:rPr>
          <w:sz w:val="19"/>
        </w:rPr>
      </w:pPr>
    </w:p>
    <w:p w14:paraId="5F458381" w14:textId="77777777" w:rsidR="00372CDD" w:rsidRDefault="00C87ECC">
      <w:pPr>
        <w:pStyle w:val="ListParagraph"/>
        <w:numPr>
          <w:ilvl w:val="0"/>
          <w:numId w:val="3"/>
        </w:numPr>
        <w:tabs>
          <w:tab w:val="left" w:pos="667"/>
        </w:tabs>
        <w:spacing w:line="223" w:lineRule="auto"/>
        <w:ind w:right="115" w:hanging="566"/>
        <w:rPr>
          <w:sz w:val="23"/>
        </w:rPr>
      </w:pPr>
      <w:r>
        <w:rPr>
          <w:sz w:val="23"/>
        </w:rPr>
        <w:t>Selected state specific actions aim to build on Queensland’s existing successful education reform agenda</w:t>
      </w:r>
      <w:r>
        <w:rPr>
          <w:spacing w:val="-1"/>
          <w:sz w:val="23"/>
        </w:rPr>
        <w:t xml:space="preserve"> </w:t>
      </w:r>
      <w:r>
        <w:rPr>
          <w:sz w:val="23"/>
        </w:rPr>
        <w:t>by:</w:t>
      </w:r>
    </w:p>
    <w:p w14:paraId="08D2C748" w14:textId="77777777" w:rsidR="00372CDD" w:rsidRDefault="00372CDD">
      <w:pPr>
        <w:pStyle w:val="BodyText"/>
        <w:spacing w:before="9"/>
        <w:rPr>
          <w:sz w:val="19"/>
        </w:rPr>
      </w:pPr>
    </w:p>
    <w:p w14:paraId="1933B959" w14:textId="77777777" w:rsidR="00372CDD" w:rsidRDefault="00C87ECC">
      <w:pPr>
        <w:pStyle w:val="ListParagraph"/>
        <w:numPr>
          <w:ilvl w:val="1"/>
          <w:numId w:val="3"/>
        </w:numPr>
        <w:tabs>
          <w:tab w:val="left" w:pos="1094"/>
        </w:tabs>
        <w:spacing w:line="220" w:lineRule="auto"/>
        <w:ind w:right="109"/>
        <w:rPr>
          <w:sz w:val="23"/>
        </w:rPr>
      </w:pPr>
      <w:r>
        <w:rPr>
          <w:sz w:val="23"/>
        </w:rPr>
        <w:t>continuing</w:t>
      </w:r>
      <w:r>
        <w:rPr>
          <w:spacing w:val="-12"/>
          <w:sz w:val="23"/>
        </w:rPr>
        <w:t xml:space="preserve"> </w:t>
      </w:r>
      <w:r>
        <w:rPr>
          <w:sz w:val="23"/>
        </w:rPr>
        <w:t>the</w:t>
      </w:r>
      <w:r>
        <w:rPr>
          <w:spacing w:val="-12"/>
          <w:sz w:val="23"/>
        </w:rPr>
        <w:t xml:space="preserve"> </w:t>
      </w:r>
      <w:r>
        <w:rPr>
          <w:sz w:val="23"/>
        </w:rPr>
        <w:t>state’s</w:t>
      </w:r>
      <w:r>
        <w:rPr>
          <w:spacing w:val="-11"/>
          <w:sz w:val="23"/>
        </w:rPr>
        <w:t xml:space="preserve"> </w:t>
      </w:r>
      <w:r>
        <w:rPr>
          <w:sz w:val="23"/>
        </w:rPr>
        <w:t>longstanding</w:t>
      </w:r>
      <w:r>
        <w:rPr>
          <w:spacing w:val="-12"/>
          <w:sz w:val="23"/>
        </w:rPr>
        <w:t xml:space="preserve"> </w:t>
      </w:r>
      <w:r>
        <w:rPr>
          <w:sz w:val="23"/>
        </w:rPr>
        <w:t>improvement</w:t>
      </w:r>
      <w:r>
        <w:rPr>
          <w:spacing w:val="-13"/>
          <w:sz w:val="23"/>
        </w:rPr>
        <w:t xml:space="preserve"> </w:t>
      </w:r>
      <w:r>
        <w:rPr>
          <w:sz w:val="23"/>
        </w:rPr>
        <w:t>trajectory,</w:t>
      </w:r>
      <w:r>
        <w:rPr>
          <w:spacing w:val="-13"/>
          <w:sz w:val="23"/>
        </w:rPr>
        <w:t xml:space="preserve"> </w:t>
      </w:r>
      <w:r>
        <w:rPr>
          <w:sz w:val="23"/>
        </w:rPr>
        <w:t>adopting</w:t>
      </w:r>
      <w:r>
        <w:rPr>
          <w:spacing w:val="-12"/>
          <w:sz w:val="23"/>
        </w:rPr>
        <w:t xml:space="preserve"> </w:t>
      </w:r>
      <w:r>
        <w:rPr>
          <w:sz w:val="23"/>
        </w:rPr>
        <w:t>a</w:t>
      </w:r>
      <w:r>
        <w:rPr>
          <w:spacing w:val="-12"/>
          <w:sz w:val="23"/>
        </w:rPr>
        <w:t xml:space="preserve"> </w:t>
      </w:r>
      <w:r>
        <w:rPr>
          <w:sz w:val="23"/>
        </w:rPr>
        <w:t>‘sharp</w:t>
      </w:r>
      <w:r>
        <w:rPr>
          <w:spacing w:val="-12"/>
          <w:sz w:val="23"/>
        </w:rPr>
        <w:t xml:space="preserve"> </w:t>
      </w:r>
      <w:r>
        <w:rPr>
          <w:sz w:val="23"/>
        </w:rPr>
        <w:t>and</w:t>
      </w:r>
      <w:r>
        <w:rPr>
          <w:spacing w:val="-14"/>
          <w:sz w:val="23"/>
        </w:rPr>
        <w:t xml:space="preserve"> </w:t>
      </w:r>
      <w:r>
        <w:rPr>
          <w:sz w:val="23"/>
        </w:rPr>
        <w:t>narrow’ focus on actions that have the greatest impact across the</w:t>
      </w:r>
      <w:r>
        <w:rPr>
          <w:spacing w:val="-11"/>
          <w:sz w:val="23"/>
        </w:rPr>
        <w:t xml:space="preserve"> </w:t>
      </w:r>
      <w:r>
        <w:rPr>
          <w:sz w:val="23"/>
        </w:rPr>
        <w:t>system;</w:t>
      </w:r>
    </w:p>
    <w:p w14:paraId="705A5AE7" w14:textId="77777777" w:rsidR="00372CDD" w:rsidRDefault="00372CDD">
      <w:pPr>
        <w:pStyle w:val="BodyText"/>
        <w:spacing w:before="7"/>
        <w:rPr>
          <w:sz w:val="18"/>
        </w:rPr>
      </w:pPr>
    </w:p>
    <w:p w14:paraId="555E4C5F" w14:textId="77777777" w:rsidR="00372CDD" w:rsidRDefault="00C87ECC">
      <w:pPr>
        <w:pStyle w:val="ListParagraph"/>
        <w:numPr>
          <w:ilvl w:val="1"/>
          <w:numId w:val="3"/>
        </w:numPr>
        <w:tabs>
          <w:tab w:val="left" w:pos="1094"/>
        </w:tabs>
        <w:ind w:right="0"/>
        <w:rPr>
          <w:sz w:val="23"/>
        </w:rPr>
      </w:pPr>
      <w:r>
        <w:rPr>
          <w:sz w:val="23"/>
        </w:rPr>
        <w:t>adopting strength-based narratives, discourses and</w:t>
      </w:r>
      <w:r>
        <w:rPr>
          <w:spacing w:val="-6"/>
          <w:sz w:val="23"/>
        </w:rPr>
        <w:t xml:space="preserve"> </w:t>
      </w:r>
      <w:r>
        <w:rPr>
          <w:sz w:val="23"/>
        </w:rPr>
        <w:t>programs;</w:t>
      </w:r>
    </w:p>
    <w:p w14:paraId="1DA4CD7A" w14:textId="77777777" w:rsidR="00372CDD" w:rsidRDefault="00372CDD">
      <w:pPr>
        <w:pStyle w:val="BodyText"/>
        <w:spacing w:before="4"/>
        <w:rPr>
          <w:sz w:val="19"/>
        </w:rPr>
      </w:pPr>
    </w:p>
    <w:p w14:paraId="566B898D" w14:textId="77777777" w:rsidR="00372CDD" w:rsidRDefault="00C87ECC">
      <w:pPr>
        <w:pStyle w:val="ListParagraph"/>
        <w:numPr>
          <w:ilvl w:val="1"/>
          <w:numId w:val="3"/>
        </w:numPr>
        <w:tabs>
          <w:tab w:val="left" w:pos="1094"/>
        </w:tabs>
        <w:spacing w:before="1" w:line="220" w:lineRule="auto"/>
        <w:ind w:right="111"/>
        <w:rPr>
          <w:sz w:val="23"/>
        </w:rPr>
      </w:pPr>
      <w:r>
        <w:rPr>
          <w:sz w:val="23"/>
        </w:rPr>
        <w:t>pursuing learning gain alongside social and emotional well-being for students and teachers;</w:t>
      </w:r>
    </w:p>
    <w:p w14:paraId="7688C3F4" w14:textId="77777777" w:rsidR="00372CDD" w:rsidRDefault="00372CDD">
      <w:pPr>
        <w:pStyle w:val="BodyText"/>
        <w:spacing w:before="12"/>
        <w:rPr>
          <w:sz w:val="19"/>
        </w:rPr>
      </w:pPr>
    </w:p>
    <w:p w14:paraId="77D270C2" w14:textId="77777777" w:rsidR="00372CDD" w:rsidRDefault="00C87ECC">
      <w:pPr>
        <w:pStyle w:val="ListParagraph"/>
        <w:numPr>
          <w:ilvl w:val="1"/>
          <w:numId w:val="3"/>
        </w:numPr>
        <w:tabs>
          <w:tab w:val="left" w:pos="1094"/>
        </w:tabs>
        <w:spacing w:line="220" w:lineRule="auto"/>
        <w:ind w:right="110"/>
        <w:rPr>
          <w:sz w:val="23"/>
        </w:rPr>
      </w:pPr>
      <w:r>
        <w:rPr>
          <w:sz w:val="23"/>
        </w:rPr>
        <w:t>enabling</w:t>
      </w:r>
      <w:r>
        <w:rPr>
          <w:spacing w:val="-9"/>
          <w:sz w:val="23"/>
        </w:rPr>
        <w:t xml:space="preserve"> </w:t>
      </w:r>
      <w:r>
        <w:rPr>
          <w:sz w:val="23"/>
        </w:rPr>
        <w:t>schools</w:t>
      </w:r>
      <w:r>
        <w:rPr>
          <w:spacing w:val="-9"/>
          <w:sz w:val="23"/>
        </w:rPr>
        <w:t xml:space="preserve"> </w:t>
      </w:r>
      <w:r>
        <w:rPr>
          <w:sz w:val="23"/>
        </w:rPr>
        <w:t>to</w:t>
      </w:r>
      <w:r>
        <w:rPr>
          <w:spacing w:val="-10"/>
          <w:sz w:val="23"/>
        </w:rPr>
        <w:t xml:space="preserve"> </w:t>
      </w:r>
      <w:r>
        <w:rPr>
          <w:sz w:val="23"/>
        </w:rPr>
        <w:t>lead</w:t>
      </w:r>
      <w:r>
        <w:rPr>
          <w:spacing w:val="-8"/>
          <w:sz w:val="23"/>
        </w:rPr>
        <w:t xml:space="preserve"> </w:t>
      </w:r>
      <w:r>
        <w:rPr>
          <w:sz w:val="23"/>
        </w:rPr>
        <w:t>their</w:t>
      </w:r>
      <w:r>
        <w:rPr>
          <w:spacing w:val="-10"/>
          <w:sz w:val="23"/>
        </w:rPr>
        <w:t xml:space="preserve"> </w:t>
      </w:r>
      <w:r>
        <w:rPr>
          <w:sz w:val="23"/>
        </w:rPr>
        <w:t>own</w:t>
      </w:r>
      <w:r>
        <w:rPr>
          <w:spacing w:val="-8"/>
          <w:sz w:val="23"/>
        </w:rPr>
        <w:t xml:space="preserve"> </w:t>
      </w:r>
      <w:r>
        <w:rPr>
          <w:sz w:val="23"/>
        </w:rPr>
        <w:t>improvement</w:t>
      </w:r>
      <w:r>
        <w:rPr>
          <w:spacing w:val="-10"/>
          <w:sz w:val="23"/>
        </w:rPr>
        <w:t xml:space="preserve"> </w:t>
      </w:r>
      <w:r>
        <w:rPr>
          <w:sz w:val="23"/>
        </w:rPr>
        <w:t>journey</w:t>
      </w:r>
      <w:r>
        <w:rPr>
          <w:spacing w:val="-6"/>
          <w:sz w:val="23"/>
        </w:rPr>
        <w:t xml:space="preserve"> </w:t>
      </w:r>
      <w:r>
        <w:rPr>
          <w:sz w:val="23"/>
        </w:rPr>
        <w:t>–</w:t>
      </w:r>
      <w:r>
        <w:rPr>
          <w:spacing w:val="-9"/>
          <w:sz w:val="23"/>
        </w:rPr>
        <w:t xml:space="preserve"> </w:t>
      </w:r>
      <w:r>
        <w:rPr>
          <w:sz w:val="23"/>
        </w:rPr>
        <w:t>with</w:t>
      </w:r>
      <w:r>
        <w:rPr>
          <w:spacing w:val="-9"/>
          <w:sz w:val="23"/>
        </w:rPr>
        <w:t xml:space="preserve"> </w:t>
      </w:r>
      <w:r>
        <w:rPr>
          <w:sz w:val="23"/>
        </w:rPr>
        <w:t>strong</w:t>
      </w:r>
      <w:r>
        <w:rPr>
          <w:spacing w:val="-9"/>
          <w:sz w:val="23"/>
        </w:rPr>
        <w:t xml:space="preserve"> </w:t>
      </w:r>
      <w:r>
        <w:rPr>
          <w:sz w:val="23"/>
        </w:rPr>
        <w:t>regional</w:t>
      </w:r>
      <w:r>
        <w:rPr>
          <w:spacing w:val="-10"/>
          <w:sz w:val="23"/>
        </w:rPr>
        <w:t xml:space="preserve"> </w:t>
      </w:r>
      <w:r>
        <w:rPr>
          <w:sz w:val="23"/>
        </w:rPr>
        <w:t>and</w:t>
      </w:r>
      <w:r>
        <w:rPr>
          <w:spacing w:val="-10"/>
          <w:sz w:val="23"/>
        </w:rPr>
        <w:t xml:space="preserve"> </w:t>
      </w:r>
      <w:r>
        <w:rPr>
          <w:sz w:val="23"/>
        </w:rPr>
        <w:t>system support and within frameworks for quality</w:t>
      </w:r>
      <w:r>
        <w:rPr>
          <w:spacing w:val="-4"/>
          <w:sz w:val="23"/>
        </w:rPr>
        <w:t xml:space="preserve"> </w:t>
      </w:r>
      <w:r>
        <w:rPr>
          <w:sz w:val="23"/>
        </w:rPr>
        <w:t>assurance;</w:t>
      </w:r>
    </w:p>
    <w:p w14:paraId="5F3CABE6" w14:textId="77777777" w:rsidR="00372CDD" w:rsidRDefault="00372CDD">
      <w:pPr>
        <w:pStyle w:val="BodyText"/>
        <w:spacing w:before="7"/>
        <w:rPr>
          <w:sz w:val="19"/>
        </w:rPr>
      </w:pPr>
    </w:p>
    <w:p w14:paraId="359B8646" w14:textId="77777777" w:rsidR="00372CDD" w:rsidRDefault="00C87ECC">
      <w:pPr>
        <w:pStyle w:val="ListParagraph"/>
        <w:numPr>
          <w:ilvl w:val="1"/>
          <w:numId w:val="3"/>
        </w:numPr>
        <w:tabs>
          <w:tab w:val="left" w:pos="1094"/>
        </w:tabs>
        <w:spacing w:line="223" w:lineRule="auto"/>
        <w:ind w:right="112"/>
        <w:rPr>
          <w:sz w:val="23"/>
        </w:rPr>
      </w:pPr>
      <w:r>
        <w:rPr>
          <w:sz w:val="23"/>
        </w:rPr>
        <w:t>continuing</w:t>
      </w:r>
      <w:r>
        <w:rPr>
          <w:spacing w:val="-5"/>
          <w:sz w:val="23"/>
        </w:rPr>
        <w:t xml:space="preserve"> </w:t>
      </w:r>
      <w:r>
        <w:rPr>
          <w:sz w:val="23"/>
        </w:rPr>
        <w:t>a</w:t>
      </w:r>
      <w:r>
        <w:rPr>
          <w:spacing w:val="-8"/>
          <w:sz w:val="23"/>
        </w:rPr>
        <w:t xml:space="preserve"> </w:t>
      </w:r>
      <w:r>
        <w:rPr>
          <w:sz w:val="23"/>
        </w:rPr>
        <w:t>focus</w:t>
      </w:r>
      <w:r>
        <w:rPr>
          <w:spacing w:val="-5"/>
          <w:sz w:val="23"/>
        </w:rPr>
        <w:t xml:space="preserve"> </w:t>
      </w:r>
      <w:r>
        <w:rPr>
          <w:sz w:val="23"/>
        </w:rPr>
        <w:t>on</w:t>
      </w:r>
      <w:r>
        <w:rPr>
          <w:spacing w:val="-5"/>
          <w:sz w:val="23"/>
        </w:rPr>
        <w:t xml:space="preserve"> </w:t>
      </w:r>
      <w:r>
        <w:rPr>
          <w:sz w:val="23"/>
        </w:rPr>
        <w:t>building</w:t>
      </w:r>
      <w:r>
        <w:rPr>
          <w:spacing w:val="-5"/>
          <w:sz w:val="23"/>
        </w:rPr>
        <w:t xml:space="preserve"> </w:t>
      </w:r>
      <w:r>
        <w:rPr>
          <w:sz w:val="23"/>
        </w:rPr>
        <w:t>an</w:t>
      </w:r>
      <w:r>
        <w:rPr>
          <w:spacing w:val="-5"/>
          <w:sz w:val="23"/>
        </w:rPr>
        <w:t xml:space="preserve"> </w:t>
      </w:r>
      <w:r>
        <w:rPr>
          <w:sz w:val="23"/>
        </w:rPr>
        <w:t>evidence</w:t>
      </w:r>
      <w:r>
        <w:rPr>
          <w:spacing w:val="-8"/>
          <w:sz w:val="23"/>
        </w:rPr>
        <w:t xml:space="preserve"> </w:t>
      </w:r>
      <w:r>
        <w:rPr>
          <w:sz w:val="23"/>
        </w:rPr>
        <w:t>base</w:t>
      </w:r>
      <w:r>
        <w:rPr>
          <w:spacing w:val="-5"/>
          <w:sz w:val="23"/>
        </w:rPr>
        <w:t xml:space="preserve"> </w:t>
      </w:r>
      <w:r>
        <w:rPr>
          <w:sz w:val="23"/>
        </w:rPr>
        <w:t>and</w:t>
      </w:r>
      <w:r>
        <w:rPr>
          <w:spacing w:val="-7"/>
          <w:sz w:val="23"/>
        </w:rPr>
        <w:t xml:space="preserve"> </w:t>
      </w:r>
      <w:r>
        <w:rPr>
          <w:sz w:val="23"/>
        </w:rPr>
        <w:t>using</w:t>
      </w:r>
      <w:r>
        <w:rPr>
          <w:spacing w:val="-5"/>
          <w:sz w:val="23"/>
        </w:rPr>
        <w:t xml:space="preserve"> </w:t>
      </w:r>
      <w:r>
        <w:rPr>
          <w:sz w:val="23"/>
        </w:rPr>
        <w:t>it</w:t>
      </w:r>
      <w:r>
        <w:rPr>
          <w:spacing w:val="-6"/>
          <w:sz w:val="23"/>
        </w:rPr>
        <w:t xml:space="preserve"> </w:t>
      </w:r>
      <w:r>
        <w:rPr>
          <w:sz w:val="23"/>
        </w:rPr>
        <w:t>to</w:t>
      </w:r>
      <w:r>
        <w:rPr>
          <w:spacing w:val="-6"/>
          <w:sz w:val="23"/>
        </w:rPr>
        <w:t xml:space="preserve"> </w:t>
      </w:r>
      <w:r>
        <w:rPr>
          <w:sz w:val="23"/>
        </w:rPr>
        <w:t>determine</w:t>
      </w:r>
      <w:r>
        <w:rPr>
          <w:spacing w:val="-5"/>
          <w:sz w:val="23"/>
        </w:rPr>
        <w:t xml:space="preserve"> </w:t>
      </w:r>
      <w:r>
        <w:rPr>
          <w:sz w:val="23"/>
        </w:rPr>
        <w:t>next</w:t>
      </w:r>
      <w:r>
        <w:rPr>
          <w:spacing w:val="-6"/>
          <w:sz w:val="23"/>
        </w:rPr>
        <w:t xml:space="preserve"> </w:t>
      </w:r>
      <w:r>
        <w:rPr>
          <w:sz w:val="23"/>
        </w:rPr>
        <w:t>steps</w:t>
      </w:r>
      <w:r>
        <w:rPr>
          <w:spacing w:val="-5"/>
          <w:sz w:val="23"/>
        </w:rPr>
        <w:t xml:space="preserve"> </w:t>
      </w:r>
      <w:r>
        <w:rPr>
          <w:sz w:val="23"/>
        </w:rPr>
        <w:t>at</w:t>
      </w:r>
      <w:r>
        <w:rPr>
          <w:spacing w:val="-6"/>
          <w:sz w:val="23"/>
        </w:rPr>
        <w:t xml:space="preserve"> </w:t>
      </w:r>
      <w:r>
        <w:rPr>
          <w:sz w:val="23"/>
        </w:rPr>
        <w:t>the micro and macro</w:t>
      </w:r>
      <w:r>
        <w:rPr>
          <w:spacing w:val="-3"/>
          <w:sz w:val="23"/>
        </w:rPr>
        <w:t xml:space="preserve"> </w:t>
      </w:r>
      <w:r>
        <w:rPr>
          <w:sz w:val="23"/>
        </w:rPr>
        <w:t>levels;</w:t>
      </w:r>
    </w:p>
    <w:p w14:paraId="2A7AFE9A" w14:textId="77777777" w:rsidR="00372CDD" w:rsidRDefault="00372CDD">
      <w:pPr>
        <w:pStyle w:val="BodyText"/>
        <w:spacing w:before="9"/>
        <w:rPr>
          <w:sz w:val="19"/>
        </w:rPr>
      </w:pPr>
    </w:p>
    <w:p w14:paraId="4B86253F" w14:textId="77777777" w:rsidR="00372CDD" w:rsidRDefault="00C87ECC">
      <w:pPr>
        <w:pStyle w:val="ListParagraph"/>
        <w:numPr>
          <w:ilvl w:val="1"/>
          <w:numId w:val="3"/>
        </w:numPr>
        <w:tabs>
          <w:tab w:val="left" w:pos="1093"/>
          <w:tab w:val="left" w:pos="1094"/>
        </w:tabs>
        <w:spacing w:line="220" w:lineRule="auto"/>
        <w:ind w:right="109"/>
        <w:rPr>
          <w:sz w:val="23"/>
        </w:rPr>
      </w:pPr>
      <w:r>
        <w:rPr>
          <w:sz w:val="23"/>
        </w:rPr>
        <w:t>engaging with stakeholders to co-design strategies so they have the support of those who will implement and be affected by</w:t>
      </w:r>
      <w:r>
        <w:rPr>
          <w:spacing w:val="-6"/>
          <w:sz w:val="23"/>
        </w:rPr>
        <w:t xml:space="preserve"> </w:t>
      </w:r>
      <w:r>
        <w:rPr>
          <w:sz w:val="23"/>
        </w:rPr>
        <w:t>them;</w:t>
      </w:r>
    </w:p>
    <w:p w14:paraId="744FD0C7" w14:textId="77777777" w:rsidR="00372CDD" w:rsidRDefault="00372CDD">
      <w:pPr>
        <w:pStyle w:val="BodyText"/>
        <w:rPr>
          <w:sz w:val="20"/>
        </w:rPr>
      </w:pPr>
    </w:p>
    <w:p w14:paraId="35095BE7" w14:textId="77777777" w:rsidR="00372CDD" w:rsidRDefault="00C87ECC">
      <w:pPr>
        <w:pStyle w:val="ListParagraph"/>
        <w:numPr>
          <w:ilvl w:val="1"/>
          <w:numId w:val="3"/>
        </w:numPr>
        <w:tabs>
          <w:tab w:val="left" w:pos="1094"/>
        </w:tabs>
        <w:spacing w:line="220" w:lineRule="auto"/>
        <w:rPr>
          <w:sz w:val="23"/>
        </w:rPr>
      </w:pPr>
      <w:r>
        <w:rPr>
          <w:sz w:val="23"/>
        </w:rPr>
        <w:t>maintaining high standards across a range of learning options to ensure students can participate in a rapidly changing economy and society;</w:t>
      </w:r>
      <w:r>
        <w:rPr>
          <w:spacing w:val="-4"/>
          <w:sz w:val="23"/>
        </w:rPr>
        <w:t xml:space="preserve"> </w:t>
      </w:r>
      <w:r>
        <w:rPr>
          <w:sz w:val="23"/>
        </w:rPr>
        <w:t>and</w:t>
      </w:r>
    </w:p>
    <w:p w14:paraId="43177F44" w14:textId="77777777" w:rsidR="00372CDD" w:rsidRDefault="00372CDD">
      <w:pPr>
        <w:pStyle w:val="BodyText"/>
        <w:spacing w:before="5"/>
        <w:rPr>
          <w:sz w:val="18"/>
        </w:rPr>
      </w:pPr>
    </w:p>
    <w:p w14:paraId="777A1F14" w14:textId="77777777" w:rsidR="00372CDD" w:rsidRDefault="00C87ECC">
      <w:pPr>
        <w:pStyle w:val="ListParagraph"/>
        <w:numPr>
          <w:ilvl w:val="1"/>
          <w:numId w:val="3"/>
        </w:numPr>
        <w:tabs>
          <w:tab w:val="left" w:pos="1094"/>
        </w:tabs>
        <w:spacing w:before="1"/>
        <w:ind w:right="0"/>
        <w:rPr>
          <w:sz w:val="23"/>
        </w:rPr>
      </w:pPr>
      <w:r>
        <w:rPr>
          <w:sz w:val="23"/>
        </w:rPr>
        <w:t>working effectively across schooling sectors to improve student learning</w:t>
      </w:r>
      <w:r>
        <w:rPr>
          <w:spacing w:val="-13"/>
          <w:sz w:val="23"/>
        </w:rPr>
        <w:t xml:space="preserve"> </w:t>
      </w:r>
      <w:r>
        <w:rPr>
          <w:sz w:val="23"/>
        </w:rPr>
        <w:t>outcomes.</w:t>
      </w:r>
    </w:p>
    <w:p w14:paraId="23073821" w14:textId="77777777" w:rsidR="00372CDD" w:rsidRDefault="00372CDD">
      <w:pPr>
        <w:pStyle w:val="BodyText"/>
        <w:spacing w:before="6"/>
        <w:rPr>
          <w:sz w:val="19"/>
        </w:rPr>
      </w:pPr>
    </w:p>
    <w:p w14:paraId="6701192F" w14:textId="77777777" w:rsidR="00372CDD" w:rsidRDefault="00C87ECC">
      <w:pPr>
        <w:pStyle w:val="Heading2"/>
        <w:spacing w:before="52"/>
      </w:pPr>
      <w:r>
        <w:rPr>
          <w:color w:val="306E71"/>
        </w:rPr>
        <w:t>Non-government sector</w:t>
      </w:r>
    </w:p>
    <w:p w14:paraId="3030200E" w14:textId="7C0B377A" w:rsidR="00372CDD" w:rsidRDefault="004C076B">
      <w:pPr>
        <w:pStyle w:val="ListParagraph"/>
        <w:numPr>
          <w:ilvl w:val="0"/>
          <w:numId w:val="3"/>
        </w:numPr>
        <w:tabs>
          <w:tab w:val="left" w:pos="667"/>
        </w:tabs>
        <w:spacing w:before="125" w:line="223" w:lineRule="auto"/>
        <w:ind w:right="111" w:hanging="566"/>
        <w:rPr>
          <w:sz w:val="23"/>
        </w:rPr>
      </w:pPr>
      <w:r>
        <w:rPr>
          <w:sz w:val="23"/>
        </w:rPr>
        <w:t>Consistent with</w:t>
      </w:r>
      <w:r w:rsidR="00C87ECC">
        <w:rPr>
          <w:sz w:val="23"/>
        </w:rPr>
        <w:t xml:space="preserve"> clause 64(c) of the National Agreement and section 77(2A) of the Act, Queensland undertakes to work with the non-government schooling sector in this state as set </w:t>
      </w:r>
      <w:r w:rsidR="00C87ECC">
        <w:rPr>
          <w:sz w:val="23"/>
        </w:rPr>
        <w:lastRenderedPageBreak/>
        <w:t>out in clause 21. Clause 21 has been agreed with Queensland’s</w:t>
      </w:r>
      <w:r w:rsidR="00C87ECC">
        <w:rPr>
          <w:spacing w:val="-14"/>
          <w:sz w:val="23"/>
        </w:rPr>
        <w:t xml:space="preserve"> </w:t>
      </w:r>
      <w:r w:rsidR="00C87ECC">
        <w:rPr>
          <w:sz w:val="23"/>
        </w:rPr>
        <w:t>NGRBs.</w:t>
      </w:r>
    </w:p>
    <w:p w14:paraId="414A75DA" w14:textId="77777777" w:rsidR="00372CDD" w:rsidRDefault="00372CDD">
      <w:pPr>
        <w:pStyle w:val="BodyText"/>
        <w:spacing w:before="11"/>
        <w:rPr>
          <w:sz w:val="18"/>
        </w:rPr>
      </w:pPr>
    </w:p>
    <w:p w14:paraId="609811F2" w14:textId="77777777" w:rsidR="00372CDD" w:rsidRDefault="00C87ECC">
      <w:pPr>
        <w:pStyle w:val="ListParagraph"/>
        <w:numPr>
          <w:ilvl w:val="0"/>
          <w:numId w:val="3"/>
        </w:numPr>
        <w:tabs>
          <w:tab w:val="left" w:pos="667"/>
        </w:tabs>
        <w:spacing w:line="276" w:lineRule="auto"/>
        <w:ind w:right="112" w:hanging="566"/>
        <w:rPr>
          <w:sz w:val="23"/>
        </w:rPr>
      </w:pPr>
      <w:r>
        <w:rPr>
          <w:sz w:val="23"/>
        </w:rPr>
        <w:t>Queensland has valuable and productive working relationships between schooling sectors. Queensland</w:t>
      </w:r>
      <w:r>
        <w:rPr>
          <w:spacing w:val="-2"/>
          <w:sz w:val="23"/>
        </w:rPr>
        <w:t xml:space="preserve"> </w:t>
      </w:r>
      <w:r>
        <w:rPr>
          <w:sz w:val="23"/>
        </w:rPr>
        <w:t>will:</w:t>
      </w:r>
    </w:p>
    <w:p w14:paraId="44F56461" w14:textId="77777777" w:rsidR="00372CDD" w:rsidRDefault="00372CDD">
      <w:pPr>
        <w:pStyle w:val="BodyText"/>
        <w:spacing w:before="2"/>
        <w:rPr>
          <w:sz w:val="17"/>
        </w:rPr>
      </w:pPr>
    </w:p>
    <w:p w14:paraId="1518B38F" w14:textId="77777777" w:rsidR="00372CDD" w:rsidRDefault="00C87ECC">
      <w:pPr>
        <w:pStyle w:val="ListParagraph"/>
        <w:numPr>
          <w:ilvl w:val="1"/>
          <w:numId w:val="3"/>
        </w:numPr>
        <w:tabs>
          <w:tab w:val="left" w:pos="1094"/>
        </w:tabs>
        <w:spacing w:line="220" w:lineRule="auto"/>
        <w:ind w:right="104"/>
        <w:rPr>
          <w:sz w:val="23"/>
        </w:rPr>
      </w:pPr>
      <w:r>
        <w:rPr>
          <w:sz w:val="23"/>
        </w:rPr>
        <w:t>work with NGRBs as required under Queensland legislation, to accredit and fund non- government</w:t>
      </w:r>
      <w:r>
        <w:rPr>
          <w:spacing w:val="-2"/>
          <w:sz w:val="23"/>
        </w:rPr>
        <w:t xml:space="preserve"> </w:t>
      </w:r>
      <w:r>
        <w:rPr>
          <w:sz w:val="23"/>
        </w:rPr>
        <w:t>schools;</w:t>
      </w:r>
    </w:p>
    <w:p w14:paraId="6FAD3203" w14:textId="77777777" w:rsidR="00372CDD" w:rsidRDefault="00372CDD">
      <w:pPr>
        <w:pStyle w:val="BodyText"/>
        <w:spacing w:before="4"/>
        <w:rPr>
          <w:sz w:val="18"/>
        </w:rPr>
      </w:pPr>
    </w:p>
    <w:p w14:paraId="62649EB7" w14:textId="77777777" w:rsidR="00372CDD" w:rsidRDefault="00C87ECC">
      <w:pPr>
        <w:pStyle w:val="ListParagraph"/>
        <w:numPr>
          <w:ilvl w:val="1"/>
          <w:numId w:val="3"/>
        </w:numPr>
        <w:tabs>
          <w:tab w:val="left" w:pos="1094"/>
        </w:tabs>
        <w:ind w:right="0"/>
        <w:rPr>
          <w:sz w:val="23"/>
        </w:rPr>
      </w:pPr>
      <w:r>
        <w:rPr>
          <w:sz w:val="23"/>
        </w:rPr>
        <w:t>engage NGRBs as critical stakeholders in education reviews, boards and</w:t>
      </w:r>
      <w:r>
        <w:rPr>
          <w:spacing w:val="-11"/>
          <w:sz w:val="23"/>
        </w:rPr>
        <w:t xml:space="preserve"> </w:t>
      </w:r>
      <w:r>
        <w:rPr>
          <w:sz w:val="23"/>
        </w:rPr>
        <w:t>bodies;</w:t>
      </w:r>
    </w:p>
    <w:p w14:paraId="4929B59C" w14:textId="77777777" w:rsidR="00372CDD" w:rsidRDefault="00372CDD">
      <w:pPr>
        <w:pStyle w:val="BodyText"/>
        <w:spacing w:before="7"/>
        <w:rPr>
          <w:sz w:val="19"/>
        </w:rPr>
      </w:pPr>
    </w:p>
    <w:p w14:paraId="6029076C" w14:textId="77777777" w:rsidR="00372CDD" w:rsidRDefault="00C87ECC">
      <w:pPr>
        <w:pStyle w:val="ListParagraph"/>
        <w:numPr>
          <w:ilvl w:val="1"/>
          <w:numId w:val="3"/>
        </w:numPr>
        <w:tabs>
          <w:tab w:val="left" w:pos="1094"/>
        </w:tabs>
        <w:spacing w:line="220" w:lineRule="auto"/>
        <w:ind w:right="112"/>
        <w:rPr>
          <w:sz w:val="23"/>
        </w:rPr>
      </w:pPr>
      <w:r>
        <w:rPr>
          <w:sz w:val="23"/>
        </w:rPr>
        <w:t>maintain a consultative and cooperative working relationship by regularly engaging and consulting with NGRBs at an operational and strategic</w:t>
      </w:r>
      <w:r>
        <w:rPr>
          <w:spacing w:val="-8"/>
          <w:sz w:val="23"/>
        </w:rPr>
        <w:t xml:space="preserve"> </w:t>
      </w:r>
      <w:r>
        <w:rPr>
          <w:sz w:val="23"/>
        </w:rPr>
        <w:t>level;</w:t>
      </w:r>
    </w:p>
    <w:p w14:paraId="210EADB3" w14:textId="77777777" w:rsidR="00372CDD" w:rsidRDefault="00372CDD">
      <w:pPr>
        <w:pStyle w:val="BodyText"/>
        <w:spacing w:before="8"/>
        <w:rPr>
          <w:sz w:val="19"/>
        </w:rPr>
      </w:pPr>
    </w:p>
    <w:p w14:paraId="4B2A8258" w14:textId="77777777" w:rsidR="00372CDD" w:rsidRDefault="00C87ECC">
      <w:pPr>
        <w:pStyle w:val="ListParagraph"/>
        <w:numPr>
          <w:ilvl w:val="1"/>
          <w:numId w:val="3"/>
        </w:numPr>
        <w:tabs>
          <w:tab w:val="left" w:pos="1094"/>
        </w:tabs>
        <w:spacing w:line="223" w:lineRule="auto"/>
        <w:ind w:right="109"/>
        <w:rPr>
          <w:sz w:val="23"/>
        </w:rPr>
      </w:pPr>
      <w:r>
        <w:rPr>
          <w:sz w:val="23"/>
        </w:rPr>
        <w:t>recognise the role of the non-government sectors in providing educational choices, by acknowledging</w:t>
      </w:r>
      <w:r>
        <w:rPr>
          <w:spacing w:val="-3"/>
          <w:sz w:val="23"/>
        </w:rPr>
        <w:t xml:space="preserve"> </w:t>
      </w:r>
      <w:r>
        <w:rPr>
          <w:sz w:val="23"/>
        </w:rPr>
        <w:t>that</w:t>
      </w:r>
      <w:r>
        <w:rPr>
          <w:spacing w:val="-4"/>
          <w:sz w:val="23"/>
        </w:rPr>
        <w:t xml:space="preserve"> </w:t>
      </w:r>
      <w:r>
        <w:rPr>
          <w:sz w:val="23"/>
        </w:rPr>
        <w:t>NGRBs</w:t>
      </w:r>
      <w:r>
        <w:rPr>
          <w:spacing w:val="-3"/>
          <w:sz w:val="23"/>
        </w:rPr>
        <w:t xml:space="preserve"> </w:t>
      </w:r>
      <w:r>
        <w:rPr>
          <w:sz w:val="23"/>
        </w:rPr>
        <w:t>should</w:t>
      </w:r>
      <w:r>
        <w:rPr>
          <w:spacing w:val="-5"/>
          <w:sz w:val="23"/>
        </w:rPr>
        <w:t xml:space="preserve"> </w:t>
      </w:r>
      <w:r>
        <w:rPr>
          <w:sz w:val="23"/>
        </w:rPr>
        <w:t>pursue</w:t>
      </w:r>
      <w:r>
        <w:rPr>
          <w:spacing w:val="-3"/>
          <w:sz w:val="23"/>
        </w:rPr>
        <w:t xml:space="preserve"> </w:t>
      </w:r>
      <w:r>
        <w:rPr>
          <w:sz w:val="23"/>
        </w:rPr>
        <w:t>their</w:t>
      </w:r>
      <w:r>
        <w:rPr>
          <w:spacing w:val="-3"/>
          <w:sz w:val="23"/>
        </w:rPr>
        <w:t xml:space="preserve"> </w:t>
      </w:r>
      <w:r>
        <w:rPr>
          <w:sz w:val="23"/>
        </w:rPr>
        <w:t>own</w:t>
      </w:r>
      <w:r>
        <w:rPr>
          <w:spacing w:val="-3"/>
          <w:sz w:val="23"/>
        </w:rPr>
        <w:t xml:space="preserve"> </w:t>
      </w:r>
      <w:r>
        <w:rPr>
          <w:sz w:val="23"/>
        </w:rPr>
        <w:t>actions</w:t>
      </w:r>
      <w:r>
        <w:rPr>
          <w:spacing w:val="-4"/>
          <w:sz w:val="23"/>
        </w:rPr>
        <w:t xml:space="preserve"> </w:t>
      </w:r>
      <w:r>
        <w:rPr>
          <w:sz w:val="23"/>
        </w:rPr>
        <w:t>and</w:t>
      </w:r>
      <w:r>
        <w:rPr>
          <w:spacing w:val="-5"/>
          <w:sz w:val="23"/>
        </w:rPr>
        <w:t xml:space="preserve"> </w:t>
      </w:r>
      <w:r>
        <w:rPr>
          <w:sz w:val="23"/>
        </w:rPr>
        <w:t>improvement</w:t>
      </w:r>
      <w:r>
        <w:rPr>
          <w:spacing w:val="-3"/>
          <w:sz w:val="23"/>
        </w:rPr>
        <w:t xml:space="preserve"> </w:t>
      </w:r>
      <w:r>
        <w:rPr>
          <w:sz w:val="23"/>
        </w:rPr>
        <w:t>agendas</w:t>
      </w:r>
      <w:r>
        <w:rPr>
          <w:spacing w:val="-5"/>
          <w:sz w:val="23"/>
        </w:rPr>
        <w:t xml:space="preserve"> </w:t>
      </w:r>
      <w:r>
        <w:rPr>
          <w:sz w:val="23"/>
        </w:rPr>
        <w:t>to meet the diverse and specific needs of school students and</w:t>
      </w:r>
      <w:r>
        <w:rPr>
          <w:spacing w:val="-13"/>
          <w:sz w:val="23"/>
        </w:rPr>
        <w:t xml:space="preserve"> </w:t>
      </w:r>
      <w:r>
        <w:rPr>
          <w:sz w:val="23"/>
        </w:rPr>
        <w:t>communities;</w:t>
      </w:r>
    </w:p>
    <w:p w14:paraId="38D74D66" w14:textId="77777777" w:rsidR="00372CDD" w:rsidRDefault="00372CDD">
      <w:pPr>
        <w:pStyle w:val="BodyText"/>
        <w:spacing w:before="5"/>
        <w:rPr>
          <w:sz w:val="19"/>
        </w:rPr>
      </w:pPr>
    </w:p>
    <w:p w14:paraId="36C11D51" w14:textId="77777777" w:rsidR="00372CDD" w:rsidRDefault="00C87ECC">
      <w:pPr>
        <w:pStyle w:val="ListParagraph"/>
        <w:numPr>
          <w:ilvl w:val="1"/>
          <w:numId w:val="3"/>
        </w:numPr>
        <w:tabs>
          <w:tab w:val="left" w:pos="1094"/>
        </w:tabs>
        <w:spacing w:line="223" w:lineRule="auto"/>
        <w:ind w:right="114"/>
        <w:rPr>
          <w:sz w:val="23"/>
        </w:rPr>
      </w:pPr>
      <w:r>
        <w:rPr>
          <w:sz w:val="23"/>
        </w:rPr>
        <w:t>respect and preserve the existing direct funding and reporting relationship NGRBs have with the</w:t>
      </w:r>
      <w:r>
        <w:rPr>
          <w:spacing w:val="-3"/>
          <w:sz w:val="23"/>
        </w:rPr>
        <w:t xml:space="preserve"> </w:t>
      </w:r>
      <w:r>
        <w:rPr>
          <w:sz w:val="23"/>
        </w:rPr>
        <w:t>Commonwealth;</w:t>
      </w:r>
    </w:p>
    <w:p w14:paraId="298E8F68" w14:textId="77777777" w:rsidR="00372CDD" w:rsidRDefault="00372CDD">
      <w:pPr>
        <w:pStyle w:val="BodyText"/>
        <w:spacing w:before="6"/>
        <w:rPr>
          <w:sz w:val="19"/>
        </w:rPr>
      </w:pPr>
    </w:p>
    <w:p w14:paraId="5D206099" w14:textId="77777777" w:rsidR="00372CDD" w:rsidRDefault="00C87ECC">
      <w:pPr>
        <w:pStyle w:val="ListParagraph"/>
        <w:numPr>
          <w:ilvl w:val="1"/>
          <w:numId w:val="3"/>
        </w:numPr>
        <w:tabs>
          <w:tab w:val="left" w:pos="1094"/>
        </w:tabs>
        <w:spacing w:line="223" w:lineRule="auto"/>
        <w:ind w:right="110"/>
        <w:rPr>
          <w:sz w:val="23"/>
        </w:rPr>
      </w:pPr>
      <w:r>
        <w:rPr>
          <w:sz w:val="23"/>
        </w:rPr>
        <w:t>to the extent possible, endeavour to avoid duplicative monitoring or reporting processes for any obligations imposed on NGRBs (or their schools) by this agreement, the National Agreement or the Act or Regulation;</w:t>
      </w:r>
      <w:r>
        <w:rPr>
          <w:spacing w:val="-4"/>
          <w:sz w:val="23"/>
        </w:rPr>
        <w:t xml:space="preserve"> </w:t>
      </w:r>
      <w:r>
        <w:rPr>
          <w:sz w:val="23"/>
        </w:rPr>
        <w:t>and</w:t>
      </w:r>
    </w:p>
    <w:p w14:paraId="3E26A2ED" w14:textId="77777777" w:rsidR="00372CDD" w:rsidRDefault="00372CDD">
      <w:pPr>
        <w:pStyle w:val="BodyText"/>
        <w:spacing w:before="7"/>
        <w:rPr>
          <w:sz w:val="19"/>
        </w:rPr>
      </w:pPr>
    </w:p>
    <w:p w14:paraId="6B4533AA" w14:textId="77777777" w:rsidR="00372CDD" w:rsidRDefault="00C87ECC">
      <w:pPr>
        <w:pStyle w:val="ListParagraph"/>
        <w:numPr>
          <w:ilvl w:val="1"/>
          <w:numId w:val="3"/>
        </w:numPr>
        <w:tabs>
          <w:tab w:val="left" w:pos="1094"/>
        </w:tabs>
        <w:spacing w:line="220" w:lineRule="auto"/>
        <w:ind w:right="114"/>
        <w:rPr>
          <w:sz w:val="23"/>
        </w:rPr>
      </w:pPr>
      <w:r>
        <w:rPr>
          <w:sz w:val="23"/>
        </w:rPr>
        <w:t>recognise that NGRBs are required to report to and negotiate with the Commonwealth directly in relation to the requirements and administration of the</w:t>
      </w:r>
      <w:r>
        <w:rPr>
          <w:spacing w:val="-14"/>
          <w:sz w:val="23"/>
        </w:rPr>
        <w:t xml:space="preserve"> </w:t>
      </w:r>
      <w:r>
        <w:rPr>
          <w:sz w:val="23"/>
        </w:rPr>
        <w:t>N</w:t>
      </w:r>
      <w:r w:rsidR="00C127E8">
        <w:rPr>
          <w:sz w:val="23"/>
        </w:rPr>
        <w:t>on-Government Reform Support Fund</w:t>
      </w:r>
      <w:r>
        <w:rPr>
          <w:sz w:val="23"/>
        </w:rPr>
        <w:t>.</w:t>
      </w:r>
    </w:p>
    <w:p w14:paraId="58DBEB3B" w14:textId="77777777" w:rsidR="00372CDD" w:rsidRDefault="00372CDD">
      <w:pPr>
        <w:pStyle w:val="BodyText"/>
        <w:spacing w:before="11"/>
        <w:rPr>
          <w:sz w:val="19"/>
        </w:rPr>
      </w:pPr>
    </w:p>
    <w:p w14:paraId="07DC149F" w14:textId="4572123A" w:rsidR="00372CDD" w:rsidRDefault="00C87ECC">
      <w:pPr>
        <w:pStyle w:val="ListParagraph"/>
        <w:numPr>
          <w:ilvl w:val="0"/>
          <w:numId w:val="3"/>
        </w:numPr>
        <w:tabs>
          <w:tab w:val="left" w:pos="667"/>
        </w:tabs>
        <w:spacing w:line="223" w:lineRule="auto"/>
        <w:ind w:right="107" w:hanging="566"/>
        <w:rPr>
          <w:sz w:val="23"/>
        </w:rPr>
      </w:pPr>
      <w:r>
        <w:rPr>
          <w:sz w:val="23"/>
        </w:rPr>
        <w:t xml:space="preserve">The Commonwealth will not impose financial or other sanctions on </w:t>
      </w:r>
      <w:r w:rsidR="005D6C88">
        <w:rPr>
          <w:sz w:val="23"/>
        </w:rPr>
        <w:t>s</w:t>
      </w:r>
      <w:r>
        <w:rPr>
          <w:sz w:val="23"/>
        </w:rPr>
        <w:t xml:space="preserve">tates or </w:t>
      </w:r>
      <w:r w:rsidR="005D6C88">
        <w:rPr>
          <w:sz w:val="23"/>
        </w:rPr>
        <w:t>t</w:t>
      </w:r>
      <w:r>
        <w:rPr>
          <w:sz w:val="23"/>
        </w:rPr>
        <w:t>erritories for a failure by the non-government school sector to cooperate with bilateral agreements, as per clause</w:t>
      </w:r>
      <w:r>
        <w:rPr>
          <w:spacing w:val="-14"/>
          <w:sz w:val="23"/>
        </w:rPr>
        <w:t xml:space="preserve"> </w:t>
      </w:r>
      <w:r>
        <w:rPr>
          <w:sz w:val="23"/>
        </w:rPr>
        <w:t>50</w:t>
      </w:r>
      <w:r>
        <w:rPr>
          <w:spacing w:val="-15"/>
          <w:sz w:val="23"/>
        </w:rPr>
        <w:t xml:space="preserve"> </w:t>
      </w:r>
      <w:r>
        <w:rPr>
          <w:sz w:val="23"/>
        </w:rPr>
        <w:t>of</w:t>
      </w:r>
      <w:r>
        <w:rPr>
          <w:spacing w:val="-14"/>
          <w:sz w:val="23"/>
        </w:rPr>
        <w:t xml:space="preserve"> </w:t>
      </w:r>
      <w:r>
        <w:rPr>
          <w:sz w:val="23"/>
        </w:rPr>
        <w:t>the</w:t>
      </w:r>
      <w:r>
        <w:rPr>
          <w:spacing w:val="-14"/>
          <w:sz w:val="23"/>
        </w:rPr>
        <w:t xml:space="preserve"> </w:t>
      </w:r>
      <w:r>
        <w:rPr>
          <w:sz w:val="23"/>
        </w:rPr>
        <w:t>National</w:t>
      </w:r>
      <w:r>
        <w:rPr>
          <w:spacing w:val="-10"/>
          <w:sz w:val="23"/>
        </w:rPr>
        <w:t xml:space="preserve"> </w:t>
      </w:r>
      <w:r>
        <w:rPr>
          <w:sz w:val="23"/>
        </w:rPr>
        <w:t>Agreement.</w:t>
      </w:r>
      <w:r>
        <w:rPr>
          <w:spacing w:val="-13"/>
          <w:sz w:val="23"/>
        </w:rPr>
        <w:t xml:space="preserve"> </w:t>
      </w:r>
      <w:r>
        <w:rPr>
          <w:sz w:val="23"/>
        </w:rPr>
        <w:t>Nor</w:t>
      </w:r>
      <w:r>
        <w:rPr>
          <w:spacing w:val="-14"/>
          <w:sz w:val="23"/>
        </w:rPr>
        <w:t xml:space="preserve"> </w:t>
      </w:r>
      <w:r>
        <w:rPr>
          <w:sz w:val="23"/>
        </w:rPr>
        <w:t>will</w:t>
      </w:r>
      <w:r>
        <w:rPr>
          <w:spacing w:val="-13"/>
          <w:sz w:val="23"/>
        </w:rPr>
        <w:t xml:space="preserve"> </w:t>
      </w:r>
      <w:r>
        <w:rPr>
          <w:sz w:val="23"/>
        </w:rPr>
        <w:t>the</w:t>
      </w:r>
      <w:r>
        <w:rPr>
          <w:spacing w:val="-14"/>
          <w:sz w:val="23"/>
        </w:rPr>
        <w:t xml:space="preserve"> </w:t>
      </w:r>
      <w:r>
        <w:rPr>
          <w:sz w:val="23"/>
        </w:rPr>
        <w:t>Commonwealth</w:t>
      </w:r>
      <w:r>
        <w:rPr>
          <w:spacing w:val="-14"/>
          <w:sz w:val="23"/>
        </w:rPr>
        <w:t xml:space="preserve"> </w:t>
      </w:r>
      <w:r>
        <w:rPr>
          <w:sz w:val="23"/>
        </w:rPr>
        <w:t>impose</w:t>
      </w:r>
      <w:r>
        <w:rPr>
          <w:spacing w:val="-14"/>
          <w:sz w:val="23"/>
        </w:rPr>
        <w:t xml:space="preserve"> </w:t>
      </w:r>
      <w:r>
        <w:rPr>
          <w:sz w:val="23"/>
        </w:rPr>
        <w:t>sanctions</w:t>
      </w:r>
      <w:r>
        <w:rPr>
          <w:spacing w:val="-14"/>
          <w:sz w:val="23"/>
        </w:rPr>
        <w:t xml:space="preserve"> </w:t>
      </w:r>
      <w:r>
        <w:rPr>
          <w:sz w:val="23"/>
        </w:rPr>
        <w:t>on</w:t>
      </w:r>
      <w:r>
        <w:rPr>
          <w:spacing w:val="-15"/>
          <w:sz w:val="23"/>
        </w:rPr>
        <w:t xml:space="preserve"> </w:t>
      </w:r>
      <w:r>
        <w:rPr>
          <w:sz w:val="23"/>
        </w:rPr>
        <w:t>the</w:t>
      </w:r>
      <w:r>
        <w:rPr>
          <w:spacing w:val="-14"/>
          <w:sz w:val="23"/>
        </w:rPr>
        <w:t xml:space="preserve"> </w:t>
      </w:r>
      <w:r>
        <w:rPr>
          <w:sz w:val="23"/>
        </w:rPr>
        <w:t xml:space="preserve">non- government school sector for a failure of </w:t>
      </w:r>
      <w:r w:rsidR="005D6C88">
        <w:rPr>
          <w:sz w:val="23"/>
        </w:rPr>
        <w:t xml:space="preserve">Queensland </w:t>
      </w:r>
      <w:r>
        <w:rPr>
          <w:sz w:val="23"/>
        </w:rPr>
        <w:t>to cooperate with them in the implementation of this</w:t>
      </w:r>
      <w:r>
        <w:rPr>
          <w:spacing w:val="-2"/>
          <w:sz w:val="23"/>
        </w:rPr>
        <w:t xml:space="preserve"> </w:t>
      </w:r>
      <w:r>
        <w:rPr>
          <w:sz w:val="23"/>
        </w:rPr>
        <w:t>agreement.</w:t>
      </w:r>
    </w:p>
    <w:p w14:paraId="210FD79A" w14:textId="77777777" w:rsidR="00372CDD" w:rsidRDefault="00372CDD">
      <w:pPr>
        <w:spacing w:line="223" w:lineRule="auto"/>
        <w:jc w:val="both"/>
        <w:rPr>
          <w:sz w:val="23"/>
        </w:rPr>
        <w:sectPr w:rsidR="00372CDD" w:rsidSect="00A829E7">
          <w:pgSz w:w="11910" w:h="16840"/>
          <w:pgMar w:top="1380" w:right="880" w:bottom="709" w:left="1340" w:header="746" w:footer="0" w:gutter="0"/>
          <w:cols w:space="720"/>
        </w:sectPr>
      </w:pPr>
    </w:p>
    <w:p w14:paraId="77CEFF7D" w14:textId="77777777" w:rsidR="00372CDD" w:rsidRDefault="00372CDD">
      <w:pPr>
        <w:pStyle w:val="BodyText"/>
        <w:rPr>
          <w:sz w:val="20"/>
        </w:rPr>
      </w:pPr>
    </w:p>
    <w:p w14:paraId="5B2C68BA" w14:textId="77777777" w:rsidR="00372CDD" w:rsidRDefault="00C87ECC">
      <w:pPr>
        <w:pStyle w:val="Heading2"/>
        <w:spacing w:before="195"/>
      </w:pPr>
      <w:r>
        <w:rPr>
          <w:color w:val="306E71"/>
        </w:rPr>
        <w:t>State-specific actions to be delivered by Queensland</w:t>
      </w:r>
    </w:p>
    <w:p w14:paraId="51BA8D66" w14:textId="77777777" w:rsidR="00372CDD" w:rsidRDefault="00C87ECC">
      <w:pPr>
        <w:pStyle w:val="ListParagraph"/>
        <w:numPr>
          <w:ilvl w:val="0"/>
          <w:numId w:val="3"/>
        </w:numPr>
        <w:tabs>
          <w:tab w:val="left" w:pos="666"/>
          <w:tab w:val="left" w:pos="667"/>
        </w:tabs>
        <w:spacing w:before="124" w:line="223" w:lineRule="auto"/>
        <w:ind w:right="124" w:hanging="566"/>
        <w:rPr>
          <w:sz w:val="23"/>
        </w:rPr>
      </w:pPr>
      <w:r>
        <w:rPr>
          <w:sz w:val="23"/>
        </w:rPr>
        <w:t>The following state-specific actions will be progressed and delivered by Queensland schooling sectors during the life of this agreement as per the table</w:t>
      </w:r>
      <w:r>
        <w:rPr>
          <w:spacing w:val="-2"/>
          <w:sz w:val="23"/>
        </w:rPr>
        <w:t xml:space="preserve"> </w:t>
      </w:r>
      <w:r>
        <w:rPr>
          <w:sz w:val="23"/>
        </w:rPr>
        <w:t>below.</w:t>
      </w:r>
    </w:p>
    <w:p w14:paraId="7CCF561F" w14:textId="77777777" w:rsidR="00372CDD" w:rsidRDefault="00372CDD">
      <w:pPr>
        <w:pStyle w:val="BodyText"/>
        <w:spacing w:before="2"/>
        <w:rPr>
          <w:sz w:val="19"/>
        </w:rPr>
      </w:pPr>
    </w:p>
    <w:tbl>
      <w:tblPr>
        <w:tblW w:w="0" w:type="auto"/>
        <w:tblInd w:w="120" w:type="dxa"/>
        <w:tblBorders>
          <w:top w:val="single" w:sz="24" w:space="0" w:color="306E71"/>
          <w:left w:val="single" w:sz="24" w:space="0" w:color="306E71"/>
          <w:bottom w:val="single" w:sz="24" w:space="0" w:color="306E71"/>
          <w:right w:val="single" w:sz="24" w:space="0" w:color="306E71"/>
          <w:insideH w:val="single" w:sz="24" w:space="0" w:color="306E71"/>
          <w:insideV w:val="single" w:sz="24" w:space="0" w:color="306E71"/>
        </w:tblBorders>
        <w:tblLayout w:type="fixed"/>
        <w:tblCellMar>
          <w:left w:w="0" w:type="dxa"/>
          <w:right w:w="0" w:type="dxa"/>
        </w:tblCellMar>
        <w:tblLook w:val="01E0" w:firstRow="1" w:lastRow="1" w:firstColumn="1" w:lastColumn="1" w:noHBand="0" w:noVBand="0"/>
      </w:tblPr>
      <w:tblGrid>
        <w:gridCol w:w="2292"/>
        <w:gridCol w:w="8372"/>
        <w:gridCol w:w="1637"/>
        <w:gridCol w:w="1639"/>
      </w:tblGrid>
      <w:tr w:rsidR="00372CDD" w14:paraId="0800646B" w14:textId="77777777">
        <w:trPr>
          <w:trHeight w:val="880"/>
        </w:trPr>
        <w:tc>
          <w:tcPr>
            <w:tcW w:w="2292" w:type="dxa"/>
            <w:tcBorders>
              <w:left w:val="single" w:sz="8" w:space="0" w:color="306E71"/>
              <w:right w:val="single" w:sz="8" w:space="0" w:color="306E71"/>
            </w:tcBorders>
          </w:tcPr>
          <w:p w14:paraId="3927DBD2" w14:textId="77777777" w:rsidR="00372CDD" w:rsidRDefault="00C87ECC">
            <w:pPr>
              <w:pStyle w:val="TableParagraph"/>
              <w:spacing w:before="110"/>
              <w:ind w:left="107"/>
              <w:rPr>
                <w:b/>
                <w:sz w:val="23"/>
              </w:rPr>
            </w:pPr>
            <w:r>
              <w:rPr>
                <w:b/>
                <w:sz w:val="23"/>
              </w:rPr>
              <w:t>Reform Direction</w:t>
            </w:r>
          </w:p>
        </w:tc>
        <w:tc>
          <w:tcPr>
            <w:tcW w:w="8372" w:type="dxa"/>
            <w:tcBorders>
              <w:left w:val="single" w:sz="8" w:space="0" w:color="306E71"/>
              <w:right w:val="single" w:sz="8" w:space="0" w:color="306E71"/>
            </w:tcBorders>
          </w:tcPr>
          <w:p w14:paraId="4928EB2B" w14:textId="77777777" w:rsidR="00372CDD" w:rsidRDefault="00C87ECC">
            <w:pPr>
              <w:pStyle w:val="TableParagraph"/>
              <w:spacing w:before="110"/>
              <w:rPr>
                <w:b/>
                <w:sz w:val="23"/>
              </w:rPr>
            </w:pPr>
            <w:r>
              <w:rPr>
                <w:b/>
                <w:sz w:val="23"/>
              </w:rPr>
              <w:t>Actions</w:t>
            </w:r>
          </w:p>
        </w:tc>
        <w:tc>
          <w:tcPr>
            <w:tcW w:w="1637" w:type="dxa"/>
            <w:tcBorders>
              <w:left w:val="single" w:sz="8" w:space="0" w:color="306E71"/>
              <w:right w:val="single" w:sz="8" w:space="0" w:color="306E71"/>
            </w:tcBorders>
          </w:tcPr>
          <w:p w14:paraId="41D2AF55" w14:textId="77777777" w:rsidR="00372CDD" w:rsidRDefault="00C87ECC">
            <w:pPr>
              <w:pStyle w:val="TableParagraph"/>
              <w:spacing w:before="110"/>
              <w:rPr>
                <w:b/>
                <w:sz w:val="23"/>
              </w:rPr>
            </w:pPr>
            <w:r>
              <w:rPr>
                <w:b/>
                <w:sz w:val="23"/>
              </w:rPr>
              <w:t>Sector</w:t>
            </w:r>
          </w:p>
        </w:tc>
        <w:tc>
          <w:tcPr>
            <w:tcW w:w="1639" w:type="dxa"/>
            <w:tcBorders>
              <w:left w:val="single" w:sz="8" w:space="0" w:color="306E71"/>
              <w:right w:val="single" w:sz="8" w:space="0" w:color="306E71"/>
            </w:tcBorders>
          </w:tcPr>
          <w:p w14:paraId="4A9D1A22" w14:textId="77777777" w:rsidR="00372CDD" w:rsidRDefault="00C87ECC">
            <w:pPr>
              <w:pStyle w:val="TableParagraph"/>
              <w:spacing w:before="110"/>
              <w:rPr>
                <w:b/>
                <w:sz w:val="23"/>
              </w:rPr>
            </w:pPr>
            <w:r>
              <w:rPr>
                <w:b/>
                <w:sz w:val="23"/>
              </w:rPr>
              <w:t>Timing</w:t>
            </w:r>
          </w:p>
        </w:tc>
      </w:tr>
      <w:tr w:rsidR="00372CDD" w14:paraId="687DA204" w14:textId="77777777">
        <w:trPr>
          <w:trHeight w:val="588"/>
        </w:trPr>
        <w:tc>
          <w:tcPr>
            <w:tcW w:w="13940" w:type="dxa"/>
            <w:gridSpan w:val="4"/>
            <w:tcBorders>
              <w:left w:val="single" w:sz="8" w:space="0" w:color="306E71"/>
              <w:bottom w:val="single" w:sz="8" w:space="0" w:color="306E71"/>
              <w:right w:val="single" w:sz="8" w:space="0" w:color="306E71"/>
            </w:tcBorders>
          </w:tcPr>
          <w:p w14:paraId="12191D16" w14:textId="77777777" w:rsidR="00372CDD" w:rsidRDefault="00C87ECC">
            <w:pPr>
              <w:pStyle w:val="TableParagraph"/>
              <w:spacing w:before="139"/>
              <w:ind w:left="107"/>
              <w:rPr>
                <w:b/>
                <w:sz w:val="20"/>
              </w:rPr>
            </w:pPr>
            <w:r>
              <w:rPr>
                <w:b/>
                <w:sz w:val="20"/>
              </w:rPr>
              <w:t>Reform Direction A - Support students and student learning</w:t>
            </w:r>
          </w:p>
        </w:tc>
      </w:tr>
      <w:tr w:rsidR="00372CDD" w14:paraId="73928B31" w14:textId="77777777">
        <w:trPr>
          <w:trHeight w:val="498"/>
        </w:trPr>
        <w:tc>
          <w:tcPr>
            <w:tcW w:w="2292" w:type="dxa"/>
            <w:vMerge w:val="restart"/>
            <w:tcBorders>
              <w:top w:val="single" w:sz="8" w:space="0" w:color="306E71"/>
              <w:left w:val="single" w:sz="8" w:space="0" w:color="306E71"/>
              <w:bottom w:val="single" w:sz="8" w:space="0" w:color="306E71"/>
              <w:right w:val="single" w:sz="8" w:space="0" w:color="306E71"/>
            </w:tcBorders>
          </w:tcPr>
          <w:p w14:paraId="36BD692B" w14:textId="77777777" w:rsidR="00372CDD" w:rsidRDefault="00C87ECC">
            <w:pPr>
              <w:pStyle w:val="TableParagraph"/>
              <w:tabs>
                <w:tab w:val="left" w:pos="1826"/>
              </w:tabs>
              <w:spacing w:before="119"/>
              <w:ind w:left="107" w:right="83"/>
              <w:jc w:val="both"/>
              <w:rPr>
                <w:sz w:val="23"/>
              </w:rPr>
            </w:pPr>
            <w:r>
              <w:rPr>
                <w:sz w:val="23"/>
              </w:rPr>
              <w:t>Literacy</w:t>
            </w:r>
            <w:r>
              <w:rPr>
                <w:sz w:val="23"/>
              </w:rPr>
              <w:tab/>
            </w:r>
            <w:r>
              <w:rPr>
                <w:spacing w:val="-5"/>
                <w:sz w:val="23"/>
              </w:rPr>
              <w:t xml:space="preserve">and </w:t>
            </w:r>
            <w:r>
              <w:rPr>
                <w:sz w:val="23"/>
              </w:rPr>
              <w:t xml:space="preserve">numeracy in the </w:t>
            </w:r>
            <w:r>
              <w:rPr>
                <w:spacing w:val="-3"/>
                <w:sz w:val="23"/>
              </w:rPr>
              <w:t xml:space="preserve">early </w:t>
            </w:r>
            <w:r>
              <w:rPr>
                <w:sz w:val="23"/>
              </w:rPr>
              <w:t>years</w:t>
            </w:r>
          </w:p>
        </w:tc>
        <w:tc>
          <w:tcPr>
            <w:tcW w:w="8372" w:type="dxa"/>
            <w:tcBorders>
              <w:top w:val="single" w:sz="8" w:space="0" w:color="306E71"/>
              <w:left w:val="single" w:sz="8" w:space="0" w:color="306E71"/>
              <w:bottom w:val="single" w:sz="8" w:space="0" w:color="306E71"/>
              <w:right w:val="single" w:sz="8" w:space="0" w:color="306E71"/>
            </w:tcBorders>
          </w:tcPr>
          <w:p w14:paraId="1B7857D0" w14:textId="44320D1E" w:rsidR="00372CDD" w:rsidRDefault="00C87ECC" w:rsidP="004F0CFD">
            <w:pPr>
              <w:pStyle w:val="TableParagraph"/>
              <w:rPr>
                <w:i/>
                <w:sz w:val="23"/>
              </w:rPr>
            </w:pPr>
            <w:r>
              <w:rPr>
                <w:i/>
                <w:sz w:val="23"/>
              </w:rPr>
              <w:t xml:space="preserve">Review and extend use of the Early Start screening tool to all </w:t>
            </w:r>
            <w:r w:rsidR="004F0CFD">
              <w:rPr>
                <w:i/>
                <w:sz w:val="23"/>
              </w:rPr>
              <w:t xml:space="preserve">government </w:t>
            </w:r>
            <w:r>
              <w:rPr>
                <w:i/>
                <w:sz w:val="23"/>
              </w:rPr>
              <w:t>primary schools</w:t>
            </w:r>
          </w:p>
        </w:tc>
        <w:tc>
          <w:tcPr>
            <w:tcW w:w="1637" w:type="dxa"/>
            <w:tcBorders>
              <w:top w:val="single" w:sz="8" w:space="0" w:color="306E71"/>
              <w:left w:val="single" w:sz="8" w:space="0" w:color="306E71"/>
              <w:bottom w:val="single" w:sz="8" w:space="0" w:color="306E71"/>
              <w:right w:val="single" w:sz="8" w:space="0" w:color="306E71"/>
            </w:tcBorders>
          </w:tcPr>
          <w:p w14:paraId="72CD7B16" w14:textId="4F2E0DC4" w:rsidR="00372CDD" w:rsidRDefault="004C076B">
            <w:pPr>
              <w:pStyle w:val="TableParagraph"/>
              <w:rPr>
                <w:sz w:val="23"/>
              </w:rPr>
            </w:pPr>
            <w:r>
              <w:rPr>
                <w:sz w:val="23"/>
              </w:rPr>
              <w:t>Government</w:t>
            </w:r>
          </w:p>
        </w:tc>
        <w:tc>
          <w:tcPr>
            <w:tcW w:w="1639" w:type="dxa"/>
            <w:tcBorders>
              <w:top w:val="single" w:sz="8" w:space="0" w:color="306E71"/>
              <w:left w:val="single" w:sz="8" w:space="0" w:color="306E71"/>
              <w:bottom w:val="single" w:sz="8" w:space="0" w:color="306E71"/>
              <w:right w:val="single" w:sz="8" w:space="0" w:color="306E71"/>
            </w:tcBorders>
          </w:tcPr>
          <w:p w14:paraId="4FF7E17E" w14:textId="77777777" w:rsidR="00372CDD" w:rsidRDefault="00C87ECC">
            <w:pPr>
              <w:pStyle w:val="TableParagraph"/>
              <w:rPr>
                <w:sz w:val="23"/>
              </w:rPr>
            </w:pPr>
            <w:r>
              <w:rPr>
                <w:sz w:val="23"/>
              </w:rPr>
              <w:t>From 2019</w:t>
            </w:r>
          </w:p>
        </w:tc>
      </w:tr>
      <w:tr w:rsidR="00372CDD" w14:paraId="6DE85BA1" w14:textId="77777777">
        <w:trPr>
          <w:trHeight w:val="500"/>
        </w:trPr>
        <w:tc>
          <w:tcPr>
            <w:tcW w:w="2292" w:type="dxa"/>
            <w:vMerge/>
            <w:tcBorders>
              <w:top w:val="nil"/>
              <w:left w:val="single" w:sz="8" w:space="0" w:color="306E71"/>
              <w:bottom w:val="single" w:sz="8" w:space="0" w:color="306E71"/>
              <w:right w:val="single" w:sz="8" w:space="0" w:color="306E71"/>
            </w:tcBorders>
          </w:tcPr>
          <w:p w14:paraId="57F2D0A2" w14:textId="77777777" w:rsidR="00372CDD" w:rsidRDefault="00372CDD">
            <w:pPr>
              <w:rPr>
                <w:sz w:val="2"/>
                <w:szCs w:val="2"/>
              </w:rPr>
            </w:pPr>
          </w:p>
        </w:tc>
        <w:tc>
          <w:tcPr>
            <w:tcW w:w="8372" w:type="dxa"/>
            <w:tcBorders>
              <w:top w:val="single" w:sz="8" w:space="0" w:color="306E71"/>
              <w:left w:val="single" w:sz="8" w:space="0" w:color="306E71"/>
              <w:bottom w:val="single" w:sz="8" w:space="0" w:color="306E71"/>
              <w:right w:val="single" w:sz="8" w:space="0" w:color="306E71"/>
            </w:tcBorders>
          </w:tcPr>
          <w:p w14:paraId="193ABE2E" w14:textId="77777777" w:rsidR="00372CDD" w:rsidRDefault="00C87ECC">
            <w:pPr>
              <w:pStyle w:val="TableParagraph"/>
              <w:spacing w:before="112"/>
              <w:rPr>
                <w:i/>
                <w:sz w:val="23"/>
              </w:rPr>
            </w:pPr>
            <w:r>
              <w:rPr>
                <w:i/>
                <w:sz w:val="23"/>
              </w:rPr>
              <w:t>Review and extend early years screening tools in Queensland Catholic schools</w:t>
            </w:r>
          </w:p>
        </w:tc>
        <w:tc>
          <w:tcPr>
            <w:tcW w:w="1637" w:type="dxa"/>
            <w:tcBorders>
              <w:top w:val="single" w:sz="8" w:space="0" w:color="306E71"/>
              <w:left w:val="single" w:sz="8" w:space="0" w:color="306E71"/>
              <w:bottom w:val="single" w:sz="8" w:space="0" w:color="306E71"/>
              <w:right w:val="single" w:sz="8" w:space="0" w:color="306E71"/>
            </w:tcBorders>
          </w:tcPr>
          <w:p w14:paraId="7D9EB0B1" w14:textId="77777777" w:rsidR="00372CDD" w:rsidRDefault="00C87ECC">
            <w:pPr>
              <w:pStyle w:val="TableParagraph"/>
              <w:spacing w:before="112"/>
              <w:rPr>
                <w:sz w:val="23"/>
              </w:rPr>
            </w:pPr>
            <w:r>
              <w:rPr>
                <w:sz w:val="23"/>
              </w:rPr>
              <w:t>QCEC</w:t>
            </w:r>
          </w:p>
        </w:tc>
        <w:tc>
          <w:tcPr>
            <w:tcW w:w="1639" w:type="dxa"/>
            <w:tcBorders>
              <w:top w:val="single" w:sz="8" w:space="0" w:color="306E71"/>
              <w:left w:val="single" w:sz="8" w:space="0" w:color="306E71"/>
              <w:bottom w:val="single" w:sz="8" w:space="0" w:color="306E71"/>
              <w:right w:val="single" w:sz="8" w:space="0" w:color="306E71"/>
            </w:tcBorders>
          </w:tcPr>
          <w:p w14:paraId="4BED692A" w14:textId="77777777" w:rsidR="00372CDD" w:rsidRDefault="00C87ECC">
            <w:pPr>
              <w:pStyle w:val="TableParagraph"/>
              <w:spacing w:before="112"/>
              <w:rPr>
                <w:sz w:val="23"/>
              </w:rPr>
            </w:pPr>
            <w:r>
              <w:rPr>
                <w:sz w:val="23"/>
              </w:rPr>
              <w:t>From 2019</w:t>
            </w:r>
          </w:p>
        </w:tc>
      </w:tr>
      <w:tr w:rsidR="00372CDD" w14:paraId="174A1242" w14:textId="77777777">
        <w:trPr>
          <w:trHeight w:val="500"/>
        </w:trPr>
        <w:tc>
          <w:tcPr>
            <w:tcW w:w="2292" w:type="dxa"/>
            <w:vMerge/>
            <w:tcBorders>
              <w:top w:val="nil"/>
              <w:left w:val="single" w:sz="8" w:space="0" w:color="306E71"/>
              <w:bottom w:val="single" w:sz="8" w:space="0" w:color="306E71"/>
              <w:right w:val="single" w:sz="8" w:space="0" w:color="306E71"/>
            </w:tcBorders>
          </w:tcPr>
          <w:p w14:paraId="0610147F" w14:textId="77777777" w:rsidR="00372CDD" w:rsidRDefault="00372CDD">
            <w:pPr>
              <w:rPr>
                <w:sz w:val="2"/>
                <w:szCs w:val="2"/>
              </w:rPr>
            </w:pPr>
          </w:p>
        </w:tc>
        <w:tc>
          <w:tcPr>
            <w:tcW w:w="8372" w:type="dxa"/>
            <w:tcBorders>
              <w:top w:val="single" w:sz="8" w:space="0" w:color="306E71"/>
              <w:left w:val="single" w:sz="8" w:space="0" w:color="306E71"/>
              <w:bottom w:val="single" w:sz="8" w:space="0" w:color="306E71"/>
              <w:right w:val="single" w:sz="8" w:space="0" w:color="306E71"/>
            </w:tcBorders>
          </w:tcPr>
          <w:p w14:paraId="31EEF9EB" w14:textId="77777777" w:rsidR="00372CDD" w:rsidRDefault="00C87ECC">
            <w:pPr>
              <w:pStyle w:val="TableParagraph"/>
              <w:rPr>
                <w:i/>
                <w:sz w:val="23"/>
              </w:rPr>
            </w:pPr>
            <w:r>
              <w:rPr>
                <w:i/>
                <w:sz w:val="23"/>
              </w:rPr>
              <w:t>Support schools to utilise the Early Start screening tool or like-measures</w:t>
            </w:r>
          </w:p>
        </w:tc>
        <w:tc>
          <w:tcPr>
            <w:tcW w:w="1637" w:type="dxa"/>
            <w:tcBorders>
              <w:top w:val="single" w:sz="8" w:space="0" w:color="306E71"/>
              <w:left w:val="single" w:sz="8" w:space="0" w:color="306E71"/>
              <w:bottom w:val="single" w:sz="8" w:space="0" w:color="306E71"/>
              <w:right w:val="single" w:sz="8" w:space="0" w:color="306E71"/>
            </w:tcBorders>
          </w:tcPr>
          <w:p w14:paraId="37F68589" w14:textId="77777777" w:rsidR="00372CDD" w:rsidRDefault="00C87ECC">
            <w:pPr>
              <w:pStyle w:val="TableParagraph"/>
              <w:rPr>
                <w:sz w:val="23"/>
              </w:rPr>
            </w:pPr>
            <w:r>
              <w:rPr>
                <w:sz w:val="23"/>
              </w:rPr>
              <w:t>ISQ</w:t>
            </w:r>
          </w:p>
        </w:tc>
        <w:tc>
          <w:tcPr>
            <w:tcW w:w="1639" w:type="dxa"/>
            <w:tcBorders>
              <w:top w:val="single" w:sz="8" w:space="0" w:color="306E71"/>
              <w:left w:val="single" w:sz="8" w:space="0" w:color="306E71"/>
              <w:bottom w:val="single" w:sz="8" w:space="0" w:color="306E71"/>
              <w:right w:val="single" w:sz="8" w:space="0" w:color="306E71"/>
            </w:tcBorders>
          </w:tcPr>
          <w:p w14:paraId="076DB875" w14:textId="77777777" w:rsidR="00372CDD" w:rsidRDefault="00C87ECC">
            <w:pPr>
              <w:pStyle w:val="TableParagraph"/>
              <w:rPr>
                <w:sz w:val="23"/>
              </w:rPr>
            </w:pPr>
            <w:r>
              <w:rPr>
                <w:sz w:val="23"/>
              </w:rPr>
              <w:t>2019-2021</w:t>
            </w:r>
          </w:p>
        </w:tc>
      </w:tr>
      <w:tr w:rsidR="00372CDD" w14:paraId="2206C588" w14:textId="77777777">
        <w:trPr>
          <w:trHeight w:val="1082"/>
        </w:trPr>
        <w:tc>
          <w:tcPr>
            <w:tcW w:w="2292" w:type="dxa"/>
            <w:tcBorders>
              <w:top w:val="single" w:sz="8" w:space="0" w:color="306E71"/>
              <w:left w:val="single" w:sz="8" w:space="0" w:color="306E71"/>
              <w:bottom w:val="single" w:sz="8" w:space="0" w:color="306E71"/>
              <w:right w:val="single" w:sz="8" w:space="0" w:color="306E71"/>
            </w:tcBorders>
          </w:tcPr>
          <w:p w14:paraId="0FAB38D5" w14:textId="77777777" w:rsidR="00372CDD" w:rsidRDefault="00C87ECC">
            <w:pPr>
              <w:pStyle w:val="TableParagraph"/>
              <w:spacing w:before="119"/>
              <w:ind w:left="107" w:right="84"/>
              <w:jc w:val="both"/>
              <w:rPr>
                <w:sz w:val="23"/>
              </w:rPr>
            </w:pPr>
            <w:r>
              <w:rPr>
                <w:sz w:val="23"/>
              </w:rPr>
              <w:t>Senior assessment and tertiary entrance reform</w:t>
            </w:r>
          </w:p>
        </w:tc>
        <w:tc>
          <w:tcPr>
            <w:tcW w:w="8372" w:type="dxa"/>
            <w:tcBorders>
              <w:top w:val="single" w:sz="8" w:space="0" w:color="306E71"/>
              <w:left w:val="single" w:sz="8" w:space="0" w:color="306E71"/>
              <w:bottom w:val="single" w:sz="8" w:space="0" w:color="306E71"/>
              <w:right w:val="single" w:sz="8" w:space="0" w:color="306E71"/>
            </w:tcBorders>
          </w:tcPr>
          <w:p w14:paraId="36B00877" w14:textId="77777777" w:rsidR="00372CDD" w:rsidRDefault="00C87ECC">
            <w:pPr>
              <w:pStyle w:val="TableParagraph"/>
              <w:rPr>
                <w:i/>
                <w:sz w:val="23"/>
              </w:rPr>
            </w:pPr>
            <w:r>
              <w:rPr>
                <w:i/>
                <w:sz w:val="23"/>
              </w:rPr>
              <w:t>Implement Queensland’s new senior assessment and tertiary entrance system</w:t>
            </w:r>
          </w:p>
        </w:tc>
        <w:tc>
          <w:tcPr>
            <w:tcW w:w="1637" w:type="dxa"/>
            <w:tcBorders>
              <w:top w:val="single" w:sz="8" w:space="0" w:color="306E71"/>
              <w:left w:val="single" w:sz="8" w:space="0" w:color="306E71"/>
              <w:bottom w:val="single" w:sz="8" w:space="0" w:color="306E71"/>
              <w:right w:val="single" w:sz="8" w:space="0" w:color="306E71"/>
            </w:tcBorders>
          </w:tcPr>
          <w:p w14:paraId="1A4182D7" w14:textId="77777777" w:rsidR="00372CDD" w:rsidRDefault="00C87ECC">
            <w:pPr>
              <w:pStyle w:val="TableParagraph"/>
              <w:rPr>
                <w:sz w:val="23"/>
              </w:rPr>
            </w:pPr>
            <w:r>
              <w:rPr>
                <w:sz w:val="23"/>
              </w:rPr>
              <w:t>All sectors</w:t>
            </w:r>
          </w:p>
        </w:tc>
        <w:tc>
          <w:tcPr>
            <w:tcW w:w="1639" w:type="dxa"/>
            <w:tcBorders>
              <w:top w:val="single" w:sz="8" w:space="0" w:color="306E71"/>
              <w:left w:val="single" w:sz="8" w:space="0" w:color="306E71"/>
              <w:bottom w:val="single" w:sz="8" w:space="0" w:color="306E71"/>
              <w:right w:val="single" w:sz="8" w:space="0" w:color="306E71"/>
            </w:tcBorders>
          </w:tcPr>
          <w:p w14:paraId="5E454221" w14:textId="77777777" w:rsidR="00372CDD" w:rsidRDefault="00C87ECC">
            <w:pPr>
              <w:pStyle w:val="TableParagraph"/>
              <w:spacing w:before="127" w:line="220" w:lineRule="auto"/>
              <w:ind w:right="410"/>
              <w:rPr>
                <w:sz w:val="23"/>
              </w:rPr>
            </w:pPr>
            <w:r>
              <w:rPr>
                <w:sz w:val="23"/>
              </w:rPr>
              <w:t>Life of Agreement</w:t>
            </w:r>
          </w:p>
        </w:tc>
      </w:tr>
      <w:tr w:rsidR="00372CDD" w14:paraId="6DAE2888" w14:textId="77777777">
        <w:trPr>
          <w:trHeight w:val="760"/>
        </w:trPr>
        <w:tc>
          <w:tcPr>
            <w:tcW w:w="2292" w:type="dxa"/>
            <w:tcBorders>
              <w:top w:val="single" w:sz="8" w:space="0" w:color="306E71"/>
              <w:left w:val="single" w:sz="8" w:space="0" w:color="306E71"/>
              <w:bottom w:val="single" w:sz="8" w:space="0" w:color="306E71"/>
              <w:right w:val="single" w:sz="8" w:space="0" w:color="306E71"/>
            </w:tcBorders>
          </w:tcPr>
          <w:p w14:paraId="78D4A834" w14:textId="77777777" w:rsidR="00372CDD" w:rsidRDefault="00C87ECC">
            <w:pPr>
              <w:pStyle w:val="TableParagraph"/>
              <w:spacing w:before="119"/>
              <w:ind w:left="107"/>
              <w:rPr>
                <w:sz w:val="23"/>
              </w:rPr>
            </w:pPr>
            <w:r>
              <w:rPr>
                <w:sz w:val="23"/>
              </w:rPr>
              <w:t>Indigenous education</w:t>
            </w:r>
          </w:p>
        </w:tc>
        <w:tc>
          <w:tcPr>
            <w:tcW w:w="8372" w:type="dxa"/>
            <w:tcBorders>
              <w:top w:val="single" w:sz="8" w:space="0" w:color="306E71"/>
              <w:left w:val="single" w:sz="8" w:space="0" w:color="306E71"/>
              <w:bottom w:val="single" w:sz="8" w:space="0" w:color="306E71"/>
              <w:right w:val="single" w:sz="8" w:space="0" w:color="306E71"/>
            </w:tcBorders>
          </w:tcPr>
          <w:p w14:paraId="1145BCC4" w14:textId="77777777" w:rsidR="00372CDD" w:rsidRDefault="00C87ECC">
            <w:pPr>
              <w:pStyle w:val="TableParagraph"/>
              <w:spacing w:before="124" w:line="223" w:lineRule="auto"/>
              <w:rPr>
                <w:i/>
                <w:sz w:val="23"/>
              </w:rPr>
            </w:pPr>
            <w:r>
              <w:rPr>
                <w:i/>
                <w:sz w:val="23"/>
              </w:rPr>
              <w:t>Expand the Transition Support Service for Aboriginal and Torres Strait Islander students transitioning to and from boarding schools</w:t>
            </w:r>
          </w:p>
        </w:tc>
        <w:tc>
          <w:tcPr>
            <w:tcW w:w="1637" w:type="dxa"/>
            <w:tcBorders>
              <w:top w:val="single" w:sz="8" w:space="0" w:color="306E71"/>
              <w:left w:val="single" w:sz="8" w:space="0" w:color="306E71"/>
              <w:bottom w:val="single" w:sz="8" w:space="0" w:color="306E71"/>
              <w:right w:val="single" w:sz="8" w:space="0" w:color="306E71"/>
            </w:tcBorders>
          </w:tcPr>
          <w:p w14:paraId="3B677801" w14:textId="77777777" w:rsidR="00372CDD" w:rsidRDefault="00C87ECC">
            <w:pPr>
              <w:pStyle w:val="TableParagraph"/>
              <w:rPr>
                <w:sz w:val="23"/>
              </w:rPr>
            </w:pPr>
            <w:r>
              <w:rPr>
                <w:sz w:val="23"/>
              </w:rPr>
              <w:t>All sectors</w:t>
            </w:r>
          </w:p>
        </w:tc>
        <w:tc>
          <w:tcPr>
            <w:tcW w:w="1639" w:type="dxa"/>
            <w:tcBorders>
              <w:top w:val="single" w:sz="8" w:space="0" w:color="306E71"/>
              <w:left w:val="single" w:sz="8" w:space="0" w:color="306E71"/>
              <w:bottom w:val="single" w:sz="8" w:space="0" w:color="306E71"/>
              <w:right w:val="single" w:sz="8" w:space="0" w:color="306E71"/>
            </w:tcBorders>
          </w:tcPr>
          <w:p w14:paraId="0B739F2D" w14:textId="77777777" w:rsidR="00372CDD" w:rsidRDefault="00C87ECC">
            <w:pPr>
              <w:pStyle w:val="TableParagraph"/>
              <w:spacing w:before="124" w:line="223" w:lineRule="auto"/>
              <w:ind w:right="410"/>
              <w:rPr>
                <w:sz w:val="23"/>
              </w:rPr>
            </w:pPr>
            <w:r>
              <w:rPr>
                <w:sz w:val="23"/>
              </w:rPr>
              <w:t>Life of Agreement</w:t>
            </w:r>
          </w:p>
        </w:tc>
      </w:tr>
      <w:tr w:rsidR="00372CDD" w14:paraId="73ECF79F" w14:textId="77777777">
        <w:trPr>
          <w:trHeight w:val="500"/>
        </w:trPr>
        <w:tc>
          <w:tcPr>
            <w:tcW w:w="13940" w:type="dxa"/>
            <w:gridSpan w:val="4"/>
            <w:tcBorders>
              <w:top w:val="single" w:sz="8" w:space="0" w:color="306E71"/>
              <w:left w:val="single" w:sz="8" w:space="0" w:color="306E71"/>
              <w:bottom w:val="single" w:sz="8" w:space="0" w:color="306E71"/>
              <w:right w:val="single" w:sz="8" w:space="0" w:color="306E71"/>
            </w:tcBorders>
          </w:tcPr>
          <w:p w14:paraId="4D55E988" w14:textId="77777777" w:rsidR="00372CDD" w:rsidRDefault="00C87ECC">
            <w:pPr>
              <w:pStyle w:val="TableParagraph"/>
              <w:ind w:left="107"/>
              <w:rPr>
                <w:b/>
                <w:sz w:val="23"/>
              </w:rPr>
            </w:pPr>
            <w:r>
              <w:rPr>
                <w:b/>
                <w:sz w:val="23"/>
              </w:rPr>
              <w:t>Reform Direction B – Support teaching, school leadership and school improvement</w:t>
            </w:r>
          </w:p>
        </w:tc>
      </w:tr>
      <w:tr w:rsidR="00372CDD" w14:paraId="5161FE9E" w14:textId="77777777">
        <w:trPr>
          <w:trHeight w:val="1019"/>
        </w:trPr>
        <w:tc>
          <w:tcPr>
            <w:tcW w:w="2292" w:type="dxa"/>
            <w:vMerge w:val="restart"/>
            <w:tcBorders>
              <w:top w:val="single" w:sz="8" w:space="0" w:color="306E71"/>
              <w:left w:val="single" w:sz="8" w:space="0" w:color="306E71"/>
              <w:bottom w:val="single" w:sz="8" w:space="0" w:color="306E71"/>
              <w:right w:val="single" w:sz="8" w:space="0" w:color="306E71"/>
            </w:tcBorders>
          </w:tcPr>
          <w:p w14:paraId="64E47A35" w14:textId="77777777" w:rsidR="00372CDD" w:rsidRDefault="00C87ECC">
            <w:pPr>
              <w:pStyle w:val="TableParagraph"/>
              <w:tabs>
                <w:tab w:val="left" w:pos="1827"/>
              </w:tabs>
              <w:spacing w:before="127" w:line="220" w:lineRule="auto"/>
              <w:ind w:left="107" w:right="83"/>
              <w:rPr>
                <w:sz w:val="23"/>
              </w:rPr>
            </w:pPr>
            <w:r>
              <w:rPr>
                <w:sz w:val="23"/>
              </w:rPr>
              <w:t>Governance</w:t>
            </w:r>
            <w:r>
              <w:rPr>
                <w:sz w:val="23"/>
              </w:rPr>
              <w:tab/>
            </w:r>
            <w:r>
              <w:rPr>
                <w:spacing w:val="-6"/>
                <w:sz w:val="23"/>
              </w:rPr>
              <w:t xml:space="preserve">and </w:t>
            </w:r>
            <w:r>
              <w:rPr>
                <w:sz w:val="23"/>
              </w:rPr>
              <w:t>finance</w:t>
            </w:r>
          </w:p>
        </w:tc>
        <w:tc>
          <w:tcPr>
            <w:tcW w:w="8372" w:type="dxa"/>
            <w:tcBorders>
              <w:top w:val="single" w:sz="8" w:space="0" w:color="306E71"/>
              <w:left w:val="single" w:sz="8" w:space="0" w:color="306E71"/>
              <w:bottom w:val="single" w:sz="8" w:space="0" w:color="306E71"/>
              <w:right w:val="single" w:sz="8" w:space="0" w:color="306E71"/>
            </w:tcBorders>
          </w:tcPr>
          <w:p w14:paraId="2C312F61" w14:textId="34D2F830" w:rsidR="00372CDD" w:rsidRDefault="00C87ECC" w:rsidP="004F0CFD">
            <w:pPr>
              <w:pStyle w:val="TableParagraph"/>
              <w:spacing w:before="124" w:line="223" w:lineRule="auto"/>
              <w:ind w:right="90"/>
              <w:jc w:val="both"/>
              <w:rPr>
                <w:i/>
                <w:sz w:val="23"/>
              </w:rPr>
            </w:pPr>
            <w:r>
              <w:rPr>
                <w:i/>
                <w:sz w:val="23"/>
              </w:rPr>
              <w:t xml:space="preserve">Embed structural and professional autonomy in Queensland </w:t>
            </w:r>
            <w:r w:rsidR="004F0CFD">
              <w:rPr>
                <w:i/>
                <w:sz w:val="23"/>
              </w:rPr>
              <w:t xml:space="preserve">government </w:t>
            </w:r>
            <w:r>
              <w:rPr>
                <w:i/>
                <w:sz w:val="23"/>
              </w:rPr>
              <w:t>schools, within a framework</w:t>
            </w:r>
            <w:r>
              <w:rPr>
                <w:i/>
                <w:spacing w:val="-9"/>
                <w:sz w:val="23"/>
              </w:rPr>
              <w:t xml:space="preserve"> </w:t>
            </w:r>
            <w:r>
              <w:rPr>
                <w:i/>
                <w:sz w:val="23"/>
              </w:rPr>
              <w:t>of</w:t>
            </w:r>
            <w:r>
              <w:rPr>
                <w:i/>
                <w:spacing w:val="-11"/>
                <w:sz w:val="23"/>
              </w:rPr>
              <w:t xml:space="preserve"> </w:t>
            </w:r>
            <w:r>
              <w:rPr>
                <w:i/>
                <w:sz w:val="23"/>
              </w:rPr>
              <w:t>system</w:t>
            </w:r>
            <w:r>
              <w:rPr>
                <w:i/>
                <w:spacing w:val="-11"/>
                <w:sz w:val="23"/>
              </w:rPr>
              <w:t xml:space="preserve"> </w:t>
            </w:r>
            <w:r>
              <w:rPr>
                <w:i/>
                <w:sz w:val="23"/>
              </w:rPr>
              <w:t>accountability</w:t>
            </w:r>
            <w:r>
              <w:rPr>
                <w:i/>
                <w:spacing w:val="-9"/>
                <w:sz w:val="23"/>
              </w:rPr>
              <w:t xml:space="preserve"> </w:t>
            </w:r>
            <w:r>
              <w:rPr>
                <w:i/>
                <w:sz w:val="23"/>
              </w:rPr>
              <w:t>and</w:t>
            </w:r>
            <w:r>
              <w:rPr>
                <w:i/>
                <w:spacing w:val="-10"/>
                <w:sz w:val="23"/>
              </w:rPr>
              <w:t xml:space="preserve"> </w:t>
            </w:r>
            <w:r>
              <w:rPr>
                <w:i/>
                <w:sz w:val="23"/>
              </w:rPr>
              <w:t>collaboration</w:t>
            </w:r>
            <w:r>
              <w:rPr>
                <w:i/>
                <w:spacing w:val="-9"/>
                <w:sz w:val="23"/>
              </w:rPr>
              <w:t xml:space="preserve"> </w:t>
            </w:r>
            <w:r>
              <w:rPr>
                <w:i/>
                <w:sz w:val="23"/>
              </w:rPr>
              <w:t>and</w:t>
            </w:r>
            <w:r>
              <w:rPr>
                <w:i/>
                <w:spacing w:val="-9"/>
                <w:sz w:val="23"/>
              </w:rPr>
              <w:t xml:space="preserve"> </w:t>
            </w:r>
            <w:r>
              <w:rPr>
                <w:i/>
                <w:sz w:val="23"/>
              </w:rPr>
              <w:t>in</w:t>
            </w:r>
            <w:r>
              <w:rPr>
                <w:i/>
                <w:spacing w:val="-9"/>
                <w:sz w:val="23"/>
              </w:rPr>
              <w:t xml:space="preserve"> </w:t>
            </w:r>
            <w:r>
              <w:rPr>
                <w:i/>
                <w:sz w:val="23"/>
              </w:rPr>
              <w:t>partnership</w:t>
            </w:r>
            <w:r>
              <w:rPr>
                <w:i/>
                <w:spacing w:val="-10"/>
                <w:sz w:val="23"/>
              </w:rPr>
              <w:t xml:space="preserve"> </w:t>
            </w:r>
            <w:r>
              <w:rPr>
                <w:i/>
                <w:sz w:val="23"/>
              </w:rPr>
              <w:t>with</w:t>
            </w:r>
            <w:r>
              <w:rPr>
                <w:i/>
                <w:spacing w:val="-9"/>
                <w:sz w:val="23"/>
              </w:rPr>
              <w:t xml:space="preserve"> </w:t>
            </w:r>
            <w:r>
              <w:rPr>
                <w:i/>
                <w:sz w:val="23"/>
              </w:rPr>
              <w:t>the</w:t>
            </w:r>
            <w:r>
              <w:rPr>
                <w:i/>
                <w:spacing w:val="-9"/>
                <w:sz w:val="23"/>
              </w:rPr>
              <w:t xml:space="preserve"> </w:t>
            </w:r>
            <w:r>
              <w:rPr>
                <w:i/>
                <w:sz w:val="23"/>
              </w:rPr>
              <w:t>broader school</w:t>
            </w:r>
            <w:r>
              <w:rPr>
                <w:i/>
                <w:spacing w:val="-2"/>
                <w:sz w:val="23"/>
              </w:rPr>
              <w:t xml:space="preserve"> </w:t>
            </w:r>
            <w:r>
              <w:rPr>
                <w:i/>
                <w:sz w:val="23"/>
              </w:rPr>
              <w:t>community.</w:t>
            </w:r>
          </w:p>
        </w:tc>
        <w:tc>
          <w:tcPr>
            <w:tcW w:w="1637" w:type="dxa"/>
            <w:tcBorders>
              <w:top w:val="single" w:sz="8" w:space="0" w:color="306E71"/>
              <w:left w:val="single" w:sz="8" w:space="0" w:color="306E71"/>
              <w:bottom w:val="single" w:sz="8" w:space="0" w:color="306E71"/>
              <w:right w:val="single" w:sz="8" w:space="0" w:color="306E71"/>
            </w:tcBorders>
          </w:tcPr>
          <w:p w14:paraId="75F353D5" w14:textId="1C881711" w:rsidR="00372CDD" w:rsidRDefault="004C076B">
            <w:pPr>
              <w:pStyle w:val="TableParagraph"/>
              <w:rPr>
                <w:sz w:val="23"/>
              </w:rPr>
            </w:pPr>
            <w:r>
              <w:rPr>
                <w:sz w:val="23"/>
              </w:rPr>
              <w:t>Government</w:t>
            </w:r>
          </w:p>
        </w:tc>
        <w:tc>
          <w:tcPr>
            <w:tcW w:w="1639" w:type="dxa"/>
            <w:tcBorders>
              <w:top w:val="single" w:sz="8" w:space="0" w:color="306E71"/>
              <w:left w:val="single" w:sz="8" w:space="0" w:color="306E71"/>
              <w:bottom w:val="single" w:sz="8" w:space="0" w:color="306E71"/>
              <w:right w:val="single" w:sz="8" w:space="0" w:color="306E71"/>
            </w:tcBorders>
          </w:tcPr>
          <w:p w14:paraId="12E40A0B" w14:textId="77777777" w:rsidR="00372CDD" w:rsidRDefault="00C87ECC">
            <w:pPr>
              <w:pStyle w:val="TableParagraph"/>
              <w:spacing w:before="127" w:line="220" w:lineRule="auto"/>
              <w:ind w:right="495"/>
              <w:rPr>
                <w:sz w:val="23"/>
              </w:rPr>
            </w:pPr>
            <w:r>
              <w:rPr>
                <w:sz w:val="23"/>
              </w:rPr>
              <w:t>From mid- 2019</w:t>
            </w:r>
          </w:p>
        </w:tc>
      </w:tr>
      <w:tr w:rsidR="00372CDD" w14:paraId="2FC39A2C" w14:textId="77777777">
        <w:trPr>
          <w:trHeight w:val="759"/>
        </w:trPr>
        <w:tc>
          <w:tcPr>
            <w:tcW w:w="2292" w:type="dxa"/>
            <w:vMerge/>
            <w:tcBorders>
              <w:top w:val="nil"/>
              <w:left w:val="single" w:sz="8" w:space="0" w:color="306E71"/>
              <w:bottom w:val="single" w:sz="8" w:space="0" w:color="306E71"/>
              <w:right w:val="single" w:sz="8" w:space="0" w:color="306E71"/>
            </w:tcBorders>
          </w:tcPr>
          <w:p w14:paraId="3771DD33" w14:textId="77777777" w:rsidR="00372CDD" w:rsidRDefault="00372CDD">
            <w:pPr>
              <w:rPr>
                <w:sz w:val="2"/>
                <w:szCs w:val="2"/>
              </w:rPr>
            </w:pPr>
          </w:p>
        </w:tc>
        <w:tc>
          <w:tcPr>
            <w:tcW w:w="8372" w:type="dxa"/>
            <w:tcBorders>
              <w:top w:val="single" w:sz="8" w:space="0" w:color="306E71"/>
              <w:left w:val="single" w:sz="8" w:space="0" w:color="306E71"/>
              <w:bottom w:val="single" w:sz="8" w:space="0" w:color="306E71"/>
              <w:right w:val="single" w:sz="8" w:space="0" w:color="306E71"/>
            </w:tcBorders>
          </w:tcPr>
          <w:p w14:paraId="263FB34A" w14:textId="77777777" w:rsidR="00372CDD" w:rsidRDefault="00C87ECC">
            <w:pPr>
              <w:pStyle w:val="TableParagraph"/>
              <w:spacing w:before="124" w:line="223" w:lineRule="auto"/>
              <w:rPr>
                <w:i/>
                <w:sz w:val="23"/>
              </w:rPr>
            </w:pPr>
            <w:r>
              <w:rPr>
                <w:i/>
                <w:sz w:val="23"/>
              </w:rPr>
              <w:t>Support</w:t>
            </w:r>
            <w:r>
              <w:rPr>
                <w:i/>
                <w:spacing w:val="-13"/>
                <w:sz w:val="23"/>
              </w:rPr>
              <w:t xml:space="preserve"> </w:t>
            </w:r>
            <w:r>
              <w:rPr>
                <w:i/>
                <w:sz w:val="23"/>
              </w:rPr>
              <w:t>school</w:t>
            </w:r>
            <w:r>
              <w:rPr>
                <w:i/>
                <w:spacing w:val="-14"/>
                <w:sz w:val="23"/>
              </w:rPr>
              <w:t xml:space="preserve"> </w:t>
            </w:r>
            <w:r>
              <w:rPr>
                <w:i/>
                <w:sz w:val="23"/>
              </w:rPr>
              <w:t>leadership</w:t>
            </w:r>
            <w:r>
              <w:rPr>
                <w:i/>
                <w:spacing w:val="-13"/>
                <w:sz w:val="23"/>
              </w:rPr>
              <w:t xml:space="preserve"> </w:t>
            </w:r>
            <w:r>
              <w:rPr>
                <w:i/>
                <w:sz w:val="23"/>
              </w:rPr>
              <w:t>and</w:t>
            </w:r>
            <w:r>
              <w:rPr>
                <w:i/>
                <w:spacing w:val="-13"/>
                <w:sz w:val="23"/>
              </w:rPr>
              <w:t xml:space="preserve"> </w:t>
            </w:r>
            <w:r>
              <w:rPr>
                <w:i/>
                <w:sz w:val="23"/>
              </w:rPr>
              <w:t>school</w:t>
            </w:r>
            <w:r>
              <w:rPr>
                <w:i/>
                <w:spacing w:val="-13"/>
                <w:sz w:val="23"/>
              </w:rPr>
              <w:t xml:space="preserve"> </w:t>
            </w:r>
            <w:r>
              <w:rPr>
                <w:i/>
                <w:sz w:val="23"/>
              </w:rPr>
              <w:t>improvement</w:t>
            </w:r>
            <w:r>
              <w:rPr>
                <w:i/>
                <w:spacing w:val="-12"/>
                <w:sz w:val="23"/>
              </w:rPr>
              <w:t xml:space="preserve"> </w:t>
            </w:r>
            <w:r>
              <w:rPr>
                <w:i/>
                <w:sz w:val="23"/>
              </w:rPr>
              <w:t>through</w:t>
            </w:r>
            <w:r>
              <w:rPr>
                <w:i/>
                <w:spacing w:val="-13"/>
                <w:sz w:val="23"/>
              </w:rPr>
              <w:t xml:space="preserve"> </w:t>
            </w:r>
            <w:r>
              <w:rPr>
                <w:i/>
                <w:sz w:val="23"/>
              </w:rPr>
              <w:t>initiatives</w:t>
            </w:r>
            <w:r>
              <w:rPr>
                <w:i/>
                <w:spacing w:val="-14"/>
                <w:sz w:val="23"/>
              </w:rPr>
              <w:t xml:space="preserve"> </w:t>
            </w:r>
            <w:r>
              <w:rPr>
                <w:i/>
                <w:sz w:val="23"/>
              </w:rPr>
              <w:t>aimed</w:t>
            </w:r>
            <w:r>
              <w:rPr>
                <w:i/>
                <w:spacing w:val="-14"/>
                <w:sz w:val="23"/>
              </w:rPr>
              <w:t xml:space="preserve"> </w:t>
            </w:r>
            <w:r>
              <w:rPr>
                <w:i/>
                <w:sz w:val="23"/>
              </w:rPr>
              <w:t>at</w:t>
            </w:r>
            <w:r>
              <w:rPr>
                <w:i/>
                <w:spacing w:val="-15"/>
                <w:sz w:val="23"/>
              </w:rPr>
              <w:t xml:space="preserve"> </w:t>
            </w:r>
            <w:r>
              <w:rPr>
                <w:i/>
                <w:sz w:val="23"/>
              </w:rPr>
              <w:t>enhancing school governance and financial</w:t>
            </w:r>
            <w:r>
              <w:rPr>
                <w:i/>
                <w:spacing w:val="-2"/>
                <w:sz w:val="23"/>
              </w:rPr>
              <w:t xml:space="preserve"> </w:t>
            </w:r>
            <w:r>
              <w:rPr>
                <w:i/>
                <w:sz w:val="23"/>
              </w:rPr>
              <w:t>management</w:t>
            </w:r>
          </w:p>
        </w:tc>
        <w:tc>
          <w:tcPr>
            <w:tcW w:w="1637" w:type="dxa"/>
            <w:tcBorders>
              <w:top w:val="single" w:sz="8" w:space="0" w:color="306E71"/>
              <w:left w:val="single" w:sz="8" w:space="0" w:color="306E71"/>
              <w:bottom w:val="single" w:sz="8" w:space="0" w:color="306E71"/>
              <w:right w:val="single" w:sz="8" w:space="0" w:color="306E71"/>
            </w:tcBorders>
          </w:tcPr>
          <w:p w14:paraId="74CDD57A" w14:textId="77777777" w:rsidR="00372CDD" w:rsidRDefault="00C87ECC">
            <w:pPr>
              <w:pStyle w:val="TableParagraph"/>
              <w:rPr>
                <w:sz w:val="23"/>
              </w:rPr>
            </w:pPr>
            <w:r>
              <w:rPr>
                <w:sz w:val="23"/>
              </w:rPr>
              <w:t>QCEC</w:t>
            </w:r>
          </w:p>
        </w:tc>
        <w:tc>
          <w:tcPr>
            <w:tcW w:w="1639" w:type="dxa"/>
            <w:tcBorders>
              <w:top w:val="single" w:sz="8" w:space="0" w:color="306E71"/>
              <w:left w:val="single" w:sz="8" w:space="0" w:color="306E71"/>
              <w:bottom w:val="single" w:sz="8" w:space="0" w:color="306E71"/>
              <w:right w:val="single" w:sz="8" w:space="0" w:color="306E71"/>
            </w:tcBorders>
          </w:tcPr>
          <w:p w14:paraId="1783A0FC" w14:textId="77777777" w:rsidR="00372CDD" w:rsidRDefault="00C87ECC">
            <w:pPr>
              <w:pStyle w:val="TableParagraph"/>
              <w:rPr>
                <w:sz w:val="23"/>
              </w:rPr>
            </w:pPr>
            <w:r>
              <w:rPr>
                <w:sz w:val="23"/>
              </w:rPr>
              <w:t>From 2019</w:t>
            </w:r>
          </w:p>
        </w:tc>
      </w:tr>
    </w:tbl>
    <w:p w14:paraId="7DFE4D6B" w14:textId="77777777" w:rsidR="00372CDD" w:rsidRDefault="00372CDD">
      <w:pPr>
        <w:rPr>
          <w:sz w:val="23"/>
        </w:rPr>
        <w:sectPr w:rsidR="00372CDD">
          <w:headerReference w:type="default" r:id="rId11"/>
          <w:pgSz w:w="16840" w:h="11910" w:orient="landscape"/>
          <w:pgMar w:top="1180" w:right="1320" w:bottom="280" w:left="1340" w:header="746" w:footer="0" w:gutter="0"/>
          <w:cols w:space="720"/>
        </w:sectPr>
      </w:pPr>
    </w:p>
    <w:p w14:paraId="1FECEDFF" w14:textId="77777777" w:rsidR="00372CDD" w:rsidRDefault="00372CDD">
      <w:pPr>
        <w:pStyle w:val="BodyText"/>
        <w:spacing w:before="6"/>
        <w:rPr>
          <w:rFonts w:ascii="Times New Roman"/>
          <w:sz w:val="22"/>
        </w:rPr>
      </w:pPr>
    </w:p>
    <w:tbl>
      <w:tblPr>
        <w:tblW w:w="0" w:type="auto"/>
        <w:tblInd w:w="120" w:type="dxa"/>
        <w:tblBorders>
          <w:top w:val="single" w:sz="24" w:space="0" w:color="306E71"/>
          <w:left w:val="single" w:sz="24" w:space="0" w:color="306E71"/>
          <w:bottom w:val="single" w:sz="24" w:space="0" w:color="306E71"/>
          <w:right w:val="single" w:sz="24" w:space="0" w:color="306E71"/>
          <w:insideH w:val="single" w:sz="24" w:space="0" w:color="306E71"/>
          <w:insideV w:val="single" w:sz="24" w:space="0" w:color="306E71"/>
        </w:tblBorders>
        <w:tblLayout w:type="fixed"/>
        <w:tblCellMar>
          <w:left w:w="0" w:type="dxa"/>
          <w:right w:w="0" w:type="dxa"/>
        </w:tblCellMar>
        <w:tblLook w:val="01E0" w:firstRow="1" w:lastRow="1" w:firstColumn="1" w:lastColumn="1" w:noHBand="0" w:noVBand="0"/>
      </w:tblPr>
      <w:tblGrid>
        <w:gridCol w:w="2292"/>
        <w:gridCol w:w="8372"/>
        <w:gridCol w:w="1637"/>
        <w:gridCol w:w="1639"/>
      </w:tblGrid>
      <w:tr w:rsidR="00372CDD" w14:paraId="70C9A109" w14:textId="77777777">
        <w:trPr>
          <w:trHeight w:val="880"/>
        </w:trPr>
        <w:tc>
          <w:tcPr>
            <w:tcW w:w="2292" w:type="dxa"/>
            <w:tcBorders>
              <w:left w:val="single" w:sz="8" w:space="0" w:color="306E71"/>
              <w:right w:val="single" w:sz="8" w:space="0" w:color="306E71"/>
            </w:tcBorders>
          </w:tcPr>
          <w:p w14:paraId="5F73074F" w14:textId="77777777" w:rsidR="00372CDD" w:rsidRDefault="00C87ECC">
            <w:pPr>
              <w:pStyle w:val="TableParagraph"/>
              <w:spacing w:before="110"/>
              <w:ind w:left="107"/>
              <w:rPr>
                <w:b/>
                <w:sz w:val="23"/>
              </w:rPr>
            </w:pPr>
            <w:r>
              <w:rPr>
                <w:b/>
                <w:sz w:val="23"/>
              </w:rPr>
              <w:t>Reform Direction</w:t>
            </w:r>
          </w:p>
        </w:tc>
        <w:tc>
          <w:tcPr>
            <w:tcW w:w="8372" w:type="dxa"/>
            <w:tcBorders>
              <w:left w:val="single" w:sz="8" w:space="0" w:color="306E71"/>
              <w:right w:val="single" w:sz="8" w:space="0" w:color="306E71"/>
            </w:tcBorders>
          </w:tcPr>
          <w:p w14:paraId="5AEC39F7" w14:textId="77777777" w:rsidR="00372CDD" w:rsidRDefault="00C87ECC">
            <w:pPr>
              <w:pStyle w:val="TableParagraph"/>
              <w:spacing w:before="110"/>
              <w:rPr>
                <w:b/>
                <w:sz w:val="23"/>
              </w:rPr>
            </w:pPr>
            <w:r>
              <w:rPr>
                <w:b/>
                <w:sz w:val="23"/>
              </w:rPr>
              <w:t>Actions</w:t>
            </w:r>
          </w:p>
        </w:tc>
        <w:tc>
          <w:tcPr>
            <w:tcW w:w="1637" w:type="dxa"/>
            <w:tcBorders>
              <w:left w:val="single" w:sz="8" w:space="0" w:color="306E71"/>
              <w:right w:val="single" w:sz="8" w:space="0" w:color="306E71"/>
            </w:tcBorders>
          </w:tcPr>
          <w:p w14:paraId="33789186" w14:textId="77777777" w:rsidR="00372CDD" w:rsidRDefault="00C87ECC">
            <w:pPr>
              <w:pStyle w:val="TableParagraph"/>
              <w:spacing w:before="110"/>
              <w:rPr>
                <w:b/>
                <w:sz w:val="23"/>
              </w:rPr>
            </w:pPr>
            <w:r>
              <w:rPr>
                <w:b/>
                <w:sz w:val="23"/>
              </w:rPr>
              <w:t>Sector</w:t>
            </w:r>
          </w:p>
        </w:tc>
        <w:tc>
          <w:tcPr>
            <w:tcW w:w="1639" w:type="dxa"/>
            <w:tcBorders>
              <w:left w:val="single" w:sz="8" w:space="0" w:color="306E71"/>
              <w:right w:val="single" w:sz="8" w:space="0" w:color="306E71"/>
            </w:tcBorders>
          </w:tcPr>
          <w:p w14:paraId="33737E86" w14:textId="77777777" w:rsidR="00372CDD" w:rsidRDefault="00C87ECC">
            <w:pPr>
              <w:pStyle w:val="TableParagraph"/>
              <w:spacing w:before="110"/>
              <w:rPr>
                <w:b/>
                <w:sz w:val="23"/>
              </w:rPr>
            </w:pPr>
            <w:r>
              <w:rPr>
                <w:b/>
                <w:sz w:val="23"/>
              </w:rPr>
              <w:t>Timing</w:t>
            </w:r>
          </w:p>
        </w:tc>
      </w:tr>
      <w:tr w:rsidR="00372CDD" w14:paraId="623EE529" w14:textId="77777777">
        <w:trPr>
          <w:trHeight w:val="719"/>
        </w:trPr>
        <w:tc>
          <w:tcPr>
            <w:tcW w:w="2292" w:type="dxa"/>
            <w:tcBorders>
              <w:left w:val="single" w:sz="8" w:space="0" w:color="306E71"/>
              <w:bottom w:val="single" w:sz="8" w:space="0" w:color="306E71"/>
              <w:right w:val="single" w:sz="8" w:space="0" w:color="306E71"/>
            </w:tcBorders>
          </w:tcPr>
          <w:p w14:paraId="0233C59E" w14:textId="77777777" w:rsidR="00372CDD" w:rsidRDefault="00372CDD">
            <w:pPr>
              <w:pStyle w:val="TableParagraph"/>
              <w:spacing w:before="0"/>
              <w:ind w:left="0"/>
              <w:rPr>
                <w:rFonts w:ascii="Times New Roman"/>
              </w:rPr>
            </w:pPr>
          </w:p>
        </w:tc>
        <w:tc>
          <w:tcPr>
            <w:tcW w:w="8372" w:type="dxa"/>
            <w:tcBorders>
              <w:left w:val="single" w:sz="8" w:space="0" w:color="306E71"/>
              <w:bottom w:val="single" w:sz="8" w:space="0" w:color="306E71"/>
              <w:right w:val="single" w:sz="8" w:space="0" w:color="306E71"/>
            </w:tcBorders>
          </w:tcPr>
          <w:p w14:paraId="1730EEE1" w14:textId="77777777" w:rsidR="00372CDD" w:rsidRDefault="00C87ECC">
            <w:pPr>
              <w:pStyle w:val="TableParagraph"/>
              <w:spacing w:before="86" w:line="220" w:lineRule="auto"/>
              <w:rPr>
                <w:i/>
                <w:sz w:val="23"/>
              </w:rPr>
            </w:pPr>
            <w:r>
              <w:rPr>
                <w:i/>
                <w:sz w:val="23"/>
              </w:rPr>
              <w:t>Provide support and services to schools through activities for governors, Business Managers and school leaders</w:t>
            </w:r>
          </w:p>
        </w:tc>
        <w:tc>
          <w:tcPr>
            <w:tcW w:w="1637" w:type="dxa"/>
            <w:tcBorders>
              <w:left w:val="single" w:sz="8" w:space="0" w:color="306E71"/>
              <w:bottom w:val="single" w:sz="8" w:space="0" w:color="306E71"/>
              <w:right w:val="single" w:sz="8" w:space="0" w:color="306E71"/>
            </w:tcBorders>
          </w:tcPr>
          <w:p w14:paraId="4B48F539" w14:textId="77777777" w:rsidR="00372CDD" w:rsidRDefault="00C87ECC">
            <w:pPr>
              <w:pStyle w:val="TableParagraph"/>
              <w:spacing w:before="69"/>
              <w:rPr>
                <w:sz w:val="23"/>
              </w:rPr>
            </w:pPr>
            <w:r>
              <w:rPr>
                <w:sz w:val="23"/>
              </w:rPr>
              <w:t>ISQ</w:t>
            </w:r>
          </w:p>
        </w:tc>
        <w:tc>
          <w:tcPr>
            <w:tcW w:w="1639" w:type="dxa"/>
            <w:tcBorders>
              <w:left w:val="single" w:sz="8" w:space="0" w:color="306E71"/>
              <w:bottom w:val="single" w:sz="8" w:space="0" w:color="306E71"/>
              <w:right w:val="single" w:sz="8" w:space="0" w:color="306E71"/>
            </w:tcBorders>
          </w:tcPr>
          <w:p w14:paraId="48F46120" w14:textId="77777777" w:rsidR="00372CDD" w:rsidRDefault="00C87ECC">
            <w:pPr>
              <w:pStyle w:val="TableParagraph"/>
              <w:spacing w:before="86" w:line="220" w:lineRule="auto"/>
              <w:ind w:right="410"/>
              <w:rPr>
                <w:sz w:val="23"/>
              </w:rPr>
            </w:pPr>
            <w:r>
              <w:rPr>
                <w:sz w:val="23"/>
              </w:rPr>
              <w:t>Life of Agreement</w:t>
            </w:r>
          </w:p>
        </w:tc>
      </w:tr>
      <w:tr w:rsidR="00372CDD" w14:paraId="522669CE" w14:textId="77777777">
        <w:trPr>
          <w:trHeight w:val="498"/>
        </w:trPr>
        <w:tc>
          <w:tcPr>
            <w:tcW w:w="2292" w:type="dxa"/>
            <w:vMerge w:val="restart"/>
            <w:tcBorders>
              <w:top w:val="single" w:sz="8" w:space="0" w:color="306E71"/>
              <w:left w:val="single" w:sz="8" w:space="0" w:color="306E71"/>
              <w:bottom w:val="single" w:sz="8" w:space="0" w:color="306E71"/>
              <w:right w:val="single" w:sz="8" w:space="0" w:color="306E71"/>
            </w:tcBorders>
          </w:tcPr>
          <w:p w14:paraId="21EA3C40" w14:textId="77777777" w:rsidR="00372CDD" w:rsidRDefault="00C87ECC">
            <w:pPr>
              <w:pStyle w:val="TableParagraph"/>
              <w:ind w:left="107"/>
              <w:rPr>
                <w:sz w:val="23"/>
              </w:rPr>
            </w:pPr>
            <w:r>
              <w:rPr>
                <w:sz w:val="23"/>
              </w:rPr>
              <w:t>School leadership</w:t>
            </w:r>
          </w:p>
        </w:tc>
        <w:tc>
          <w:tcPr>
            <w:tcW w:w="8372" w:type="dxa"/>
            <w:tcBorders>
              <w:top w:val="single" w:sz="8" w:space="0" w:color="306E71"/>
              <w:left w:val="single" w:sz="8" w:space="0" w:color="306E71"/>
              <w:bottom w:val="single" w:sz="8" w:space="0" w:color="306E71"/>
              <w:right w:val="single" w:sz="8" w:space="0" w:color="306E71"/>
            </w:tcBorders>
          </w:tcPr>
          <w:p w14:paraId="32161B5F" w14:textId="2BE9A18C" w:rsidR="00372CDD" w:rsidRDefault="00C87ECC" w:rsidP="003C166B">
            <w:pPr>
              <w:pStyle w:val="TableParagraph"/>
              <w:rPr>
                <w:i/>
                <w:sz w:val="23"/>
              </w:rPr>
            </w:pPr>
            <w:r>
              <w:rPr>
                <w:i/>
                <w:sz w:val="23"/>
              </w:rPr>
              <w:t xml:space="preserve">Implement a comprehensive leadership capability program for </w:t>
            </w:r>
            <w:r w:rsidR="003C166B">
              <w:rPr>
                <w:i/>
                <w:sz w:val="23"/>
              </w:rPr>
              <w:t xml:space="preserve">government </w:t>
            </w:r>
            <w:r>
              <w:rPr>
                <w:i/>
                <w:sz w:val="23"/>
              </w:rPr>
              <w:t>school leaders.</w:t>
            </w:r>
          </w:p>
        </w:tc>
        <w:tc>
          <w:tcPr>
            <w:tcW w:w="1637" w:type="dxa"/>
            <w:tcBorders>
              <w:top w:val="single" w:sz="8" w:space="0" w:color="306E71"/>
              <w:left w:val="single" w:sz="8" w:space="0" w:color="306E71"/>
              <w:bottom w:val="single" w:sz="8" w:space="0" w:color="306E71"/>
              <w:right w:val="single" w:sz="8" w:space="0" w:color="306E71"/>
            </w:tcBorders>
          </w:tcPr>
          <w:p w14:paraId="1524E73A" w14:textId="3CE73E71" w:rsidR="00372CDD" w:rsidRDefault="004C076B">
            <w:pPr>
              <w:pStyle w:val="TableParagraph"/>
              <w:rPr>
                <w:sz w:val="23"/>
              </w:rPr>
            </w:pPr>
            <w:r>
              <w:rPr>
                <w:sz w:val="23"/>
              </w:rPr>
              <w:t>Government</w:t>
            </w:r>
          </w:p>
        </w:tc>
        <w:tc>
          <w:tcPr>
            <w:tcW w:w="1639" w:type="dxa"/>
            <w:tcBorders>
              <w:top w:val="single" w:sz="8" w:space="0" w:color="306E71"/>
              <w:left w:val="single" w:sz="8" w:space="0" w:color="306E71"/>
              <w:bottom w:val="single" w:sz="8" w:space="0" w:color="306E71"/>
              <w:right w:val="single" w:sz="8" w:space="0" w:color="306E71"/>
            </w:tcBorders>
          </w:tcPr>
          <w:p w14:paraId="43C75C22" w14:textId="77777777" w:rsidR="00372CDD" w:rsidRDefault="00C87ECC">
            <w:pPr>
              <w:pStyle w:val="TableParagraph"/>
              <w:rPr>
                <w:sz w:val="23"/>
              </w:rPr>
            </w:pPr>
            <w:r>
              <w:rPr>
                <w:sz w:val="23"/>
              </w:rPr>
              <w:t>From 2019</w:t>
            </w:r>
          </w:p>
        </w:tc>
      </w:tr>
      <w:tr w:rsidR="00372CDD" w14:paraId="6445A6DD" w14:textId="77777777">
        <w:trPr>
          <w:trHeight w:val="760"/>
        </w:trPr>
        <w:tc>
          <w:tcPr>
            <w:tcW w:w="2292" w:type="dxa"/>
            <w:vMerge/>
            <w:tcBorders>
              <w:top w:val="nil"/>
              <w:left w:val="single" w:sz="8" w:space="0" w:color="306E71"/>
              <w:bottom w:val="single" w:sz="8" w:space="0" w:color="306E71"/>
              <w:right w:val="single" w:sz="8" w:space="0" w:color="306E71"/>
            </w:tcBorders>
          </w:tcPr>
          <w:p w14:paraId="26B5DB6E" w14:textId="77777777" w:rsidR="00372CDD" w:rsidRDefault="00372CDD">
            <w:pPr>
              <w:rPr>
                <w:sz w:val="2"/>
                <w:szCs w:val="2"/>
              </w:rPr>
            </w:pPr>
          </w:p>
        </w:tc>
        <w:tc>
          <w:tcPr>
            <w:tcW w:w="8372" w:type="dxa"/>
            <w:tcBorders>
              <w:top w:val="single" w:sz="8" w:space="0" w:color="306E71"/>
              <w:left w:val="single" w:sz="8" w:space="0" w:color="306E71"/>
              <w:bottom w:val="single" w:sz="8" w:space="0" w:color="306E71"/>
              <w:right w:val="single" w:sz="8" w:space="0" w:color="306E71"/>
            </w:tcBorders>
          </w:tcPr>
          <w:p w14:paraId="29AFCB67" w14:textId="77777777" w:rsidR="00372CDD" w:rsidRDefault="00C87ECC">
            <w:pPr>
              <w:pStyle w:val="TableParagraph"/>
              <w:spacing w:before="130" w:line="220" w:lineRule="auto"/>
              <w:rPr>
                <w:i/>
                <w:sz w:val="23"/>
              </w:rPr>
            </w:pPr>
            <w:r>
              <w:rPr>
                <w:i/>
                <w:sz w:val="23"/>
              </w:rPr>
              <w:t>Support</w:t>
            </w:r>
            <w:r>
              <w:rPr>
                <w:i/>
                <w:spacing w:val="-14"/>
                <w:sz w:val="23"/>
              </w:rPr>
              <w:t xml:space="preserve"> </w:t>
            </w:r>
            <w:r>
              <w:rPr>
                <w:i/>
                <w:sz w:val="23"/>
              </w:rPr>
              <w:t>school</w:t>
            </w:r>
            <w:r>
              <w:rPr>
                <w:i/>
                <w:spacing w:val="-14"/>
                <w:sz w:val="23"/>
              </w:rPr>
              <w:t xml:space="preserve"> </w:t>
            </w:r>
            <w:r>
              <w:rPr>
                <w:i/>
                <w:sz w:val="23"/>
              </w:rPr>
              <w:t>leadership</w:t>
            </w:r>
            <w:r>
              <w:rPr>
                <w:i/>
                <w:spacing w:val="-13"/>
                <w:sz w:val="23"/>
              </w:rPr>
              <w:t xml:space="preserve"> </w:t>
            </w:r>
            <w:r>
              <w:rPr>
                <w:i/>
                <w:sz w:val="23"/>
              </w:rPr>
              <w:t>and</w:t>
            </w:r>
            <w:r>
              <w:rPr>
                <w:i/>
                <w:spacing w:val="-13"/>
                <w:sz w:val="23"/>
              </w:rPr>
              <w:t xml:space="preserve"> </w:t>
            </w:r>
            <w:r>
              <w:rPr>
                <w:i/>
                <w:sz w:val="23"/>
              </w:rPr>
              <w:t>school</w:t>
            </w:r>
            <w:r>
              <w:rPr>
                <w:i/>
                <w:spacing w:val="-14"/>
                <w:sz w:val="23"/>
              </w:rPr>
              <w:t xml:space="preserve"> </w:t>
            </w:r>
            <w:r>
              <w:rPr>
                <w:i/>
                <w:sz w:val="23"/>
              </w:rPr>
              <w:t>improvement</w:t>
            </w:r>
            <w:r>
              <w:rPr>
                <w:i/>
                <w:spacing w:val="-12"/>
                <w:sz w:val="23"/>
              </w:rPr>
              <w:t xml:space="preserve"> </w:t>
            </w:r>
            <w:r>
              <w:rPr>
                <w:i/>
                <w:sz w:val="23"/>
              </w:rPr>
              <w:t>through</w:t>
            </w:r>
            <w:r>
              <w:rPr>
                <w:i/>
                <w:spacing w:val="-13"/>
                <w:sz w:val="23"/>
              </w:rPr>
              <w:t xml:space="preserve"> </w:t>
            </w:r>
            <w:r>
              <w:rPr>
                <w:i/>
                <w:sz w:val="23"/>
              </w:rPr>
              <w:t>initiatives</w:t>
            </w:r>
            <w:r>
              <w:rPr>
                <w:i/>
                <w:spacing w:val="-14"/>
                <w:sz w:val="23"/>
              </w:rPr>
              <w:t xml:space="preserve"> </w:t>
            </w:r>
            <w:r>
              <w:rPr>
                <w:i/>
                <w:sz w:val="23"/>
              </w:rPr>
              <w:t>aimed</w:t>
            </w:r>
            <w:r>
              <w:rPr>
                <w:i/>
                <w:spacing w:val="-14"/>
                <w:sz w:val="23"/>
              </w:rPr>
              <w:t xml:space="preserve"> </w:t>
            </w:r>
            <w:r>
              <w:rPr>
                <w:i/>
                <w:sz w:val="23"/>
              </w:rPr>
              <w:t>at</w:t>
            </w:r>
            <w:r>
              <w:rPr>
                <w:i/>
                <w:spacing w:val="-16"/>
                <w:sz w:val="23"/>
              </w:rPr>
              <w:t xml:space="preserve"> </w:t>
            </w:r>
            <w:r>
              <w:rPr>
                <w:i/>
                <w:sz w:val="23"/>
              </w:rPr>
              <w:t>enhancing strategic leadership for existing and aspiring school leaders and for school</w:t>
            </w:r>
            <w:r>
              <w:rPr>
                <w:i/>
                <w:spacing w:val="-17"/>
                <w:sz w:val="23"/>
              </w:rPr>
              <w:t xml:space="preserve"> </w:t>
            </w:r>
            <w:r>
              <w:rPr>
                <w:i/>
                <w:sz w:val="23"/>
              </w:rPr>
              <w:t>boards</w:t>
            </w:r>
          </w:p>
        </w:tc>
        <w:tc>
          <w:tcPr>
            <w:tcW w:w="1637" w:type="dxa"/>
            <w:tcBorders>
              <w:top w:val="single" w:sz="8" w:space="0" w:color="306E71"/>
              <w:left w:val="single" w:sz="8" w:space="0" w:color="306E71"/>
              <w:bottom w:val="single" w:sz="8" w:space="0" w:color="306E71"/>
              <w:right w:val="single" w:sz="8" w:space="0" w:color="306E71"/>
            </w:tcBorders>
          </w:tcPr>
          <w:p w14:paraId="581AE9FC" w14:textId="77777777" w:rsidR="00372CDD" w:rsidRDefault="00C87ECC">
            <w:pPr>
              <w:pStyle w:val="TableParagraph"/>
              <w:spacing w:before="112"/>
              <w:rPr>
                <w:sz w:val="23"/>
              </w:rPr>
            </w:pPr>
            <w:r>
              <w:rPr>
                <w:sz w:val="23"/>
              </w:rPr>
              <w:t>QCEC</w:t>
            </w:r>
          </w:p>
        </w:tc>
        <w:tc>
          <w:tcPr>
            <w:tcW w:w="1639" w:type="dxa"/>
            <w:tcBorders>
              <w:top w:val="single" w:sz="8" w:space="0" w:color="306E71"/>
              <w:left w:val="single" w:sz="8" w:space="0" w:color="306E71"/>
              <w:bottom w:val="single" w:sz="8" w:space="0" w:color="306E71"/>
              <w:right w:val="single" w:sz="8" w:space="0" w:color="306E71"/>
            </w:tcBorders>
          </w:tcPr>
          <w:p w14:paraId="1B8F51E6" w14:textId="77777777" w:rsidR="00372CDD" w:rsidRDefault="00C87ECC">
            <w:pPr>
              <w:pStyle w:val="TableParagraph"/>
              <w:spacing w:before="112"/>
              <w:rPr>
                <w:sz w:val="23"/>
              </w:rPr>
            </w:pPr>
            <w:r>
              <w:rPr>
                <w:sz w:val="23"/>
              </w:rPr>
              <w:t>From 2019</w:t>
            </w:r>
          </w:p>
        </w:tc>
      </w:tr>
      <w:tr w:rsidR="00372CDD" w14:paraId="60B7DD6D" w14:textId="77777777">
        <w:trPr>
          <w:trHeight w:val="1640"/>
        </w:trPr>
        <w:tc>
          <w:tcPr>
            <w:tcW w:w="2292" w:type="dxa"/>
            <w:vMerge/>
            <w:tcBorders>
              <w:top w:val="nil"/>
              <w:left w:val="single" w:sz="8" w:space="0" w:color="306E71"/>
              <w:bottom w:val="single" w:sz="8" w:space="0" w:color="306E71"/>
              <w:right w:val="single" w:sz="8" w:space="0" w:color="306E71"/>
            </w:tcBorders>
          </w:tcPr>
          <w:p w14:paraId="5F1F62F8" w14:textId="77777777" w:rsidR="00372CDD" w:rsidRDefault="00372CDD">
            <w:pPr>
              <w:rPr>
                <w:sz w:val="2"/>
                <w:szCs w:val="2"/>
              </w:rPr>
            </w:pPr>
          </w:p>
        </w:tc>
        <w:tc>
          <w:tcPr>
            <w:tcW w:w="8372" w:type="dxa"/>
            <w:tcBorders>
              <w:top w:val="single" w:sz="8" w:space="0" w:color="306E71"/>
              <w:left w:val="single" w:sz="8" w:space="0" w:color="306E71"/>
              <w:bottom w:val="single" w:sz="8" w:space="0" w:color="306E71"/>
              <w:right w:val="single" w:sz="8" w:space="0" w:color="306E71"/>
            </w:tcBorders>
          </w:tcPr>
          <w:p w14:paraId="5224B981" w14:textId="77777777" w:rsidR="00372CDD" w:rsidRDefault="00C87ECC">
            <w:pPr>
              <w:pStyle w:val="TableParagraph"/>
              <w:spacing w:before="112"/>
              <w:rPr>
                <w:i/>
                <w:sz w:val="23"/>
              </w:rPr>
            </w:pPr>
            <w:r>
              <w:rPr>
                <w:i/>
                <w:sz w:val="23"/>
              </w:rPr>
              <w:t>Provide high-quality leadership development and support through:</w:t>
            </w:r>
          </w:p>
          <w:p w14:paraId="65ED7BE7" w14:textId="77777777" w:rsidR="00372CDD" w:rsidRDefault="00C87ECC">
            <w:pPr>
              <w:pStyle w:val="TableParagraph"/>
              <w:numPr>
                <w:ilvl w:val="0"/>
                <w:numId w:val="2"/>
              </w:numPr>
              <w:tabs>
                <w:tab w:val="left" w:pos="258"/>
              </w:tabs>
              <w:spacing w:before="98"/>
              <w:ind w:hanging="149"/>
              <w:rPr>
                <w:i/>
                <w:sz w:val="23"/>
              </w:rPr>
            </w:pPr>
            <w:r>
              <w:rPr>
                <w:i/>
                <w:sz w:val="23"/>
              </w:rPr>
              <w:t>New Principals Program - for Principals in their first two years of school</w:t>
            </w:r>
            <w:r>
              <w:rPr>
                <w:i/>
                <w:spacing w:val="-26"/>
                <w:sz w:val="23"/>
              </w:rPr>
              <w:t xml:space="preserve"> </w:t>
            </w:r>
            <w:r>
              <w:rPr>
                <w:i/>
                <w:sz w:val="23"/>
              </w:rPr>
              <w:t>leadership</w:t>
            </w:r>
          </w:p>
          <w:p w14:paraId="62B7384A" w14:textId="77777777" w:rsidR="00372CDD" w:rsidRDefault="00C87ECC">
            <w:pPr>
              <w:pStyle w:val="TableParagraph"/>
              <w:numPr>
                <w:ilvl w:val="0"/>
                <w:numId w:val="2"/>
              </w:numPr>
              <w:tabs>
                <w:tab w:val="left" w:pos="258"/>
              </w:tabs>
              <w:spacing w:before="98"/>
              <w:ind w:hanging="149"/>
              <w:rPr>
                <w:i/>
                <w:sz w:val="23"/>
              </w:rPr>
            </w:pPr>
            <w:r>
              <w:rPr>
                <w:i/>
                <w:sz w:val="23"/>
              </w:rPr>
              <w:t>Aspiring Principals Program -</w:t>
            </w:r>
            <w:r w:rsidR="00485B30">
              <w:rPr>
                <w:i/>
                <w:sz w:val="23"/>
              </w:rPr>
              <w:t xml:space="preserve"> </w:t>
            </w:r>
            <w:r>
              <w:rPr>
                <w:i/>
                <w:sz w:val="23"/>
              </w:rPr>
              <w:t>developing future school</w:t>
            </w:r>
            <w:r>
              <w:rPr>
                <w:i/>
                <w:spacing w:val="-4"/>
                <w:sz w:val="23"/>
              </w:rPr>
              <w:t xml:space="preserve"> </w:t>
            </w:r>
            <w:r>
              <w:rPr>
                <w:i/>
                <w:sz w:val="23"/>
              </w:rPr>
              <w:t>leaders.</w:t>
            </w:r>
          </w:p>
          <w:p w14:paraId="29F753E3" w14:textId="77777777" w:rsidR="00372CDD" w:rsidRDefault="00C87ECC">
            <w:pPr>
              <w:pStyle w:val="TableParagraph"/>
              <w:numPr>
                <w:ilvl w:val="0"/>
                <w:numId w:val="2"/>
              </w:numPr>
              <w:tabs>
                <w:tab w:val="left" w:pos="258"/>
              </w:tabs>
              <w:spacing w:before="101"/>
              <w:ind w:hanging="149"/>
              <w:rPr>
                <w:i/>
                <w:sz w:val="23"/>
              </w:rPr>
            </w:pPr>
            <w:r>
              <w:rPr>
                <w:i/>
                <w:sz w:val="23"/>
              </w:rPr>
              <w:t>Middle Leaders</w:t>
            </w:r>
            <w:r>
              <w:rPr>
                <w:i/>
                <w:spacing w:val="-3"/>
                <w:sz w:val="23"/>
              </w:rPr>
              <w:t xml:space="preserve"> </w:t>
            </w:r>
            <w:r>
              <w:rPr>
                <w:i/>
                <w:sz w:val="23"/>
              </w:rPr>
              <w:t>Program</w:t>
            </w:r>
          </w:p>
        </w:tc>
        <w:tc>
          <w:tcPr>
            <w:tcW w:w="1637" w:type="dxa"/>
            <w:tcBorders>
              <w:top w:val="single" w:sz="8" w:space="0" w:color="306E71"/>
              <w:left w:val="single" w:sz="8" w:space="0" w:color="306E71"/>
              <w:bottom w:val="single" w:sz="8" w:space="0" w:color="306E71"/>
              <w:right w:val="single" w:sz="8" w:space="0" w:color="306E71"/>
            </w:tcBorders>
          </w:tcPr>
          <w:p w14:paraId="1059FF9D" w14:textId="77777777" w:rsidR="00372CDD" w:rsidRDefault="00C87ECC">
            <w:pPr>
              <w:pStyle w:val="TableParagraph"/>
              <w:spacing w:before="112"/>
              <w:rPr>
                <w:sz w:val="23"/>
              </w:rPr>
            </w:pPr>
            <w:r>
              <w:rPr>
                <w:sz w:val="23"/>
              </w:rPr>
              <w:t>ISQ</w:t>
            </w:r>
          </w:p>
        </w:tc>
        <w:tc>
          <w:tcPr>
            <w:tcW w:w="1639" w:type="dxa"/>
            <w:tcBorders>
              <w:top w:val="single" w:sz="8" w:space="0" w:color="306E71"/>
              <w:left w:val="single" w:sz="8" w:space="0" w:color="306E71"/>
              <w:bottom w:val="single" w:sz="8" w:space="0" w:color="306E71"/>
              <w:right w:val="single" w:sz="8" w:space="0" w:color="306E71"/>
            </w:tcBorders>
          </w:tcPr>
          <w:p w14:paraId="67AFDCD6" w14:textId="77777777" w:rsidR="00372CDD" w:rsidRDefault="00C87ECC">
            <w:pPr>
              <w:pStyle w:val="TableParagraph"/>
              <w:spacing w:before="129" w:line="220" w:lineRule="auto"/>
              <w:ind w:right="410"/>
              <w:rPr>
                <w:sz w:val="23"/>
              </w:rPr>
            </w:pPr>
            <w:r>
              <w:rPr>
                <w:sz w:val="23"/>
              </w:rPr>
              <w:t>Life of Agreement</w:t>
            </w:r>
          </w:p>
        </w:tc>
      </w:tr>
      <w:tr w:rsidR="00372CDD" w14:paraId="554E58A6" w14:textId="77777777">
        <w:trPr>
          <w:trHeight w:val="760"/>
        </w:trPr>
        <w:tc>
          <w:tcPr>
            <w:tcW w:w="2292" w:type="dxa"/>
            <w:vMerge w:val="restart"/>
            <w:tcBorders>
              <w:top w:val="single" w:sz="8" w:space="0" w:color="306E71"/>
              <w:left w:val="single" w:sz="8" w:space="0" w:color="306E71"/>
              <w:bottom w:val="single" w:sz="8" w:space="0" w:color="306E71"/>
              <w:right w:val="single" w:sz="8" w:space="0" w:color="306E71"/>
            </w:tcBorders>
          </w:tcPr>
          <w:p w14:paraId="08B676B8" w14:textId="77777777" w:rsidR="00372CDD" w:rsidRDefault="00C87ECC">
            <w:pPr>
              <w:pStyle w:val="TableParagraph"/>
              <w:ind w:left="107"/>
              <w:rPr>
                <w:sz w:val="23"/>
              </w:rPr>
            </w:pPr>
            <w:r>
              <w:rPr>
                <w:sz w:val="23"/>
              </w:rPr>
              <w:t>School improvement</w:t>
            </w:r>
          </w:p>
        </w:tc>
        <w:tc>
          <w:tcPr>
            <w:tcW w:w="8372" w:type="dxa"/>
            <w:tcBorders>
              <w:top w:val="single" w:sz="8" w:space="0" w:color="306E71"/>
              <w:left w:val="single" w:sz="8" w:space="0" w:color="306E71"/>
              <w:bottom w:val="single" w:sz="8" w:space="0" w:color="306E71"/>
              <w:right w:val="single" w:sz="8" w:space="0" w:color="306E71"/>
            </w:tcBorders>
          </w:tcPr>
          <w:p w14:paraId="5AF51555" w14:textId="77777777" w:rsidR="00372CDD" w:rsidRDefault="00C87ECC">
            <w:pPr>
              <w:pStyle w:val="TableParagraph"/>
              <w:spacing w:before="124" w:line="223" w:lineRule="auto"/>
              <w:rPr>
                <w:i/>
                <w:sz w:val="23"/>
              </w:rPr>
            </w:pPr>
            <w:r>
              <w:rPr>
                <w:i/>
                <w:sz w:val="23"/>
              </w:rPr>
              <w:t>Expand the scope of the School Improvement Unit to ensure line of sight between schools, education regions and the education system</w:t>
            </w:r>
          </w:p>
        </w:tc>
        <w:tc>
          <w:tcPr>
            <w:tcW w:w="1637" w:type="dxa"/>
            <w:tcBorders>
              <w:top w:val="single" w:sz="8" w:space="0" w:color="306E71"/>
              <w:left w:val="single" w:sz="8" w:space="0" w:color="306E71"/>
              <w:bottom w:val="single" w:sz="8" w:space="0" w:color="306E71"/>
              <w:right w:val="single" w:sz="8" w:space="0" w:color="306E71"/>
            </w:tcBorders>
          </w:tcPr>
          <w:p w14:paraId="07404954" w14:textId="0E5352F0" w:rsidR="00372CDD" w:rsidRDefault="004C076B">
            <w:pPr>
              <w:pStyle w:val="TableParagraph"/>
              <w:rPr>
                <w:sz w:val="23"/>
              </w:rPr>
            </w:pPr>
            <w:r>
              <w:rPr>
                <w:sz w:val="23"/>
              </w:rPr>
              <w:t>Government</w:t>
            </w:r>
          </w:p>
        </w:tc>
        <w:tc>
          <w:tcPr>
            <w:tcW w:w="1639" w:type="dxa"/>
            <w:tcBorders>
              <w:top w:val="single" w:sz="8" w:space="0" w:color="306E71"/>
              <w:left w:val="single" w:sz="8" w:space="0" w:color="306E71"/>
              <w:bottom w:val="single" w:sz="8" w:space="0" w:color="306E71"/>
              <w:right w:val="single" w:sz="8" w:space="0" w:color="306E71"/>
            </w:tcBorders>
          </w:tcPr>
          <w:p w14:paraId="4849E120" w14:textId="77777777" w:rsidR="00372CDD" w:rsidRDefault="00C87ECC">
            <w:pPr>
              <w:pStyle w:val="TableParagraph"/>
              <w:spacing w:before="124" w:line="223" w:lineRule="auto"/>
              <w:ind w:right="495"/>
              <w:rPr>
                <w:sz w:val="23"/>
              </w:rPr>
            </w:pPr>
            <w:r>
              <w:rPr>
                <w:sz w:val="23"/>
              </w:rPr>
              <w:t>From mid- 2019</w:t>
            </w:r>
          </w:p>
        </w:tc>
      </w:tr>
      <w:tr w:rsidR="00372CDD" w14:paraId="7ECA446D" w14:textId="77777777">
        <w:trPr>
          <w:trHeight w:val="500"/>
        </w:trPr>
        <w:tc>
          <w:tcPr>
            <w:tcW w:w="2292" w:type="dxa"/>
            <w:vMerge/>
            <w:tcBorders>
              <w:top w:val="nil"/>
              <w:left w:val="single" w:sz="8" w:space="0" w:color="306E71"/>
              <w:bottom w:val="single" w:sz="8" w:space="0" w:color="306E71"/>
              <w:right w:val="single" w:sz="8" w:space="0" w:color="306E71"/>
            </w:tcBorders>
          </w:tcPr>
          <w:p w14:paraId="39ABB1D8" w14:textId="77777777" w:rsidR="00372CDD" w:rsidRDefault="00372CDD">
            <w:pPr>
              <w:rPr>
                <w:sz w:val="2"/>
                <w:szCs w:val="2"/>
              </w:rPr>
            </w:pPr>
          </w:p>
        </w:tc>
        <w:tc>
          <w:tcPr>
            <w:tcW w:w="8372" w:type="dxa"/>
            <w:tcBorders>
              <w:top w:val="single" w:sz="8" w:space="0" w:color="306E71"/>
              <w:left w:val="single" w:sz="8" w:space="0" w:color="306E71"/>
              <w:bottom w:val="single" w:sz="8" w:space="0" w:color="306E71"/>
              <w:right w:val="single" w:sz="8" w:space="0" w:color="306E71"/>
            </w:tcBorders>
          </w:tcPr>
          <w:p w14:paraId="0AD287A2" w14:textId="77777777" w:rsidR="00372CDD" w:rsidRDefault="00C87ECC">
            <w:pPr>
              <w:pStyle w:val="TableParagraph"/>
              <w:rPr>
                <w:i/>
                <w:sz w:val="23"/>
              </w:rPr>
            </w:pPr>
            <w:r>
              <w:rPr>
                <w:i/>
                <w:sz w:val="23"/>
              </w:rPr>
              <w:t>Enhance school improvement processes and planning with Catholic schools</w:t>
            </w:r>
          </w:p>
        </w:tc>
        <w:tc>
          <w:tcPr>
            <w:tcW w:w="1637" w:type="dxa"/>
            <w:tcBorders>
              <w:top w:val="single" w:sz="8" w:space="0" w:color="306E71"/>
              <w:left w:val="single" w:sz="8" w:space="0" w:color="306E71"/>
              <w:bottom w:val="single" w:sz="8" w:space="0" w:color="306E71"/>
              <w:right w:val="single" w:sz="8" w:space="0" w:color="306E71"/>
            </w:tcBorders>
          </w:tcPr>
          <w:p w14:paraId="49AA155D" w14:textId="77777777" w:rsidR="00372CDD" w:rsidRDefault="00C87ECC">
            <w:pPr>
              <w:pStyle w:val="TableParagraph"/>
              <w:rPr>
                <w:sz w:val="23"/>
              </w:rPr>
            </w:pPr>
            <w:r>
              <w:rPr>
                <w:sz w:val="23"/>
              </w:rPr>
              <w:t>QCEC</w:t>
            </w:r>
          </w:p>
        </w:tc>
        <w:tc>
          <w:tcPr>
            <w:tcW w:w="1639" w:type="dxa"/>
            <w:tcBorders>
              <w:top w:val="single" w:sz="8" w:space="0" w:color="306E71"/>
              <w:left w:val="single" w:sz="8" w:space="0" w:color="306E71"/>
              <w:bottom w:val="single" w:sz="8" w:space="0" w:color="306E71"/>
              <w:right w:val="single" w:sz="8" w:space="0" w:color="306E71"/>
            </w:tcBorders>
          </w:tcPr>
          <w:p w14:paraId="1D025D84" w14:textId="77777777" w:rsidR="00372CDD" w:rsidRDefault="00C87ECC">
            <w:pPr>
              <w:pStyle w:val="TableParagraph"/>
              <w:rPr>
                <w:sz w:val="23"/>
              </w:rPr>
            </w:pPr>
            <w:r>
              <w:rPr>
                <w:sz w:val="23"/>
              </w:rPr>
              <w:t>From 2019</w:t>
            </w:r>
          </w:p>
        </w:tc>
      </w:tr>
      <w:tr w:rsidR="00372CDD" w14:paraId="404076FD" w14:textId="77777777">
        <w:trPr>
          <w:trHeight w:val="760"/>
        </w:trPr>
        <w:tc>
          <w:tcPr>
            <w:tcW w:w="2292" w:type="dxa"/>
            <w:vMerge/>
            <w:tcBorders>
              <w:top w:val="nil"/>
              <w:left w:val="single" w:sz="8" w:space="0" w:color="306E71"/>
              <w:bottom w:val="single" w:sz="8" w:space="0" w:color="306E71"/>
              <w:right w:val="single" w:sz="8" w:space="0" w:color="306E71"/>
            </w:tcBorders>
          </w:tcPr>
          <w:p w14:paraId="30B001A2" w14:textId="77777777" w:rsidR="00372CDD" w:rsidRDefault="00372CDD">
            <w:pPr>
              <w:rPr>
                <w:sz w:val="2"/>
                <w:szCs w:val="2"/>
              </w:rPr>
            </w:pPr>
          </w:p>
        </w:tc>
        <w:tc>
          <w:tcPr>
            <w:tcW w:w="8372" w:type="dxa"/>
            <w:tcBorders>
              <w:top w:val="single" w:sz="8" w:space="0" w:color="306E71"/>
              <w:left w:val="single" w:sz="8" w:space="0" w:color="306E71"/>
              <w:bottom w:val="single" w:sz="8" w:space="0" w:color="306E71"/>
              <w:right w:val="single" w:sz="8" w:space="0" w:color="306E71"/>
            </w:tcBorders>
          </w:tcPr>
          <w:p w14:paraId="6B3B7D63" w14:textId="77777777" w:rsidR="00372CDD" w:rsidRDefault="00C87ECC">
            <w:pPr>
              <w:pStyle w:val="TableParagraph"/>
              <w:spacing w:before="127" w:line="220" w:lineRule="auto"/>
              <w:rPr>
                <w:i/>
                <w:sz w:val="23"/>
              </w:rPr>
            </w:pPr>
            <w:r>
              <w:rPr>
                <w:i/>
                <w:sz w:val="23"/>
              </w:rPr>
              <w:t>Deliver the Self-Improving Schools Program to support schools to assess their effectiveness, plan for continuous improvement and embed new processes</w:t>
            </w:r>
          </w:p>
        </w:tc>
        <w:tc>
          <w:tcPr>
            <w:tcW w:w="1637" w:type="dxa"/>
            <w:tcBorders>
              <w:top w:val="single" w:sz="8" w:space="0" w:color="306E71"/>
              <w:left w:val="single" w:sz="8" w:space="0" w:color="306E71"/>
              <w:bottom w:val="single" w:sz="8" w:space="0" w:color="306E71"/>
              <w:right w:val="single" w:sz="8" w:space="0" w:color="306E71"/>
            </w:tcBorders>
          </w:tcPr>
          <w:p w14:paraId="6446417D" w14:textId="77777777" w:rsidR="00372CDD" w:rsidRDefault="00C87ECC">
            <w:pPr>
              <w:pStyle w:val="TableParagraph"/>
              <w:rPr>
                <w:sz w:val="23"/>
              </w:rPr>
            </w:pPr>
            <w:r>
              <w:rPr>
                <w:sz w:val="23"/>
              </w:rPr>
              <w:t>ISQ</w:t>
            </w:r>
          </w:p>
        </w:tc>
        <w:tc>
          <w:tcPr>
            <w:tcW w:w="1639" w:type="dxa"/>
            <w:tcBorders>
              <w:top w:val="single" w:sz="8" w:space="0" w:color="306E71"/>
              <w:left w:val="single" w:sz="8" w:space="0" w:color="306E71"/>
              <w:bottom w:val="single" w:sz="8" w:space="0" w:color="306E71"/>
              <w:right w:val="single" w:sz="8" w:space="0" w:color="306E71"/>
            </w:tcBorders>
          </w:tcPr>
          <w:p w14:paraId="764B426E" w14:textId="77777777" w:rsidR="00372CDD" w:rsidRDefault="00C87ECC">
            <w:pPr>
              <w:pStyle w:val="TableParagraph"/>
              <w:spacing w:before="127" w:line="220" w:lineRule="auto"/>
              <w:ind w:right="410"/>
              <w:rPr>
                <w:sz w:val="23"/>
              </w:rPr>
            </w:pPr>
            <w:r>
              <w:rPr>
                <w:sz w:val="23"/>
              </w:rPr>
              <w:t>Life of Agreement</w:t>
            </w:r>
          </w:p>
        </w:tc>
      </w:tr>
      <w:tr w:rsidR="00372CDD" w14:paraId="5402C098" w14:textId="77777777">
        <w:trPr>
          <w:trHeight w:val="760"/>
        </w:trPr>
        <w:tc>
          <w:tcPr>
            <w:tcW w:w="2292" w:type="dxa"/>
            <w:tcBorders>
              <w:top w:val="single" w:sz="8" w:space="0" w:color="306E71"/>
              <w:left w:val="single" w:sz="8" w:space="0" w:color="306E71"/>
              <w:bottom w:val="single" w:sz="8" w:space="0" w:color="306E71"/>
              <w:right w:val="single" w:sz="8" w:space="0" w:color="306E71"/>
            </w:tcBorders>
          </w:tcPr>
          <w:p w14:paraId="042199A9" w14:textId="77777777" w:rsidR="00372CDD" w:rsidRDefault="00C87ECC">
            <w:pPr>
              <w:pStyle w:val="TableParagraph"/>
              <w:spacing w:before="127" w:line="220" w:lineRule="auto"/>
              <w:ind w:left="107"/>
              <w:rPr>
                <w:sz w:val="23"/>
              </w:rPr>
            </w:pPr>
            <w:r>
              <w:rPr>
                <w:sz w:val="23"/>
              </w:rPr>
              <w:t>Highly accomplished and lead teachers</w:t>
            </w:r>
          </w:p>
        </w:tc>
        <w:tc>
          <w:tcPr>
            <w:tcW w:w="8372" w:type="dxa"/>
            <w:tcBorders>
              <w:top w:val="single" w:sz="8" w:space="0" w:color="306E71"/>
              <w:left w:val="single" w:sz="8" w:space="0" w:color="306E71"/>
              <w:bottom w:val="single" w:sz="8" w:space="0" w:color="306E71"/>
              <w:right w:val="single" w:sz="8" w:space="0" w:color="306E71"/>
            </w:tcBorders>
          </w:tcPr>
          <w:p w14:paraId="1810A264" w14:textId="77777777" w:rsidR="00372CDD" w:rsidRDefault="00C87ECC">
            <w:pPr>
              <w:pStyle w:val="TableParagraph"/>
              <w:spacing w:before="127" w:line="220" w:lineRule="auto"/>
              <w:rPr>
                <w:i/>
                <w:sz w:val="23"/>
              </w:rPr>
            </w:pPr>
            <w:r>
              <w:rPr>
                <w:i/>
                <w:sz w:val="23"/>
              </w:rPr>
              <w:t>Recognise the explicit value of teaching experience and proven ability in the classroom by rewarding highly accomplished and lead teachers</w:t>
            </w:r>
          </w:p>
        </w:tc>
        <w:tc>
          <w:tcPr>
            <w:tcW w:w="1637" w:type="dxa"/>
            <w:tcBorders>
              <w:top w:val="single" w:sz="8" w:space="0" w:color="306E71"/>
              <w:left w:val="single" w:sz="8" w:space="0" w:color="306E71"/>
              <w:bottom w:val="single" w:sz="8" w:space="0" w:color="306E71"/>
              <w:right w:val="single" w:sz="8" w:space="0" w:color="306E71"/>
            </w:tcBorders>
          </w:tcPr>
          <w:p w14:paraId="5132A06E" w14:textId="77777777" w:rsidR="00372CDD" w:rsidRDefault="00C87ECC">
            <w:pPr>
              <w:pStyle w:val="TableParagraph"/>
              <w:rPr>
                <w:sz w:val="23"/>
              </w:rPr>
            </w:pPr>
            <w:r>
              <w:rPr>
                <w:sz w:val="23"/>
              </w:rPr>
              <w:t>All sectors</w:t>
            </w:r>
          </w:p>
        </w:tc>
        <w:tc>
          <w:tcPr>
            <w:tcW w:w="1639" w:type="dxa"/>
            <w:tcBorders>
              <w:top w:val="single" w:sz="8" w:space="0" w:color="306E71"/>
              <w:left w:val="single" w:sz="8" w:space="0" w:color="306E71"/>
              <w:bottom w:val="single" w:sz="8" w:space="0" w:color="306E71"/>
              <w:right w:val="single" w:sz="8" w:space="0" w:color="306E71"/>
            </w:tcBorders>
          </w:tcPr>
          <w:p w14:paraId="1E418E74" w14:textId="77777777" w:rsidR="00372CDD" w:rsidRDefault="00C87ECC">
            <w:pPr>
              <w:pStyle w:val="TableParagraph"/>
              <w:spacing w:before="127" w:line="220" w:lineRule="auto"/>
              <w:ind w:right="410"/>
              <w:rPr>
                <w:sz w:val="23"/>
              </w:rPr>
            </w:pPr>
            <w:r>
              <w:rPr>
                <w:sz w:val="23"/>
              </w:rPr>
              <w:t>Life of Agreement</w:t>
            </w:r>
          </w:p>
        </w:tc>
      </w:tr>
      <w:tr w:rsidR="00372CDD" w14:paraId="0D1A2314" w14:textId="77777777">
        <w:trPr>
          <w:trHeight w:val="760"/>
        </w:trPr>
        <w:tc>
          <w:tcPr>
            <w:tcW w:w="2292" w:type="dxa"/>
            <w:vMerge w:val="restart"/>
            <w:tcBorders>
              <w:top w:val="single" w:sz="8" w:space="0" w:color="306E71"/>
              <w:left w:val="single" w:sz="8" w:space="0" w:color="306E71"/>
              <w:bottom w:val="single" w:sz="8" w:space="0" w:color="306E71"/>
              <w:right w:val="single" w:sz="8" w:space="0" w:color="306E71"/>
            </w:tcBorders>
          </w:tcPr>
          <w:p w14:paraId="08A379DD" w14:textId="77777777" w:rsidR="00372CDD" w:rsidRDefault="00C87ECC">
            <w:pPr>
              <w:pStyle w:val="TableParagraph"/>
              <w:tabs>
                <w:tab w:val="left" w:pos="865"/>
                <w:tab w:val="left" w:pos="1481"/>
              </w:tabs>
              <w:spacing w:before="124" w:line="223" w:lineRule="auto"/>
              <w:ind w:left="107" w:right="88"/>
              <w:rPr>
                <w:sz w:val="23"/>
              </w:rPr>
            </w:pPr>
            <w:r>
              <w:rPr>
                <w:sz w:val="23"/>
              </w:rPr>
              <w:t>Rural</w:t>
            </w:r>
            <w:r>
              <w:rPr>
                <w:sz w:val="23"/>
              </w:rPr>
              <w:tab/>
              <w:t>and</w:t>
            </w:r>
            <w:r>
              <w:rPr>
                <w:sz w:val="23"/>
              </w:rPr>
              <w:tab/>
            </w:r>
            <w:r>
              <w:rPr>
                <w:spacing w:val="-4"/>
                <w:sz w:val="23"/>
              </w:rPr>
              <w:t xml:space="preserve">remote </w:t>
            </w:r>
            <w:r>
              <w:rPr>
                <w:sz w:val="23"/>
              </w:rPr>
              <w:t>wellbeing</w:t>
            </w:r>
          </w:p>
        </w:tc>
        <w:tc>
          <w:tcPr>
            <w:tcW w:w="8372" w:type="dxa"/>
            <w:tcBorders>
              <w:top w:val="single" w:sz="8" w:space="0" w:color="306E71"/>
              <w:left w:val="single" w:sz="8" w:space="0" w:color="306E71"/>
              <w:bottom w:val="single" w:sz="8" w:space="0" w:color="306E71"/>
              <w:right w:val="single" w:sz="8" w:space="0" w:color="306E71"/>
            </w:tcBorders>
          </w:tcPr>
          <w:p w14:paraId="0286C351" w14:textId="77777777" w:rsidR="00372CDD" w:rsidRDefault="00C87ECC">
            <w:pPr>
              <w:pStyle w:val="TableParagraph"/>
              <w:spacing w:before="124" w:line="223" w:lineRule="auto"/>
              <w:rPr>
                <w:i/>
                <w:sz w:val="23"/>
              </w:rPr>
            </w:pPr>
            <w:r>
              <w:rPr>
                <w:i/>
                <w:sz w:val="23"/>
              </w:rPr>
              <w:t>Establish a network of learning and wellbeing centres in key locations to take into account the additional challenges for rural and remote schools</w:t>
            </w:r>
          </w:p>
        </w:tc>
        <w:tc>
          <w:tcPr>
            <w:tcW w:w="1637" w:type="dxa"/>
            <w:tcBorders>
              <w:top w:val="single" w:sz="8" w:space="0" w:color="306E71"/>
              <w:left w:val="single" w:sz="8" w:space="0" w:color="306E71"/>
              <w:bottom w:val="single" w:sz="8" w:space="0" w:color="306E71"/>
              <w:right w:val="single" w:sz="8" w:space="0" w:color="306E71"/>
            </w:tcBorders>
          </w:tcPr>
          <w:p w14:paraId="06FFBE77" w14:textId="2DA18B85" w:rsidR="00372CDD" w:rsidRDefault="004C076B">
            <w:pPr>
              <w:pStyle w:val="TableParagraph"/>
              <w:rPr>
                <w:sz w:val="23"/>
              </w:rPr>
            </w:pPr>
            <w:r>
              <w:rPr>
                <w:sz w:val="23"/>
              </w:rPr>
              <w:t>Government</w:t>
            </w:r>
          </w:p>
        </w:tc>
        <w:tc>
          <w:tcPr>
            <w:tcW w:w="1639" w:type="dxa"/>
            <w:tcBorders>
              <w:top w:val="single" w:sz="8" w:space="0" w:color="306E71"/>
              <w:left w:val="single" w:sz="8" w:space="0" w:color="306E71"/>
              <w:bottom w:val="single" w:sz="8" w:space="0" w:color="306E71"/>
              <w:right w:val="single" w:sz="8" w:space="0" w:color="306E71"/>
            </w:tcBorders>
          </w:tcPr>
          <w:p w14:paraId="1C3A8C03" w14:textId="77777777" w:rsidR="00372CDD" w:rsidRDefault="00C87ECC">
            <w:pPr>
              <w:pStyle w:val="TableParagraph"/>
              <w:rPr>
                <w:sz w:val="23"/>
              </w:rPr>
            </w:pPr>
            <w:r>
              <w:rPr>
                <w:sz w:val="23"/>
              </w:rPr>
              <w:t>From 2019</w:t>
            </w:r>
          </w:p>
        </w:tc>
      </w:tr>
      <w:tr w:rsidR="00372CDD" w14:paraId="65E81BFD" w14:textId="77777777">
        <w:trPr>
          <w:trHeight w:val="759"/>
        </w:trPr>
        <w:tc>
          <w:tcPr>
            <w:tcW w:w="2292" w:type="dxa"/>
            <w:vMerge/>
            <w:tcBorders>
              <w:top w:val="nil"/>
              <w:left w:val="single" w:sz="8" w:space="0" w:color="306E71"/>
              <w:bottom w:val="single" w:sz="8" w:space="0" w:color="306E71"/>
              <w:right w:val="single" w:sz="8" w:space="0" w:color="306E71"/>
            </w:tcBorders>
          </w:tcPr>
          <w:p w14:paraId="3EC0723F" w14:textId="77777777" w:rsidR="00372CDD" w:rsidRDefault="00372CDD">
            <w:pPr>
              <w:rPr>
                <w:sz w:val="2"/>
                <w:szCs w:val="2"/>
              </w:rPr>
            </w:pPr>
          </w:p>
        </w:tc>
        <w:tc>
          <w:tcPr>
            <w:tcW w:w="8372" w:type="dxa"/>
            <w:tcBorders>
              <w:top w:val="single" w:sz="8" w:space="0" w:color="306E71"/>
              <w:left w:val="single" w:sz="8" w:space="0" w:color="306E71"/>
              <w:bottom w:val="single" w:sz="8" w:space="0" w:color="306E71"/>
              <w:right w:val="single" w:sz="8" w:space="0" w:color="306E71"/>
            </w:tcBorders>
          </w:tcPr>
          <w:p w14:paraId="77EBB104" w14:textId="77777777" w:rsidR="00372CDD" w:rsidRDefault="00C87ECC">
            <w:pPr>
              <w:pStyle w:val="TableParagraph"/>
              <w:spacing w:before="127" w:line="220" w:lineRule="auto"/>
              <w:rPr>
                <w:i/>
                <w:sz w:val="23"/>
              </w:rPr>
            </w:pPr>
            <w:r>
              <w:rPr>
                <w:i/>
                <w:sz w:val="23"/>
              </w:rPr>
              <w:t>Facilitate support to school communities in rural and remote areas to enhance student wellbeing</w:t>
            </w:r>
          </w:p>
        </w:tc>
        <w:tc>
          <w:tcPr>
            <w:tcW w:w="1637" w:type="dxa"/>
            <w:tcBorders>
              <w:top w:val="single" w:sz="8" w:space="0" w:color="306E71"/>
              <w:left w:val="single" w:sz="8" w:space="0" w:color="306E71"/>
              <w:bottom w:val="single" w:sz="8" w:space="0" w:color="306E71"/>
              <w:right w:val="single" w:sz="8" w:space="0" w:color="306E71"/>
            </w:tcBorders>
          </w:tcPr>
          <w:p w14:paraId="27F2CB9C" w14:textId="77777777" w:rsidR="00372CDD" w:rsidRDefault="00C87ECC">
            <w:pPr>
              <w:pStyle w:val="TableParagraph"/>
              <w:rPr>
                <w:sz w:val="23"/>
              </w:rPr>
            </w:pPr>
            <w:r>
              <w:rPr>
                <w:sz w:val="23"/>
              </w:rPr>
              <w:t>QCEC</w:t>
            </w:r>
          </w:p>
        </w:tc>
        <w:tc>
          <w:tcPr>
            <w:tcW w:w="1639" w:type="dxa"/>
            <w:tcBorders>
              <w:top w:val="single" w:sz="8" w:space="0" w:color="306E71"/>
              <w:left w:val="single" w:sz="8" w:space="0" w:color="306E71"/>
              <w:bottom w:val="single" w:sz="8" w:space="0" w:color="306E71"/>
              <w:right w:val="single" w:sz="8" w:space="0" w:color="306E71"/>
            </w:tcBorders>
          </w:tcPr>
          <w:p w14:paraId="2879DB8B" w14:textId="77777777" w:rsidR="00372CDD" w:rsidRDefault="00C87ECC">
            <w:pPr>
              <w:pStyle w:val="TableParagraph"/>
              <w:rPr>
                <w:sz w:val="23"/>
              </w:rPr>
            </w:pPr>
            <w:r>
              <w:rPr>
                <w:sz w:val="23"/>
              </w:rPr>
              <w:t>From 2020</w:t>
            </w:r>
          </w:p>
        </w:tc>
      </w:tr>
    </w:tbl>
    <w:p w14:paraId="1486B778" w14:textId="77777777" w:rsidR="00372CDD" w:rsidRDefault="00372CDD">
      <w:pPr>
        <w:rPr>
          <w:sz w:val="23"/>
        </w:rPr>
        <w:sectPr w:rsidR="00372CDD">
          <w:pgSz w:w="16840" w:h="11910" w:orient="landscape"/>
          <w:pgMar w:top="1180" w:right="1320" w:bottom="280" w:left="1340" w:header="746" w:footer="0" w:gutter="0"/>
          <w:cols w:space="720"/>
        </w:sectPr>
      </w:pPr>
    </w:p>
    <w:p w14:paraId="0F39220E" w14:textId="77777777" w:rsidR="00372CDD" w:rsidRDefault="00372CDD">
      <w:pPr>
        <w:pStyle w:val="BodyText"/>
        <w:spacing w:before="6"/>
        <w:rPr>
          <w:rFonts w:ascii="Times New Roman"/>
          <w:sz w:val="22"/>
        </w:rPr>
      </w:pPr>
    </w:p>
    <w:tbl>
      <w:tblPr>
        <w:tblW w:w="0" w:type="auto"/>
        <w:tblInd w:w="120" w:type="dxa"/>
        <w:tblBorders>
          <w:top w:val="single" w:sz="24" w:space="0" w:color="306E71"/>
          <w:left w:val="single" w:sz="24" w:space="0" w:color="306E71"/>
          <w:bottom w:val="single" w:sz="24" w:space="0" w:color="306E71"/>
          <w:right w:val="single" w:sz="24" w:space="0" w:color="306E71"/>
          <w:insideH w:val="single" w:sz="24" w:space="0" w:color="306E71"/>
          <w:insideV w:val="single" w:sz="24" w:space="0" w:color="306E71"/>
        </w:tblBorders>
        <w:tblLayout w:type="fixed"/>
        <w:tblCellMar>
          <w:left w:w="0" w:type="dxa"/>
          <w:right w:w="0" w:type="dxa"/>
        </w:tblCellMar>
        <w:tblLook w:val="01E0" w:firstRow="1" w:lastRow="1" w:firstColumn="1" w:lastColumn="1" w:noHBand="0" w:noVBand="0"/>
      </w:tblPr>
      <w:tblGrid>
        <w:gridCol w:w="2292"/>
        <w:gridCol w:w="8372"/>
        <w:gridCol w:w="1637"/>
        <w:gridCol w:w="1639"/>
      </w:tblGrid>
      <w:tr w:rsidR="00372CDD" w14:paraId="57AB28AE" w14:textId="77777777">
        <w:trPr>
          <w:trHeight w:val="880"/>
        </w:trPr>
        <w:tc>
          <w:tcPr>
            <w:tcW w:w="2292" w:type="dxa"/>
            <w:tcBorders>
              <w:left w:val="single" w:sz="8" w:space="0" w:color="306E71"/>
              <w:right w:val="single" w:sz="8" w:space="0" w:color="306E71"/>
            </w:tcBorders>
          </w:tcPr>
          <w:p w14:paraId="1DDC340D" w14:textId="77777777" w:rsidR="00372CDD" w:rsidRDefault="00C87ECC">
            <w:pPr>
              <w:pStyle w:val="TableParagraph"/>
              <w:spacing w:before="110"/>
              <w:ind w:left="107"/>
              <w:rPr>
                <w:b/>
                <w:sz w:val="23"/>
              </w:rPr>
            </w:pPr>
            <w:r>
              <w:rPr>
                <w:b/>
                <w:sz w:val="23"/>
              </w:rPr>
              <w:t>Reform Direction</w:t>
            </w:r>
          </w:p>
        </w:tc>
        <w:tc>
          <w:tcPr>
            <w:tcW w:w="8372" w:type="dxa"/>
            <w:tcBorders>
              <w:left w:val="single" w:sz="8" w:space="0" w:color="306E71"/>
              <w:right w:val="single" w:sz="8" w:space="0" w:color="306E71"/>
            </w:tcBorders>
          </w:tcPr>
          <w:p w14:paraId="23C59CB5" w14:textId="77777777" w:rsidR="00372CDD" w:rsidRDefault="00C87ECC">
            <w:pPr>
              <w:pStyle w:val="TableParagraph"/>
              <w:spacing w:before="110"/>
              <w:rPr>
                <w:b/>
                <w:sz w:val="23"/>
              </w:rPr>
            </w:pPr>
            <w:r>
              <w:rPr>
                <w:b/>
                <w:sz w:val="23"/>
              </w:rPr>
              <w:t>Actions</w:t>
            </w:r>
          </w:p>
        </w:tc>
        <w:tc>
          <w:tcPr>
            <w:tcW w:w="1637" w:type="dxa"/>
            <w:tcBorders>
              <w:left w:val="single" w:sz="8" w:space="0" w:color="306E71"/>
              <w:right w:val="single" w:sz="8" w:space="0" w:color="306E71"/>
            </w:tcBorders>
          </w:tcPr>
          <w:p w14:paraId="6F199841" w14:textId="77777777" w:rsidR="00372CDD" w:rsidRDefault="00C87ECC">
            <w:pPr>
              <w:pStyle w:val="TableParagraph"/>
              <w:spacing w:before="110"/>
              <w:rPr>
                <w:b/>
                <w:sz w:val="23"/>
              </w:rPr>
            </w:pPr>
            <w:r>
              <w:rPr>
                <w:b/>
                <w:sz w:val="23"/>
              </w:rPr>
              <w:t>Sector</w:t>
            </w:r>
          </w:p>
        </w:tc>
        <w:tc>
          <w:tcPr>
            <w:tcW w:w="1639" w:type="dxa"/>
            <w:tcBorders>
              <w:left w:val="single" w:sz="8" w:space="0" w:color="306E71"/>
              <w:right w:val="single" w:sz="8" w:space="0" w:color="306E71"/>
            </w:tcBorders>
          </w:tcPr>
          <w:p w14:paraId="43F2E0E9" w14:textId="77777777" w:rsidR="00372CDD" w:rsidRDefault="00C87ECC">
            <w:pPr>
              <w:pStyle w:val="TableParagraph"/>
              <w:spacing w:before="110"/>
              <w:rPr>
                <w:b/>
                <w:sz w:val="23"/>
              </w:rPr>
            </w:pPr>
            <w:r>
              <w:rPr>
                <w:b/>
                <w:sz w:val="23"/>
              </w:rPr>
              <w:t>Timing</w:t>
            </w:r>
          </w:p>
        </w:tc>
      </w:tr>
      <w:tr w:rsidR="00372CDD" w14:paraId="543E6E90" w14:textId="77777777">
        <w:trPr>
          <w:trHeight w:val="719"/>
        </w:trPr>
        <w:tc>
          <w:tcPr>
            <w:tcW w:w="2292" w:type="dxa"/>
            <w:tcBorders>
              <w:left w:val="single" w:sz="8" w:space="0" w:color="306E71"/>
              <w:bottom w:val="single" w:sz="8" w:space="0" w:color="306E71"/>
              <w:right w:val="single" w:sz="8" w:space="0" w:color="306E71"/>
            </w:tcBorders>
          </w:tcPr>
          <w:p w14:paraId="5C44737A" w14:textId="77777777" w:rsidR="00372CDD" w:rsidRDefault="00372CDD">
            <w:pPr>
              <w:pStyle w:val="TableParagraph"/>
              <w:spacing w:before="0"/>
              <w:ind w:left="0"/>
              <w:rPr>
                <w:rFonts w:ascii="Times New Roman"/>
              </w:rPr>
            </w:pPr>
          </w:p>
        </w:tc>
        <w:tc>
          <w:tcPr>
            <w:tcW w:w="8372" w:type="dxa"/>
            <w:tcBorders>
              <w:left w:val="single" w:sz="8" w:space="0" w:color="306E71"/>
              <w:bottom w:val="single" w:sz="8" w:space="0" w:color="306E71"/>
              <w:right w:val="single" w:sz="8" w:space="0" w:color="306E71"/>
            </w:tcBorders>
          </w:tcPr>
          <w:p w14:paraId="490EE81C" w14:textId="77777777" w:rsidR="00372CDD" w:rsidRDefault="00C87ECC">
            <w:pPr>
              <w:pStyle w:val="TableParagraph"/>
              <w:spacing w:before="86" w:line="220" w:lineRule="auto"/>
              <w:rPr>
                <w:i/>
                <w:sz w:val="23"/>
              </w:rPr>
            </w:pPr>
            <w:r>
              <w:rPr>
                <w:i/>
                <w:sz w:val="23"/>
              </w:rPr>
              <w:t>Prioritise</w:t>
            </w:r>
            <w:r>
              <w:rPr>
                <w:i/>
                <w:spacing w:val="-13"/>
                <w:sz w:val="23"/>
              </w:rPr>
              <w:t xml:space="preserve"> </w:t>
            </w:r>
            <w:r>
              <w:rPr>
                <w:i/>
                <w:sz w:val="23"/>
              </w:rPr>
              <w:t>support</w:t>
            </w:r>
            <w:r>
              <w:rPr>
                <w:i/>
                <w:spacing w:val="-14"/>
                <w:sz w:val="23"/>
              </w:rPr>
              <w:t xml:space="preserve"> </w:t>
            </w:r>
            <w:r>
              <w:rPr>
                <w:i/>
                <w:sz w:val="23"/>
              </w:rPr>
              <w:t>for</w:t>
            </w:r>
            <w:r>
              <w:rPr>
                <w:i/>
                <w:spacing w:val="-13"/>
                <w:sz w:val="23"/>
              </w:rPr>
              <w:t xml:space="preserve"> </w:t>
            </w:r>
            <w:r>
              <w:rPr>
                <w:i/>
                <w:sz w:val="23"/>
              </w:rPr>
              <w:t>rural</w:t>
            </w:r>
            <w:r>
              <w:rPr>
                <w:i/>
                <w:spacing w:val="-17"/>
                <w:sz w:val="23"/>
              </w:rPr>
              <w:t xml:space="preserve"> </w:t>
            </w:r>
            <w:r>
              <w:rPr>
                <w:i/>
                <w:sz w:val="23"/>
              </w:rPr>
              <w:t>and</w:t>
            </w:r>
            <w:r>
              <w:rPr>
                <w:i/>
                <w:spacing w:val="-13"/>
                <w:sz w:val="23"/>
              </w:rPr>
              <w:t xml:space="preserve"> </w:t>
            </w:r>
            <w:r>
              <w:rPr>
                <w:i/>
                <w:sz w:val="23"/>
              </w:rPr>
              <w:t>remote</w:t>
            </w:r>
            <w:r>
              <w:rPr>
                <w:i/>
                <w:spacing w:val="-14"/>
                <w:sz w:val="23"/>
              </w:rPr>
              <w:t xml:space="preserve"> </w:t>
            </w:r>
            <w:r>
              <w:rPr>
                <w:i/>
                <w:sz w:val="23"/>
              </w:rPr>
              <w:t>schools</w:t>
            </w:r>
            <w:r>
              <w:rPr>
                <w:i/>
                <w:spacing w:val="-15"/>
                <w:sz w:val="23"/>
              </w:rPr>
              <w:t xml:space="preserve"> </w:t>
            </w:r>
            <w:r>
              <w:rPr>
                <w:i/>
                <w:sz w:val="23"/>
              </w:rPr>
              <w:t>to</w:t>
            </w:r>
            <w:r>
              <w:rPr>
                <w:i/>
                <w:spacing w:val="-14"/>
                <w:sz w:val="23"/>
              </w:rPr>
              <w:t xml:space="preserve"> </w:t>
            </w:r>
            <w:r>
              <w:rPr>
                <w:i/>
                <w:sz w:val="23"/>
              </w:rPr>
              <w:t>access</w:t>
            </w:r>
            <w:r>
              <w:rPr>
                <w:i/>
                <w:spacing w:val="-16"/>
                <w:sz w:val="23"/>
              </w:rPr>
              <w:t xml:space="preserve"> </w:t>
            </w:r>
            <w:r>
              <w:rPr>
                <w:i/>
                <w:sz w:val="23"/>
              </w:rPr>
              <w:t>professional</w:t>
            </w:r>
            <w:r>
              <w:rPr>
                <w:i/>
                <w:spacing w:val="-13"/>
                <w:sz w:val="23"/>
              </w:rPr>
              <w:t xml:space="preserve"> </w:t>
            </w:r>
            <w:r>
              <w:rPr>
                <w:i/>
                <w:sz w:val="23"/>
              </w:rPr>
              <w:t>learning</w:t>
            </w:r>
            <w:r>
              <w:rPr>
                <w:i/>
                <w:spacing w:val="-14"/>
                <w:sz w:val="23"/>
              </w:rPr>
              <w:t xml:space="preserve"> </w:t>
            </w:r>
            <w:r>
              <w:rPr>
                <w:i/>
                <w:sz w:val="23"/>
              </w:rPr>
              <w:t>opportunities offered in student wellbeing</w:t>
            </w:r>
          </w:p>
        </w:tc>
        <w:tc>
          <w:tcPr>
            <w:tcW w:w="1637" w:type="dxa"/>
            <w:tcBorders>
              <w:left w:val="single" w:sz="8" w:space="0" w:color="306E71"/>
              <w:bottom w:val="single" w:sz="8" w:space="0" w:color="306E71"/>
              <w:right w:val="single" w:sz="8" w:space="0" w:color="306E71"/>
            </w:tcBorders>
          </w:tcPr>
          <w:p w14:paraId="5BEB5D60" w14:textId="77777777" w:rsidR="00372CDD" w:rsidRDefault="00C87ECC">
            <w:pPr>
              <w:pStyle w:val="TableParagraph"/>
              <w:spacing w:before="69"/>
              <w:rPr>
                <w:sz w:val="23"/>
              </w:rPr>
            </w:pPr>
            <w:r>
              <w:rPr>
                <w:sz w:val="23"/>
              </w:rPr>
              <w:t>ISQ</w:t>
            </w:r>
          </w:p>
        </w:tc>
        <w:tc>
          <w:tcPr>
            <w:tcW w:w="1639" w:type="dxa"/>
            <w:tcBorders>
              <w:left w:val="single" w:sz="8" w:space="0" w:color="306E71"/>
              <w:bottom w:val="single" w:sz="8" w:space="0" w:color="306E71"/>
              <w:right w:val="single" w:sz="8" w:space="0" w:color="306E71"/>
            </w:tcBorders>
          </w:tcPr>
          <w:p w14:paraId="6F6A1898" w14:textId="77777777" w:rsidR="00372CDD" w:rsidRDefault="00C87ECC">
            <w:pPr>
              <w:pStyle w:val="TableParagraph"/>
              <w:spacing w:before="69"/>
              <w:rPr>
                <w:sz w:val="23"/>
              </w:rPr>
            </w:pPr>
            <w:r>
              <w:rPr>
                <w:sz w:val="23"/>
              </w:rPr>
              <w:t>2019-2021</w:t>
            </w:r>
          </w:p>
        </w:tc>
      </w:tr>
      <w:tr w:rsidR="00372CDD" w14:paraId="1020F090" w14:textId="77777777">
        <w:trPr>
          <w:trHeight w:val="760"/>
        </w:trPr>
        <w:tc>
          <w:tcPr>
            <w:tcW w:w="2292" w:type="dxa"/>
            <w:vMerge w:val="restart"/>
            <w:tcBorders>
              <w:top w:val="single" w:sz="8" w:space="0" w:color="306E71"/>
              <w:left w:val="single" w:sz="8" w:space="0" w:color="306E71"/>
              <w:bottom w:val="single" w:sz="8" w:space="0" w:color="306E71"/>
              <w:right w:val="single" w:sz="8" w:space="0" w:color="306E71"/>
            </w:tcBorders>
          </w:tcPr>
          <w:p w14:paraId="7A246127" w14:textId="77777777" w:rsidR="00372CDD" w:rsidRDefault="00C87ECC">
            <w:pPr>
              <w:pStyle w:val="TableParagraph"/>
              <w:tabs>
                <w:tab w:val="left" w:pos="1405"/>
              </w:tabs>
              <w:spacing w:before="124" w:line="223" w:lineRule="auto"/>
              <w:ind w:left="107" w:right="86"/>
              <w:jc w:val="both"/>
              <w:rPr>
                <w:sz w:val="23"/>
              </w:rPr>
            </w:pPr>
            <w:r>
              <w:rPr>
                <w:sz w:val="23"/>
              </w:rPr>
              <w:t>Parent, community and</w:t>
            </w:r>
            <w:r>
              <w:rPr>
                <w:sz w:val="23"/>
              </w:rPr>
              <w:tab/>
            </w:r>
            <w:r>
              <w:rPr>
                <w:spacing w:val="-4"/>
                <w:sz w:val="23"/>
              </w:rPr>
              <w:t xml:space="preserve">industry </w:t>
            </w:r>
            <w:r>
              <w:rPr>
                <w:sz w:val="23"/>
              </w:rPr>
              <w:t>engagement</w:t>
            </w:r>
          </w:p>
        </w:tc>
        <w:tc>
          <w:tcPr>
            <w:tcW w:w="8372" w:type="dxa"/>
            <w:tcBorders>
              <w:top w:val="single" w:sz="8" w:space="0" w:color="306E71"/>
              <w:left w:val="single" w:sz="8" w:space="0" w:color="306E71"/>
              <w:bottom w:val="single" w:sz="8" w:space="0" w:color="306E71"/>
              <w:right w:val="single" w:sz="8" w:space="0" w:color="306E71"/>
            </w:tcBorders>
          </w:tcPr>
          <w:p w14:paraId="60B00303" w14:textId="77777777" w:rsidR="00372CDD" w:rsidRDefault="00C87ECC">
            <w:pPr>
              <w:pStyle w:val="TableParagraph"/>
              <w:spacing w:before="127" w:line="220" w:lineRule="auto"/>
              <w:rPr>
                <w:i/>
                <w:sz w:val="23"/>
              </w:rPr>
            </w:pPr>
            <w:r>
              <w:rPr>
                <w:i/>
                <w:sz w:val="23"/>
              </w:rPr>
              <w:t>Roll out a suite of new resources and professional development opportunities to support parent and industry engagement, including tailored resources for specific cohorts</w:t>
            </w:r>
          </w:p>
        </w:tc>
        <w:tc>
          <w:tcPr>
            <w:tcW w:w="1637" w:type="dxa"/>
            <w:tcBorders>
              <w:top w:val="single" w:sz="8" w:space="0" w:color="306E71"/>
              <w:left w:val="single" w:sz="8" w:space="0" w:color="306E71"/>
              <w:bottom w:val="single" w:sz="8" w:space="0" w:color="306E71"/>
              <w:right w:val="single" w:sz="8" w:space="0" w:color="306E71"/>
            </w:tcBorders>
          </w:tcPr>
          <w:p w14:paraId="5B706F04" w14:textId="297227FD" w:rsidR="00372CDD" w:rsidRDefault="004C076B">
            <w:pPr>
              <w:pStyle w:val="TableParagraph"/>
              <w:rPr>
                <w:sz w:val="23"/>
              </w:rPr>
            </w:pPr>
            <w:r>
              <w:rPr>
                <w:sz w:val="23"/>
              </w:rPr>
              <w:t>Government</w:t>
            </w:r>
          </w:p>
        </w:tc>
        <w:tc>
          <w:tcPr>
            <w:tcW w:w="1639" w:type="dxa"/>
            <w:tcBorders>
              <w:top w:val="single" w:sz="8" w:space="0" w:color="306E71"/>
              <w:left w:val="single" w:sz="8" w:space="0" w:color="306E71"/>
              <w:bottom w:val="single" w:sz="8" w:space="0" w:color="306E71"/>
              <w:right w:val="single" w:sz="8" w:space="0" w:color="306E71"/>
            </w:tcBorders>
          </w:tcPr>
          <w:p w14:paraId="035FDFFF" w14:textId="77777777" w:rsidR="00372CDD" w:rsidRDefault="00C87ECC">
            <w:pPr>
              <w:pStyle w:val="TableParagraph"/>
              <w:rPr>
                <w:sz w:val="23"/>
              </w:rPr>
            </w:pPr>
            <w:r>
              <w:rPr>
                <w:sz w:val="23"/>
              </w:rPr>
              <w:t>From 2020</w:t>
            </w:r>
          </w:p>
        </w:tc>
      </w:tr>
      <w:tr w:rsidR="00372CDD" w14:paraId="030ECA8D" w14:textId="77777777">
        <w:trPr>
          <w:trHeight w:val="760"/>
        </w:trPr>
        <w:tc>
          <w:tcPr>
            <w:tcW w:w="2292" w:type="dxa"/>
            <w:vMerge/>
            <w:tcBorders>
              <w:top w:val="nil"/>
              <w:left w:val="single" w:sz="8" w:space="0" w:color="306E71"/>
              <w:bottom w:val="single" w:sz="8" w:space="0" w:color="306E71"/>
              <w:right w:val="single" w:sz="8" w:space="0" w:color="306E71"/>
            </w:tcBorders>
          </w:tcPr>
          <w:p w14:paraId="5AB97D42" w14:textId="77777777" w:rsidR="00372CDD" w:rsidRDefault="00372CDD">
            <w:pPr>
              <w:rPr>
                <w:sz w:val="2"/>
                <w:szCs w:val="2"/>
              </w:rPr>
            </w:pPr>
          </w:p>
        </w:tc>
        <w:tc>
          <w:tcPr>
            <w:tcW w:w="8372" w:type="dxa"/>
            <w:tcBorders>
              <w:top w:val="single" w:sz="8" w:space="0" w:color="306E71"/>
              <w:left w:val="single" w:sz="8" w:space="0" w:color="306E71"/>
              <w:bottom w:val="single" w:sz="8" w:space="0" w:color="306E71"/>
              <w:right w:val="single" w:sz="8" w:space="0" w:color="306E71"/>
            </w:tcBorders>
          </w:tcPr>
          <w:p w14:paraId="1907289E" w14:textId="77777777" w:rsidR="00372CDD" w:rsidRDefault="00C87ECC">
            <w:pPr>
              <w:pStyle w:val="TableParagraph"/>
              <w:spacing w:before="127" w:line="220" w:lineRule="auto"/>
              <w:rPr>
                <w:i/>
                <w:sz w:val="23"/>
              </w:rPr>
            </w:pPr>
            <w:r>
              <w:rPr>
                <w:i/>
                <w:sz w:val="23"/>
              </w:rPr>
              <w:t>Provide professional learning opportunities and resources to enhance parent, community and industry engagement with Catholic schools</w:t>
            </w:r>
          </w:p>
        </w:tc>
        <w:tc>
          <w:tcPr>
            <w:tcW w:w="1637" w:type="dxa"/>
            <w:tcBorders>
              <w:top w:val="single" w:sz="8" w:space="0" w:color="306E71"/>
              <w:left w:val="single" w:sz="8" w:space="0" w:color="306E71"/>
              <w:bottom w:val="single" w:sz="8" w:space="0" w:color="306E71"/>
              <w:right w:val="single" w:sz="8" w:space="0" w:color="306E71"/>
            </w:tcBorders>
          </w:tcPr>
          <w:p w14:paraId="42ADEE7E" w14:textId="77777777" w:rsidR="00372CDD" w:rsidRDefault="00C87ECC">
            <w:pPr>
              <w:pStyle w:val="TableParagraph"/>
              <w:spacing w:before="110"/>
              <w:rPr>
                <w:sz w:val="23"/>
              </w:rPr>
            </w:pPr>
            <w:r>
              <w:rPr>
                <w:sz w:val="23"/>
              </w:rPr>
              <w:t>QCEC</w:t>
            </w:r>
          </w:p>
        </w:tc>
        <w:tc>
          <w:tcPr>
            <w:tcW w:w="1639" w:type="dxa"/>
            <w:tcBorders>
              <w:top w:val="single" w:sz="8" w:space="0" w:color="306E71"/>
              <w:left w:val="single" w:sz="8" w:space="0" w:color="306E71"/>
              <w:bottom w:val="single" w:sz="8" w:space="0" w:color="306E71"/>
              <w:right w:val="single" w:sz="8" w:space="0" w:color="306E71"/>
            </w:tcBorders>
          </w:tcPr>
          <w:p w14:paraId="25A34159" w14:textId="77777777" w:rsidR="00372CDD" w:rsidRDefault="00C87ECC">
            <w:pPr>
              <w:pStyle w:val="TableParagraph"/>
              <w:spacing w:before="110"/>
              <w:rPr>
                <w:sz w:val="23"/>
              </w:rPr>
            </w:pPr>
            <w:r>
              <w:rPr>
                <w:sz w:val="23"/>
              </w:rPr>
              <w:t>From 2020</w:t>
            </w:r>
          </w:p>
        </w:tc>
      </w:tr>
      <w:tr w:rsidR="00372CDD" w14:paraId="091A0D73" w14:textId="77777777">
        <w:trPr>
          <w:trHeight w:val="760"/>
        </w:trPr>
        <w:tc>
          <w:tcPr>
            <w:tcW w:w="2292" w:type="dxa"/>
            <w:vMerge/>
            <w:tcBorders>
              <w:top w:val="nil"/>
              <w:left w:val="single" w:sz="8" w:space="0" w:color="306E71"/>
              <w:bottom w:val="single" w:sz="8" w:space="0" w:color="306E71"/>
              <w:right w:val="single" w:sz="8" w:space="0" w:color="306E71"/>
            </w:tcBorders>
          </w:tcPr>
          <w:p w14:paraId="697D472E" w14:textId="77777777" w:rsidR="00372CDD" w:rsidRDefault="00372CDD">
            <w:pPr>
              <w:rPr>
                <w:sz w:val="2"/>
                <w:szCs w:val="2"/>
              </w:rPr>
            </w:pPr>
          </w:p>
        </w:tc>
        <w:tc>
          <w:tcPr>
            <w:tcW w:w="8372" w:type="dxa"/>
            <w:tcBorders>
              <w:top w:val="single" w:sz="8" w:space="0" w:color="306E71"/>
              <w:left w:val="single" w:sz="8" w:space="0" w:color="306E71"/>
              <w:bottom w:val="single" w:sz="8" w:space="0" w:color="306E71"/>
              <w:right w:val="single" w:sz="8" w:space="0" w:color="306E71"/>
            </w:tcBorders>
          </w:tcPr>
          <w:p w14:paraId="0620A641" w14:textId="77777777" w:rsidR="00372CDD" w:rsidRDefault="00C87ECC">
            <w:pPr>
              <w:pStyle w:val="TableParagraph"/>
              <w:spacing w:before="127" w:line="220" w:lineRule="auto"/>
              <w:rPr>
                <w:i/>
                <w:sz w:val="23"/>
              </w:rPr>
            </w:pPr>
            <w:r>
              <w:rPr>
                <w:i/>
                <w:sz w:val="23"/>
              </w:rPr>
              <w:t>Increase support for schools through resources and professional development to sustain and improve parent engagement strategies</w:t>
            </w:r>
          </w:p>
        </w:tc>
        <w:tc>
          <w:tcPr>
            <w:tcW w:w="1637" w:type="dxa"/>
            <w:tcBorders>
              <w:top w:val="single" w:sz="8" w:space="0" w:color="306E71"/>
              <w:left w:val="single" w:sz="8" w:space="0" w:color="306E71"/>
              <w:bottom w:val="single" w:sz="8" w:space="0" w:color="306E71"/>
              <w:right w:val="single" w:sz="8" w:space="0" w:color="306E71"/>
            </w:tcBorders>
          </w:tcPr>
          <w:p w14:paraId="2D96BD5E" w14:textId="77777777" w:rsidR="00372CDD" w:rsidRDefault="00C87ECC">
            <w:pPr>
              <w:pStyle w:val="TableParagraph"/>
              <w:rPr>
                <w:sz w:val="23"/>
              </w:rPr>
            </w:pPr>
            <w:r>
              <w:rPr>
                <w:sz w:val="23"/>
              </w:rPr>
              <w:t>ISQ</w:t>
            </w:r>
          </w:p>
        </w:tc>
        <w:tc>
          <w:tcPr>
            <w:tcW w:w="1639" w:type="dxa"/>
            <w:tcBorders>
              <w:top w:val="single" w:sz="8" w:space="0" w:color="306E71"/>
              <w:left w:val="single" w:sz="8" w:space="0" w:color="306E71"/>
              <w:bottom w:val="single" w:sz="8" w:space="0" w:color="306E71"/>
              <w:right w:val="single" w:sz="8" w:space="0" w:color="306E71"/>
            </w:tcBorders>
          </w:tcPr>
          <w:p w14:paraId="0AEB8A01" w14:textId="77777777" w:rsidR="00372CDD" w:rsidRDefault="00C87ECC">
            <w:pPr>
              <w:pStyle w:val="TableParagraph"/>
              <w:rPr>
                <w:sz w:val="23"/>
              </w:rPr>
            </w:pPr>
            <w:r>
              <w:rPr>
                <w:sz w:val="23"/>
              </w:rPr>
              <w:t>2019-2021</w:t>
            </w:r>
          </w:p>
        </w:tc>
      </w:tr>
      <w:tr w:rsidR="00372CDD" w14:paraId="7D3537FC" w14:textId="77777777">
        <w:trPr>
          <w:trHeight w:val="491"/>
        </w:trPr>
        <w:tc>
          <w:tcPr>
            <w:tcW w:w="13940" w:type="dxa"/>
            <w:gridSpan w:val="4"/>
            <w:tcBorders>
              <w:top w:val="single" w:sz="8" w:space="0" w:color="306E71"/>
              <w:left w:val="single" w:sz="8" w:space="0" w:color="306E71"/>
              <w:bottom w:val="single" w:sz="8" w:space="0" w:color="306E71"/>
              <w:right w:val="single" w:sz="8" w:space="0" w:color="306E71"/>
            </w:tcBorders>
          </w:tcPr>
          <w:p w14:paraId="4782BA63" w14:textId="77777777" w:rsidR="00372CDD" w:rsidRDefault="00C87ECC">
            <w:pPr>
              <w:pStyle w:val="TableParagraph"/>
              <w:ind w:left="107"/>
              <w:rPr>
                <w:b/>
                <w:sz w:val="23"/>
              </w:rPr>
            </w:pPr>
            <w:r>
              <w:rPr>
                <w:b/>
                <w:sz w:val="23"/>
              </w:rPr>
              <w:t>Reform Direction C – Enhancing the national evidence base</w:t>
            </w:r>
          </w:p>
        </w:tc>
      </w:tr>
      <w:tr w:rsidR="00372CDD" w14:paraId="513FA611" w14:textId="77777777">
        <w:trPr>
          <w:trHeight w:val="1365"/>
        </w:trPr>
        <w:tc>
          <w:tcPr>
            <w:tcW w:w="2292" w:type="dxa"/>
            <w:tcBorders>
              <w:top w:val="single" w:sz="8" w:space="0" w:color="306E71"/>
              <w:left w:val="single" w:sz="8" w:space="0" w:color="306E71"/>
              <w:bottom w:val="single" w:sz="8" w:space="0" w:color="306E71"/>
              <w:right w:val="single" w:sz="8" w:space="0" w:color="306E71"/>
            </w:tcBorders>
          </w:tcPr>
          <w:p w14:paraId="7DB1BE72" w14:textId="77777777" w:rsidR="00372CDD" w:rsidRDefault="00C87ECC">
            <w:pPr>
              <w:pStyle w:val="TableParagraph"/>
              <w:tabs>
                <w:tab w:val="left" w:pos="1766"/>
              </w:tabs>
              <w:spacing w:before="128"/>
              <w:ind w:left="107" w:right="84"/>
              <w:jc w:val="both"/>
              <w:rPr>
                <w:sz w:val="23"/>
              </w:rPr>
            </w:pPr>
            <w:r>
              <w:rPr>
                <w:sz w:val="23"/>
              </w:rPr>
              <w:t>Nationally Consistent Collection of Data on Students</w:t>
            </w:r>
            <w:r>
              <w:rPr>
                <w:sz w:val="23"/>
              </w:rPr>
              <w:tab/>
            </w:r>
            <w:r>
              <w:rPr>
                <w:spacing w:val="-6"/>
                <w:sz w:val="23"/>
              </w:rPr>
              <w:t xml:space="preserve">with </w:t>
            </w:r>
            <w:r>
              <w:rPr>
                <w:sz w:val="23"/>
              </w:rPr>
              <w:t>Disability</w:t>
            </w:r>
          </w:p>
        </w:tc>
        <w:tc>
          <w:tcPr>
            <w:tcW w:w="8372" w:type="dxa"/>
            <w:tcBorders>
              <w:top w:val="single" w:sz="2" w:space="0" w:color="306E71"/>
              <w:left w:val="single" w:sz="8" w:space="0" w:color="306E71"/>
              <w:bottom w:val="single" w:sz="2" w:space="0" w:color="306E71"/>
              <w:right w:val="single" w:sz="8" w:space="0" w:color="306E71"/>
            </w:tcBorders>
          </w:tcPr>
          <w:p w14:paraId="26E41E04" w14:textId="77777777" w:rsidR="00372CDD" w:rsidRDefault="00C87ECC">
            <w:pPr>
              <w:pStyle w:val="TableParagraph"/>
              <w:spacing w:before="136" w:line="220" w:lineRule="auto"/>
              <w:rPr>
                <w:i/>
                <w:sz w:val="23"/>
              </w:rPr>
            </w:pPr>
            <w:r>
              <w:rPr>
                <w:i/>
                <w:sz w:val="23"/>
              </w:rPr>
              <w:t>Conduct moderation of Nationally Consistent Collection of Data on Students with Disability across Queensland schooling sectors</w:t>
            </w:r>
          </w:p>
        </w:tc>
        <w:tc>
          <w:tcPr>
            <w:tcW w:w="1637" w:type="dxa"/>
            <w:tcBorders>
              <w:top w:val="single" w:sz="8" w:space="0" w:color="306E71"/>
              <w:left w:val="single" w:sz="8" w:space="0" w:color="306E71"/>
              <w:bottom w:val="single" w:sz="8" w:space="0" w:color="306E71"/>
              <w:right w:val="single" w:sz="8" w:space="0" w:color="306E71"/>
            </w:tcBorders>
          </w:tcPr>
          <w:p w14:paraId="18604A02" w14:textId="77777777" w:rsidR="00372CDD" w:rsidRDefault="00C87ECC">
            <w:pPr>
              <w:pStyle w:val="TableParagraph"/>
              <w:spacing w:before="119"/>
              <w:rPr>
                <w:sz w:val="23"/>
              </w:rPr>
            </w:pPr>
            <w:r>
              <w:rPr>
                <w:sz w:val="23"/>
              </w:rPr>
              <w:t>All sectors</w:t>
            </w:r>
          </w:p>
        </w:tc>
        <w:tc>
          <w:tcPr>
            <w:tcW w:w="1639" w:type="dxa"/>
            <w:tcBorders>
              <w:top w:val="single" w:sz="8" w:space="0" w:color="306E71"/>
              <w:left w:val="single" w:sz="8" w:space="0" w:color="306E71"/>
              <w:bottom w:val="single" w:sz="8" w:space="0" w:color="306E71"/>
              <w:right w:val="single" w:sz="8" w:space="0" w:color="306E71"/>
            </w:tcBorders>
          </w:tcPr>
          <w:p w14:paraId="4103FE4D" w14:textId="77777777" w:rsidR="00372CDD" w:rsidRDefault="00C87ECC">
            <w:pPr>
              <w:pStyle w:val="TableParagraph"/>
              <w:spacing w:before="136" w:line="220" w:lineRule="auto"/>
              <w:ind w:right="410"/>
              <w:rPr>
                <w:sz w:val="23"/>
              </w:rPr>
            </w:pPr>
            <w:r>
              <w:rPr>
                <w:sz w:val="23"/>
              </w:rPr>
              <w:t>Life of Agreement</w:t>
            </w:r>
          </w:p>
        </w:tc>
      </w:tr>
      <w:tr w:rsidR="00372CDD" w14:paraId="6D67D93E" w14:textId="77777777">
        <w:trPr>
          <w:trHeight w:val="760"/>
        </w:trPr>
        <w:tc>
          <w:tcPr>
            <w:tcW w:w="2292" w:type="dxa"/>
            <w:vMerge w:val="restart"/>
            <w:tcBorders>
              <w:top w:val="single" w:sz="8" w:space="0" w:color="306E71"/>
              <w:left w:val="single" w:sz="8" w:space="0" w:color="306E71"/>
              <w:bottom w:val="single" w:sz="4" w:space="0" w:color="000000"/>
              <w:right w:val="single" w:sz="8" w:space="0" w:color="306E71"/>
            </w:tcBorders>
          </w:tcPr>
          <w:p w14:paraId="11D2A8B4" w14:textId="77777777" w:rsidR="00372CDD" w:rsidRDefault="00C87ECC">
            <w:pPr>
              <w:pStyle w:val="TableParagraph"/>
              <w:tabs>
                <w:tab w:val="left" w:pos="844"/>
                <w:tab w:val="left" w:pos="1824"/>
              </w:tabs>
              <w:spacing w:before="126"/>
              <w:ind w:left="107" w:right="87"/>
              <w:rPr>
                <w:sz w:val="23"/>
              </w:rPr>
            </w:pPr>
            <w:r>
              <w:rPr>
                <w:sz w:val="23"/>
              </w:rPr>
              <w:t>Data</w:t>
            </w:r>
            <w:r>
              <w:rPr>
                <w:sz w:val="23"/>
              </w:rPr>
              <w:tab/>
              <w:t>literacy</w:t>
            </w:r>
            <w:r>
              <w:rPr>
                <w:sz w:val="23"/>
              </w:rPr>
              <w:tab/>
            </w:r>
            <w:r>
              <w:rPr>
                <w:spacing w:val="-6"/>
                <w:sz w:val="23"/>
              </w:rPr>
              <w:t xml:space="preserve">and </w:t>
            </w:r>
            <w:r>
              <w:rPr>
                <w:sz w:val="23"/>
              </w:rPr>
              <w:t>development</w:t>
            </w:r>
          </w:p>
        </w:tc>
        <w:tc>
          <w:tcPr>
            <w:tcW w:w="8372" w:type="dxa"/>
            <w:tcBorders>
              <w:top w:val="single" w:sz="2" w:space="0" w:color="306E71"/>
              <w:left w:val="single" w:sz="8" w:space="0" w:color="306E71"/>
              <w:bottom w:val="single" w:sz="2" w:space="0" w:color="306E71"/>
              <w:right w:val="single" w:sz="8" w:space="0" w:color="306E71"/>
            </w:tcBorders>
          </w:tcPr>
          <w:p w14:paraId="599EC2A7" w14:textId="1B74D101" w:rsidR="00372CDD" w:rsidRDefault="00C87ECC" w:rsidP="003C166B">
            <w:pPr>
              <w:pStyle w:val="TableParagraph"/>
              <w:spacing w:before="116"/>
              <w:rPr>
                <w:i/>
                <w:sz w:val="23"/>
              </w:rPr>
            </w:pPr>
            <w:r>
              <w:rPr>
                <w:i/>
                <w:sz w:val="23"/>
              </w:rPr>
              <w:t xml:space="preserve">Develop a data literacy framework for </w:t>
            </w:r>
            <w:r w:rsidR="003C166B">
              <w:rPr>
                <w:i/>
                <w:sz w:val="23"/>
              </w:rPr>
              <w:t xml:space="preserve">government </w:t>
            </w:r>
            <w:r>
              <w:rPr>
                <w:i/>
                <w:sz w:val="23"/>
              </w:rPr>
              <w:t>school leaders and teachers</w:t>
            </w:r>
          </w:p>
        </w:tc>
        <w:tc>
          <w:tcPr>
            <w:tcW w:w="1637" w:type="dxa"/>
            <w:tcBorders>
              <w:top w:val="single" w:sz="8" w:space="0" w:color="306E71"/>
              <w:left w:val="single" w:sz="8" w:space="0" w:color="306E71"/>
              <w:bottom w:val="single" w:sz="8" w:space="0" w:color="306E71"/>
              <w:right w:val="single" w:sz="8" w:space="0" w:color="306E71"/>
            </w:tcBorders>
          </w:tcPr>
          <w:p w14:paraId="3A9E6286" w14:textId="6B82E0C3" w:rsidR="00372CDD" w:rsidRDefault="004C076B">
            <w:pPr>
              <w:pStyle w:val="TableParagraph"/>
              <w:spacing w:before="116"/>
              <w:rPr>
                <w:sz w:val="23"/>
              </w:rPr>
            </w:pPr>
            <w:r>
              <w:rPr>
                <w:sz w:val="23"/>
              </w:rPr>
              <w:t>Government</w:t>
            </w:r>
          </w:p>
        </w:tc>
        <w:tc>
          <w:tcPr>
            <w:tcW w:w="1639" w:type="dxa"/>
            <w:tcBorders>
              <w:top w:val="single" w:sz="8" w:space="0" w:color="306E71"/>
              <w:left w:val="single" w:sz="8" w:space="0" w:color="306E71"/>
              <w:bottom w:val="single" w:sz="8" w:space="0" w:color="306E71"/>
              <w:right w:val="single" w:sz="8" w:space="0" w:color="306E71"/>
            </w:tcBorders>
          </w:tcPr>
          <w:p w14:paraId="6936910F" w14:textId="77777777" w:rsidR="00372CDD" w:rsidRDefault="00C87ECC">
            <w:pPr>
              <w:pStyle w:val="TableParagraph"/>
              <w:spacing w:before="134" w:line="220" w:lineRule="auto"/>
              <w:ind w:right="495"/>
              <w:rPr>
                <w:sz w:val="23"/>
              </w:rPr>
            </w:pPr>
            <w:r>
              <w:rPr>
                <w:sz w:val="23"/>
              </w:rPr>
              <w:t>From mid- 2019</w:t>
            </w:r>
          </w:p>
        </w:tc>
      </w:tr>
      <w:tr w:rsidR="00372CDD" w14:paraId="7CB54F0B" w14:textId="77777777">
        <w:trPr>
          <w:trHeight w:val="1279"/>
        </w:trPr>
        <w:tc>
          <w:tcPr>
            <w:tcW w:w="2292" w:type="dxa"/>
            <w:vMerge/>
            <w:tcBorders>
              <w:top w:val="nil"/>
              <w:left w:val="single" w:sz="8" w:space="0" w:color="306E71"/>
              <w:bottom w:val="single" w:sz="4" w:space="0" w:color="000000"/>
              <w:right w:val="single" w:sz="8" w:space="0" w:color="306E71"/>
            </w:tcBorders>
          </w:tcPr>
          <w:p w14:paraId="440615D6" w14:textId="77777777" w:rsidR="00372CDD" w:rsidRDefault="00372CDD">
            <w:pPr>
              <w:rPr>
                <w:sz w:val="2"/>
                <w:szCs w:val="2"/>
              </w:rPr>
            </w:pPr>
          </w:p>
        </w:tc>
        <w:tc>
          <w:tcPr>
            <w:tcW w:w="8372" w:type="dxa"/>
            <w:tcBorders>
              <w:top w:val="single" w:sz="2" w:space="0" w:color="306E71"/>
              <w:left w:val="single" w:sz="8" w:space="0" w:color="306E71"/>
              <w:bottom w:val="single" w:sz="2" w:space="0" w:color="306E71"/>
              <w:right w:val="single" w:sz="8" w:space="0" w:color="306E71"/>
            </w:tcBorders>
          </w:tcPr>
          <w:p w14:paraId="38808564" w14:textId="77777777" w:rsidR="00372CDD" w:rsidRDefault="00C87ECC">
            <w:pPr>
              <w:pStyle w:val="TableParagraph"/>
              <w:spacing w:before="132" w:line="223" w:lineRule="auto"/>
              <w:ind w:right="89"/>
              <w:jc w:val="both"/>
              <w:rPr>
                <w:i/>
                <w:sz w:val="23"/>
              </w:rPr>
            </w:pPr>
            <w:r>
              <w:rPr>
                <w:i/>
                <w:sz w:val="23"/>
              </w:rPr>
              <w:t>Develop strategies to enhance data literacy among Catholic school leaders and teachers, support development of data tools and frameworks to inform planning and development of education policy and practices in Catholic schools, and support roll out of NAPLAN Online to Catholic schools</w:t>
            </w:r>
          </w:p>
        </w:tc>
        <w:tc>
          <w:tcPr>
            <w:tcW w:w="1637" w:type="dxa"/>
            <w:tcBorders>
              <w:top w:val="single" w:sz="8" w:space="0" w:color="306E71"/>
              <w:left w:val="single" w:sz="8" w:space="0" w:color="306E71"/>
              <w:bottom w:val="single" w:sz="8" w:space="0" w:color="306E71"/>
              <w:right w:val="single" w:sz="8" w:space="0" w:color="306E71"/>
            </w:tcBorders>
          </w:tcPr>
          <w:p w14:paraId="358A0E38" w14:textId="77777777" w:rsidR="00372CDD" w:rsidRDefault="00C87ECC">
            <w:pPr>
              <w:pStyle w:val="TableParagraph"/>
              <w:spacing w:before="116"/>
              <w:rPr>
                <w:sz w:val="23"/>
              </w:rPr>
            </w:pPr>
            <w:r>
              <w:rPr>
                <w:sz w:val="23"/>
              </w:rPr>
              <w:t>QCEC</w:t>
            </w:r>
          </w:p>
        </w:tc>
        <w:tc>
          <w:tcPr>
            <w:tcW w:w="1639" w:type="dxa"/>
            <w:tcBorders>
              <w:top w:val="single" w:sz="8" w:space="0" w:color="306E71"/>
              <w:left w:val="single" w:sz="8" w:space="0" w:color="306E71"/>
              <w:bottom w:val="single" w:sz="8" w:space="0" w:color="306E71"/>
              <w:right w:val="single" w:sz="8" w:space="0" w:color="306E71"/>
            </w:tcBorders>
          </w:tcPr>
          <w:p w14:paraId="0C50395D" w14:textId="77777777" w:rsidR="00372CDD" w:rsidRDefault="00C87ECC">
            <w:pPr>
              <w:pStyle w:val="TableParagraph"/>
              <w:spacing w:before="116"/>
              <w:rPr>
                <w:sz w:val="23"/>
              </w:rPr>
            </w:pPr>
            <w:r>
              <w:rPr>
                <w:sz w:val="23"/>
              </w:rPr>
              <w:t>From 2019</w:t>
            </w:r>
          </w:p>
        </w:tc>
      </w:tr>
      <w:tr w:rsidR="00372CDD" w14:paraId="38C409BE" w14:textId="77777777">
        <w:trPr>
          <w:trHeight w:val="769"/>
        </w:trPr>
        <w:tc>
          <w:tcPr>
            <w:tcW w:w="2292" w:type="dxa"/>
            <w:vMerge/>
            <w:tcBorders>
              <w:top w:val="nil"/>
              <w:left w:val="single" w:sz="8" w:space="0" w:color="306E71"/>
              <w:bottom w:val="single" w:sz="4" w:space="0" w:color="000000"/>
              <w:right w:val="single" w:sz="8" w:space="0" w:color="306E71"/>
            </w:tcBorders>
          </w:tcPr>
          <w:p w14:paraId="52A643EB" w14:textId="77777777" w:rsidR="00372CDD" w:rsidRDefault="00372CDD">
            <w:pPr>
              <w:rPr>
                <w:sz w:val="2"/>
                <w:szCs w:val="2"/>
              </w:rPr>
            </w:pPr>
          </w:p>
        </w:tc>
        <w:tc>
          <w:tcPr>
            <w:tcW w:w="8372" w:type="dxa"/>
            <w:tcBorders>
              <w:top w:val="single" w:sz="2" w:space="0" w:color="306E71"/>
              <w:left w:val="single" w:sz="8" w:space="0" w:color="306E71"/>
              <w:bottom w:val="single" w:sz="8" w:space="0" w:color="306E71"/>
              <w:right w:val="single" w:sz="8" w:space="0" w:color="306E71"/>
            </w:tcBorders>
          </w:tcPr>
          <w:p w14:paraId="4F887001" w14:textId="77777777" w:rsidR="00372CDD" w:rsidRDefault="00C87ECC">
            <w:pPr>
              <w:pStyle w:val="TableParagraph"/>
              <w:spacing w:before="136" w:line="220" w:lineRule="auto"/>
              <w:ind w:right="19"/>
              <w:rPr>
                <w:i/>
                <w:sz w:val="23"/>
              </w:rPr>
            </w:pPr>
            <w:r>
              <w:rPr>
                <w:i/>
                <w:sz w:val="23"/>
              </w:rPr>
              <w:t>Utilise educational data for school improvement through the increased provision of support and online learning opportunities for teachers</w:t>
            </w:r>
          </w:p>
        </w:tc>
        <w:tc>
          <w:tcPr>
            <w:tcW w:w="1637" w:type="dxa"/>
            <w:tcBorders>
              <w:top w:val="single" w:sz="8" w:space="0" w:color="306E71"/>
              <w:left w:val="single" w:sz="8" w:space="0" w:color="306E71"/>
              <w:bottom w:val="single" w:sz="8" w:space="0" w:color="306E71"/>
              <w:right w:val="single" w:sz="8" w:space="0" w:color="306E71"/>
            </w:tcBorders>
          </w:tcPr>
          <w:p w14:paraId="403DA3D7" w14:textId="77777777" w:rsidR="00372CDD" w:rsidRDefault="00C87ECC">
            <w:pPr>
              <w:pStyle w:val="TableParagraph"/>
              <w:spacing w:before="119"/>
              <w:rPr>
                <w:sz w:val="23"/>
              </w:rPr>
            </w:pPr>
            <w:r>
              <w:rPr>
                <w:sz w:val="23"/>
              </w:rPr>
              <w:t>ISQ</w:t>
            </w:r>
          </w:p>
        </w:tc>
        <w:tc>
          <w:tcPr>
            <w:tcW w:w="1639" w:type="dxa"/>
            <w:tcBorders>
              <w:top w:val="single" w:sz="8" w:space="0" w:color="306E71"/>
              <w:left w:val="single" w:sz="8" w:space="0" w:color="306E71"/>
              <w:bottom w:val="single" w:sz="8" w:space="0" w:color="306E71"/>
              <w:right w:val="single" w:sz="8" w:space="0" w:color="306E71"/>
            </w:tcBorders>
          </w:tcPr>
          <w:p w14:paraId="17C341E7" w14:textId="77777777" w:rsidR="00372CDD" w:rsidRDefault="00C87ECC">
            <w:pPr>
              <w:pStyle w:val="TableParagraph"/>
              <w:spacing w:before="136" w:line="220" w:lineRule="auto"/>
              <w:ind w:right="410"/>
              <w:rPr>
                <w:sz w:val="23"/>
              </w:rPr>
            </w:pPr>
            <w:r>
              <w:rPr>
                <w:sz w:val="23"/>
              </w:rPr>
              <w:t>Life of Agreement</w:t>
            </w:r>
          </w:p>
        </w:tc>
      </w:tr>
    </w:tbl>
    <w:p w14:paraId="53B69B29" w14:textId="77777777" w:rsidR="00372CDD" w:rsidRDefault="00372CDD">
      <w:pPr>
        <w:spacing w:line="220" w:lineRule="auto"/>
        <w:rPr>
          <w:sz w:val="23"/>
        </w:rPr>
        <w:sectPr w:rsidR="00372CDD" w:rsidSect="00A829E7">
          <w:pgSz w:w="16840" w:h="11910" w:orient="landscape"/>
          <w:pgMar w:top="1180" w:right="1320" w:bottom="851" w:left="1340" w:header="746" w:footer="171" w:gutter="0"/>
          <w:cols w:space="720"/>
        </w:sectPr>
      </w:pPr>
    </w:p>
    <w:p w14:paraId="1F6B4545" w14:textId="77777777" w:rsidR="00372CDD" w:rsidRDefault="00372CDD">
      <w:pPr>
        <w:pStyle w:val="BodyText"/>
        <w:rPr>
          <w:rFonts w:ascii="Times New Roman"/>
          <w:sz w:val="20"/>
        </w:rPr>
      </w:pPr>
    </w:p>
    <w:p w14:paraId="714D2594" w14:textId="77777777" w:rsidR="00372CDD" w:rsidRDefault="00372CDD">
      <w:pPr>
        <w:pStyle w:val="BodyText"/>
        <w:rPr>
          <w:rFonts w:ascii="Times New Roman"/>
          <w:sz w:val="24"/>
        </w:rPr>
      </w:pPr>
    </w:p>
    <w:p w14:paraId="37A7A3D7" w14:textId="77777777" w:rsidR="00372CDD" w:rsidRDefault="00C87ECC">
      <w:pPr>
        <w:pStyle w:val="Heading1"/>
        <w:spacing w:before="33"/>
        <w:ind w:left="120"/>
      </w:pPr>
      <w:r>
        <w:rPr>
          <w:color w:val="306E71"/>
        </w:rPr>
        <w:t>Part 2 — STATE AND TERRITORY FUNDING CONTRIBUTIONS</w:t>
      </w:r>
    </w:p>
    <w:p w14:paraId="3545395C" w14:textId="77777777" w:rsidR="00372CDD" w:rsidRDefault="00C87ECC">
      <w:pPr>
        <w:pStyle w:val="Heading2"/>
        <w:spacing w:before="207"/>
        <w:ind w:left="120"/>
      </w:pPr>
      <w:r>
        <w:rPr>
          <w:color w:val="306E71"/>
        </w:rPr>
        <w:t>Required state funding contributions</w:t>
      </w:r>
    </w:p>
    <w:p w14:paraId="3BB6587C" w14:textId="77777777" w:rsidR="00372CDD" w:rsidRDefault="00C87ECC">
      <w:pPr>
        <w:pStyle w:val="ListParagraph"/>
        <w:numPr>
          <w:ilvl w:val="0"/>
          <w:numId w:val="3"/>
        </w:numPr>
        <w:tabs>
          <w:tab w:val="left" w:pos="687"/>
        </w:tabs>
        <w:spacing w:before="124" w:line="223" w:lineRule="auto"/>
        <w:ind w:left="686" w:right="117" w:hanging="566"/>
        <w:rPr>
          <w:sz w:val="23"/>
        </w:rPr>
      </w:pPr>
      <w:r>
        <w:rPr>
          <w:sz w:val="23"/>
        </w:rPr>
        <w:t>Under section 22A of the Act, the state must meet its funding contributions for the government and non-government sectors as a condition of receiving Commonwealth funding.</w:t>
      </w:r>
    </w:p>
    <w:p w14:paraId="5D6D739F" w14:textId="77777777" w:rsidR="00372CDD" w:rsidRDefault="00372CDD">
      <w:pPr>
        <w:pStyle w:val="BodyText"/>
        <w:spacing w:before="2"/>
        <w:rPr>
          <w:sz w:val="19"/>
        </w:rPr>
      </w:pPr>
    </w:p>
    <w:p w14:paraId="4AF98E27" w14:textId="77777777" w:rsidR="00372CDD" w:rsidRDefault="00C87ECC">
      <w:pPr>
        <w:pStyle w:val="ListParagraph"/>
        <w:numPr>
          <w:ilvl w:val="0"/>
          <w:numId w:val="3"/>
        </w:numPr>
        <w:tabs>
          <w:tab w:val="left" w:pos="687"/>
        </w:tabs>
        <w:spacing w:before="1" w:line="223" w:lineRule="auto"/>
        <w:ind w:left="686" w:hanging="566"/>
        <w:rPr>
          <w:sz w:val="23"/>
        </w:rPr>
      </w:pPr>
      <w:r>
        <w:rPr>
          <w:sz w:val="23"/>
        </w:rPr>
        <w:t>The</w:t>
      </w:r>
      <w:r>
        <w:rPr>
          <w:spacing w:val="-3"/>
          <w:sz w:val="23"/>
        </w:rPr>
        <w:t xml:space="preserve"> </w:t>
      </w:r>
      <w:r>
        <w:rPr>
          <w:sz w:val="23"/>
        </w:rPr>
        <w:t>funding</w:t>
      </w:r>
      <w:r>
        <w:rPr>
          <w:spacing w:val="-2"/>
          <w:sz w:val="23"/>
        </w:rPr>
        <w:t xml:space="preserve"> </w:t>
      </w:r>
      <w:r>
        <w:rPr>
          <w:sz w:val="23"/>
        </w:rPr>
        <w:t>contributions</w:t>
      </w:r>
      <w:r>
        <w:rPr>
          <w:spacing w:val="-4"/>
          <w:sz w:val="23"/>
        </w:rPr>
        <w:t xml:space="preserve"> </w:t>
      </w:r>
      <w:r>
        <w:rPr>
          <w:sz w:val="23"/>
        </w:rPr>
        <w:t>for</w:t>
      </w:r>
      <w:r>
        <w:rPr>
          <w:spacing w:val="-2"/>
          <w:sz w:val="23"/>
        </w:rPr>
        <w:t xml:space="preserve"> </w:t>
      </w:r>
      <w:r>
        <w:rPr>
          <w:sz w:val="23"/>
        </w:rPr>
        <w:t>the</w:t>
      </w:r>
      <w:r>
        <w:rPr>
          <w:spacing w:val="-3"/>
          <w:sz w:val="23"/>
        </w:rPr>
        <w:t xml:space="preserve"> </w:t>
      </w:r>
      <w:r>
        <w:rPr>
          <w:sz w:val="23"/>
        </w:rPr>
        <w:t>government</w:t>
      </w:r>
      <w:r>
        <w:rPr>
          <w:spacing w:val="-3"/>
          <w:sz w:val="23"/>
        </w:rPr>
        <w:t xml:space="preserve"> </w:t>
      </w:r>
      <w:r>
        <w:rPr>
          <w:sz w:val="23"/>
        </w:rPr>
        <w:t>and</w:t>
      </w:r>
      <w:r>
        <w:rPr>
          <w:spacing w:val="-6"/>
          <w:sz w:val="23"/>
        </w:rPr>
        <w:t xml:space="preserve"> </w:t>
      </w:r>
      <w:r>
        <w:rPr>
          <w:sz w:val="23"/>
        </w:rPr>
        <w:t>non-government</w:t>
      </w:r>
      <w:r>
        <w:rPr>
          <w:spacing w:val="-3"/>
          <w:sz w:val="23"/>
        </w:rPr>
        <w:t xml:space="preserve"> </w:t>
      </w:r>
      <w:r>
        <w:rPr>
          <w:sz w:val="23"/>
        </w:rPr>
        <w:t>sectors</w:t>
      </w:r>
      <w:r>
        <w:rPr>
          <w:spacing w:val="-5"/>
          <w:sz w:val="23"/>
        </w:rPr>
        <w:t xml:space="preserve"> </w:t>
      </w:r>
      <w:r>
        <w:rPr>
          <w:sz w:val="23"/>
        </w:rPr>
        <w:t>agreed</w:t>
      </w:r>
      <w:r>
        <w:rPr>
          <w:spacing w:val="-3"/>
          <w:sz w:val="23"/>
        </w:rPr>
        <w:t xml:space="preserve"> </w:t>
      </w:r>
      <w:r>
        <w:rPr>
          <w:sz w:val="23"/>
        </w:rPr>
        <w:t>in</w:t>
      </w:r>
      <w:r>
        <w:rPr>
          <w:spacing w:val="-2"/>
          <w:sz w:val="23"/>
        </w:rPr>
        <w:t xml:space="preserve"> </w:t>
      </w:r>
      <w:r>
        <w:rPr>
          <w:sz w:val="23"/>
        </w:rPr>
        <w:t xml:space="preserve">this agreement are outlined in the table below for each year from 2018 to 2023. The </w:t>
      </w:r>
      <w:r w:rsidRPr="000D2F83">
        <w:rPr>
          <w:sz w:val="23"/>
        </w:rPr>
        <w:t>minimum</w:t>
      </w:r>
      <w:r>
        <w:rPr>
          <w:sz w:val="23"/>
        </w:rPr>
        <w:t xml:space="preserve"> </w:t>
      </w:r>
      <w:r w:rsidR="00CD48A1">
        <w:rPr>
          <w:sz w:val="23"/>
        </w:rPr>
        <w:t>funding contributions</w:t>
      </w:r>
      <w:r>
        <w:rPr>
          <w:sz w:val="23"/>
        </w:rPr>
        <w:t xml:space="preserve"> are expressed as a percentage of the Schooling Resource Standard (SRS) as defined in Part 3 of the</w:t>
      </w:r>
      <w:r>
        <w:rPr>
          <w:spacing w:val="-5"/>
          <w:sz w:val="23"/>
        </w:rPr>
        <w:t xml:space="preserve"> </w:t>
      </w:r>
      <w:r>
        <w:rPr>
          <w:sz w:val="23"/>
        </w:rPr>
        <w:t>Act.</w:t>
      </w:r>
    </w:p>
    <w:p w14:paraId="62CF3D84" w14:textId="77777777" w:rsidR="00372CDD" w:rsidRDefault="00372CDD">
      <w:pPr>
        <w:pStyle w:val="BodyText"/>
        <w:spacing w:before="7"/>
        <w:rPr>
          <w:sz w:val="19"/>
        </w:rPr>
      </w:pPr>
    </w:p>
    <w:p w14:paraId="4377D881" w14:textId="16F58B09" w:rsidR="00372CDD" w:rsidRDefault="00C87ECC">
      <w:pPr>
        <w:pStyle w:val="ListParagraph"/>
        <w:numPr>
          <w:ilvl w:val="0"/>
          <w:numId w:val="3"/>
        </w:numPr>
        <w:tabs>
          <w:tab w:val="left" w:pos="687"/>
        </w:tabs>
        <w:spacing w:line="220" w:lineRule="auto"/>
        <w:ind w:left="686" w:right="121" w:hanging="566"/>
        <w:rPr>
          <w:sz w:val="23"/>
        </w:rPr>
      </w:pPr>
      <w:r>
        <w:rPr>
          <w:sz w:val="23"/>
        </w:rPr>
        <w:t xml:space="preserve">The transition path set out below requires significant investment by the </w:t>
      </w:r>
      <w:r w:rsidR="008E004C">
        <w:rPr>
          <w:sz w:val="23"/>
        </w:rPr>
        <w:t>s</w:t>
      </w:r>
      <w:r>
        <w:rPr>
          <w:sz w:val="23"/>
        </w:rPr>
        <w:t>tate each year for the period of the agreement with steady growth towards 75% of the SRS by</w:t>
      </w:r>
      <w:r w:rsidR="00667EDF">
        <w:rPr>
          <w:spacing w:val="-22"/>
          <w:sz w:val="23"/>
        </w:rPr>
        <w:t>2032</w:t>
      </w:r>
      <w:r>
        <w:rPr>
          <w:sz w:val="23"/>
        </w:rPr>
        <w:t>.</w:t>
      </w:r>
    </w:p>
    <w:p w14:paraId="67B9A7C0" w14:textId="77777777" w:rsidR="00372CDD" w:rsidRDefault="00372CDD">
      <w:pPr>
        <w:pStyle w:val="BodyText"/>
        <w:spacing w:before="3"/>
        <w:rPr>
          <w:sz w:val="19"/>
        </w:rPr>
      </w:pPr>
    </w:p>
    <w:tbl>
      <w:tblPr>
        <w:tblW w:w="0" w:type="auto"/>
        <w:tblInd w:w="12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0" w:type="dxa"/>
          <w:right w:w="0" w:type="dxa"/>
        </w:tblCellMar>
        <w:tblLook w:val="01E0" w:firstRow="1" w:lastRow="1" w:firstColumn="1" w:lastColumn="1" w:noHBand="0" w:noVBand="0"/>
      </w:tblPr>
      <w:tblGrid>
        <w:gridCol w:w="2602"/>
        <w:gridCol w:w="1061"/>
        <w:gridCol w:w="1061"/>
        <w:gridCol w:w="1061"/>
        <w:gridCol w:w="1063"/>
        <w:gridCol w:w="1061"/>
        <w:gridCol w:w="1057"/>
      </w:tblGrid>
      <w:tr w:rsidR="00372CDD" w14:paraId="55AFC6E4" w14:textId="77777777">
        <w:trPr>
          <w:trHeight w:val="528"/>
        </w:trPr>
        <w:tc>
          <w:tcPr>
            <w:tcW w:w="2602" w:type="dxa"/>
            <w:tcBorders>
              <w:top w:val="nil"/>
              <w:left w:val="nil"/>
              <w:bottom w:val="nil"/>
              <w:right w:val="nil"/>
            </w:tcBorders>
            <w:shd w:val="clear" w:color="auto" w:fill="306E71"/>
          </w:tcPr>
          <w:p w14:paraId="58655740" w14:textId="77777777" w:rsidR="00372CDD" w:rsidRDefault="00C87ECC">
            <w:pPr>
              <w:pStyle w:val="TableParagraph"/>
              <w:spacing w:before="177"/>
              <w:ind w:left="110"/>
              <w:rPr>
                <w:b/>
                <w:sz w:val="24"/>
              </w:rPr>
            </w:pPr>
            <w:r>
              <w:rPr>
                <w:b/>
                <w:color w:val="FFFFFF"/>
                <w:sz w:val="24"/>
              </w:rPr>
              <w:t>Sector</w:t>
            </w:r>
          </w:p>
        </w:tc>
        <w:tc>
          <w:tcPr>
            <w:tcW w:w="1061" w:type="dxa"/>
            <w:tcBorders>
              <w:top w:val="nil"/>
              <w:left w:val="nil"/>
              <w:bottom w:val="nil"/>
              <w:right w:val="nil"/>
            </w:tcBorders>
            <w:shd w:val="clear" w:color="auto" w:fill="306E71"/>
          </w:tcPr>
          <w:p w14:paraId="42D11EAC" w14:textId="77777777" w:rsidR="00372CDD" w:rsidRDefault="00C87ECC">
            <w:pPr>
              <w:pStyle w:val="TableParagraph"/>
              <w:spacing w:before="117"/>
              <w:ind w:left="244"/>
              <w:rPr>
                <w:b/>
                <w:sz w:val="24"/>
              </w:rPr>
            </w:pPr>
            <w:r>
              <w:rPr>
                <w:b/>
                <w:color w:val="FFFFFF"/>
                <w:sz w:val="24"/>
              </w:rPr>
              <w:t>2018</w:t>
            </w:r>
          </w:p>
        </w:tc>
        <w:tc>
          <w:tcPr>
            <w:tcW w:w="1061" w:type="dxa"/>
            <w:tcBorders>
              <w:top w:val="nil"/>
              <w:left w:val="nil"/>
              <w:bottom w:val="nil"/>
              <w:right w:val="nil"/>
            </w:tcBorders>
            <w:shd w:val="clear" w:color="auto" w:fill="306E71"/>
          </w:tcPr>
          <w:p w14:paraId="6B927FF4" w14:textId="77777777" w:rsidR="00372CDD" w:rsidRDefault="00C87ECC">
            <w:pPr>
              <w:pStyle w:val="TableParagraph"/>
              <w:spacing w:before="117"/>
              <w:ind w:left="254" w:right="272"/>
              <w:jc w:val="center"/>
              <w:rPr>
                <w:b/>
                <w:sz w:val="24"/>
              </w:rPr>
            </w:pPr>
            <w:r>
              <w:rPr>
                <w:b/>
                <w:color w:val="FFFFFF"/>
                <w:sz w:val="24"/>
              </w:rPr>
              <w:t>2019</w:t>
            </w:r>
          </w:p>
        </w:tc>
        <w:tc>
          <w:tcPr>
            <w:tcW w:w="1061" w:type="dxa"/>
            <w:tcBorders>
              <w:top w:val="nil"/>
              <w:left w:val="nil"/>
              <w:bottom w:val="nil"/>
              <w:right w:val="nil"/>
            </w:tcBorders>
            <w:shd w:val="clear" w:color="auto" w:fill="306E71"/>
          </w:tcPr>
          <w:p w14:paraId="6E439AD0" w14:textId="77777777" w:rsidR="00372CDD" w:rsidRDefault="00C87ECC">
            <w:pPr>
              <w:pStyle w:val="TableParagraph"/>
              <w:spacing w:before="117"/>
              <w:ind w:left="254" w:right="269"/>
              <w:jc w:val="center"/>
              <w:rPr>
                <w:b/>
                <w:sz w:val="24"/>
              </w:rPr>
            </w:pPr>
            <w:r>
              <w:rPr>
                <w:b/>
                <w:color w:val="FFFFFF"/>
                <w:sz w:val="24"/>
              </w:rPr>
              <w:t>2020</w:t>
            </w:r>
          </w:p>
        </w:tc>
        <w:tc>
          <w:tcPr>
            <w:tcW w:w="1063" w:type="dxa"/>
            <w:tcBorders>
              <w:top w:val="nil"/>
              <w:left w:val="nil"/>
              <w:bottom w:val="nil"/>
              <w:right w:val="nil"/>
            </w:tcBorders>
            <w:shd w:val="clear" w:color="auto" w:fill="306E71"/>
          </w:tcPr>
          <w:p w14:paraId="32972269" w14:textId="77777777" w:rsidR="00372CDD" w:rsidRDefault="00C87ECC">
            <w:pPr>
              <w:pStyle w:val="TableParagraph"/>
              <w:spacing w:before="117"/>
              <w:ind w:left="262" w:right="278"/>
              <w:jc w:val="center"/>
              <w:rPr>
                <w:b/>
                <w:sz w:val="24"/>
              </w:rPr>
            </w:pPr>
            <w:r>
              <w:rPr>
                <w:b/>
                <w:color w:val="FFFFFF"/>
                <w:sz w:val="24"/>
              </w:rPr>
              <w:t>2021</w:t>
            </w:r>
          </w:p>
        </w:tc>
        <w:tc>
          <w:tcPr>
            <w:tcW w:w="1061" w:type="dxa"/>
            <w:tcBorders>
              <w:top w:val="nil"/>
              <w:left w:val="nil"/>
              <w:bottom w:val="nil"/>
              <w:right w:val="nil"/>
            </w:tcBorders>
            <w:shd w:val="clear" w:color="auto" w:fill="306E71"/>
          </w:tcPr>
          <w:p w14:paraId="6B0FF1EE" w14:textId="77777777" w:rsidR="00372CDD" w:rsidRDefault="00C87ECC">
            <w:pPr>
              <w:pStyle w:val="TableParagraph"/>
              <w:spacing w:before="117"/>
              <w:ind w:left="250" w:right="272"/>
              <w:jc w:val="center"/>
              <w:rPr>
                <w:b/>
                <w:sz w:val="24"/>
              </w:rPr>
            </w:pPr>
            <w:r>
              <w:rPr>
                <w:b/>
                <w:color w:val="FFFFFF"/>
                <w:sz w:val="24"/>
              </w:rPr>
              <w:t>2022</w:t>
            </w:r>
          </w:p>
        </w:tc>
        <w:tc>
          <w:tcPr>
            <w:tcW w:w="1057" w:type="dxa"/>
            <w:tcBorders>
              <w:top w:val="nil"/>
              <w:left w:val="nil"/>
              <w:bottom w:val="nil"/>
              <w:right w:val="nil"/>
            </w:tcBorders>
            <w:shd w:val="clear" w:color="auto" w:fill="306E71"/>
          </w:tcPr>
          <w:p w14:paraId="5DC124DB" w14:textId="77777777" w:rsidR="00372CDD" w:rsidRDefault="00C87ECC">
            <w:pPr>
              <w:pStyle w:val="TableParagraph"/>
              <w:spacing w:before="117"/>
              <w:ind w:left="262" w:right="273"/>
              <w:jc w:val="center"/>
              <w:rPr>
                <w:b/>
                <w:sz w:val="24"/>
              </w:rPr>
            </w:pPr>
            <w:r>
              <w:rPr>
                <w:b/>
                <w:color w:val="FFFFFF"/>
                <w:sz w:val="24"/>
              </w:rPr>
              <w:t>2023</w:t>
            </w:r>
          </w:p>
        </w:tc>
      </w:tr>
      <w:tr w:rsidR="00372CDD" w14:paraId="03CFF75C" w14:textId="77777777">
        <w:trPr>
          <w:trHeight w:val="472"/>
        </w:trPr>
        <w:tc>
          <w:tcPr>
            <w:tcW w:w="2602" w:type="dxa"/>
            <w:tcBorders>
              <w:top w:val="nil"/>
            </w:tcBorders>
          </w:tcPr>
          <w:p w14:paraId="536DF0CB" w14:textId="77777777" w:rsidR="00372CDD" w:rsidRDefault="00C87ECC" w:rsidP="0009075F">
            <w:pPr>
              <w:pStyle w:val="TableParagraph"/>
              <w:spacing w:before="57"/>
              <w:ind w:left="107"/>
            </w:pPr>
            <w:r>
              <w:t xml:space="preserve">Government </w:t>
            </w:r>
          </w:p>
        </w:tc>
        <w:tc>
          <w:tcPr>
            <w:tcW w:w="1061" w:type="dxa"/>
            <w:tcBorders>
              <w:top w:val="nil"/>
            </w:tcBorders>
          </w:tcPr>
          <w:p w14:paraId="3BBB7F07" w14:textId="77777777" w:rsidR="00372CDD" w:rsidRDefault="00CB2756" w:rsidP="00C56773">
            <w:pPr>
              <w:pStyle w:val="TableParagraph"/>
              <w:spacing w:before="105"/>
              <w:ind w:left="266"/>
            </w:pPr>
            <w:r>
              <w:t>69</w:t>
            </w:r>
            <w:r w:rsidR="00C87ECC">
              <w:t>.</w:t>
            </w:r>
            <w:r w:rsidR="00C56773">
              <w:t>26</w:t>
            </w:r>
            <w:r w:rsidR="00C87ECC">
              <w:t>%</w:t>
            </w:r>
          </w:p>
        </w:tc>
        <w:tc>
          <w:tcPr>
            <w:tcW w:w="1061" w:type="dxa"/>
            <w:tcBorders>
              <w:top w:val="nil"/>
            </w:tcBorders>
          </w:tcPr>
          <w:p w14:paraId="2304FCDF" w14:textId="77777777" w:rsidR="00372CDD" w:rsidRDefault="00CB2756" w:rsidP="00C56773">
            <w:pPr>
              <w:pStyle w:val="TableParagraph"/>
              <w:spacing w:before="105"/>
              <w:ind w:left="112" w:right="107"/>
              <w:jc w:val="center"/>
            </w:pPr>
            <w:r>
              <w:t>69</w:t>
            </w:r>
            <w:r w:rsidR="00C87ECC">
              <w:t>.</w:t>
            </w:r>
            <w:r w:rsidR="00C56773">
              <w:t>26</w:t>
            </w:r>
            <w:r w:rsidR="00C87ECC">
              <w:t>%</w:t>
            </w:r>
          </w:p>
        </w:tc>
        <w:tc>
          <w:tcPr>
            <w:tcW w:w="1061" w:type="dxa"/>
            <w:tcBorders>
              <w:top w:val="nil"/>
            </w:tcBorders>
          </w:tcPr>
          <w:p w14:paraId="1165BBE0" w14:textId="77777777" w:rsidR="00372CDD" w:rsidRDefault="00CB2756" w:rsidP="00C56773">
            <w:pPr>
              <w:pStyle w:val="TableParagraph"/>
              <w:spacing w:before="105"/>
              <w:ind w:left="57" w:right="108"/>
              <w:jc w:val="center"/>
            </w:pPr>
            <w:r>
              <w:t>69</w:t>
            </w:r>
            <w:r w:rsidR="00C87ECC">
              <w:t>.</w:t>
            </w:r>
            <w:r w:rsidR="00C56773">
              <w:t>26</w:t>
            </w:r>
            <w:r w:rsidR="00C87ECC">
              <w:t>%</w:t>
            </w:r>
          </w:p>
        </w:tc>
        <w:tc>
          <w:tcPr>
            <w:tcW w:w="1063" w:type="dxa"/>
            <w:tcBorders>
              <w:top w:val="nil"/>
            </w:tcBorders>
          </w:tcPr>
          <w:p w14:paraId="06E53115" w14:textId="77777777" w:rsidR="00372CDD" w:rsidRDefault="00CB2756" w:rsidP="00C56773">
            <w:pPr>
              <w:pStyle w:val="TableParagraph"/>
              <w:spacing w:before="105"/>
              <w:ind w:left="112" w:right="110"/>
              <w:jc w:val="center"/>
            </w:pPr>
            <w:r>
              <w:t>69</w:t>
            </w:r>
            <w:r w:rsidR="00C87ECC">
              <w:t>.</w:t>
            </w:r>
            <w:r w:rsidR="00C56773">
              <w:t>26</w:t>
            </w:r>
            <w:r w:rsidR="00C87ECC">
              <w:t>%</w:t>
            </w:r>
          </w:p>
        </w:tc>
        <w:tc>
          <w:tcPr>
            <w:tcW w:w="1061" w:type="dxa"/>
            <w:tcBorders>
              <w:top w:val="nil"/>
            </w:tcBorders>
          </w:tcPr>
          <w:p w14:paraId="2198A8A8" w14:textId="77777777" w:rsidR="00372CDD" w:rsidRDefault="00CB2756" w:rsidP="00C56773">
            <w:pPr>
              <w:pStyle w:val="TableParagraph"/>
              <w:spacing w:before="105"/>
              <w:ind w:left="112" w:right="108"/>
              <w:jc w:val="center"/>
            </w:pPr>
            <w:r>
              <w:t>69</w:t>
            </w:r>
            <w:r w:rsidR="00C87ECC">
              <w:t>.</w:t>
            </w:r>
            <w:r w:rsidR="00C56773">
              <w:t>26</w:t>
            </w:r>
            <w:r w:rsidR="00C87ECC">
              <w:t>%</w:t>
            </w:r>
          </w:p>
        </w:tc>
        <w:tc>
          <w:tcPr>
            <w:tcW w:w="1057" w:type="dxa"/>
            <w:tcBorders>
              <w:top w:val="nil"/>
            </w:tcBorders>
          </w:tcPr>
          <w:p w14:paraId="788AE715" w14:textId="77777777" w:rsidR="00372CDD" w:rsidRDefault="00CB2756" w:rsidP="00C56773">
            <w:pPr>
              <w:pStyle w:val="TableParagraph"/>
              <w:spacing w:before="105"/>
              <w:ind w:right="104"/>
              <w:jc w:val="center"/>
            </w:pPr>
            <w:r>
              <w:t>69</w:t>
            </w:r>
            <w:r w:rsidR="00C87ECC">
              <w:t>.</w:t>
            </w:r>
            <w:r w:rsidR="00C56773">
              <w:t>26</w:t>
            </w:r>
            <w:r w:rsidR="00C87ECC">
              <w:t>%</w:t>
            </w:r>
          </w:p>
        </w:tc>
      </w:tr>
      <w:tr w:rsidR="0086116F" w14:paraId="76D48C0A" w14:textId="77777777" w:rsidTr="00874B07">
        <w:trPr>
          <w:trHeight w:val="472"/>
        </w:trPr>
        <w:tc>
          <w:tcPr>
            <w:tcW w:w="2602" w:type="dxa"/>
          </w:tcPr>
          <w:p w14:paraId="5C513918" w14:textId="77777777" w:rsidR="0086116F" w:rsidRPr="00241A79" w:rsidRDefault="0086116F" w:rsidP="0086116F">
            <w:pPr>
              <w:pStyle w:val="TableParagraph"/>
              <w:spacing w:before="57"/>
              <w:ind w:left="107"/>
            </w:pPr>
            <w:r w:rsidRPr="00241A79">
              <w:t xml:space="preserve">Non-government </w:t>
            </w:r>
          </w:p>
        </w:tc>
        <w:tc>
          <w:tcPr>
            <w:tcW w:w="1061" w:type="dxa"/>
            <w:vAlign w:val="center"/>
          </w:tcPr>
          <w:p w14:paraId="33084229" w14:textId="77777777" w:rsidR="0086116F" w:rsidRPr="00241A79" w:rsidRDefault="0086116F" w:rsidP="0086116F">
            <w:pPr>
              <w:pStyle w:val="TableParagraph"/>
              <w:spacing w:before="107"/>
              <w:ind w:left="252"/>
            </w:pPr>
            <w:r w:rsidRPr="00241A79">
              <w:rPr>
                <w:color w:val="000000"/>
              </w:rPr>
              <w:t>23.18%</w:t>
            </w:r>
          </w:p>
        </w:tc>
        <w:tc>
          <w:tcPr>
            <w:tcW w:w="1061" w:type="dxa"/>
            <w:vAlign w:val="center"/>
          </w:tcPr>
          <w:p w14:paraId="5EDEDCB5" w14:textId="7ECFEB22" w:rsidR="0086116F" w:rsidRPr="00241A79" w:rsidRDefault="0086116F" w:rsidP="0086116F">
            <w:pPr>
              <w:pStyle w:val="TableParagraph"/>
              <w:spacing w:before="107"/>
              <w:ind w:left="112" w:right="108"/>
              <w:jc w:val="center"/>
            </w:pPr>
            <w:r w:rsidRPr="00241A79">
              <w:rPr>
                <w:color w:val="000000"/>
              </w:rPr>
              <w:t>22.</w:t>
            </w:r>
            <w:r w:rsidR="00F5262D">
              <w:rPr>
                <w:color w:val="000000"/>
              </w:rPr>
              <w:t>67</w:t>
            </w:r>
            <w:r w:rsidRPr="00241A79">
              <w:rPr>
                <w:color w:val="000000"/>
              </w:rPr>
              <w:t>%</w:t>
            </w:r>
          </w:p>
        </w:tc>
        <w:tc>
          <w:tcPr>
            <w:tcW w:w="1061" w:type="dxa"/>
            <w:vAlign w:val="center"/>
          </w:tcPr>
          <w:p w14:paraId="26C60657" w14:textId="5EE03FF2" w:rsidR="0086116F" w:rsidRPr="00241A79" w:rsidRDefault="008F185E" w:rsidP="0086116F">
            <w:pPr>
              <w:pStyle w:val="TableParagraph"/>
              <w:spacing w:before="107"/>
              <w:ind w:left="111" w:right="108"/>
              <w:jc w:val="center"/>
            </w:pPr>
            <w:r w:rsidRPr="00241A79">
              <w:rPr>
                <w:color w:val="000000"/>
              </w:rPr>
              <w:t>21.69</w:t>
            </w:r>
            <w:r w:rsidR="0086116F" w:rsidRPr="00241A79">
              <w:rPr>
                <w:color w:val="000000"/>
              </w:rPr>
              <w:t>%</w:t>
            </w:r>
          </w:p>
        </w:tc>
        <w:tc>
          <w:tcPr>
            <w:tcW w:w="1063" w:type="dxa"/>
            <w:vAlign w:val="center"/>
          </w:tcPr>
          <w:p w14:paraId="15EDF161" w14:textId="5536EE86" w:rsidR="0086116F" w:rsidRPr="00241A79" w:rsidRDefault="008F185E" w:rsidP="0086116F">
            <w:pPr>
              <w:pStyle w:val="TableParagraph"/>
              <w:spacing w:before="107"/>
              <w:ind w:left="112" w:right="110"/>
              <w:jc w:val="center"/>
            </w:pPr>
            <w:r w:rsidRPr="00241A79">
              <w:rPr>
                <w:color w:val="000000"/>
              </w:rPr>
              <w:t>21.10</w:t>
            </w:r>
            <w:r w:rsidR="0086116F" w:rsidRPr="00241A79">
              <w:rPr>
                <w:color w:val="000000"/>
              </w:rPr>
              <w:t>%</w:t>
            </w:r>
          </w:p>
        </w:tc>
        <w:tc>
          <w:tcPr>
            <w:tcW w:w="1061" w:type="dxa"/>
            <w:vAlign w:val="center"/>
          </w:tcPr>
          <w:p w14:paraId="6451CB6F" w14:textId="630DFF4B" w:rsidR="0086116F" w:rsidRPr="00241A79" w:rsidRDefault="008F185E" w:rsidP="0086116F">
            <w:pPr>
              <w:pStyle w:val="TableParagraph"/>
              <w:spacing w:before="107"/>
              <w:ind w:left="112" w:right="108"/>
              <w:jc w:val="center"/>
            </w:pPr>
            <w:r w:rsidRPr="00241A79">
              <w:rPr>
                <w:color w:val="000000"/>
              </w:rPr>
              <w:t>21.20</w:t>
            </w:r>
            <w:r w:rsidR="0086116F" w:rsidRPr="00241A79">
              <w:rPr>
                <w:color w:val="000000"/>
              </w:rPr>
              <w:t>%</w:t>
            </w:r>
          </w:p>
        </w:tc>
        <w:tc>
          <w:tcPr>
            <w:tcW w:w="1057" w:type="dxa"/>
            <w:vAlign w:val="center"/>
          </w:tcPr>
          <w:p w14:paraId="30F6602E" w14:textId="67153AA3" w:rsidR="0086116F" w:rsidRDefault="008F185E" w:rsidP="0086116F">
            <w:pPr>
              <w:pStyle w:val="TableParagraph"/>
              <w:spacing w:before="107"/>
              <w:ind w:left="113" w:right="104"/>
              <w:jc w:val="center"/>
            </w:pPr>
            <w:r w:rsidRPr="00241A79">
              <w:rPr>
                <w:color w:val="000000"/>
              </w:rPr>
              <w:t>20.58</w:t>
            </w:r>
            <w:r w:rsidR="0086116F" w:rsidRPr="00241A79">
              <w:rPr>
                <w:color w:val="000000"/>
              </w:rPr>
              <w:t>%</w:t>
            </w:r>
          </w:p>
        </w:tc>
      </w:tr>
    </w:tbl>
    <w:p w14:paraId="530D58D6" w14:textId="77777777" w:rsidR="00372CDD" w:rsidRDefault="00372CDD">
      <w:pPr>
        <w:pStyle w:val="BodyText"/>
        <w:spacing w:before="3"/>
        <w:rPr>
          <w:sz w:val="24"/>
        </w:rPr>
      </w:pPr>
    </w:p>
    <w:p w14:paraId="4215F7AA" w14:textId="77777777" w:rsidR="00372CDD" w:rsidRDefault="00597066">
      <w:pPr>
        <w:spacing w:line="319" w:lineRule="auto"/>
        <w:ind w:left="120" w:right="356"/>
        <w:jc w:val="both"/>
        <w:rPr>
          <w:sz w:val="16"/>
        </w:rPr>
      </w:pPr>
      <w:r w:rsidRPr="00597066">
        <w:rPr>
          <w:sz w:val="16"/>
        </w:rPr>
        <w:t>As shares are set as a percentage of the SRS any changes to enrol</w:t>
      </w:r>
      <w:r w:rsidR="00E92FDA">
        <w:rPr>
          <w:sz w:val="16"/>
        </w:rPr>
        <w:t>ment</w:t>
      </w:r>
      <w:r w:rsidRPr="00597066">
        <w:rPr>
          <w:sz w:val="16"/>
        </w:rPr>
        <w:t xml:space="preserve"> and student characteristics will be factored into </w:t>
      </w:r>
      <w:r w:rsidR="00E92FDA">
        <w:rPr>
          <w:sz w:val="16"/>
        </w:rPr>
        <w:t xml:space="preserve">the </w:t>
      </w:r>
      <w:r w:rsidR="00C87ECC">
        <w:rPr>
          <w:sz w:val="16"/>
        </w:rPr>
        <w:t xml:space="preserve">final </w:t>
      </w:r>
      <w:r w:rsidR="003D0E91">
        <w:rPr>
          <w:sz w:val="16"/>
        </w:rPr>
        <w:t xml:space="preserve">dollar value of </w:t>
      </w:r>
      <w:r w:rsidR="00C87ECC">
        <w:rPr>
          <w:sz w:val="16"/>
        </w:rPr>
        <w:t>funding contributions each year.</w:t>
      </w:r>
    </w:p>
    <w:p w14:paraId="5FCAFA24" w14:textId="77777777" w:rsidR="00372CDD" w:rsidRDefault="00372CDD">
      <w:pPr>
        <w:pStyle w:val="BodyText"/>
        <w:spacing w:before="6"/>
        <w:rPr>
          <w:sz w:val="15"/>
        </w:rPr>
      </w:pPr>
    </w:p>
    <w:p w14:paraId="08EB1890" w14:textId="77777777" w:rsidR="00372CDD" w:rsidRDefault="00C87ECC">
      <w:pPr>
        <w:pStyle w:val="ListParagraph"/>
        <w:numPr>
          <w:ilvl w:val="0"/>
          <w:numId w:val="3"/>
        </w:numPr>
        <w:tabs>
          <w:tab w:val="left" w:pos="687"/>
        </w:tabs>
        <w:spacing w:line="223" w:lineRule="auto"/>
        <w:ind w:left="686" w:hanging="566"/>
        <w:rPr>
          <w:sz w:val="23"/>
        </w:rPr>
      </w:pPr>
      <w:r>
        <w:rPr>
          <w:sz w:val="23"/>
        </w:rPr>
        <w:t xml:space="preserve">The funding contributions outlined above for non-government schools </w:t>
      </w:r>
      <w:r w:rsidR="00E92FDA">
        <w:rPr>
          <w:sz w:val="23"/>
        </w:rPr>
        <w:t>are</w:t>
      </w:r>
      <w:r>
        <w:rPr>
          <w:sz w:val="23"/>
        </w:rPr>
        <w:t xml:space="preserve"> based on the rationale that Queensland has in place a long-standing history of providing fair and consistent funding to non-government schools. The Queensland Government’s relationship</w:t>
      </w:r>
      <w:r>
        <w:rPr>
          <w:spacing w:val="-4"/>
          <w:sz w:val="23"/>
        </w:rPr>
        <w:t xml:space="preserve"> </w:t>
      </w:r>
      <w:r>
        <w:rPr>
          <w:sz w:val="23"/>
        </w:rPr>
        <w:t>to</w:t>
      </w:r>
      <w:r>
        <w:rPr>
          <w:spacing w:val="-3"/>
          <w:sz w:val="23"/>
        </w:rPr>
        <w:t xml:space="preserve"> </w:t>
      </w:r>
      <w:r>
        <w:rPr>
          <w:sz w:val="23"/>
        </w:rPr>
        <w:t>and</w:t>
      </w:r>
      <w:r>
        <w:rPr>
          <w:spacing w:val="-5"/>
          <w:sz w:val="23"/>
        </w:rPr>
        <w:t xml:space="preserve"> </w:t>
      </w:r>
      <w:r>
        <w:rPr>
          <w:sz w:val="23"/>
        </w:rPr>
        <w:t>funding</w:t>
      </w:r>
      <w:r>
        <w:rPr>
          <w:spacing w:val="-2"/>
          <w:sz w:val="23"/>
        </w:rPr>
        <w:t xml:space="preserve"> </w:t>
      </w:r>
      <w:r>
        <w:rPr>
          <w:sz w:val="23"/>
        </w:rPr>
        <w:t>of</w:t>
      </w:r>
      <w:r>
        <w:rPr>
          <w:spacing w:val="-2"/>
          <w:sz w:val="23"/>
        </w:rPr>
        <w:t xml:space="preserve"> </w:t>
      </w:r>
      <w:r>
        <w:rPr>
          <w:sz w:val="23"/>
        </w:rPr>
        <w:t>non-government</w:t>
      </w:r>
      <w:r>
        <w:rPr>
          <w:spacing w:val="-4"/>
          <w:sz w:val="23"/>
        </w:rPr>
        <w:t xml:space="preserve"> </w:t>
      </w:r>
      <w:r>
        <w:rPr>
          <w:sz w:val="23"/>
        </w:rPr>
        <w:t>schools</w:t>
      </w:r>
      <w:r w:rsidR="00CD48A1">
        <w:rPr>
          <w:sz w:val="23"/>
        </w:rPr>
        <w:t xml:space="preserve"> </w:t>
      </w:r>
      <w:r>
        <w:rPr>
          <w:sz w:val="23"/>
        </w:rPr>
        <w:t>within</w:t>
      </w:r>
      <w:r>
        <w:rPr>
          <w:spacing w:val="-2"/>
          <w:sz w:val="23"/>
        </w:rPr>
        <w:t xml:space="preserve"> </w:t>
      </w:r>
      <w:r>
        <w:rPr>
          <w:sz w:val="23"/>
        </w:rPr>
        <w:t>the</w:t>
      </w:r>
      <w:r>
        <w:rPr>
          <w:spacing w:val="-4"/>
          <w:sz w:val="23"/>
        </w:rPr>
        <w:t xml:space="preserve"> </w:t>
      </w:r>
      <w:r>
        <w:rPr>
          <w:sz w:val="23"/>
        </w:rPr>
        <w:t>state</w:t>
      </w:r>
      <w:r w:rsidR="004C076B">
        <w:rPr>
          <w:sz w:val="23"/>
        </w:rPr>
        <w:t xml:space="preserve"> </w:t>
      </w:r>
      <w:r w:rsidR="004C076B">
        <w:rPr>
          <w:spacing w:val="-2"/>
          <w:sz w:val="23"/>
        </w:rPr>
        <w:t xml:space="preserve">above the minimum outlined in clause 26 </w:t>
      </w:r>
      <w:r>
        <w:rPr>
          <w:spacing w:val="-2"/>
          <w:sz w:val="23"/>
        </w:rPr>
        <w:t xml:space="preserve"> </w:t>
      </w:r>
      <w:r>
        <w:rPr>
          <w:sz w:val="23"/>
        </w:rPr>
        <w:t>is</w:t>
      </w:r>
      <w:r>
        <w:rPr>
          <w:spacing w:val="-3"/>
          <w:sz w:val="23"/>
        </w:rPr>
        <w:t xml:space="preserve"> </w:t>
      </w:r>
      <w:r>
        <w:rPr>
          <w:sz w:val="23"/>
        </w:rPr>
        <w:t>a</w:t>
      </w:r>
      <w:r>
        <w:rPr>
          <w:spacing w:val="-6"/>
          <w:sz w:val="23"/>
        </w:rPr>
        <w:t xml:space="preserve"> </w:t>
      </w:r>
      <w:r>
        <w:rPr>
          <w:sz w:val="23"/>
        </w:rPr>
        <w:t>matter</w:t>
      </w:r>
      <w:r>
        <w:rPr>
          <w:spacing w:val="-2"/>
          <w:sz w:val="23"/>
        </w:rPr>
        <w:t xml:space="preserve"> </w:t>
      </w:r>
      <w:r>
        <w:rPr>
          <w:sz w:val="23"/>
        </w:rPr>
        <w:t>for</w:t>
      </w:r>
      <w:r>
        <w:rPr>
          <w:spacing w:val="-4"/>
          <w:sz w:val="23"/>
        </w:rPr>
        <w:t xml:space="preserve"> </w:t>
      </w:r>
      <w:r>
        <w:rPr>
          <w:sz w:val="23"/>
        </w:rPr>
        <w:t>the Queensland Government as provider and administrator of this</w:t>
      </w:r>
      <w:r>
        <w:rPr>
          <w:spacing w:val="-12"/>
          <w:sz w:val="23"/>
        </w:rPr>
        <w:t xml:space="preserve"> </w:t>
      </w:r>
      <w:r>
        <w:rPr>
          <w:sz w:val="23"/>
        </w:rPr>
        <w:t>funding.</w:t>
      </w:r>
    </w:p>
    <w:p w14:paraId="3E1A0BDA" w14:textId="77777777" w:rsidR="00372CDD" w:rsidRDefault="00372CDD">
      <w:pPr>
        <w:pStyle w:val="BodyText"/>
        <w:spacing w:before="4"/>
        <w:rPr>
          <w:sz w:val="19"/>
        </w:rPr>
      </w:pPr>
    </w:p>
    <w:p w14:paraId="0845853D" w14:textId="77777777" w:rsidR="00372CDD" w:rsidRDefault="00C87ECC">
      <w:pPr>
        <w:pStyle w:val="ListParagraph"/>
        <w:numPr>
          <w:ilvl w:val="0"/>
          <w:numId w:val="3"/>
        </w:numPr>
        <w:tabs>
          <w:tab w:val="left" w:pos="687"/>
        </w:tabs>
        <w:spacing w:line="223" w:lineRule="auto"/>
        <w:ind w:left="686" w:right="124" w:hanging="566"/>
        <w:rPr>
          <w:sz w:val="23"/>
        </w:rPr>
      </w:pPr>
      <w:r>
        <w:rPr>
          <w:sz w:val="23"/>
        </w:rPr>
        <w:t xml:space="preserve">Funding contributions for government schools have been agreed based on the rationale that Queensland’s share of the SRS for government schools will reach 75% by </w:t>
      </w:r>
      <w:r w:rsidR="00667EDF">
        <w:rPr>
          <w:sz w:val="23"/>
        </w:rPr>
        <w:t xml:space="preserve">2032 </w:t>
      </w:r>
      <w:r>
        <w:rPr>
          <w:sz w:val="23"/>
        </w:rPr>
        <w:t>and that:</w:t>
      </w:r>
    </w:p>
    <w:p w14:paraId="6E151CDF" w14:textId="77777777" w:rsidR="00372CDD" w:rsidRDefault="00372CDD">
      <w:pPr>
        <w:spacing w:line="223" w:lineRule="auto"/>
        <w:jc w:val="both"/>
        <w:rPr>
          <w:sz w:val="23"/>
        </w:rPr>
        <w:sectPr w:rsidR="00372CDD" w:rsidSect="00A829E7">
          <w:headerReference w:type="default" r:id="rId12"/>
          <w:pgSz w:w="11910" w:h="16840"/>
          <w:pgMar w:top="1380" w:right="1320" w:bottom="851" w:left="1320" w:header="746" w:footer="145" w:gutter="0"/>
          <w:cols w:space="720"/>
        </w:sectPr>
      </w:pPr>
    </w:p>
    <w:p w14:paraId="3B017B31" w14:textId="64E384DA" w:rsidR="00372CDD" w:rsidRDefault="00C87ECC">
      <w:pPr>
        <w:pStyle w:val="ListParagraph"/>
        <w:numPr>
          <w:ilvl w:val="1"/>
          <w:numId w:val="3"/>
        </w:numPr>
        <w:tabs>
          <w:tab w:val="left" w:pos="1554"/>
        </w:tabs>
        <w:spacing w:before="61" w:line="220" w:lineRule="auto"/>
        <w:ind w:left="1553" w:right="113" w:hanging="355"/>
        <w:rPr>
          <w:sz w:val="23"/>
        </w:rPr>
      </w:pPr>
      <w:r>
        <w:rPr>
          <w:sz w:val="23"/>
        </w:rPr>
        <w:lastRenderedPageBreak/>
        <w:t>Queensland’s</w:t>
      </w:r>
      <w:r>
        <w:rPr>
          <w:spacing w:val="-8"/>
          <w:sz w:val="23"/>
        </w:rPr>
        <w:t xml:space="preserve"> </w:t>
      </w:r>
      <w:r>
        <w:rPr>
          <w:sz w:val="23"/>
        </w:rPr>
        <w:t>contribution</w:t>
      </w:r>
      <w:r>
        <w:rPr>
          <w:spacing w:val="-8"/>
          <w:sz w:val="23"/>
        </w:rPr>
        <w:t xml:space="preserve"> </w:t>
      </w:r>
      <w:r>
        <w:rPr>
          <w:sz w:val="23"/>
        </w:rPr>
        <w:t>to</w:t>
      </w:r>
      <w:r>
        <w:rPr>
          <w:spacing w:val="-8"/>
          <w:sz w:val="23"/>
        </w:rPr>
        <w:t xml:space="preserve"> </w:t>
      </w:r>
      <w:r>
        <w:rPr>
          <w:sz w:val="23"/>
        </w:rPr>
        <w:t>government</w:t>
      </w:r>
      <w:r>
        <w:rPr>
          <w:spacing w:val="-12"/>
          <w:sz w:val="23"/>
        </w:rPr>
        <w:t xml:space="preserve"> </w:t>
      </w:r>
      <w:r>
        <w:rPr>
          <w:sz w:val="23"/>
        </w:rPr>
        <w:t>schools</w:t>
      </w:r>
      <w:r>
        <w:rPr>
          <w:spacing w:val="-7"/>
          <w:sz w:val="23"/>
        </w:rPr>
        <w:t xml:space="preserve"> </w:t>
      </w:r>
      <w:r>
        <w:rPr>
          <w:sz w:val="23"/>
        </w:rPr>
        <w:t>is</w:t>
      </w:r>
      <w:r>
        <w:rPr>
          <w:spacing w:val="-9"/>
          <w:sz w:val="23"/>
        </w:rPr>
        <w:t xml:space="preserve"> </w:t>
      </w:r>
      <w:r>
        <w:rPr>
          <w:sz w:val="23"/>
        </w:rPr>
        <w:t>made</w:t>
      </w:r>
      <w:r>
        <w:rPr>
          <w:spacing w:val="-8"/>
          <w:sz w:val="23"/>
        </w:rPr>
        <w:t xml:space="preserve"> </w:t>
      </w:r>
      <w:r>
        <w:rPr>
          <w:sz w:val="23"/>
        </w:rPr>
        <w:t>on</w:t>
      </w:r>
      <w:r>
        <w:rPr>
          <w:spacing w:val="-7"/>
          <w:sz w:val="23"/>
        </w:rPr>
        <w:t xml:space="preserve"> </w:t>
      </w:r>
      <w:r>
        <w:rPr>
          <w:sz w:val="23"/>
        </w:rPr>
        <w:t>the</w:t>
      </w:r>
      <w:r>
        <w:rPr>
          <w:spacing w:val="-9"/>
          <w:sz w:val="23"/>
        </w:rPr>
        <w:t xml:space="preserve"> </w:t>
      </w:r>
      <w:r>
        <w:rPr>
          <w:sz w:val="23"/>
        </w:rPr>
        <w:t>basis</w:t>
      </w:r>
      <w:r>
        <w:rPr>
          <w:spacing w:val="-8"/>
          <w:sz w:val="23"/>
        </w:rPr>
        <w:t xml:space="preserve"> </w:t>
      </w:r>
      <w:r>
        <w:rPr>
          <w:sz w:val="23"/>
        </w:rPr>
        <w:t>of</w:t>
      </w:r>
      <w:r>
        <w:rPr>
          <w:spacing w:val="-5"/>
          <w:sz w:val="23"/>
        </w:rPr>
        <w:t xml:space="preserve"> </w:t>
      </w:r>
      <w:r>
        <w:rPr>
          <w:sz w:val="23"/>
        </w:rPr>
        <w:t xml:space="preserve">current </w:t>
      </w:r>
      <w:r w:rsidR="005D6C88">
        <w:rPr>
          <w:sz w:val="23"/>
        </w:rPr>
        <w:t xml:space="preserve">Queensland </w:t>
      </w:r>
      <w:r>
        <w:rPr>
          <w:sz w:val="23"/>
        </w:rPr>
        <w:t>Government policy</w:t>
      </w:r>
      <w:r>
        <w:rPr>
          <w:spacing w:val="-3"/>
          <w:sz w:val="23"/>
        </w:rPr>
        <w:t xml:space="preserve"> </w:t>
      </w:r>
      <w:r>
        <w:rPr>
          <w:sz w:val="23"/>
        </w:rPr>
        <w:t>settings;</w:t>
      </w:r>
    </w:p>
    <w:p w14:paraId="42DFDB18" w14:textId="77777777" w:rsidR="00372CDD" w:rsidRDefault="00372CDD">
      <w:pPr>
        <w:pStyle w:val="BodyText"/>
        <w:rPr>
          <w:sz w:val="20"/>
        </w:rPr>
      </w:pPr>
    </w:p>
    <w:p w14:paraId="20E50ED3" w14:textId="77777777" w:rsidR="00372CDD" w:rsidRDefault="00C87ECC">
      <w:pPr>
        <w:pStyle w:val="ListParagraph"/>
        <w:numPr>
          <w:ilvl w:val="1"/>
          <w:numId w:val="3"/>
        </w:numPr>
        <w:tabs>
          <w:tab w:val="left" w:pos="1554"/>
        </w:tabs>
        <w:spacing w:line="220" w:lineRule="auto"/>
        <w:ind w:left="1553" w:right="115" w:hanging="355"/>
        <w:rPr>
          <w:sz w:val="23"/>
        </w:rPr>
      </w:pPr>
      <w:r>
        <w:rPr>
          <w:sz w:val="23"/>
        </w:rPr>
        <w:t>Queensland provides significant funding for all aspects of school education and has already been increasing its per-student funding for government schools year on</w:t>
      </w:r>
      <w:r>
        <w:rPr>
          <w:spacing w:val="-1"/>
          <w:sz w:val="23"/>
        </w:rPr>
        <w:t xml:space="preserve"> </w:t>
      </w:r>
      <w:r>
        <w:rPr>
          <w:sz w:val="23"/>
        </w:rPr>
        <w:t>year;</w:t>
      </w:r>
    </w:p>
    <w:p w14:paraId="0E7665BC" w14:textId="77777777" w:rsidR="00372CDD" w:rsidRDefault="00372CDD">
      <w:pPr>
        <w:pStyle w:val="BodyText"/>
        <w:spacing w:before="1"/>
        <w:rPr>
          <w:sz w:val="20"/>
        </w:rPr>
      </w:pPr>
    </w:p>
    <w:p w14:paraId="6F298FCC" w14:textId="77777777" w:rsidR="00372CDD" w:rsidRDefault="00C87ECC">
      <w:pPr>
        <w:pStyle w:val="ListParagraph"/>
        <w:numPr>
          <w:ilvl w:val="1"/>
          <w:numId w:val="3"/>
        </w:numPr>
        <w:tabs>
          <w:tab w:val="left" w:pos="1554"/>
        </w:tabs>
        <w:spacing w:line="220" w:lineRule="auto"/>
        <w:ind w:left="1553" w:hanging="355"/>
        <w:rPr>
          <w:sz w:val="23"/>
        </w:rPr>
      </w:pPr>
      <w:r>
        <w:rPr>
          <w:sz w:val="23"/>
        </w:rPr>
        <w:t>Queensland has a limited revenue raising capacity but retains constitutional responsibility</w:t>
      </w:r>
      <w:r>
        <w:rPr>
          <w:spacing w:val="-5"/>
          <w:sz w:val="23"/>
        </w:rPr>
        <w:t xml:space="preserve"> </w:t>
      </w:r>
      <w:r>
        <w:rPr>
          <w:sz w:val="23"/>
        </w:rPr>
        <w:t>for</w:t>
      </w:r>
      <w:r>
        <w:rPr>
          <w:spacing w:val="-5"/>
          <w:sz w:val="23"/>
        </w:rPr>
        <w:t xml:space="preserve"> </w:t>
      </w:r>
      <w:r>
        <w:rPr>
          <w:sz w:val="23"/>
        </w:rPr>
        <w:t>funding</w:t>
      </w:r>
      <w:r>
        <w:rPr>
          <w:spacing w:val="-4"/>
          <w:sz w:val="23"/>
        </w:rPr>
        <w:t xml:space="preserve"> </w:t>
      </w:r>
      <w:r>
        <w:rPr>
          <w:sz w:val="23"/>
        </w:rPr>
        <w:t>and</w:t>
      </w:r>
      <w:r>
        <w:rPr>
          <w:spacing w:val="-6"/>
          <w:sz w:val="23"/>
        </w:rPr>
        <w:t xml:space="preserve"> </w:t>
      </w:r>
      <w:r>
        <w:rPr>
          <w:sz w:val="23"/>
        </w:rPr>
        <w:t>delivering</w:t>
      </w:r>
      <w:r>
        <w:rPr>
          <w:spacing w:val="-5"/>
          <w:sz w:val="23"/>
        </w:rPr>
        <w:t xml:space="preserve"> </w:t>
      </w:r>
      <w:r>
        <w:rPr>
          <w:sz w:val="23"/>
        </w:rPr>
        <w:t>education</w:t>
      </w:r>
      <w:r>
        <w:rPr>
          <w:spacing w:val="-1"/>
          <w:sz w:val="23"/>
        </w:rPr>
        <w:t xml:space="preserve"> </w:t>
      </w:r>
      <w:r>
        <w:rPr>
          <w:sz w:val="23"/>
        </w:rPr>
        <w:t>for</w:t>
      </w:r>
      <w:r>
        <w:rPr>
          <w:spacing w:val="-5"/>
          <w:sz w:val="23"/>
        </w:rPr>
        <w:t xml:space="preserve"> </w:t>
      </w:r>
      <w:r>
        <w:rPr>
          <w:sz w:val="23"/>
        </w:rPr>
        <w:t>the</w:t>
      </w:r>
      <w:r>
        <w:rPr>
          <w:spacing w:val="-4"/>
          <w:sz w:val="23"/>
        </w:rPr>
        <w:t xml:space="preserve"> </w:t>
      </w:r>
      <w:r>
        <w:rPr>
          <w:sz w:val="23"/>
        </w:rPr>
        <w:t>government</w:t>
      </w:r>
      <w:r>
        <w:rPr>
          <w:spacing w:val="-5"/>
          <w:sz w:val="23"/>
        </w:rPr>
        <w:t xml:space="preserve"> </w:t>
      </w:r>
      <w:r>
        <w:rPr>
          <w:sz w:val="23"/>
        </w:rPr>
        <w:t>schooling system which educates the majority of students in the</w:t>
      </w:r>
      <w:r>
        <w:rPr>
          <w:spacing w:val="-4"/>
          <w:sz w:val="23"/>
        </w:rPr>
        <w:t xml:space="preserve"> </w:t>
      </w:r>
      <w:r>
        <w:rPr>
          <w:sz w:val="23"/>
        </w:rPr>
        <w:t>state;</w:t>
      </w:r>
    </w:p>
    <w:p w14:paraId="287E6F49" w14:textId="77777777" w:rsidR="00372CDD" w:rsidRDefault="00372CDD">
      <w:pPr>
        <w:pStyle w:val="BodyText"/>
        <w:spacing w:before="1"/>
        <w:rPr>
          <w:sz w:val="20"/>
        </w:rPr>
      </w:pPr>
    </w:p>
    <w:p w14:paraId="158005D6" w14:textId="77777777" w:rsidR="00372CDD" w:rsidRDefault="00C87ECC">
      <w:pPr>
        <w:pStyle w:val="ListParagraph"/>
        <w:numPr>
          <w:ilvl w:val="1"/>
          <w:numId w:val="3"/>
        </w:numPr>
        <w:tabs>
          <w:tab w:val="left" w:pos="1554"/>
        </w:tabs>
        <w:spacing w:line="220" w:lineRule="auto"/>
        <w:ind w:left="1553" w:right="118" w:hanging="355"/>
        <w:rPr>
          <w:sz w:val="23"/>
        </w:rPr>
      </w:pPr>
      <w:r>
        <w:rPr>
          <w:sz w:val="23"/>
        </w:rPr>
        <w:t>Queensland’s existing needs-based funding arrangements and resource allocation methodologies are efficient and effective, and have helped to deliver strong education outcomes for the</w:t>
      </w:r>
      <w:r>
        <w:rPr>
          <w:spacing w:val="-2"/>
          <w:sz w:val="23"/>
        </w:rPr>
        <w:t xml:space="preserve"> </w:t>
      </w:r>
      <w:r>
        <w:rPr>
          <w:sz w:val="23"/>
        </w:rPr>
        <w:t>state;</w:t>
      </w:r>
    </w:p>
    <w:p w14:paraId="6B6C8CB3" w14:textId="77777777" w:rsidR="00372CDD" w:rsidRDefault="00372CDD">
      <w:pPr>
        <w:pStyle w:val="BodyText"/>
        <w:spacing w:before="1"/>
        <w:rPr>
          <w:sz w:val="20"/>
        </w:rPr>
      </w:pPr>
    </w:p>
    <w:p w14:paraId="3E5EA471" w14:textId="076C7BF6" w:rsidR="00372CDD" w:rsidRDefault="00485B30">
      <w:pPr>
        <w:pStyle w:val="ListParagraph"/>
        <w:numPr>
          <w:ilvl w:val="1"/>
          <w:numId w:val="3"/>
        </w:numPr>
        <w:tabs>
          <w:tab w:val="left" w:pos="1554"/>
        </w:tabs>
        <w:spacing w:line="220" w:lineRule="auto"/>
        <w:ind w:left="1553" w:right="121" w:hanging="355"/>
        <w:rPr>
          <w:sz w:val="23"/>
        </w:rPr>
      </w:pPr>
      <w:r>
        <w:rPr>
          <w:sz w:val="23"/>
        </w:rPr>
        <w:t>t</w:t>
      </w:r>
      <w:r w:rsidR="00C87ECC">
        <w:rPr>
          <w:sz w:val="23"/>
        </w:rPr>
        <w:t>he proposed transition path represents an increase to Queensland’s school education budget that is financially sustainable and will not compromise other areas of service</w:t>
      </w:r>
      <w:r w:rsidR="00C87ECC">
        <w:rPr>
          <w:spacing w:val="-2"/>
          <w:sz w:val="23"/>
        </w:rPr>
        <w:t xml:space="preserve"> </w:t>
      </w:r>
      <w:r w:rsidR="00C87ECC">
        <w:rPr>
          <w:sz w:val="23"/>
        </w:rPr>
        <w:t>delivery;</w:t>
      </w:r>
    </w:p>
    <w:p w14:paraId="4FD74ECD" w14:textId="77777777" w:rsidR="00372CDD" w:rsidRDefault="00372CDD">
      <w:pPr>
        <w:pStyle w:val="BodyText"/>
        <w:spacing w:before="2"/>
        <w:rPr>
          <w:sz w:val="20"/>
        </w:rPr>
      </w:pPr>
    </w:p>
    <w:p w14:paraId="11F700D1" w14:textId="77777777" w:rsidR="00372CDD" w:rsidRDefault="00C87ECC">
      <w:pPr>
        <w:pStyle w:val="ListParagraph"/>
        <w:numPr>
          <w:ilvl w:val="1"/>
          <w:numId w:val="3"/>
        </w:numPr>
        <w:tabs>
          <w:tab w:val="left" w:pos="1561"/>
        </w:tabs>
        <w:spacing w:line="220" w:lineRule="auto"/>
        <w:ind w:left="1560" w:right="115"/>
        <w:rPr>
          <w:sz w:val="23"/>
        </w:rPr>
      </w:pPr>
      <w:r>
        <w:rPr>
          <w:sz w:val="23"/>
        </w:rPr>
        <w:t>Queensland’s</w:t>
      </w:r>
      <w:r>
        <w:rPr>
          <w:spacing w:val="-7"/>
          <w:sz w:val="23"/>
        </w:rPr>
        <w:t xml:space="preserve"> </w:t>
      </w:r>
      <w:r>
        <w:rPr>
          <w:sz w:val="23"/>
        </w:rPr>
        <w:t>cost</w:t>
      </w:r>
      <w:r>
        <w:rPr>
          <w:spacing w:val="-9"/>
          <w:sz w:val="23"/>
        </w:rPr>
        <w:t xml:space="preserve"> </w:t>
      </w:r>
      <w:r>
        <w:rPr>
          <w:sz w:val="23"/>
        </w:rPr>
        <w:t>drivers</w:t>
      </w:r>
      <w:r>
        <w:rPr>
          <w:spacing w:val="-6"/>
          <w:sz w:val="23"/>
        </w:rPr>
        <w:t xml:space="preserve"> </w:t>
      </w:r>
      <w:r>
        <w:rPr>
          <w:sz w:val="23"/>
        </w:rPr>
        <w:t>are</w:t>
      </w:r>
      <w:r>
        <w:rPr>
          <w:spacing w:val="-8"/>
          <w:sz w:val="23"/>
        </w:rPr>
        <w:t xml:space="preserve"> </w:t>
      </w:r>
      <w:r>
        <w:rPr>
          <w:sz w:val="23"/>
        </w:rPr>
        <w:t>unique</w:t>
      </w:r>
      <w:r>
        <w:rPr>
          <w:spacing w:val="-6"/>
          <w:sz w:val="23"/>
        </w:rPr>
        <w:t xml:space="preserve"> </w:t>
      </w:r>
      <w:r>
        <w:rPr>
          <w:sz w:val="23"/>
        </w:rPr>
        <w:t>to</w:t>
      </w:r>
      <w:r>
        <w:rPr>
          <w:spacing w:val="-8"/>
          <w:sz w:val="23"/>
        </w:rPr>
        <w:t xml:space="preserve"> </w:t>
      </w:r>
      <w:r>
        <w:rPr>
          <w:sz w:val="23"/>
        </w:rPr>
        <w:t>the</w:t>
      </w:r>
      <w:r>
        <w:rPr>
          <w:spacing w:val="-8"/>
          <w:sz w:val="23"/>
        </w:rPr>
        <w:t xml:space="preserve"> </w:t>
      </w:r>
      <w:r>
        <w:rPr>
          <w:sz w:val="23"/>
        </w:rPr>
        <w:t>state</w:t>
      </w:r>
      <w:r>
        <w:rPr>
          <w:spacing w:val="-6"/>
          <w:sz w:val="23"/>
        </w:rPr>
        <w:t xml:space="preserve"> </w:t>
      </w:r>
      <w:r>
        <w:rPr>
          <w:sz w:val="23"/>
        </w:rPr>
        <w:t>and</w:t>
      </w:r>
      <w:r>
        <w:rPr>
          <w:spacing w:val="-9"/>
          <w:sz w:val="23"/>
        </w:rPr>
        <w:t xml:space="preserve"> </w:t>
      </w:r>
      <w:r>
        <w:rPr>
          <w:sz w:val="23"/>
        </w:rPr>
        <w:t>are</w:t>
      </w:r>
      <w:r>
        <w:rPr>
          <w:spacing w:val="-7"/>
          <w:sz w:val="23"/>
        </w:rPr>
        <w:t xml:space="preserve"> </w:t>
      </w:r>
      <w:r>
        <w:rPr>
          <w:sz w:val="23"/>
        </w:rPr>
        <w:t>not</w:t>
      </w:r>
      <w:r>
        <w:rPr>
          <w:spacing w:val="-9"/>
          <w:sz w:val="23"/>
        </w:rPr>
        <w:t xml:space="preserve"> </w:t>
      </w:r>
      <w:r>
        <w:rPr>
          <w:sz w:val="23"/>
        </w:rPr>
        <w:t>accurately</w:t>
      </w:r>
      <w:r>
        <w:rPr>
          <w:spacing w:val="-8"/>
          <w:sz w:val="23"/>
        </w:rPr>
        <w:t xml:space="preserve"> </w:t>
      </w:r>
      <w:r>
        <w:rPr>
          <w:sz w:val="23"/>
        </w:rPr>
        <w:t xml:space="preserve">reflected in the rate of </w:t>
      </w:r>
      <w:r w:rsidR="007642C3">
        <w:rPr>
          <w:sz w:val="23"/>
        </w:rPr>
        <w:t xml:space="preserve">national </w:t>
      </w:r>
      <w:r>
        <w:rPr>
          <w:sz w:val="23"/>
        </w:rPr>
        <w:t>indexation legislated in the Act</w:t>
      </w:r>
      <w:r w:rsidR="006B0473">
        <w:rPr>
          <w:sz w:val="23"/>
        </w:rPr>
        <w:t xml:space="preserve"> -</w:t>
      </w:r>
      <w:r>
        <w:rPr>
          <w:sz w:val="23"/>
        </w:rPr>
        <w:t xml:space="preserve"> </w:t>
      </w:r>
      <w:r w:rsidR="006B0473">
        <w:rPr>
          <w:sz w:val="23"/>
        </w:rPr>
        <w:t>t</w:t>
      </w:r>
      <w:r>
        <w:rPr>
          <w:sz w:val="23"/>
        </w:rPr>
        <w:t>he proposed transition path maintains and increases purchasing power at the state</w:t>
      </w:r>
      <w:r>
        <w:rPr>
          <w:spacing w:val="-8"/>
          <w:sz w:val="23"/>
        </w:rPr>
        <w:t xml:space="preserve"> </w:t>
      </w:r>
      <w:r>
        <w:rPr>
          <w:sz w:val="23"/>
        </w:rPr>
        <w:t>level;</w:t>
      </w:r>
      <w:r w:rsidR="00E92FDA">
        <w:rPr>
          <w:sz w:val="23"/>
        </w:rPr>
        <w:t xml:space="preserve"> and</w:t>
      </w:r>
    </w:p>
    <w:p w14:paraId="4BE70C72" w14:textId="77777777" w:rsidR="00372CDD" w:rsidRDefault="00372CDD">
      <w:pPr>
        <w:pStyle w:val="BodyText"/>
        <w:spacing w:before="1"/>
        <w:rPr>
          <w:sz w:val="20"/>
        </w:rPr>
      </w:pPr>
    </w:p>
    <w:p w14:paraId="79D545EE" w14:textId="67DC3AE5" w:rsidR="00372CDD" w:rsidRDefault="00485B30">
      <w:pPr>
        <w:pStyle w:val="ListParagraph"/>
        <w:numPr>
          <w:ilvl w:val="1"/>
          <w:numId w:val="3"/>
        </w:numPr>
        <w:tabs>
          <w:tab w:val="left" w:pos="1561"/>
        </w:tabs>
        <w:spacing w:line="220" w:lineRule="auto"/>
        <w:ind w:left="1560" w:right="113"/>
        <w:rPr>
          <w:sz w:val="23"/>
        </w:rPr>
      </w:pPr>
      <w:r>
        <w:rPr>
          <w:sz w:val="23"/>
        </w:rPr>
        <w:t>i</w:t>
      </w:r>
      <w:r w:rsidR="00C87ECC">
        <w:rPr>
          <w:sz w:val="23"/>
        </w:rPr>
        <w:t>n the absence of an agreement Queensland government and non-government schools would not be able to receive critical federal funding</w:t>
      </w:r>
      <w:r w:rsidR="00E92FDA">
        <w:rPr>
          <w:sz w:val="23"/>
        </w:rPr>
        <w:t>.</w:t>
      </w:r>
    </w:p>
    <w:p w14:paraId="05E8B779" w14:textId="77777777" w:rsidR="00372CDD" w:rsidRDefault="00372CDD">
      <w:pPr>
        <w:pStyle w:val="BodyText"/>
        <w:spacing w:before="7"/>
        <w:rPr>
          <w:sz w:val="19"/>
        </w:rPr>
      </w:pPr>
    </w:p>
    <w:p w14:paraId="4BD341BF" w14:textId="06CC5BAE" w:rsidR="00372CDD" w:rsidRDefault="00C87ECC">
      <w:pPr>
        <w:pStyle w:val="ListParagraph"/>
        <w:numPr>
          <w:ilvl w:val="0"/>
          <w:numId w:val="3"/>
        </w:numPr>
        <w:tabs>
          <w:tab w:val="left" w:pos="687"/>
        </w:tabs>
        <w:spacing w:line="223" w:lineRule="auto"/>
        <w:ind w:left="686" w:right="114" w:hanging="566"/>
        <w:rPr>
          <w:sz w:val="23"/>
        </w:rPr>
      </w:pPr>
      <w:r>
        <w:rPr>
          <w:sz w:val="23"/>
        </w:rPr>
        <w:t xml:space="preserve">Consistent with clause 61 of the National Agreement and in the event of a change to the SRS that has a consequential impact on state contribution requirements, such as changes to the SES score methodology or accounting standards, the Parties can agree to amend the contribution shares set out in clause </w:t>
      </w:r>
      <w:r w:rsidR="002D6E94">
        <w:rPr>
          <w:sz w:val="23"/>
        </w:rPr>
        <w:t xml:space="preserve">26 </w:t>
      </w:r>
      <w:r>
        <w:rPr>
          <w:sz w:val="23"/>
        </w:rPr>
        <w:t>above, to ensure that the state contribution amount</w:t>
      </w:r>
      <w:r>
        <w:rPr>
          <w:spacing w:val="-8"/>
          <w:sz w:val="23"/>
        </w:rPr>
        <w:t xml:space="preserve"> </w:t>
      </w:r>
      <w:r>
        <w:rPr>
          <w:sz w:val="23"/>
        </w:rPr>
        <w:t>is</w:t>
      </w:r>
      <w:r>
        <w:rPr>
          <w:spacing w:val="-7"/>
          <w:sz w:val="23"/>
        </w:rPr>
        <w:t xml:space="preserve"> </w:t>
      </w:r>
      <w:r>
        <w:rPr>
          <w:sz w:val="23"/>
        </w:rPr>
        <w:t>not</w:t>
      </w:r>
      <w:r>
        <w:rPr>
          <w:spacing w:val="-9"/>
          <w:sz w:val="23"/>
        </w:rPr>
        <w:t xml:space="preserve"> </w:t>
      </w:r>
      <w:r>
        <w:rPr>
          <w:sz w:val="23"/>
        </w:rPr>
        <w:t>impacted.</w:t>
      </w:r>
      <w:r>
        <w:rPr>
          <w:spacing w:val="-5"/>
          <w:sz w:val="23"/>
        </w:rPr>
        <w:t xml:space="preserve"> </w:t>
      </w:r>
      <w:r>
        <w:rPr>
          <w:sz w:val="23"/>
        </w:rPr>
        <w:t>The</w:t>
      </w:r>
      <w:r>
        <w:rPr>
          <w:spacing w:val="-6"/>
          <w:sz w:val="23"/>
        </w:rPr>
        <w:t xml:space="preserve"> </w:t>
      </w:r>
      <w:r>
        <w:rPr>
          <w:sz w:val="23"/>
        </w:rPr>
        <w:t>amended</w:t>
      </w:r>
      <w:r>
        <w:rPr>
          <w:spacing w:val="-8"/>
          <w:sz w:val="23"/>
        </w:rPr>
        <w:t xml:space="preserve"> </w:t>
      </w:r>
      <w:r>
        <w:rPr>
          <w:sz w:val="23"/>
        </w:rPr>
        <w:t>amount</w:t>
      </w:r>
      <w:r>
        <w:rPr>
          <w:spacing w:val="-7"/>
          <w:sz w:val="23"/>
        </w:rPr>
        <w:t xml:space="preserve"> </w:t>
      </w:r>
      <w:r>
        <w:rPr>
          <w:sz w:val="23"/>
        </w:rPr>
        <w:t>should</w:t>
      </w:r>
      <w:r>
        <w:rPr>
          <w:spacing w:val="-8"/>
          <w:sz w:val="23"/>
        </w:rPr>
        <w:t xml:space="preserve"> </w:t>
      </w:r>
      <w:r>
        <w:rPr>
          <w:sz w:val="23"/>
        </w:rPr>
        <w:t>represent</w:t>
      </w:r>
      <w:r>
        <w:rPr>
          <w:spacing w:val="-8"/>
          <w:sz w:val="23"/>
        </w:rPr>
        <w:t xml:space="preserve"> </w:t>
      </w:r>
      <w:r>
        <w:rPr>
          <w:sz w:val="23"/>
        </w:rPr>
        <w:t>the</w:t>
      </w:r>
      <w:r>
        <w:rPr>
          <w:spacing w:val="-7"/>
          <w:sz w:val="23"/>
        </w:rPr>
        <w:t xml:space="preserve"> </w:t>
      </w:r>
      <w:r>
        <w:rPr>
          <w:sz w:val="23"/>
        </w:rPr>
        <w:t>funding</w:t>
      </w:r>
      <w:r>
        <w:rPr>
          <w:spacing w:val="-8"/>
          <w:sz w:val="23"/>
        </w:rPr>
        <w:t xml:space="preserve"> </w:t>
      </w:r>
      <w:r>
        <w:rPr>
          <w:sz w:val="23"/>
        </w:rPr>
        <w:t>calculated</w:t>
      </w:r>
      <w:r>
        <w:rPr>
          <w:spacing w:val="-7"/>
          <w:sz w:val="23"/>
        </w:rPr>
        <w:t xml:space="preserve"> </w:t>
      </w:r>
      <w:r>
        <w:rPr>
          <w:sz w:val="23"/>
        </w:rPr>
        <w:t xml:space="preserve">as if the SRS settings are applied that were in operation at the time the agreement commenced. The Commonwealth will facilitate this process by continuing to provide data required to enable the </w:t>
      </w:r>
      <w:r w:rsidR="008E004C">
        <w:rPr>
          <w:sz w:val="23"/>
        </w:rPr>
        <w:t>s</w:t>
      </w:r>
      <w:r>
        <w:rPr>
          <w:sz w:val="23"/>
        </w:rPr>
        <w:t>tate to calculate the amount of its contribution on an unchanged basis.</w:t>
      </w:r>
    </w:p>
    <w:p w14:paraId="028E1D59" w14:textId="77777777" w:rsidR="00372CDD" w:rsidRDefault="00372CDD">
      <w:pPr>
        <w:pStyle w:val="BodyText"/>
        <w:spacing w:before="5"/>
        <w:rPr>
          <w:sz w:val="18"/>
        </w:rPr>
      </w:pPr>
    </w:p>
    <w:p w14:paraId="21089475" w14:textId="77777777" w:rsidR="00372CDD" w:rsidRDefault="00C87ECC">
      <w:pPr>
        <w:pStyle w:val="Heading2"/>
        <w:ind w:left="120"/>
      </w:pPr>
      <w:r>
        <w:rPr>
          <w:color w:val="306E71"/>
        </w:rPr>
        <w:t>Measurement of contributions</w:t>
      </w:r>
    </w:p>
    <w:p w14:paraId="61341E07" w14:textId="77777777" w:rsidR="00372CDD" w:rsidRDefault="00C87ECC">
      <w:pPr>
        <w:pStyle w:val="ListParagraph"/>
        <w:numPr>
          <w:ilvl w:val="0"/>
          <w:numId w:val="3"/>
        </w:numPr>
        <w:tabs>
          <w:tab w:val="left" w:pos="687"/>
        </w:tabs>
        <w:spacing w:before="125" w:line="223" w:lineRule="auto"/>
        <w:ind w:left="686" w:right="118" w:hanging="566"/>
        <w:rPr>
          <w:sz w:val="23"/>
        </w:rPr>
      </w:pPr>
      <w:r>
        <w:rPr>
          <w:sz w:val="23"/>
        </w:rPr>
        <w:t>For</w:t>
      </w:r>
      <w:r>
        <w:rPr>
          <w:spacing w:val="-8"/>
          <w:sz w:val="23"/>
        </w:rPr>
        <w:t xml:space="preserve"> </w:t>
      </w:r>
      <w:r>
        <w:rPr>
          <w:sz w:val="23"/>
        </w:rPr>
        <w:t>the</w:t>
      </w:r>
      <w:r>
        <w:rPr>
          <w:spacing w:val="-8"/>
          <w:sz w:val="23"/>
        </w:rPr>
        <w:t xml:space="preserve"> </w:t>
      </w:r>
      <w:r>
        <w:rPr>
          <w:sz w:val="23"/>
        </w:rPr>
        <w:t>purpose</w:t>
      </w:r>
      <w:r>
        <w:rPr>
          <w:spacing w:val="-6"/>
          <w:sz w:val="23"/>
        </w:rPr>
        <w:t xml:space="preserve"> </w:t>
      </w:r>
      <w:r>
        <w:rPr>
          <w:sz w:val="23"/>
        </w:rPr>
        <w:t>of</w:t>
      </w:r>
      <w:r>
        <w:rPr>
          <w:spacing w:val="-7"/>
          <w:sz w:val="23"/>
        </w:rPr>
        <w:t xml:space="preserve"> </w:t>
      </w:r>
      <w:r>
        <w:rPr>
          <w:sz w:val="23"/>
        </w:rPr>
        <w:t>this</w:t>
      </w:r>
      <w:r>
        <w:rPr>
          <w:spacing w:val="-7"/>
          <w:sz w:val="23"/>
        </w:rPr>
        <w:t xml:space="preserve"> </w:t>
      </w:r>
      <w:r>
        <w:rPr>
          <w:sz w:val="23"/>
        </w:rPr>
        <w:t>Schedule,</w:t>
      </w:r>
      <w:r>
        <w:rPr>
          <w:spacing w:val="-8"/>
          <w:sz w:val="23"/>
        </w:rPr>
        <w:t xml:space="preserve"> </w:t>
      </w:r>
      <w:r>
        <w:rPr>
          <w:sz w:val="23"/>
        </w:rPr>
        <w:t>Parties</w:t>
      </w:r>
      <w:r>
        <w:rPr>
          <w:spacing w:val="-7"/>
          <w:sz w:val="23"/>
        </w:rPr>
        <w:t xml:space="preserve"> </w:t>
      </w:r>
      <w:r>
        <w:rPr>
          <w:sz w:val="23"/>
        </w:rPr>
        <w:t>have</w:t>
      </w:r>
      <w:r>
        <w:rPr>
          <w:spacing w:val="-6"/>
          <w:sz w:val="23"/>
        </w:rPr>
        <w:t xml:space="preserve"> </w:t>
      </w:r>
      <w:r>
        <w:rPr>
          <w:sz w:val="23"/>
        </w:rPr>
        <w:t>agreed</w:t>
      </w:r>
      <w:r>
        <w:rPr>
          <w:spacing w:val="-8"/>
          <w:sz w:val="23"/>
        </w:rPr>
        <w:t xml:space="preserve"> </w:t>
      </w:r>
      <w:r>
        <w:rPr>
          <w:sz w:val="23"/>
        </w:rPr>
        <w:t>the</w:t>
      </w:r>
      <w:r>
        <w:rPr>
          <w:spacing w:val="-8"/>
          <w:sz w:val="23"/>
        </w:rPr>
        <w:t xml:space="preserve"> </w:t>
      </w:r>
      <w:r>
        <w:rPr>
          <w:sz w:val="23"/>
        </w:rPr>
        <w:t>costs</w:t>
      </w:r>
      <w:r>
        <w:rPr>
          <w:spacing w:val="-6"/>
          <w:sz w:val="23"/>
        </w:rPr>
        <w:t xml:space="preserve"> </w:t>
      </w:r>
      <w:r>
        <w:rPr>
          <w:sz w:val="23"/>
        </w:rPr>
        <w:t>that</w:t>
      </w:r>
      <w:r>
        <w:rPr>
          <w:spacing w:val="-9"/>
          <w:sz w:val="23"/>
        </w:rPr>
        <w:t xml:space="preserve"> </w:t>
      </w:r>
      <w:r>
        <w:rPr>
          <w:sz w:val="23"/>
        </w:rPr>
        <w:t>are</w:t>
      </w:r>
      <w:r>
        <w:rPr>
          <w:spacing w:val="-8"/>
          <w:sz w:val="23"/>
        </w:rPr>
        <w:t xml:space="preserve"> </w:t>
      </w:r>
      <w:r>
        <w:rPr>
          <w:sz w:val="23"/>
        </w:rPr>
        <w:t>measured</w:t>
      </w:r>
      <w:r>
        <w:rPr>
          <w:spacing w:val="-8"/>
          <w:sz w:val="23"/>
        </w:rPr>
        <w:t xml:space="preserve"> </w:t>
      </w:r>
      <w:r>
        <w:rPr>
          <w:sz w:val="23"/>
        </w:rPr>
        <w:t>towards Queensland’s funding contribution</w:t>
      </w:r>
      <w:r>
        <w:rPr>
          <w:spacing w:val="-1"/>
          <w:sz w:val="23"/>
        </w:rPr>
        <w:t xml:space="preserve"> </w:t>
      </w:r>
      <w:r w:rsidRPr="00FC7A1C">
        <w:rPr>
          <w:sz w:val="23"/>
        </w:rPr>
        <w:t>requirements</w:t>
      </w:r>
      <w:r w:rsidR="007642C3" w:rsidRPr="00FC7A1C">
        <w:rPr>
          <w:sz w:val="23"/>
        </w:rPr>
        <w:t xml:space="preserve"> </w:t>
      </w:r>
      <w:r w:rsidR="00FC7A1C" w:rsidRPr="008C11BE">
        <w:rPr>
          <w:sz w:val="23"/>
        </w:rPr>
        <w:t>at the sector level</w:t>
      </w:r>
      <w:r w:rsidR="00FC7A1C" w:rsidRPr="00FC7A1C">
        <w:rPr>
          <w:sz w:val="23"/>
        </w:rPr>
        <w:t>,</w:t>
      </w:r>
      <w:r w:rsidR="00FC7A1C">
        <w:rPr>
          <w:sz w:val="23"/>
        </w:rPr>
        <w:t xml:space="preserve"> </w:t>
      </w:r>
      <w:r w:rsidR="007642C3">
        <w:rPr>
          <w:sz w:val="23"/>
        </w:rPr>
        <w:t>for the government and non-government sectors</w:t>
      </w:r>
      <w:r>
        <w:rPr>
          <w:sz w:val="23"/>
        </w:rPr>
        <w:t>.</w:t>
      </w:r>
    </w:p>
    <w:p w14:paraId="2770D500" w14:textId="77777777" w:rsidR="00372CDD" w:rsidRDefault="00372CDD">
      <w:pPr>
        <w:pStyle w:val="BodyText"/>
        <w:spacing w:before="7"/>
        <w:rPr>
          <w:sz w:val="19"/>
        </w:rPr>
      </w:pPr>
    </w:p>
    <w:p w14:paraId="2EA82E67" w14:textId="77777777" w:rsidR="00372CDD" w:rsidRDefault="007642C3">
      <w:pPr>
        <w:pStyle w:val="ListParagraph"/>
        <w:numPr>
          <w:ilvl w:val="0"/>
          <w:numId w:val="3"/>
        </w:numPr>
        <w:tabs>
          <w:tab w:val="left" w:pos="687"/>
        </w:tabs>
        <w:spacing w:line="223" w:lineRule="auto"/>
        <w:ind w:left="686" w:right="115" w:hanging="566"/>
        <w:rPr>
          <w:sz w:val="23"/>
        </w:rPr>
      </w:pPr>
      <w:r w:rsidRPr="000D2DF0">
        <w:rPr>
          <w:rFonts w:eastAsia="Times New Roman" w:cs="Calibri"/>
          <w:color w:val="000000"/>
          <w:sz w:val="23"/>
          <w:szCs w:val="23"/>
        </w:rPr>
        <w:t xml:space="preserve">Consistent with the calculation of the SRS, the state funding contributions will be measured </w:t>
      </w:r>
      <w:r w:rsidRPr="0093035F">
        <w:rPr>
          <w:rFonts w:eastAsia="Calibri" w:cs="Times New Roman"/>
          <w:sz w:val="23"/>
          <w:szCs w:val="23"/>
        </w:rPr>
        <w:t>according</w:t>
      </w:r>
      <w:r w:rsidRPr="000D2DF0">
        <w:rPr>
          <w:rFonts w:eastAsia="Times New Roman" w:cs="Calibri"/>
          <w:color w:val="000000"/>
          <w:sz w:val="23"/>
          <w:szCs w:val="23"/>
        </w:rPr>
        <w:t xml:space="preserve"> </w:t>
      </w:r>
      <w:r w:rsidRPr="008F1301">
        <w:rPr>
          <w:rFonts w:eastAsia="Times New Roman" w:cs="Calibri"/>
          <w:color w:val="000000"/>
          <w:sz w:val="23"/>
          <w:szCs w:val="23"/>
        </w:rPr>
        <w:t xml:space="preserve">to </w:t>
      </w:r>
      <w:r>
        <w:rPr>
          <w:rFonts w:eastAsia="Times New Roman" w:cs="Calibri"/>
          <w:color w:val="000000"/>
          <w:sz w:val="23"/>
          <w:szCs w:val="23"/>
        </w:rPr>
        <w:t>Queensland</w:t>
      </w:r>
      <w:r w:rsidRPr="006244D2">
        <w:rPr>
          <w:rFonts w:eastAsia="Times New Roman" w:cs="Calibri"/>
          <w:color w:val="000000"/>
          <w:sz w:val="23"/>
          <w:szCs w:val="23"/>
        </w:rPr>
        <w:t xml:space="preserve"> </w:t>
      </w:r>
      <w:r>
        <w:rPr>
          <w:rFonts w:eastAsia="Times New Roman" w:cs="Calibri"/>
          <w:color w:val="000000"/>
          <w:sz w:val="23"/>
          <w:szCs w:val="23"/>
        </w:rPr>
        <w:t>funding</w:t>
      </w:r>
      <w:r w:rsidRPr="006244D2">
        <w:rPr>
          <w:rFonts w:eastAsia="Times New Roman" w:cs="Calibri"/>
          <w:color w:val="000000"/>
          <w:sz w:val="23"/>
          <w:szCs w:val="23"/>
        </w:rPr>
        <w:t xml:space="preserve"> consistent with</w:t>
      </w:r>
      <w:r w:rsidRPr="008F1301">
        <w:rPr>
          <w:rFonts w:eastAsia="Times New Roman" w:cs="Calibri"/>
          <w:color w:val="000000"/>
          <w:sz w:val="23"/>
          <w:szCs w:val="23"/>
        </w:rPr>
        <w:t xml:space="preserve"> the A</w:t>
      </w:r>
      <w:r>
        <w:rPr>
          <w:rFonts w:eastAsia="Times New Roman" w:cs="Calibri"/>
          <w:color w:val="000000"/>
          <w:sz w:val="23"/>
          <w:szCs w:val="23"/>
        </w:rPr>
        <w:t>ustralian Curriculum, Assessment and Reporting Authority (A</w:t>
      </w:r>
      <w:r w:rsidRPr="008F1301">
        <w:rPr>
          <w:rFonts w:eastAsia="Times New Roman" w:cs="Calibri"/>
          <w:color w:val="000000"/>
          <w:sz w:val="23"/>
          <w:szCs w:val="23"/>
        </w:rPr>
        <w:t>CARA</w:t>
      </w:r>
      <w:r>
        <w:rPr>
          <w:rFonts w:eastAsia="Times New Roman" w:cs="Calibri"/>
          <w:color w:val="000000"/>
          <w:sz w:val="23"/>
          <w:szCs w:val="23"/>
        </w:rPr>
        <w:t>)</w:t>
      </w:r>
      <w:r w:rsidRPr="008F1301">
        <w:rPr>
          <w:rFonts w:eastAsia="Times New Roman" w:cs="Calibri"/>
          <w:color w:val="000000"/>
          <w:sz w:val="23"/>
          <w:szCs w:val="23"/>
        </w:rPr>
        <w:t xml:space="preserve"> financial data reporting methodology for state Net Recurrent Income Per Student (NRIPS) for school years Year 1 minus 1 to Year 12</w:t>
      </w:r>
      <w:r w:rsidRPr="006244D2">
        <w:rPr>
          <w:rFonts w:eastAsia="Times New Roman" w:cs="Calibri"/>
          <w:color w:val="000000"/>
          <w:sz w:val="23"/>
          <w:szCs w:val="23"/>
        </w:rPr>
        <w:t>,</w:t>
      </w:r>
      <w:r w:rsidRPr="006244D2">
        <w:t xml:space="preserve"> </w:t>
      </w:r>
      <w:r w:rsidRPr="006244D2">
        <w:rPr>
          <w:rFonts w:eastAsia="Times New Roman" w:cs="Calibri"/>
          <w:color w:val="000000"/>
          <w:sz w:val="23"/>
          <w:szCs w:val="23"/>
        </w:rPr>
        <w:t xml:space="preserve">excluding funding for full fee paying overseas students, along with the following additional </w:t>
      </w:r>
      <w:r>
        <w:rPr>
          <w:rFonts w:eastAsia="Times New Roman" w:cs="Calibri"/>
          <w:color w:val="000000"/>
          <w:sz w:val="23"/>
          <w:szCs w:val="23"/>
        </w:rPr>
        <w:t>funding</w:t>
      </w:r>
      <w:r w:rsidRPr="006244D2">
        <w:rPr>
          <w:rFonts w:eastAsia="Times New Roman" w:cs="Calibri"/>
          <w:color w:val="000000"/>
          <w:sz w:val="23"/>
          <w:szCs w:val="23"/>
        </w:rPr>
        <w:t xml:space="preserve"> types:</w:t>
      </w:r>
    </w:p>
    <w:p w14:paraId="0508F140" w14:textId="77777777" w:rsidR="00372CDD" w:rsidRDefault="00372CDD">
      <w:pPr>
        <w:spacing w:line="223" w:lineRule="auto"/>
        <w:jc w:val="both"/>
        <w:rPr>
          <w:sz w:val="23"/>
        </w:rPr>
        <w:sectPr w:rsidR="00372CDD" w:rsidSect="007D4790">
          <w:pgSz w:w="11910" w:h="16840"/>
          <w:pgMar w:top="1380" w:right="1320" w:bottom="993" w:left="1320" w:header="746" w:footer="289" w:gutter="0"/>
          <w:cols w:space="720"/>
        </w:sectPr>
      </w:pPr>
    </w:p>
    <w:p w14:paraId="431BD0D5" w14:textId="54B68D6F" w:rsidR="00C127E8" w:rsidRDefault="007642C3" w:rsidP="00C127E8">
      <w:pPr>
        <w:pStyle w:val="ListParagraph"/>
        <w:numPr>
          <w:ilvl w:val="1"/>
          <w:numId w:val="3"/>
        </w:numPr>
        <w:tabs>
          <w:tab w:val="left" w:pos="1047"/>
        </w:tabs>
        <w:spacing w:before="59" w:line="223" w:lineRule="auto"/>
        <w:ind w:left="1046" w:right="115"/>
        <w:rPr>
          <w:sz w:val="23"/>
        </w:rPr>
      </w:pPr>
      <w:r>
        <w:rPr>
          <w:sz w:val="23"/>
        </w:rPr>
        <w:lastRenderedPageBreak/>
        <w:t xml:space="preserve">4 </w:t>
      </w:r>
      <w:r w:rsidR="00C87ECC">
        <w:rPr>
          <w:sz w:val="23"/>
        </w:rPr>
        <w:t xml:space="preserve">per cent of the total SRS for the government sector each year </w:t>
      </w:r>
      <w:r w:rsidR="00C127E8">
        <w:rPr>
          <w:sz w:val="23"/>
        </w:rPr>
        <w:t>(</w:t>
      </w:r>
      <w:r w:rsidR="00C87ECC">
        <w:rPr>
          <w:sz w:val="23"/>
        </w:rPr>
        <w:t>in partial recognition of the state’s</w:t>
      </w:r>
      <w:r w:rsidR="00C127E8">
        <w:rPr>
          <w:sz w:val="23"/>
        </w:rPr>
        <w:t xml:space="preserve"> critical</w:t>
      </w:r>
      <w:r w:rsidR="00C87ECC">
        <w:rPr>
          <w:sz w:val="23"/>
        </w:rPr>
        <w:t xml:space="preserve"> investment in education</w:t>
      </w:r>
      <w:r w:rsidR="00C127E8">
        <w:rPr>
          <w:sz w:val="23"/>
        </w:rPr>
        <w:t xml:space="preserve">) for </w:t>
      </w:r>
      <w:r w:rsidR="00C87ECC">
        <w:rPr>
          <w:sz w:val="23"/>
        </w:rPr>
        <w:t xml:space="preserve">capital depreciation and </w:t>
      </w:r>
      <w:r>
        <w:rPr>
          <w:sz w:val="23"/>
        </w:rPr>
        <w:t>direct school</w:t>
      </w:r>
      <w:r w:rsidR="00C127E8">
        <w:rPr>
          <w:sz w:val="23"/>
        </w:rPr>
        <w:t xml:space="preserve"> </w:t>
      </w:r>
      <w:r>
        <w:rPr>
          <w:sz w:val="23"/>
        </w:rPr>
        <w:t>transport</w:t>
      </w:r>
      <w:r w:rsidR="00C127E8">
        <w:rPr>
          <w:sz w:val="23"/>
        </w:rPr>
        <w:t>.</w:t>
      </w:r>
    </w:p>
    <w:p w14:paraId="1D275825" w14:textId="77777777" w:rsidR="00372CDD" w:rsidRDefault="00372CDD">
      <w:pPr>
        <w:pStyle w:val="BodyText"/>
        <w:rPr>
          <w:sz w:val="19"/>
        </w:rPr>
      </w:pPr>
    </w:p>
    <w:p w14:paraId="096D31FA" w14:textId="77777777" w:rsidR="00D656EB" w:rsidRDefault="00D656EB">
      <w:pPr>
        <w:pStyle w:val="ListParagraph"/>
        <w:numPr>
          <w:ilvl w:val="1"/>
          <w:numId w:val="3"/>
        </w:numPr>
        <w:tabs>
          <w:tab w:val="left" w:pos="1047"/>
        </w:tabs>
        <w:spacing w:line="223" w:lineRule="auto"/>
        <w:ind w:left="1046" w:right="111"/>
        <w:rPr>
          <w:sz w:val="23"/>
        </w:rPr>
      </w:pPr>
      <w:r>
        <w:rPr>
          <w:sz w:val="23"/>
        </w:rPr>
        <w:t xml:space="preserve">all regulatory funding provided </w:t>
      </w:r>
      <w:r w:rsidR="00FC7A1C">
        <w:rPr>
          <w:sz w:val="23"/>
        </w:rPr>
        <w:t>by the government</w:t>
      </w:r>
      <w:r>
        <w:rPr>
          <w:sz w:val="23"/>
        </w:rPr>
        <w:t xml:space="preserve"> for the purpose of:</w:t>
      </w:r>
    </w:p>
    <w:p w14:paraId="3D22EF94" w14:textId="77777777" w:rsidR="00D656EB" w:rsidRPr="00D656EB" w:rsidRDefault="00D656EB" w:rsidP="00D656EB">
      <w:pPr>
        <w:pStyle w:val="ListParagraph"/>
        <w:rPr>
          <w:sz w:val="23"/>
        </w:rPr>
      </w:pPr>
    </w:p>
    <w:p w14:paraId="004DDD9B" w14:textId="77777777" w:rsidR="00D656EB" w:rsidRDefault="005B31B5" w:rsidP="00D656EB">
      <w:pPr>
        <w:pStyle w:val="ListParagraph"/>
        <w:numPr>
          <w:ilvl w:val="2"/>
          <w:numId w:val="3"/>
        </w:numPr>
        <w:tabs>
          <w:tab w:val="left" w:pos="1701"/>
        </w:tabs>
        <w:spacing w:line="223" w:lineRule="auto"/>
        <w:ind w:left="1701" w:right="111"/>
        <w:rPr>
          <w:sz w:val="23"/>
        </w:rPr>
      </w:pPr>
      <w:r>
        <w:rPr>
          <w:sz w:val="23"/>
        </w:rPr>
        <w:t xml:space="preserve">Queensland Curriculum and Assessment Authority </w:t>
      </w:r>
    </w:p>
    <w:p w14:paraId="463B38CF" w14:textId="77777777" w:rsidR="00D656EB" w:rsidRPr="00D656EB" w:rsidRDefault="00D656EB" w:rsidP="00D656EB">
      <w:pPr>
        <w:pStyle w:val="ListParagraph"/>
        <w:rPr>
          <w:sz w:val="23"/>
        </w:rPr>
      </w:pPr>
    </w:p>
    <w:p w14:paraId="68FF2B33" w14:textId="77777777" w:rsidR="00372CDD" w:rsidRPr="00400048" w:rsidRDefault="00E92FDA">
      <w:pPr>
        <w:pStyle w:val="ListParagraph"/>
        <w:numPr>
          <w:ilvl w:val="1"/>
          <w:numId w:val="3"/>
        </w:numPr>
        <w:tabs>
          <w:tab w:val="left" w:pos="1047"/>
        </w:tabs>
        <w:spacing w:line="220" w:lineRule="auto"/>
        <w:ind w:left="1046" w:right="118"/>
        <w:rPr>
          <w:sz w:val="23"/>
        </w:rPr>
      </w:pPr>
      <w:r w:rsidRPr="00400048">
        <w:rPr>
          <w:sz w:val="23"/>
        </w:rPr>
        <w:t>All</w:t>
      </w:r>
      <w:r w:rsidR="00C87ECC" w:rsidRPr="00400048">
        <w:rPr>
          <w:sz w:val="23"/>
        </w:rPr>
        <w:t xml:space="preserve"> funding for the reform measures outlined in</w:t>
      </w:r>
      <w:r w:rsidR="00D656EB" w:rsidRPr="00400048">
        <w:rPr>
          <w:sz w:val="23"/>
        </w:rPr>
        <w:t xml:space="preserve"> Part 1</w:t>
      </w:r>
      <w:r w:rsidR="00233438" w:rsidRPr="00400048">
        <w:rPr>
          <w:sz w:val="23"/>
        </w:rPr>
        <w:t xml:space="preserve"> of</w:t>
      </w:r>
      <w:r w:rsidR="00C87ECC" w:rsidRPr="00400048">
        <w:rPr>
          <w:sz w:val="23"/>
        </w:rPr>
        <w:t xml:space="preserve"> this bilateral reform agreement </w:t>
      </w:r>
      <w:r w:rsidR="00146AE1" w:rsidRPr="00400048">
        <w:rPr>
          <w:sz w:val="23"/>
        </w:rPr>
        <w:t xml:space="preserve">(with the exception of any capital funding) </w:t>
      </w:r>
      <w:r w:rsidR="00C87ECC" w:rsidRPr="00400048">
        <w:rPr>
          <w:sz w:val="23"/>
        </w:rPr>
        <w:t>and the national policy initiatives outlined in the National</w:t>
      </w:r>
      <w:r w:rsidR="00C87ECC" w:rsidRPr="00400048">
        <w:rPr>
          <w:spacing w:val="-15"/>
          <w:sz w:val="23"/>
        </w:rPr>
        <w:t xml:space="preserve"> </w:t>
      </w:r>
      <w:r w:rsidR="00C87ECC" w:rsidRPr="00400048">
        <w:rPr>
          <w:sz w:val="23"/>
        </w:rPr>
        <w:t>Agreement;</w:t>
      </w:r>
    </w:p>
    <w:p w14:paraId="20292F20" w14:textId="77777777" w:rsidR="00372CDD" w:rsidRPr="00400048" w:rsidRDefault="00372CDD">
      <w:pPr>
        <w:pStyle w:val="BodyText"/>
        <w:spacing w:before="8"/>
        <w:rPr>
          <w:sz w:val="19"/>
        </w:rPr>
      </w:pPr>
    </w:p>
    <w:p w14:paraId="6701B22B" w14:textId="77777777" w:rsidR="00372CDD" w:rsidRPr="00400048" w:rsidRDefault="00C87ECC">
      <w:pPr>
        <w:pStyle w:val="BodyText"/>
        <w:spacing w:line="223" w:lineRule="auto"/>
        <w:ind w:left="686" w:right="118"/>
        <w:jc w:val="both"/>
      </w:pPr>
      <w:r w:rsidRPr="00400048">
        <w:t>with the acknowledgement from both parties that this approach does not take into account an additional $</w:t>
      </w:r>
      <w:r w:rsidR="0086116F" w:rsidRPr="00400048">
        <w:t>1.</w:t>
      </w:r>
      <w:r w:rsidR="004F3542" w:rsidRPr="00400048">
        <w:t>5</w:t>
      </w:r>
      <w:r w:rsidRPr="00400048">
        <w:t xml:space="preserve"> billion in operating expenditure committed in the state education budget over the term of this agreement </w:t>
      </w:r>
      <w:r w:rsidR="00D656EB" w:rsidRPr="00400048">
        <w:t xml:space="preserve">and </w:t>
      </w:r>
      <w:r w:rsidRPr="00400048">
        <w:t xml:space="preserve">Queensland’s </w:t>
      </w:r>
      <w:r w:rsidR="00AA70D7" w:rsidRPr="00400048">
        <w:t xml:space="preserve">vital capital </w:t>
      </w:r>
      <w:r w:rsidRPr="00400048">
        <w:t>investment in education,</w:t>
      </w:r>
      <w:r w:rsidR="00D656EB" w:rsidRPr="00400048">
        <w:t xml:space="preserve"> which is</w:t>
      </w:r>
      <w:r w:rsidRPr="00400048">
        <w:t xml:space="preserve"> estimated to reach approximately $2.9 billion over the period of the</w:t>
      </w:r>
      <w:r w:rsidRPr="00400048">
        <w:rPr>
          <w:spacing w:val="-1"/>
        </w:rPr>
        <w:t xml:space="preserve"> </w:t>
      </w:r>
      <w:r w:rsidRPr="00400048">
        <w:t>agreement.</w:t>
      </w:r>
    </w:p>
    <w:p w14:paraId="471D09C4" w14:textId="7A5CCFAF" w:rsidR="00372CDD" w:rsidRDefault="00C87ECC">
      <w:pPr>
        <w:pStyle w:val="ListParagraph"/>
        <w:numPr>
          <w:ilvl w:val="0"/>
          <w:numId w:val="3"/>
        </w:numPr>
        <w:tabs>
          <w:tab w:val="left" w:pos="687"/>
        </w:tabs>
        <w:spacing w:before="193" w:line="223" w:lineRule="auto"/>
        <w:ind w:left="686" w:hanging="566"/>
        <w:rPr>
          <w:rFonts w:ascii="Calibri" w:hAnsi="Calibri"/>
          <w:sz w:val="23"/>
        </w:rPr>
      </w:pPr>
      <w:r w:rsidRPr="00400048">
        <w:rPr>
          <w:rFonts w:ascii="Calibri" w:hAnsi="Calibri"/>
          <w:sz w:val="23"/>
        </w:rPr>
        <w:t xml:space="preserve">It is Queensland’s position that Queensland’s full investment in education reflects the unique nature of the state of Queensland. Queensland is a highly decentralised state and with this comes additional costs particularly relating to capital </w:t>
      </w:r>
      <w:r w:rsidR="00AA70D7" w:rsidRPr="00400048">
        <w:rPr>
          <w:rFonts w:ascii="Calibri" w:hAnsi="Calibri"/>
          <w:sz w:val="23"/>
        </w:rPr>
        <w:t xml:space="preserve">investment </w:t>
      </w:r>
      <w:r w:rsidRPr="00400048">
        <w:rPr>
          <w:rFonts w:ascii="Calibri" w:hAnsi="Calibri"/>
          <w:sz w:val="23"/>
        </w:rPr>
        <w:t>to ensure essential education services to our cities and towns</w:t>
      </w:r>
      <w:r>
        <w:rPr>
          <w:rFonts w:ascii="Calibri" w:hAnsi="Calibri"/>
          <w:sz w:val="23"/>
        </w:rPr>
        <w:t xml:space="preserve">. Approximately one-quarter of Queensland schools have few than 100 students and almost half – over 600 – of all Queensland </w:t>
      </w:r>
      <w:r w:rsidR="0068635F">
        <w:rPr>
          <w:rFonts w:ascii="Calibri" w:hAnsi="Calibri"/>
          <w:sz w:val="23"/>
        </w:rPr>
        <w:t xml:space="preserve">government </w:t>
      </w:r>
      <w:r>
        <w:rPr>
          <w:rFonts w:ascii="Calibri" w:hAnsi="Calibri"/>
          <w:sz w:val="23"/>
        </w:rPr>
        <w:t>schools are in rural and remote</w:t>
      </w:r>
      <w:r>
        <w:rPr>
          <w:rFonts w:ascii="Calibri" w:hAnsi="Calibri"/>
          <w:spacing w:val="-7"/>
          <w:sz w:val="23"/>
        </w:rPr>
        <w:t xml:space="preserve"> </w:t>
      </w:r>
      <w:r>
        <w:rPr>
          <w:rFonts w:ascii="Calibri" w:hAnsi="Calibri"/>
          <w:sz w:val="23"/>
        </w:rPr>
        <w:t>locations.</w:t>
      </w:r>
    </w:p>
    <w:p w14:paraId="400C7E7E" w14:textId="00AA7D34" w:rsidR="00372CDD" w:rsidRDefault="00C87ECC">
      <w:pPr>
        <w:pStyle w:val="ListParagraph"/>
        <w:numPr>
          <w:ilvl w:val="0"/>
          <w:numId w:val="3"/>
        </w:numPr>
        <w:tabs>
          <w:tab w:val="left" w:pos="687"/>
        </w:tabs>
        <w:spacing w:before="193" w:line="223" w:lineRule="auto"/>
        <w:ind w:left="686" w:right="114" w:hanging="566"/>
        <w:rPr>
          <w:rFonts w:ascii="Calibri"/>
          <w:sz w:val="23"/>
        </w:rPr>
      </w:pPr>
      <w:r>
        <w:rPr>
          <w:rFonts w:ascii="Calibri"/>
          <w:sz w:val="23"/>
        </w:rPr>
        <w:t xml:space="preserve">Queensland has the second largest </w:t>
      </w:r>
      <w:r>
        <w:rPr>
          <w:sz w:val="23"/>
        </w:rPr>
        <w:t>Indigenous student cohort in the country, with Aboriginal</w:t>
      </w:r>
      <w:r>
        <w:rPr>
          <w:spacing w:val="-8"/>
          <w:sz w:val="23"/>
        </w:rPr>
        <w:t xml:space="preserve"> </w:t>
      </w:r>
      <w:r>
        <w:rPr>
          <w:sz w:val="23"/>
        </w:rPr>
        <w:t>and</w:t>
      </w:r>
      <w:r>
        <w:rPr>
          <w:spacing w:val="-9"/>
          <w:sz w:val="23"/>
        </w:rPr>
        <w:t xml:space="preserve"> </w:t>
      </w:r>
      <w:r>
        <w:rPr>
          <w:rFonts w:ascii="Calibri"/>
          <w:sz w:val="23"/>
        </w:rPr>
        <w:t>Torres</w:t>
      </w:r>
      <w:r>
        <w:rPr>
          <w:rFonts w:ascii="Calibri"/>
          <w:spacing w:val="-7"/>
          <w:sz w:val="23"/>
        </w:rPr>
        <w:t xml:space="preserve"> </w:t>
      </w:r>
      <w:r>
        <w:rPr>
          <w:rFonts w:ascii="Calibri"/>
          <w:sz w:val="23"/>
        </w:rPr>
        <w:t>Strait</w:t>
      </w:r>
      <w:r>
        <w:rPr>
          <w:rFonts w:ascii="Calibri"/>
          <w:spacing w:val="-9"/>
          <w:sz w:val="23"/>
        </w:rPr>
        <w:t xml:space="preserve"> </w:t>
      </w:r>
      <w:r>
        <w:rPr>
          <w:rFonts w:ascii="Calibri"/>
          <w:sz w:val="23"/>
        </w:rPr>
        <w:t>Islander</w:t>
      </w:r>
      <w:r>
        <w:rPr>
          <w:rFonts w:ascii="Calibri"/>
          <w:spacing w:val="-8"/>
          <w:sz w:val="23"/>
        </w:rPr>
        <w:t xml:space="preserve"> </w:t>
      </w:r>
      <w:r>
        <w:rPr>
          <w:rFonts w:ascii="Calibri"/>
          <w:sz w:val="23"/>
        </w:rPr>
        <w:t>students</w:t>
      </w:r>
      <w:r>
        <w:rPr>
          <w:rFonts w:ascii="Calibri"/>
          <w:spacing w:val="-8"/>
          <w:sz w:val="23"/>
        </w:rPr>
        <w:t xml:space="preserve"> </w:t>
      </w:r>
      <w:r>
        <w:rPr>
          <w:rFonts w:ascii="Calibri"/>
          <w:sz w:val="23"/>
        </w:rPr>
        <w:t>making</w:t>
      </w:r>
      <w:r>
        <w:rPr>
          <w:rFonts w:ascii="Calibri"/>
          <w:spacing w:val="-9"/>
          <w:sz w:val="23"/>
        </w:rPr>
        <w:t xml:space="preserve"> </w:t>
      </w:r>
      <w:r>
        <w:rPr>
          <w:rFonts w:ascii="Calibri"/>
          <w:sz w:val="23"/>
        </w:rPr>
        <w:t>up</w:t>
      </w:r>
      <w:r>
        <w:rPr>
          <w:rFonts w:ascii="Calibri"/>
          <w:spacing w:val="-10"/>
          <w:sz w:val="23"/>
        </w:rPr>
        <w:t xml:space="preserve"> </w:t>
      </w:r>
      <w:r>
        <w:rPr>
          <w:rFonts w:ascii="Calibri"/>
          <w:sz w:val="23"/>
        </w:rPr>
        <w:t>4</w:t>
      </w:r>
      <w:r w:rsidR="00055A09">
        <w:rPr>
          <w:rFonts w:ascii="Calibri"/>
          <w:sz w:val="23"/>
        </w:rPr>
        <w:t>5</w:t>
      </w:r>
      <w:r>
        <w:rPr>
          <w:rFonts w:ascii="Calibri"/>
          <w:spacing w:val="-8"/>
          <w:sz w:val="23"/>
        </w:rPr>
        <w:t xml:space="preserve"> </w:t>
      </w:r>
      <w:r>
        <w:rPr>
          <w:rFonts w:ascii="Calibri"/>
          <w:sz w:val="23"/>
        </w:rPr>
        <w:t>per</w:t>
      </w:r>
      <w:r>
        <w:rPr>
          <w:rFonts w:ascii="Calibri"/>
          <w:spacing w:val="-9"/>
          <w:sz w:val="23"/>
        </w:rPr>
        <w:t xml:space="preserve"> </w:t>
      </w:r>
      <w:r>
        <w:rPr>
          <w:rFonts w:ascii="Calibri"/>
          <w:sz w:val="23"/>
        </w:rPr>
        <w:t>cent</w:t>
      </w:r>
      <w:r>
        <w:rPr>
          <w:rFonts w:ascii="Calibri"/>
          <w:spacing w:val="-10"/>
          <w:sz w:val="23"/>
        </w:rPr>
        <w:t xml:space="preserve"> </w:t>
      </w:r>
      <w:r>
        <w:rPr>
          <w:rFonts w:ascii="Calibri"/>
          <w:sz w:val="23"/>
        </w:rPr>
        <w:t>of</w:t>
      </w:r>
      <w:r>
        <w:rPr>
          <w:rFonts w:ascii="Calibri"/>
          <w:spacing w:val="-9"/>
          <w:sz w:val="23"/>
        </w:rPr>
        <w:t xml:space="preserve"> </w:t>
      </w:r>
      <w:r>
        <w:rPr>
          <w:rFonts w:ascii="Calibri"/>
          <w:sz w:val="23"/>
        </w:rPr>
        <w:t>remote</w:t>
      </w:r>
      <w:r>
        <w:rPr>
          <w:rFonts w:ascii="Calibri"/>
          <w:spacing w:val="-8"/>
          <w:sz w:val="23"/>
        </w:rPr>
        <w:t xml:space="preserve"> </w:t>
      </w:r>
      <w:r w:rsidR="003C166B">
        <w:rPr>
          <w:rFonts w:ascii="Calibri"/>
          <w:sz w:val="23"/>
        </w:rPr>
        <w:t>government</w:t>
      </w:r>
      <w:r w:rsidR="003C166B">
        <w:rPr>
          <w:rFonts w:ascii="Calibri"/>
          <w:spacing w:val="-11"/>
          <w:sz w:val="23"/>
        </w:rPr>
        <w:t xml:space="preserve"> </w:t>
      </w:r>
      <w:r>
        <w:rPr>
          <w:rFonts w:ascii="Calibri"/>
          <w:sz w:val="23"/>
        </w:rPr>
        <w:t>school enrolments.</w:t>
      </w:r>
      <w:r>
        <w:rPr>
          <w:rFonts w:ascii="Calibri"/>
          <w:spacing w:val="-6"/>
          <w:sz w:val="23"/>
        </w:rPr>
        <w:t xml:space="preserve"> </w:t>
      </w:r>
      <w:r>
        <w:rPr>
          <w:rFonts w:ascii="Calibri"/>
          <w:sz w:val="23"/>
        </w:rPr>
        <w:t>Data</w:t>
      </w:r>
      <w:r>
        <w:rPr>
          <w:rFonts w:ascii="Calibri"/>
          <w:spacing w:val="-6"/>
          <w:sz w:val="23"/>
        </w:rPr>
        <w:t xml:space="preserve"> </w:t>
      </w:r>
      <w:r>
        <w:rPr>
          <w:rFonts w:ascii="Calibri"/>
          <w:sz w:val="23"/>
        </w:rPr>
        <w:t>collected</w:t>
      </w:r>
      <w:r>
        <w:rPr>
          <w:rFonts w:ascii="Calibri"/>
          <w:spacing w:val="-6"/>
          <w:sz w:val="23"/>
        </w:rPr>
        <w:t xml:space="preserve"> </w:t>
      </w:r>
      <w:r>
        <w:rPr>
          <w:rFonts w:ascii="Calibri"/>
          <w:sz w:val="23"/>
        </w:rPr>
        <w:t>in</w:t>
      </w:r>
      <w:r>
        <w:rPr>
          <w:rFonts w:ascii="Calibri"/>
          <w:spacing w:val="-5"/>
          <w:sz w:val="23"/>
        </w:rPr>
        <w:t xml:space="preserve"> </w:t>
      </w:r>
      <w:r>
        <w:rPr>
          <w:rFonts w:ascii="Calibri"/>
          <w:sz w:val="23"/>
        </w:rPr>
        <w:t>2017</w:t>
      </w:r>
      <w:r>
        <w:rPr>
          <w:rFonts w:ascii="Calibri"/>
          <w:spacing w:val="-4"/>
          <w:sz w:val="23"/>
        </w:rPr>
        <w:t xml:space="preserve"> </w:t>
      </w:r>
      <w:r>
        <w:rPr>
          <w:rFonts w:ascii="Calibri"/>
          <w:sz w:val="23"/>
        </w:rPr>
        <w:t>through</w:t>
      </w:r>
      <w:r>
        <w:rPr>
          <w:rFonts w:ascii="Calibri"/>
          <w:spacing w:val="-5"/>
          <w:sz w:val="23"/>
        </w:rPr>
        <w:t xml:space="preserve"> </w:t>
      </w:r>
      <w:r>
        <w:rPr>
          <w:rFonts w:ascii="Calibri"/>
          <w:sz w:val="23"/>
        </w:rPr>
        <w:t>the</w:t>
      </w:r>
      <w:r>
        <w:rPr>
          <w:rFonts w:ascii="Calibri"/>
          <w:spacing w:val="-3"/>
          <w:sz w:val="23"/>
        </w:rPr>
        <w:t xml:space="preserve"> </w:t>
      </w:r>
      <w:r>
        <w:rPr>
          <w:rFonts w:ascii="Calibri"/>
          <w:sz w:val="23"/>
        </w:rPr>
        <w:t>Nationally</w:t>
      </w:r>
      <w:r>
        <w:rPr>
          <w:rFonts w:ascii="Calibri"/>
          <w:spacing w:val="-6"/>
          <w:sz w:val="23"/>
        </w:rPr>
        <w:t xml:space="preserve"> </w:t>
      </w:r>
      <w:r>
        <w:rPr>
          <w:rFonts w:ascii="Calibri"/>
          <w:sz w:val="23"/>
        </w:rPr>
        <w:t>Consistent</w:t>
      </w:r>
      <w:r>
        <w:rPr>
          <w:rFonts w:ascii="Calibri"/>
          <w:spacing w:val="-4"/>
          <w:sz w:val="23"/>
        </w:rPr>
        <w:t xml:space="preserve"> </w:t>
      </w:r>
      <w:r>
        <w:rPr>
          <w:rFonts w:ascii="Calibri"/>
          <w:sz w:val="23"/>
        </w:rPr>
        <w:t>Collection</w:t>
      </w:r>
      <w:r>
        <w:rPr>
          <w:rFonts w:ascii="Calibri"/>
          <w:spacing w:val="-5"/>
          <w:sz w:val="23"/>
        </w:rPr>
        <w:t xml:space="preserve"> </w:t>
      </w:r>
      <w:r>
        <w:rPr>
          <w:rFonts w:ascii="Calibri"/>
          <w:sz w:val="23"/>
        </w:rPr>
        <w:t>of</w:t>
      </w:r>
      <w:r>
        <w:rPr>
          <w:rFonts w:ascii="Calibri"/>
          <w:spacing w:val="-5"/>
          <w:sz w:val="23"/>
        </w:rPr>
        <w:t xml:space="preserve"> </w:t>
      </w:r>
      <w:r>
        <w:rPr>
          <w:rFonts w:ascii="Calibri"/>
          <w:sz w:val="23"/>
        </w:rPr>
        <w:t>Data</w:t>
      </w:r>
      <w:r>
        <w:rPr>
          <w:rFonts w:ascii="Calibri"/>
          <w:spacing w:val="-7"/>
          <w:sz w:val="23"/>
        </w:rPr>
        <w:t xml:space="preserve"> </w:t>
      </w:r>
      <w:r>
        <w:rPr>
          <w:rFonts w:ascii="Calibri"/>
          <w:sz w:val="23"/>
        </w:rPr>
        <w:t>on School Students with Disability (NCCD) indicates that 16.8 per cent of Queensland school age students have been identified as having disability which requires adjustment to participate</w:t>
      </w:r>
      <w:r>
        <w:rPr>
          <w:rFonts w:ascii="Calibri"/>
          <w:spacing w:val="-6"/>
          <w:sz w:val="23"/>
        </w:rPr>
        <w:t xml:space="preserve"> </w:t>
      </w:r>
      <w:r>
        <w:rPr>
          <w:rFonts w:ascii="Calibri"/>
          <w:sz w:val="23"/>
        </w:rPr>
        <w:t>in</w:t>
      </w:r>
      <w:r>
        <w:rPr>
          <w:rFonts w:ascii="Calibri"/>
          <w:spacing w:val="-7"/>
          <w:sz w:val="23"/>
        </w:rPr>
        <w:t xml:space="preserve"> </w:t>
      </w:r>
      <w:r>
        <w:rPr>
          <w:rFonts w:ascii="Calibri"/>
          <w:sz w:val="23"/>
        </w:rPr>
        <w:t>education</w:t>
      </w:r>
      <w:r>
        <w:rPr>
          <w:rFonts w:ascii="Calibri"/>
          <w:spacing w:val="-6"/>
          <w:sz w:val="23"/>
        </w:rPr>
        <w:t xml:space="preserve"> </w:t>
      </w:r>
      <w:r>
        <w:rPr>
          <w:rFonts w:ascii="Calibri"/>
          <w:sz w:val="23"/>
        </w:rPr>
        <w:t>at</w:t>
      </w:r>
      <w:r>
        <w:rPr>
          <w:rFonts w:ascii="Calibri"/>
          <w:spacing w:val="-8"/>
          <w:sz w:val="23"/>
        </w:rPr>
        <w:t xml:space="preserve"> </w:t>
      </w:r>
      <w:r>
        <w:rPr>
          <w:rFonts w:ascii="Calibri"/>
          <w:sz w:val="23"/>
        </w:rPr>
        <w:t>the</w:t>
      </w:r>
      <w:r>
        <w:rPr>
          <w:rFonts w:ascii="Calibri"/>
          <w:spacing w:val="-6"/>
          <w:sz w:val="23"/>
        </w:rPr>
        <w:t xml:space="preserve"> </w:t>
      </w:r>
      <w:r>
        <w:rPr>
          <w:rFonts w:ascii="Calibri"/>
          <w:sz w:val="23"/>
        </w:rPr>
        <w:t>same</w:t>
      </w:r>
      <w:r>
        <w:rPr>
          <w:rFonts w:ascii="Calibri"/>
          <w:spacing w:val="-5"/>
          <w:sz w:val="23"/>
        </w:rPr>
        <w:t xml:space="preserve"> </w:t>
      </w:r>
      <w:r>
        <w:rPr>
          <w:rFonts w:ascii="Calibri"/>
          <w:sz w:val="23"/>
        </w:rPr>
        <w:t>basis</w:t>
      </w:r>
      <w:r>
        <w:rPr>
          <w:rFonts w:ascii="Calibri"/>
          <w:spacing w:val="-7"/>
          <w:sz w:val="23"/>
        </w:rPr>
        <w:t xml:space="preserve"> </w:t>
      </w:r>
      <w:r>
        <w:rPr>
          <w:rFonts w:ascii="Calibri"/>
          <w:sz w:val="23"/>
        </w:rPr>
        <w:t>as</w:t>
      </w:r>
      <w:r>
        <w:rPr>
          <w:rFonts w:ascii="Calibri"/>
          <w:spacing w:val="-7"/>
          <w:sz w:val="23"/>
        </w:rPr>
        <w:t xml:space="preserve"> </w:t>
      </w:r>
      <w:r>
        <w:rPr>
          <w:rFonts w:ascii="Calibri"/>
          <w:sz w:val="23"/>
        </w:rPr>
        <w:t>other</w:t>
      </w:r>
      <w:r>
        <w:rPr>
          <w:rFonts w:ascii="Calibri"/>
          <w:spacing w:val="-7"/>
          <w:sz w:val="23"/>
        </w:rPr>
        <w:t xml:space="preserve"> </w:t>
      </w:r>
      <w:r>
        <w:rPr>
          <w:rFonts w:ascii="Calibri"/>
          <w:sz w:val="23"/>
        </w:rPr>
        <w:t>students.</w:t>
      </w:r>
    </w:p>
    <w:p w14:paraId="3A5D7CE5" w14:textId="77777777" w:rsidR="00372CDD" w:rsidRDefault="00372CDD">
      <w:pPr>
        <w:pStyle w:val="BodyText"/>
        <w:spacing w:before="2"/>
        <w:rPr>
          <w:sz w:val="16"/>
        </w:rPr>
      </w:pPr>
    </w:p>
    <w:p w14:paraId="2F8D1DDB" w14:textId="77777777" w:rsidR="00372CDD" w:rsidRDefault="00C87ECC">
      <w:pPr>
        <w:pStyle w:val="ListParagraph"/>
        <w:numPr>
          <w:ilvl w:val="0"/>
          <w:numId w:val="3"/>
        </w:numPr>
        <w:tabs>
          <w:tab w:val="left" w:pos="687"/>
        </w:tabs>
        <w:spacing w:before="59" w:line="223" w:lineRule="auto"/>
        <w:ind w:left="686" w:hanging="566"/>
        <w:rPr>
          <w:sz w:val="23"/>
        </w:rPr>
      </w:pPr>
      <w:r>
        <w:rPr>
          <w:sz w:val="23"/>
        </w:rPr>
        <w:t>If the reported contribution for a state or territory for a year falls short of meeting the required contribution for a sector by an immaterial amount, this will not be considered non-compliant with section 22A of the Act. An immaterial amount is less than or equal</w:t>
      </w:r>
      <w:r>
        <w:rPr>
          <w:spacing w:val="38"/>
          <w:sz w:val="23"/>
        </w:rPr>
        <w:t xml:space="preserve"> </w:t>
      </w:r>
      <w:r>
        <w:rPr>
          <w:sz w:val="23"/>
        </w:rPr>
        <w:t>to</w:t>
      </w:r>
    </w:p>
    <w:p w14:paraId="53BF2B08" w14:textId="77777777" w:rsidR="00372CDD" w:rsidRDefault="00C87ECC" w:rsidP="002D6E94">
      <w:pPr>
        <w:pStyle w:val="BodyText"/>
        <w:spacing w:line="223" w:lineRule="auto"/>
        <w:ind w:left="686" w:right="113"/>
        <w:jc w:val="both"/>
        <w:rPr>
          <w:sz w:val="18"/>
        </w:rPr>
      </w:pPr>
      <w:r>
        <w:t>o.6</w:t>
      </w:r>
      <w:r>
        <w:rPr>
          <w:spacing w:val="-9"/>
        </w:rPr>
        <w:t xml:space="preserve"> </w:t>
      </w:r>
      <w:r>
        <w:t>per</w:t>
      </w:r>
      <w:r>
        <w:rPr>
          <w:spacing w:val="-6"/>
        </w:rPr>
        <w:t xml:space="preserve"> </w:t>
      </w:r>
      <w:r>
        <w:t>cent</w:t>
      </w:r>
      <w:r>
        <w:rPr>
          <w:spacing w:val="-8"/>
        </w:rPr>
        <w:t xml:space="preserve"> </w:t>
      </w:r>
      <w:r>
        <w:t>of</w:t>
      </w:r>
      <w:r>
        <w:rPr>
          <w:spacing w:val="-8"/>
        </w:rPr>
        <w:t xml:space="preserve"> </w:t>
      </w:r>
      <w:r>
        <w:t>the</w:t>
      </w:r>
      <w:r>
        <w:rPr>
          <w:spacing w:val="-7"/>
        </w:rPr>
        <w:t xml:space="preserve"> </w:t>
      </w:r>
      <w:r>
        <w:t>total</w:t>
      </w:r>
      <w:r>
        <w:rPr>
          <w:spacing w:val="-8"/>
        </w:rPr>
        <w:t xml:space="preserve"> </w:t>
      </w:r>
      <w:r>
        <w:t>SRS</w:t>
      </w:r>
      <w:r>
        <w:rPr>
          <w:spacing w:val="-6"/>
        </w:rPr>
        <w:t xml:space="preserve"> </w:t>
      </w:r>
      <w:r>
        <w:t>for</w:t>
      </w:r>
      <w:r>
        <w:rPr>
          <w:spacing w:val="-7"/>
        </w:rPr>
        <w:t xml:space="preserve"> </w:t>
      </w:r>
      <w:r>
        <w:t>the</w:t>
      </w:r>
      <w:r>
        <w:rPr>
          <w:spacing w:val="-9"/>
        </w:rPr>
        <w:t xml:space="preserve"> </w:t>
      </w:r>
      <w:r>
        <w:t>sector,</w:t>
      </w:r>
      <w:r>
        <w:rPr>
          <w:spacing w:val="-8"/>
        </w:rPr>
        <w:t xml:space="preserve"> </w:t>
      </w:r>
      <w:r>
        <w:t>or</w:t>
      </w:r>
      <w:r>
        <w:rPr>
          <w:spacing w:val="-7"/>
        </w:rPr>
        <w:t xml:space="preserve"> </w:t>
      </w:r>
      <w:r>
        <w:t>another</w:t>
      </w:r>
      <w:r>
        <w:rPr>
          <w:spacing w:val="-7"/>
        </w:rPr>
        <w:t xml:space="preserve"> </w:t>
      </w:r>
      <w:r>
        <w:t>immaterial</w:t>
      </w:r>
      <w:r>
        <w:rPr>
          <w:spacing w:val="-8"/>
        </w:rPr>
        <w:t xml:space="preserve"> </w:t>
      </w:r>
      <w:r>
        <w:t>amount</w:t>
      </w:r>
      <w:r>
        <w:rPr>
          <w:spacing w:val="-7"/>
        </w:rPr>
        <w:t xml:space="preserve"> </w:t>
      </w:r>
      <w:r>
        <w:t>agreed by the Commonwealth Minister for Education for a year, which accounts for the timing constraint of state budget processes being finalised in advance of the year and the required contribution</w:t>
      </w:r>
      <w:r>
        <w:rPr>
          <w:spacing w:val="-5"/>
        </w:rPr>
        <w:t xml:space="preserve"> </w:t>
      </w:r>
      <w:r>
        <w:t>for</w:t>
      </w:r>
      <w:r>
        <w:rPr>
          <w:spacing w:val="-5"/>
        </w:rPr>
        <w:t xml:space="preserve"> </w:t>
      </w:r>
      <w:r>
        <w:t>the</w:t>
      </w:r>
      <w:r>
        <w:rPr>
          <w:spacing w:val="-4"/>
        </w:rPr>
        <w:t xml:space="preserve"> </w:t>
      </w:r>
      <w:r>
        <w:t>year</w:t>
      </w:r>
      <w:r>
        <w:rPr>
          <w:spacing w:val="-2"/>
        </w:rPr>
        <w:t xml:space="preserve"> </w:t>
      </w:r>
      <w:r>
        <w:t>being</w:t>
      </w:r>
      <w:r>
        <w:rPr>
          <w:spacing w:val="-4"/>
        </w:rPr>
        <w:t xml:space="preserve"> </w:t>
      </w:r>
      <w:r>
        <w:t>finalised</w:t>
      </w:r>
      <w:r>
        <w:rPr>
          <w:spacing w:val="-5"/>
        </w:rPr>
        <w:t xml:space="preserve"> </w:t>
      </w:r>
      <w:r>
        <w:t>at</w:t>
      </w:r>
      <w:r>
        <w:rPr>
          <w:spacing w:val="-5"/>
        </w:rPr>
        <w:t xml:space="preserve"> </w:t>
      </w:r>
      <w:r>
        <w:t>the</w:t>
      </w:r>
      <w:r>
        <w:rPr>
          <w:spacing w:val="-4"/>
        </w:rPr>
        <w:t xml:space="preserve"> </w:t>
      </w:r>
      <w:r>
        <w:t>end</w:t>
      </w:r>
      <w:r>
        <w:rPr>
          <w:spacing w:val="-3"/>
        </w:rPr>
        <w:t xml:space="preserve"> </w:t>
      </w:r>
      <w:r>
        <w:t>of</w:t>
      </w:r>
      <w:r>
        <w:rPr>
          <w:spacing w:val="-3"/>
        </w:rPr>
        <w:t xml:space="preserve"> </w:t>
      </w:r>
      <w:r>
        <w:t>the</w:t>
      </w:r>
      <w:r>
        <w:rPr>
          <w:spacing w:val="-4"/>
        </w:rPr>
        <w:t xml:space="preserve"> </w:t>
      </w:r>
      <w:r>
        <w:t>year</w:t>
      </w:r>
      <w:r>
        <w:rPr>
          <w:spacing w:val="-5"/>
        </w:rPr>
        <w:t xml:space="preserve"> </w:t>
      </w:r>
      <w:r>
        <w:t>following</w:t>
      </w:r>
      <w:r>
        <w:rPr>
          <w:spacing w:val="-4"/>
        </w:rPr>
        <w:t xml:space="preserve"> </w:t>
      </w:r>
      <w:r>
        <w:t>the</w:t>
      </w:r>
      <w:r>
        <w:rPr>
          <w:spacing w:val="-2"/>
        </w:rPr>
        <w:t xml:space="preserve"> </w:t>
      </w:r>
      <w:r>
        <w:t>annual</w:t>
      </w:r>
      <w:r>
        <w:rPr>
          <w:spacing w:val="-4"/>
        </w:rPr>
        <w:t xml:space="preserve"> </w:t>
      </w:r>
      <w:r>
        <w:t>School Census. Queensland budgets and accounts for education expenditure on a financial year basis, which is the basis for Queensland's financial commitment pursuant to this agreement.</w:t>
      </w:r>
    </w:p>
    <w:p w14:paraId="67E2AEE4" w14:textId="77777777" w:rsidR="00372CDD" w:rsidRPr="002D6E94" w:rsidRDefault="005E504B" w:rsidP="002D6E94">
      <w:pPr>
        <w:keepLines/>
        <w:widowControl/>
        <w:numPr>
          <w:ilvl w:val="0"/>
          <w:numId w:val="3"/>
        </w:numPr>
        <w:autoSpaceDE/>
        <w:autoSpaceDN/>
        <w:spacing w:before="240" w:after="240" w:line="260" w:lineRule="exact"/>
        <w:jc w:val="both"/>
        <w:rPr>
          <w:rFonts w:eastAsia="Times New Roman" w:cs="Calibri"/>
          <w:color w:val="000000"/>
          <w:sz w:val="23"/>
          <w:szCs w:val="23"/>
        </w:rPr>
      </w:pPr>
      <w:r w:rsidRPr="002D6E94">
        <w:rPr>
          <w:rFonts w:eastAsia="Times New Roman" w:cs="Calibri"/>
          <w:color w:val="000000"/>
          <w:sz w:val="23"/>
          <w:szCs w:val="23"/>
        </w:rPr>
        <w:t xml:space="preserve">In assessing compliance with this agreement, the National School Resourcing Board (the Board) will take into account mitigating factors that have contributed to non-compliance. This may include, but is not limited to, fluctuations from year-to-year in funding which could be assessed through, for example, the application of a three year rolling average if funding has fallen below the required amount, unintended and unforeseeable budget pressures in the state budget process, financial accounting impacts (e.g. actuarial assessments and timing of expenditures due to reporting dates), and other unforeseeable circumstances (e.g. such as natural disasters). </w:t>
      </w:r>
    </w:p>
    <w:p w14:paraId="7E5C4AA0" w14:textId="77777777" w:rsidR="00372CDD" w:rsidRDefault="00C87ECC">
      <w:pPr>
        <w:pStyle w:val="Heading2"/>
        <w:ind w:left="120"/>
      </w:pPr>
      <w:r>
        <w:rPr>
          <w:color w:val="306E71"/>
        </w:rPr>
        <w:t>Requirements for annual reporting to the Commonwealth</w:t>
      </w:r>
    </w:p>
    <w:p w14:paraId="35A7C83F" w14:textId="77777777" w:rsidR="00A57408" w:rsidRDefault="00A57408" w:rsidP="00E95C42">
      <w:pPr>
        <w:keepLines/>
        <w:widowControl/>
        <w:numPr>
          <w:ilvl w:val="0"/>
          <w:numId w:val="3"/>
        </w:numPr>
        <w:autoSpaceDE/>
        <w:autoSpaceDN/>
        <w:spacing w:before="240" w:after="240" w:line="260" w:lineRule="exact"/>
        <w:jc w:val="both"/>
        <w:rPr>
          <w:rFonts w:eastAsia="Times New Roman" w:cs="Calibri"/>
          <w:color w:val="000000"/>
          <w:sz w:val="23"/>
          <w:szCs w:val="23"/>
        </w:rPr>
      </w:pPr>
      <w:r>
        <w:rPr>
          <w:rFonts w:eastAsia="Times New Roman" w:cs="Calibri"/>
          <w:color w:val="000000"/>
          <w:sz w:val="23"/>
          <w:szCs w:val="23"/>
        </w:rPr>
        <w:t>The following clauses set out the annual reporting arrangements for Queensland for a year (Year T).</w:t>
      </w:r>
    </w:p>
    <w:p w14:paraId="00B9F6ED" w14:textId="242F09C5" w:rsidR="00A57408" w:rsidRPr="008F1301" w:rsidRDefault="00A57408" w:rsidP="00E95C42">
      <w:pPr>
        <w:keepLines/>
        <w:widowControl/>
        <w:numPr>
          <w:ilvl w:val="0"/>
          <w:numId w:val="3"/>
        </w:numPr>
        <w:autoSpaceDE/>
        <w:autoSpaceDN/>
        <w:spacing w:before="240" w:after="240" w:line="260" w:lineRule="exact"/>
        <w:jc w:val="both"/>
        <w:rPr>
          <w:rFonts w:eastAsia="Times New Roman" w:cs="Calibri"/>
          <w:color w:val="000000"/>
          <w:sz w:val="23"/>
          <w:szCs w:val="23"/>
        </w:rPr>
      </w:pPr>
      <w:r w:rsidRPr="001C045C">
        <w:rPr>
          <w:rFonts w:eastAsia="Times New Roman" w:cs="Calibri"/>
          <w:color w:val="000000"/>
          <w:sz w:val="23"/>
          <w:szCs w:val="23"/>
        </w:rPr>
        <w:lastRenderedPageBreak/>
        <w:t xml:space="preserve">The Commonwealth will provide </w:t>
      </w:r>
      <w:r>
        <w:rPr>
          <w:rFonts w:eastAsia="Times New Roman" w:cs="Calibri"/>
          <w:color w:val="000000"/>
          <w:sz w:val="23"/>
          <w:szCs w:val="23"/>
        </w:rPr>
        <w:t>all s</w:t>
      </w:r>
      <w:r w:rsidRPr="001C045C">
        <w:rPr>
          <w:rFonts w:eastAsia="Times New Roman" w:cs="Calibri"/>
          <w:color w:val="000000"/>
          <w:sz w:val="23"/>
          <w:szCs w:val="23"/>
        </w:rPr>
        <w:t xml:space="preserve">tates and </w:t>
      </w:r>
      <w:r>
        <w:rPr>
          <w:rFonts w:eastAsia="Times New Roman" w:cs="Calibri"/>
          <w:color w:val="000000"/>
          <w:sz w:val="23"/>
          <w:szCs w:val="23"/>
        </w:rPr>
        <w:t>t</w:t>
      </w:r>
      <w:r w:rsidRPr="001C045C">
        <w:rPr>
          <w:rFonts w:eastAsia="Times New Roman" w:cs="Calibri"/>
          <w:color w:val="000000"/>
          <w:sz w:val="23"/>
          <w:szCs w:val="23"/>
        </w:rPr>
        <w:t xml:space="preserve">erritories with a Funding Estimation Tool </w:t>
      </w:r>
      <w:r w:rsidRPr="0093035F">
        <w:rPr>
          <w:rFonts w:eastAsia="Times New Roman" w:cs="Calibri"/>
          <w:color w:val="000000"/>
          <w:sz w:val="23"/>
          <w:szCs w:val="23"/>
        </w:rPr>
        <w:t xml:space="preserve">in January Year T+1 </w:t>
      </w:r>
      <w:r w:rsidRPr="001C045C">
        <w:rPr>
          <w:rFonts w:eastAsia="Times New Roman" w:cs="Calibri"/>
          <w:color w:val="000000"/>
          <w:sz w:val="23"/>
          <w:szCs w:val="23"/>
        </w:rPr>
        <w:t xml:space="preserve">prior to the </w:t>
      </w:r>
      <w:r w:rsidR="008E004C">
        <w:rPr>
          <w:rFonts w:eastAsia="Times New Roman" w:cs="Calibri"/>
          <w:color w:val="000000"/>
          <w:sz w:val="23"/>
          <w:szCs w:val="23"/>
        </w:rPr>
        <w:t>s</w:t>
      </w:r>
      <w:r w:rsidRPr="001C045C">
        <w:rPr>
          <w:rFonts w:eastAsia="Times New Roman" w:cs="Calibri"/>
          <w:color w:val="000000"/>
          <w:sz w:val="23"/>
          <w:szCs w:val="23"/>
        </w:rPr>
        <w:t xml:space="preserve">tate or </w:t>
      </w:r>
      <w:r w:rsidR="008E004C">
        <w:rPr>
          <w:rFonts w:eastAsia="Times New Roman" w:cs="Calibri"/>
          <w:color w:val="000000"/>
          <w:sz w:val="23"/>
          <w:szCs w:val="23"/>
        </w:rPr>
        <w:t>t</w:t>
      </w:r>
      <w:r w:rsidRPr="001C045C">
        <w:rPr>
          <w:rFonts w:eastAsia="Times New Roman" w:cs="Calibri"/>
          <w:color w:val="000000"/>
          <w:sz w:val="23"/>
          <w:szCs w:val="23"/>
        </w:rPr>
        <w:t xml:space="preserve">erritory’s annual report with the final SRS data for </w:t>
      </w:r>
      <w:r>
        <w:rPr>
          <w:rFonts w:eastAsia="Times New Roman" w:cs="Calibri"/>
          <w:color w:val="000000"/>
          <w:sz w:val="23"/>
          <w:szCs w:val="23"/>
        </w:rPr>
        <w:t xml:space="preserve">Year T </w:t>
      </w:r>
      <w:r w:rsidRPr="001C045C">
        <w:rPr>
          <w:rFonts w:eastAsia="Times New Roman" w:cs="Calibri"/>
          <w:color w:val="000000"/>
          <w:sz w:val="23"/>
          <w:szCs w:val="23"/>
        </w:rPr>
        <w:t>for the purpose of the Board’s review of section 22A of the Act.</w:t>
      </w:r>
    </w:p>
    <w:p w14:paraId="794293FF" w14:textId="7C7C6672" w:rsidR="00A57408" w:rsidRPr="001C045C" w:rsidRDefault="00A57408" w:rsidP="00E95C42">
      <w:pPr>
        <w:keepLines/>
        <w:widowControl/>
        <w:numPr>
          <w:ilvl w:val="0"/>
          <w:numId w:val="3"/>
        </w:numPr>
        <w:autoSpaceDE/>
        <w:autoSpaceDN/>
        <w:spacing w:before="240" w:after="240" w:line="260" w:lineRule="exact"/>
        <w:jc w:val="both"/>
        <w:rPr>
          <w:rFonts w:eastAsia="Times New Roman" w:cs="Calibri"/>
          <w:color w:val="000000"/>
          <w:sz w:val="23"/>
          <w:szCs w:val="23"/>
        </w:rPr>
      </w:pPr>
      <w:r w:rsidRPr="001C045C">
        <w:rPr>
          <w:rFonts w:eastAsia="Times New Roman" w:cs="Calibri"/>
          <w:color w:val="000000"/>
          <w:sz w:val="23"/>
          <w:szCs w:val="23"/>
        </w:rPr>
        <w:t>The Director</w:t>
      </w:r>
      <w:r w:rsidR="00485B30">
        <w:rPr>
          <w:rFonts w:eastAsia="Times New Roman" w:cs="Calibri"/>
          <w:color w:val="000000"/>
          <w:sz w:val="23"/>
          <w:szCs w:val="23"/>
        </w:rPr>
        <w:t>-</w:t>
      </w:r>
      <w:r w:rsidRPr="001C045C">
        <w:rPr>
          <w:rFonts w:eastAsia="Times New Roman" w:cs="Calibri"/>
          <w:color w:val="000000"/>
          <w:sz w:val="23"/>
          <w:szCs w:val="23"/>
        </w:rPr>
        <w:t xml:space="preserve">General or equivalent of the education portfolio for the </w:t>
      </w:r>
      <w:r w:rsidR="008E004C">
        <w:rPr>
          <w:rFonts w:eastAsia="Times New Roman" w:cs="Calibri"/>
          <w:color w:val="000000"/>
          <w:sz w:val="23"/>
          <w:szCs w:val="23"/>
        </w:rPr>
        <w:t>s</w:t>
      </w:r>
      <w:r w:rsidRPr="001C045C">
        <w:rPr>
          <w:rFonts w:eastAsia="Times New Roman" w:cs="Calibri"/>
          <w:color w:val="000000"/>
          <w:sz w:val="23"/>
          <w:szCs w:val="23"/>
        </w:rPr>
        <w:t xml:space="preserve">tate or </w:t>
      </w:r>
      <w:r w:rsidR="008E004C">
        <w:rPr>
          <w:rFonts w:eastAsia="Times New Roman" w:cs="Calibri"/>
          <w:color w:val="000000"/>
          <w:sz w:val="23"/>
          <w:szCs w:val="23"/>
        </w:rPr>
        <w:t>t</w:t>
      </w:r>
      <w:r w:rsidRPr="001C045C">
        <w:rPr>
          <w:rFonts w:eastAsia="Times New Roman" w:cs="Calibri"/>
          <w:color w:val="000000"/>
          <w:sz w:val="23"/>
          <w:szCs w:val="23"/>
        </w:rPr>
        <w:t>erritory must provide an annual report to the Secretary of the Department of Education and Training for each year of the agreement.</w:t>
      </w:r>
    </w:p>
    <w:p w14:paraId="0A349CCB" w14:textId="77777777" w:rsidR="00A57408" w:rsidRPr="001C045C" w:rsidRDefault="00A57408" w:rsidP="00E95C42">
      <w:pPr>
        <w:keepLines/>
        <w:widowControl/>
        <w:numPr>
          <w:ilvl w:val="0"/>
          <w:numId w:val="3"/>
        </w:numPr>
        <w:autoSpaceDE/>
        <w:autoSpaceDN/>
        <w:spacing w:before="240" w:after="240" w:line="260" w:lineRule="exact"/>
        <w:jc w:val="both"/>
        <w:rPr>
          <w:rFonts w:eastAsia="Times New Roman" w:cs="Calibri"/>
          <w:color w:val="000000"/>
          <w:sz w:val="23"/>
          <w:szCs w:val="23"/>
        </w:rPr>
      </w:pPr>
      <w:r w:rsidRPr="001C045C">
        <w:rPr>
          <w:rFonts w:eastAsia="Times New Roman" w:cs="Calibri"/>
          <w:color w:val="000000"/>
          <w:sz w:val="23"/>
          <w:szCs w:val="23"/>
        </w:rPr>
        <w:t xml:space="preserve">The annual report must be provided no later than 31 October Year T+1 (i.e. 31 October of the following </w:t>
      </w:r>
      <w:r w:rsidRPr="009172B3">
        <w:rPr>
          <w:color w:val="000000"/>
          <w:sz w:val="23"/>
          <w:szCs w:val="23"/>
        </w:rPr>
        <w:t>year</w:t>
      </w:r>
      <w:r w:rsidRPr="001C045C">
        <w:rPr>
          <w:rFonts w:eastAsia="Times New Roman" w:cs="Calibri"/>
          <w:color w:val="000000"/>
          <w:sz w:val="23"/>
          <w:szCs w:val="23"/>
        </w:rPr>
        <w:t>).</w:t>
      </w:r>
    </w:p>
    <w:p w14:paraId="1F6FE034" w14:textId="77777777" w:rsidR="00A57408" w:rsidRPr="001C045C" w:rsidRDefault="00A57408" w:rsidP="00E95C42">
      <w:pPr>
        <w:widowControl/>
        <w:numPr>
          <w:ilvl w:val="0"/>
          <w:numId w:val="3"/>
        </w:numPr>
        <w:autoSpaceDE/>
        <w:autoSpaceDN/>
        <w:spacing w:before="240" w:after="240" w:line="260" w:lineRule="exact"/>
        <w:jc w:val="both"/>
        <w:rPr>
          <w:rFonts w:eastAsia="Times New Roman" w:cs="Calibri"/>
          <w:color w:val="000000"/>
          <w:sz w:val="23"/>
          <w:szCs w:val="23"/>
        </w:rPr>
      </w:pPr>
      <w:r w:rsidRPr="001C045C">
        <w:rPr>
          <w:rFonts w:eastAsia="Times New Roman" w:cs="Calibri"/>
          <w:color w:val="000000"/>
          <w:sz w:val="23"/>
          <w:szCs w:val="23"/>
        </w:rPr>
        <w:t xml:space="preserve">The annual </w:t>
      </w:r>
      <w:r w:rsidRPr="009172B3">
        <w:rPr>
          <w:color w:val="000000"/>
          <w:sz w:val="23"/>
          <w:szCs w:val="23"/>
        </w:rPr>
        <w:t>report</w:t>
      </w:r>
      <w:r w:rsidRPr="001C045C">
        <w:rPr>
          <w:rFonts w:eastAsia="Times New Roman" w:cs="Calibri"/>
          <w:color w:val="000000"/>
          <w:sz w:val="23"/>
          <w:szCs w:val="23"/>
        </w:rPr>
        <w:t xml:space="preserve"> must set out the following:</w:t>
      </w:r>
    </w:p>
    <w:p w14:paraId="21F8F72B" w14:textId="1F00A24F" w:rsidR="00A57408" w:rsidRPr="006244D2" w:rsidRDefault="00A57408" w:rsidP="00A57408">
      <w:pPr>
        <w:widowControl/>
        <w:numPr>
          <w:ilvl w:val="0"/>
          <w:numId w:val="5"/>
        </w:numPr>
        <w:autoSpaceDE/>
        <w:autoSpaceDN/>
        <w:spacing w:after="240" w:line="260" w:lineRule="exact"/>
        <w:ind w:left="924" w:hanging="357"/>
        <w:jc w:val="both"/>
        <w:rPr>
          <w:rFonts w:eastAsia="Times New Roman" w:cs="Calibri"/>
          <w:color w:val="000000"/>
          <w:sz w:val="23"/>
          <w:szCs w:val="23"/>
        </w:rPr>
      </w:pPr>
      <w:r w:rsidRPr="006244D2">
        <w:rPr>
          <w:rFonts w:eastAsia="Times New Roman" w:cs="Calibri"/>
          <w:color w:val="000000"/>
          <w:sz w:val="23"/>
          <w:szCs w:val="23"/>
        </w:rPr>
        <w:t xml:space="preserve">the total amount of funding provided by the </w:t>
      </w:r>
      <w:r w:rsidR="008E004C">
        <w:rPr>
          <w:rFonts w:eastAsia="Times New Roman" w:cs="Calibri"/>
          <w:color w:val="000000"/>
          <w:sz w:val="23"/>
          <w:szCs w:val="23"/>
        </w:rPr>
        <w:t>s</w:t>
      </w:r>
      <w:r w:rsidRPr="006244D2">
        <w:rPr>
          <w:rFonts w:eastAsia="Times New Roman" w:cs="Calibri"/>
          <w:color w:val="000000"/>
          <w:sz w:val="23"/>
          <w:szCs w:val="23"/>
        </w:rPr>
        <w:t xml:space="preserve">tate or </w:t>
      </w:r>
      <w:r w:rsidR="008E004C">
        <w:rPr>
          <w:rFonts w:eastAsia="Times New Roman" w:cs="Calibri"/>
          <w:color w:val="000000"/>
          <w:sz w:val="23"/>
          <w:szCs w:val="23"/>
        </w:rPr>
        <w:t>t</w:t>
      </w:r>
      <w:r w:rsidRPr="006244D2">
        <w:rPr>
          <w:rFonts w:eastAsia="Times New Roman" w:cs="Calibri"/>
          <w:color w:val="000000"/>
          <w:sz w:val="23"/>
          <w:szCs w:val="23"/>
        </w:rPr>
        <w:t xml:space="preserve">erritory for government schools in the </w:t>
      </w:r>
      <w:r w:rsidR="005D6C88">
        <w:rPr>
          <w:rFonts w:eastAsia="Times New Roman" w:cs="Calibri"/>
          <w:color w:val="000000"/>
          <w:sz w:val="23"/>
          <w:szCs w:val="23"/>
        </w:rPr>
        <w:t>s</w:t>
      </w:r>
      <w:r w:rsidRPr="006244D2">
        <w:rPr>
          <w:rFonts w:eastAsia="Times New Roman" w:cs="Calibri"/>
          <w:color w:val="000000"/>
          <w:sz w:val="23"/>
          <w:szCs w:val="23"/>
        </w:rPr>
        <w:t xml:space="preserve">tate or </w:t>
      </w:r>
      <w:r w:rsidR="005D6C88">
        <w:rPr>
          <w:rFonts w:eastAsia="Times New Roman" w:cs="Calibri"/>
          <w:color w:val="000000"/>
          <w:sz w:val="23"/>
          <w:szCs w:val="23"/>
        </w:rPr>
        <w:t>t</w:t>
      </w:r>
      <w:r w:rsidRPr="006244D2">
        <w:rPr>
          <w:rFonts w:eastAsia="Times New Roman" w:cs="Calibri"/>
          <w:color w:val="000000"/>
          <w:sz w:val="23"/>
          <w:szCs w:val="23"/>
        </w:rPr>
        <w:t xml:space="preserve">erritory for Year T as measured in line with clause </w:t>
      </w:r>
      <w:r w:rsidR="00233438">
        <w:rPr>
          <w:rFonts w:eastAsia="Times New Roman" w:cs="Calibri"/>
          <w:color w:val="000000"/>
          <w:sz w:val="23"/>
          <w:szCs w:val="23"/>
        </w:rPr>
        <w:t>31</w:t>
      </w:r>
      <w:r w:rsidR="00233438" w:rsidRPr="006244D2">
        <w:rPr>
          <w:rFonts w:eastAsia="Times New Roman" w:cs="Calibri"/>
          <w:color w:val="000000"/>
          <w:sz w:val="23"/>
          <w:szCs w:val="23"/>
        </w:rPr>
        <w:t xml:space="preserve"> </w:t>
      </w:r>
      <w:r w:rsidRPr="006244D2">
        <w:rPr>
          <w:rFonts w:eastAsia="Times New Roman" w:cs="Calibri"/>
          <w:color w:val="000000"/>
          <w:sz w:val="23"/>
          <w:szCs w:val="23"/>
        </w:rPr>
        <w:t>above</w:t>
      </w:r>
      <w:r w:rsidR="00485B30">
        <w:rPr>
          <w:rFonts w:eastAsia="Times New Roman" w:cs="Calibri"/>
          <w:color w:val="000000"/>
          <w:sz w:val="23"/>
          <w:szCs w:val="23"/>
        </w:rPr>
        <w:t>;</w:t>
      </w:r>
    </w:p>
    <w:p w14:paraId="672F0303" w14:textId="0ADFEB65" w:rsidR="00A57408" w:rsidRPr="006244D2" w:rsidRDefault="00A57408" w:rsidP="00A57408">
      <w:pPr>
        <w:widowControl/>
        <w:numPr>
          <w:ilvl w:val="0"/>
          <w:numId w:val="5"/>
        </w:numPr>
        <w:autoSpaceDE/>
        <w:autoSpaceDN/>
        <w:spacing w:after="240" w:line="260" w:lineRule="exact"/>
        <w:ind w:left="924" w:hanging="357"/>
        <w:jc w:val="both"/>
        <w:rPr>
          <w:rFonts w:eastAsia="Times New Roman" w:cs="Calibri"/>
          <w:color w:val="000000"/>
          <w:sz w:val="23"/>
          <w:szCs w:val="23"/>
        </w:rPr>
      </w:pPr>
      <w:r w:rsidRPr="006244D2">
        <w:rPr>
          <w:rFonts w:eastAsia="Times New Roman" w:cs="Calibri"/>
          <w:color w:val="000000"/>
          <w:sz w:val="23"/>
          <w:szCs w:val="23"/>
        </w:rPr>
        <w:t xml:space="preserve">the total amount of funding provided by the </w:t>
      </w:r>
      <w:r w:rsidR="008E004C">
        <w:rPr>
          <w:rFonts w:eastAsia="Times New Roman" w:cs="Calibri"/>
          <w:color w:val="000000"/>
          <w:sz w:val="23"/>
          <w:szCs w:val="23"/>
        </w:rPr>
        <w:t>s</w:t>
      </w:r>
      <w:r w:rsidRPr="006244D2">
        <w:rPr>
          <w:rFonts w:eastAsia="Times New Roman" w:cs="Calibri"/>
          <w:color w:val="000000"/>
          <w:sz w:val="23"/>
          <w:szCs w:val="23"/>
        </w:rPr>
        <w:t xml:space="preserve">tate or </w:t>
      </w:r>
      <w:r w:rsidR="008E004C">
        <w:rPr>
          <w:rFonts w:eastAsia="Times New Roman" w:cs="Calibri"/>
          <w:color w:val="000000"/>
          <w:sz w:val="23"/>
          <w:szCs w:val="23"/>
        </w:rPr>
        <w:t>t</w:t>
      </w:r>
      <w:r w:rsidRPr="006244D2">
        <w:rPr>
          <w:rFonts w:eastAsia="Times New Roman" w:cs="Calibri"/>
          <w:color w:val="000000"/>
          <w:sz w:val="23"/>
          <w:szCs w:val="23"/>
        </w:rPr>
        <w:t xml:space="preserve">erritory for non-government schools in the </w:t>
      </w:r>
      <w:r w:rsidR="008E004C">
        <w:rPr>
          <w:rFonts w:eastAsia="Times New Roman" w:cs="Calibri"/>
          <w:color w:val="000000"/>
          <w:sz w:val="23"/>
          <w:szCs w:val="23"/>
        </w:rPr>
        <w:t>s</w:t>
      </w:r>
      <w:r w:rsidRPr="006244D2">
        <w:rPr>
          <w:rFonts w:eastAsia="Times New Roman" w:cs="Calibri"/>
          <w:color w:val="000000"/>
          <w:sz w:val="23"/>
          <w:szCs w:val="23"/>
        </w:rPr>
        <w:t xml:space="preserve">tate or </w:t>
      </w:r>
      <w:r w:rsidR="008E004C">
        <w:rPr>
          <w:rFonts w:eastAsia="Times New Roman" w:cs="Calibri"/>
          <w:color w:val="000000"/>
          <w:sz w:val="23"/>
          <w:szCs w:val="23"/>
        </w:rPr>
        <w:t>t</w:t>
      </w:r>
      <w:r w:rsidRPr="006244D2">
        <w:rPr>
          <w:rFonts w:eastAsia="Times New Roman" w:cs="Calibri"/>
          <w:color w:val="000000"/>
          <w:sz w:val="23"/>
          <w:szCs w:val="23"/>
        </w:rPr>
        <w:t xml:space="preserve">erritory for Year T as measured in line with clause </w:t>
      </w:r>
      <w:r w:rsidR="00233438">
        <w:rPr>
          <w:rFonts w:eastAsia="Times New Roman" w:cs="Calibri"/>
          <w:color w:val="000000"/>
          <w:sz w:val="23"/>
          <w:szCs w:val="23"/>
        </w:rPr>
        <w:t>31</w:t>
      </w:r>
      <w:r w:rsidR="00233438" w:rsidRPr="006244D2">
        <w:rPr>
          <w:rFonts w:eastAsia="Times New Roman" w:cs="Calibri"/>
          <w:color w:val="000000"/>
          <w:sz w:val="23"/>
          <w:szCs w:val="23"/>
        </w:rPr>
        <w:t xml:space="preserve"> </w:t>
      </w:r>
      <w:r w:rsidRPr="006244D2">
        <w:rPr>
          <w:rFonts w:eastAsia="Times New Roman" w:cs="Calibri"/>
          <w:color w:val="000000"/>
          <w:sz w:val="23"/>
          <w:szCs w:val="23"/>
        </w:rPr>
        <w:t>above</w:t>
      </w:r>
      <w:r w:rsidR="00485B30">
        <w:rPr>
          <w:rFonts w:eastAsia="Times New Roman" w:cs="Calibri"/>
          <w:color w:val="000000"/>
          <w:sz w:val="23"/>
          <w:szCs w:val="23"/>
        </w:rPr>
        <w:t>; and</w:t>
      </w:r>
    </w:p>
    <w:p w14:paraId="1193747E" w14:textId="77777777" w:rsidR="00A57408" w:rsidRPr="001C045C" w:rsidRDefault="00A57408" w:rsidP="00A57408">
      <w:pPr>
        <w:widowControl/>
        <w:numPr>
          <w:ilvl w:val="0"/>
          <w:numId w:val="5"/>
        </w:numPr>
        <w:autoSpaceDE/>
        <w:autoSpaceDN/>
        <w:spacing w:after="240" w:line="260" w:lineRule="exact"/>
        <w:ind w:left="924" w:hanging="357"/>
        <w:jc w:val="both"/>
        <w:rPr>
          <w:sz w:val="23"/>
          <w:szCs w:val="23"/>
        </w:rPr>
      </w:pPr>
      <w:r w:rsidRPr="006244D2">
        <w:rPr>
          <w:rFonts w:eastAsia="Times New Roman" w:cs="Calibri"/>
          <w:color w:val="000000"/>
          <w:sz w:val="23"/>
          <w:szCs w:val="23"/>
        </w:rPr>
        <w:t xml:space="preserve">total </w:t>
      </w:r>
      <w:proofErr w:type="gramStart"/>
      <w:r w:rsidRPr="006244D2">
        <w:rPr>
          <w:rFonts w:eastAsia="Times New Roman" w:cs="Calibri"/>
          <w:color w:val="000000"/>
          <w:sz w:val="23"/>
          <w:szCs w:val="23"/>
        </w:rPr>
        <w:t>full time</w:t>
      </w:r>
      <w:proofErr w:type="gramEnd"/>
      <w:r w:rsidRPr="006244D2">
        <w:rPr>
          <w:rFonts w:eastAsia="Times New Roman" w:cs="Calibri"/>
          <w:color w:val="000000"/>
          <w:sz w:val="23"/>
          <w:szCs w:val="23"/>
        </w:rPr>
        <w:t xml:space="preserve"> equivalent</w:t>
      </w:r>
      <w:r w:rsidRPr="001C045C">
        <w:rPr>
          <w:sz w:val="23"/>
          <w:szCs w:val="23"/>
        </w:rPr>
        <w:t xml:space="preserve"> enrolments for Year T relating to the funding amounts above.</w:t>
      </w:r>
    </w:p>
    <w:p w14:paraId="60E8B68D" w14:textId="77777777" w:rsidR="00A57408" w:rsidRPr="00622C0A" w:rsidRDefault="00A57408" w:rsidP="00E95C42">
      <w:pPr>
        <w:keepLines/>
        <w:widowControl/>
        <w:numPr>
          <w:ilvl w:val="0"/>
          <w:numId w:val="3"/>
        </w:numPr>
        <w:autoSpaceDE/>
        <w:autoSpaceDN/>
        <w:spacing w:before="240" w:after="240" w:line="260" w:lineRule="exact"/>
        <w:jc w:val="both"/>
        <w:rPr>
          <w:rFonts w:eastAsia="Times New Roman" w:cs="Calibri"/>
          <w:color w:val="000000"/>
          <w:sz w:val="23"/>
          <w:szCs w:val="23"/>
        </w:rPr>
      </w:pPr>
      <w:r w:rsidRPr="00622C0A">
        <w:rPr>
          <w:rFonts w:eastAsia="Times New Roman" w:cs="Calibri"/>
          <w:color w:val="000000"/>
          <w:sz w:val="23"/>
          <w:szCs w:val="23"/>
        </w:rPr>
        <w:t xml:space="preserve">The annual report must also specify the amount for each funding type set out in clause </w:t>
      </w:r>
      <w:r w:rsidR="00233438">
        <w:rPr>
          <w:rFonts w:eastAsia="Times New Roman" w:cs="Calibri"/>
          <w:color w:val="000000"/>
          <w:sz w:val="23"/>
          <w:szCs w:val="23"/>
        </w:rPr>
        <w:t>31</w:t>
      </w:r>
      <w:r w:rsidR="00233438" w:rsidRPr="00622C0A">
        <w:rPr>
          <w:rFonts w:eastAsia="Times New Roman" w:cs="Calibri"/>
          <w:color w:val="000000"/>
          <w:sz w:val="23"/>
          <w:szCs w:val="23"/>
        </w:rPr>
        <w:t xml:space="preserve"> </w:t>
      </w:r>
      <w:r w:rsidRPr="00622C0A">
        <w:rPr>
          <w:rFonts w:eastAsia="Times New Roman" w:cs="Calibri"/>
          <w:color w:val="000000"/>
          <w:sz w:val="23"/>
          <w:szCs w:val="23"/>
        </w:rPr>
        <w:t>of this bilateral agreement, as well as the amount of funding consistent with the specified NRIPS methodology.</w:t>
      </w:r>
    </w:p>
    <w:p w14:paraId="5AB02294" w14:textId="77777777" w:rsidR="00A57408" w:rsidRPr="001C045C" w:rsidRDefault="00A57408" w:rsidP="00E95C42">
      <w:pPr>
        <w:keepLines/>
        <w:widowControl/>
        <w:numPr>
          <w:ilvl w:val="0"/>
          <w:numId w:val="3"/>
        </w:numPr>
        <w:autoSpaceDE/>
        <w:autoSpaceDN/>
        <w:spacing w:before="240" w:after="240" w:line="260" w:lineRule="exact"/>
        <w:jc w:val="both"/>
        <w:rPr>
          <w:rFonts w:eastAsia="Times New Roman" w:cs="Calibri"/>
          <w:color w:val="000000"/>
          <w:sz w:val="23"/>
          <w:szCs w:val="23"/>
        </w:rPr>
      </w:pPr>
      <w:r w:rsidRPr="001C045C">
        <w:rPr>
          <w:rFonts w:eastAsia="Times New Roman" w:cs="Calibri"/>
          <w:color w:val="000000"/>
          <w:sz w:val="23"/>
          <w:szCs w:val="23"/>
        </w:rPr>
        <w:t xml:space="preserve">Each </w:t>
      </w:r>
      <w:r w:rsidRPr="009172B3">
        <w:rPr>
          <w:color w:val="000000"/>
          <w:sz w:val="23"/>
          <w:szCs w:val="23"/>
        </w:rPr>
        <w:t>amount</w:t>
      </w:r>
      <w:r w:rsidRPr="001C045C">
        <w:rPr>
          <w:rFonts w:eastAsia="Times New Roman" w:cs="Calibri"/>
          <w:color w:val="000000"/>
          <w:sz w:val="23"/>
          <w:szCs w:val="23"/>
        </w:rPr>
        <w:t xml:space="preserve"> included in the report must have been:</w:t>
      </w:r>
    </w:p>
    <w:p w14:paraId="322B5C10" w14:textId="60C17A53" w:rsidR="00A57408" w:rsidRPr="006244D2" w:rsidRDefault="00A57408" w:rsidP="00A57408">
      <w:pPr>
        <w:keepNext/>
        <w:keepLines/>
        <w:widowControl/>
        <w:numPr>
          <w:ilvl w:val="0"/>
          <w:numId w:val="6"/>
        </w:numPr>
        <w:autoSpaceDE/>
        <w:autoSpaceDN/>
        <w:spacing w:after="240" w:line="260" w:lineRule="exact"/>
        <w:ind w:left="924" w:hanging="357"/>
        <w:jc w:val="both"/>
        <w:rPr>
          <w:rFonts w:eastAsia="Times New Roman" w:cs="Calibri"/>
          <w:color w:val="000000"/>
          <w:sz w:val="23"/>
          <w:szCs w:val="23"/>
        </w:rPr>
      </w:pPr>
      <w:r w:rsidRPr="006244D2">
        <w:rPr>
          <w:rFonts w:eastAsia="Times New Roman" w:cs="Calibri"/>
          <w:color w:val="000000"/>
          <w:sz w:val="23"/>
          <w:szCs w:val="23"/>
        </w:rPr>
        <w:t xml:space="preserve">spent by the </w:t>
      </w:r>
      <w:r w:rsidR="008E004C">
        <w:rPr>
          <w:rFonts w:eastAsia="Times New Roman" w:cs="Calibri"/>
          <w:color w:val="000000"/>
          <w:sz w:val="23"/>
          <w:szCs w:val="23"/>
        </w:rPr>
        <w:t>s</w:t>
      </w:r>
      <w:r w:rsidRPr="006244D2">
        <w:rPr>
          <w:rFonts w:eastAsia="Times New Roman" w:cs="Calibri"/>
          <w:color w:val="000000"/>
          <w:sz w:val="23"/>
          <w:szCs w:val="23"/>
        </w:rPr>
        <w:t xml:space="preserve">tate </w:t>
      </w:r>
      <w:r>
        <w:rPr>
          <w:rFonts w:eastAsia="Times New Roman" w:cs="Calibri"/>
          <w:color w:val="000000"/>
          <w:sz w:val="23"/>
          <w:szCs w:val="23"/>
        </w:rPr>
        <w:t xml:space="preserve">or </w:t>
      </w:r>
      <w:r w:rsidR="008E004C">
        <w:rPr>
          <w:rFonts w:eastAsia="Times New Roman" w:cs="Calibri"/>
          <w:color w:val="000000"/>
          <w:sz w:val="23"/>
          <w:szCs w:val="23"/>
        </w:rPr>
        <w:t>t</w:t>
      </w:r>
      <w:r>
        <w:rPr>
          <w:rFonts w:eastAsia="Times New Roman" w:cs="Calibri"/>
          <w:color w:val="000000"/>
          <w:sz w:val="23"/>
          <w:szCs w:val="23"/>
        </w:rPr>
        <w:t xml:space="preserve">erritory </w:t>
      </w:r>
      <w:r w:rsidRPr="006244D2">
        <w:rPr>
          <w:rFonts w:eastAsia="Times New Roman" w:cs="Calibri"/>
          <w:color w:val="000000"/>
          <w:sz w:val="23"/>
          <w:szCs w:val="23"/>
        </w:rPr>
        <w:t>government for schools (including centralised funds expended by the department for schools and funds allocated for schools that are not spent within Year T but are spent within remainder of the financial year</w:t>
      </w:r>
      <w:r>
        <w:rPr>
          <w:rFonts w:eastAsia="Times New Roman" w:cs="Calibri"/>
          <w:color w:val="000000"/>
          <w:sz w:val="23"/>
          <w:szCs w:val="23"/>
        </w:rPr>
        <w:t xml:space="preserve"> or subsequent years by schools</w:t>
      </w:r>
      <w:r w:rsidRPr="006244D2">
        <w:rPr>
          <w:rFonts w:eastAsia="Times New Roman" w:cs="Calibri"/>
          <w:color w:val="000000"/>
          <w:sz w:val="23"/>
          <w:szCs w:val="23"/>
        </w:rPr>
        <w:t>) or approved authorities</w:t>
      </w:r>
      <w:r w:rsidR="00485B30">
        <w:rPr>
          <w:rFonts w:eastAsia="Times New Roman" w:cs="Calibri"/>
          <w:color w:val="000000"/>
          <w:sz w:val="23"/>
          <w:szCs w:val="23"/>
        </w:rPr>
        <w:t>;</w:t>
      </w:r>
      <w:r w:rsidRPr="006244D2">
        <w:rPr>
          <w:rFonts w:eastAsia="Times New Roman" w:cs="Calibri"/>
          <w:color w:val="000000"/>
          <w:sz w:val="23"/>
          <w:szCs w:val="23"/>
        </w:rPr>
        <w:t xml:space="preserve"> or</w:t>
      </w:r>
    </w:p>
    <w:p w14:paraId="4477928D" w14:textId="797EACD9" w:rsidR="00A57408" w:rsidRPr="006244D2" w:rsidRDefault="00A57408" w:rsidP="00A57408">
      <w:pPr>
        <w:keepNext/>
        <w:keepLines/>
        <w:widowControl/>
        <w:numPr>
          <w:ilvl w:val="0"/>
          <w:numId w:val="6"/>
        </w:numPr>
        <w:autoSpaceDE/>
        <w:autoSpaceDN/>
        <w:spacing w:after="240" w:line="260" w:lineRule="exact"/>
        <w:ind w:left="924" w:hanging="357"/>
        <w:jc w:val="both"/>
        <w:rPr>
          <w:rFonts w:eastAsia="Times New Roman" w:cs="Calibri"/>
          <w:color w:val="000000"/>
          <w:sz w:val="23"/>
          <w:szCs w:val="23"/>
        </w:rPr>
      </w:pPr>
      <w:r w:rsidRPr="006244D2">
        <w:rPr>
          <w:rFonts w:eastAsia="Times New Roman" w:cs="Calibri"/>
          <w:color w:val="000000"/>
          <w:sz w:val="23"/>
          <w:szCs w:val="23"/>
        </w:rPr>
        <w:t>spent by schools or approved authorities for Year T</w:t>
      </w:r>
      <w:r w:rsidR="00485B30">
        <w:rPr>
          <w:rFonts w:eastAsia="Times New Roman" w:cs="Calibri"/>
          <w:color w:val="000000"/>
          <w:sz w:val="23"/>
          <w:szCs w:val="23"/>
        </w:rPr>
        <w:t>;</w:t>
      </w:r>
      <w:r w:rsidRPr="006244D2">
        <w:rPr>
          <w:rFonts w:eastAsia="Times New Roman" w:cs="Calibri"/>
          <w:color w:val="000000"/>
          <w:sz w:val="23"/>
          <w:szCs w:val="23"/>
        </w:rPr>
        <w:t xml:space="preserve"> and</w:t>
      </w:r>
    </w:p>
    <w:p w14:paraId="3A3E02AA" w14:textId="77777777" w:rsidR="00A57408" w:rsidRPr="006244D2" w:rsidRDefault="00A57408" w:rsidP="00A57408">
      <w:pPr>
        <w:keepNext/>
        <w:keepLines/>
        <w:widowControl/>
        <w:numPr>
          <w:ilvl w:val="0"/>
          <w:numId w:val="6"/>
        </w:numPr>
        <w:autoSpaceDE/>
        <w:autoSpaceDN/>
        <w:spacing w:after="240" w:line="260" w:lineRule="exact"/>
        <w:ind w:left="924" w:hanging="357"/>
        <w:jc w:val="both"/>
        <w:rPr>
          <w:rFonts w:eastAsia="Times New Roman" w:cs="Calibri"/>
          <w:color w:val="000000"/>
          <w:sz w:val="23"/>
          <w:szCs w:val="23"/>
        </w:rPr>
      </w:pPr>
      <w:r w:rsidRPr="006244D2">
        <w:rPr>
          <w:rFonts w:eastAsia="Times New Roman" w:cs="Calibri"/>
          <w:color w:val="000000"/>
          <w:sz w:val="23"/>
          <w:szCs w:val="23"/>
        </w:rPr>
        <w:t>not counted towards another reporting year for the purposes of this agreement.</w:t>
      </w:r>
    </w:p>
    <w:p w14:paraId="77F90C9F" w14:textId="77777777" w:rsidR="00A57408" w:rsidRPr="001C045C" w:rsidRDefault="00A57408" w:rsidP="00A57408">
      <w:pPr>
        <w:tabs>
          <w:tab w:val="left" w:pos="1276"/>
        </w:tabs>
        <w:spacing w:after="240" w:line="260" w:lineRule="exact"/>
        <w:ind w:left="567" w:right="284"/>
        <w:jc w:val="both"/>
        <w:rPr>
          <w:sz w:val="23"/>
          <w:szCs w:val="23"/>
        </w:rPr>
      </w:pPr>
      <w:r w:rsidRPr="006244D2">
        <w:rPr>
          <w:rFonts w:eastAsia="Times New Roman" w:cs="Calibri"/>
          <w:color w:val="000000"/>
          <w:sz w:val="23"/>
          <w:szCs w:val="23"/>
        </w:rPr>
        <w:t>Note this does</w:t>
      </w:r>
      <w:r w:rsidRPr="001C045C">
        <w:rPr>
          <w:sz w:val="23"/>
          <w:szCs w:val="23"/>
        </w:rPr>
        <w:t xml:space="preserve"> not prevent a </w:t>
      </w:r>
      <w:r>
        <w:rPr>
          <w:sz w:val="23"/>
          <w:szCs w:val="23"/>
        </w:rPr>
        <w:t>s</w:t>
      </w:r>
      <w:r w:rsidRPr="001C045C">
        <w:rPr>
          <w:sz w:val="23"/>
          <w:szCs w:val="23"/>
        </w:rPr>
        <w:t xml:space="preserve">tate or </w:t>
      </w:r>
      <w:r>
        <w:rPr>
          <w:sz w:val="23"/>
          <w:szCs w:val="23"/>
        </w:rPr>
        <w:t>t</w:t>
      </w:r>
      <w:r w:rsidRPr="001C045C">
        <w:rPr>
          <w:sz w:val="23"/>
          <w:szCs w:val="23"/>
        </w:rPr>
        <w:t>erritory also including budgeted amounts in its report.</w:t>
      </w:r>
    </w:p>
    <w:p w14:paraId="286619F0" w14:textId="77777777" w:rsidR="00A57408" w:rsidRPr="008F1301" w:rsidRDefault="00A57408" w:rsidP="00E95C42">
      <w:pPr>
        <w:keepLines/>
        <w:widowControl/>
        <w:numPr>
          <w:ilvl w:val="0"/>
          <w:numId w:val="3"/>
        </w:numPr>
        <w:autoSpaceDE/>
        <w:autoSpaceDN/>
        <w:spacing w:before="240" w:after="240" w:line="260" w:lineRule="exact"/>
        <w:jc w:val="both"/>
        <w:rPr>
          <w:rFonts w:eastAsia="Times New Roman" w:cs="Calibri"/>
          <w:color w:val="000000"/>
          <w:sz w:val="23"/>
          <w:szCs w:val="23"/>
        </w:rPr>
      </w:pPr>
      <w:r w:rsidRPr="008F1301">
        <w:rPr>
          <w:rFonts w:eastAsia="Times New Roman" w:cs="Calibri"/>
          <w:color w:val="000000"/>
          <w:sz w:val="23"/>
          <w:szCs w:val="23"/>
        </w:rPr>
        <w:t xml:space="preserve">Each amount included in the report for a sector must have been allocated or provided for that sector. Note this means a </w:t>
      </w:r>
      <w:r>
        <w:rPr>
          <w:rFonts w:eastAsia="Times New Roman" w:cs="Calibri"/>
          <w:color w:val="000000"/>
          <w:sz w:val="23"/>
          <w:szCs w:val="23"/>
        </w:rPr>
        <w:t>s</w:t>
      </w:r>
      <w:r w:rsidRPr="008F1301">
        <w:rPr>
          <w:rFonts w:eastAsia="Times New Roman" w:cs="Calibri"/>
          <w:color w:val="000000"/>
          <w:sz w:val="23"/>
          <w:szCs w:val="23"/>
        </w:rPr>
        <w:t xml:space="preserve">tate or </w:t>
      </w:r>
      <w:r>
        <w:rPr>
          <w:rFonts w:eastAsia="Times New Roman" w:cs="Calibri"/>
          <w:color w:val="000000"/>
          <w:sz w:val="23"/>
          <w:szCs w:val="23"/>
        </w:rPr>
        <w:t>t</w:t>
      </w:r>
      <w:r w:rsidRPr="008F1301">
        <w:rPr>
          <w:rFonts w:eastAsia="Times New Roman" w:cs="Calibri"/>
          <w:color w:val="000000"/>
          <w:sz w:val="23"/>
          <w:szCs w:val="23"/>
        </w:rPr>
        <w:t xml:space="preserve">erritory cannot count </w:t>
      </w:r>
      <w:r>
        <w:rPr>
          <w:rFonts w:eastAsia="Times New Roman" w:cs="Calibri"/>
          <w:color w:val="000000"/>
          <w:sz w:val="23"/>
          <w:szCs w:val="23"/>
        </w:rPr>
        <w:t xml:space="preserve">funding provided </w:t>
      </w:r>
      <w:r w:rsidRPr="008F1301">
        <w:rPr>
          <w:rFonts w:eastAsia="Times New Roman" w:cs="Calibri"/>
          <w:color w:val="000000"/>
          <w:sz w:val="23"/>
          <w:szCs w:val="23"/>
        </w:rPr>
        <w:t xml:space="preserve">for one sector towards the contribution requirement for </w:t>
      </w:r>
      <w:r>
        <w:rPr>
          <w:rFonts w:eastAsia="Times New Roman" w:cs="Calibri"/>
          <w:color w:val="000000"/>
          <w:sz w:val="23"/>
          <w:szCs w:val="23"/>
        </w:rPr>
        <w:t>an</w:t>
      </w:r>
      <w:r w:rsidRPr="008F1301">
        <w:rPr>
          <w:rFonts w:eastAsia="Times New Roman" w:cs="Calibri"/>
          <w:color w:val="000000"/>
          <w:sz w:val="23"/>
          <w:szCs w:val="23"/>
        </w:rPr>
        <w:t>other sector</w:t>
      </w:r>
      <w:r>
        <w:rPr>
          <w:rFonts w:eastAsia="Times New Roman" w:cs="Calibri"/>
          <w:color w:val="000000"/>
          <w:sz w:val="23"/>
          <w:szCs w:val="23"/>
        </w:rPr>
        <w:t>.</w:t>
      </w:r>
    </w:p>
    <w:p w14:paraId="6FFDCE7F" w14:textId="77777777" w:rsidR="00A57408" w:rsidRPr="008F1301" w:rsidRDefault="00A57408" w:rsidP="00E95C42">
      <w:pPr>
        <w:keepLines/>
        <w:widowControl/>
        <w:numPr>
          <w:ilvl w:val="0"/>
          <w:numId w:val="3"/>
        </w:numPr>
        <w:autoSpaceDE/>
        <w:autoSpaceDN/>
        <w:spacing w:before="240" w:after="240" w:line="260" w:lineRule="exact"/>
        <w:jc w:val="both"/>
        <w:rPr>
          <w:rFonts w:eastAsia="Times New Roman" w:cs="Calibri"/>
          <w:color w:val="000000"/>
          <w:sz w:val="23"/>
          <w:szCs w:val="23"/>
        </w:rPr>
      </w:pPr>
      <w:r w:rsidRPr="008F1301">
        <w:rPr>
          <w:rFonts w:eastAsia="Times New Roman" w:cs="Calibri"/>
          <w:color w:val="000000"/>
          <w:sz w:val="23"/>
          <w:szCs w:val="23"/>
        </w:rPr>
        <w:t xml:space="preserve">Each amount </w:t>
      </w:r>
      <w:r w:rsidRPr="009172B3">
        <w:rPr>
          <w:color w:val="000000"/>
          <w:sz w:val="23"/>
          <w:szCs w:val="23"/>
        </w:rPr>
        <w:t>included</w:t>
      </w:r>
      <w:r w:rsidRPr="008F1301">
        <w:rPr>
          <w:rFonts w:eastAsia="Times New Roman" w:cs="Calibri"/>
          <w:color w:val="000000"/>
          <w:sz w:val="23"/>
          <w:szCs w:val="23"/>
        </w:rPr>
        <w:t xml:space="preserve"> in the report must be net of any Australian Government funding.</w:t>
      </w:r>
    </w:p>
    <w:p w14:paraId="76E7D4D2" w14:textId="77777777" w:rsidR="00A57408" w:rsidRPr="003308E3" w:rsidRDefault="00A57408" w:rsidP="00E95C42">
      <w:pPr>
        <w:keepLines/>
        <w:widowControl/>
        <w:numPr>
          <w:ilvl w:val="0"/>
          <w:numId w:val="3"/>
        </w:numPr>
        <w:autoSpaceDE/>
        <w:autoSpaceDN/>
        <w:spacing w:before="240" w:after="240" w:line="260" w:lineRule="exact"/>
        <w:jc w:val="both"/>
        <w:rPr>
          <w:rFonts w:eastAsia="Times New Roman" w:cs="Calibri"/>
          <w:color w:val="000000"/>
          <w:sz w:val="23"/>
          <w:szCs w:val="23"/>
        </w:rPr>
      </w:pPr>
      <w:r w:rsidRPr="001C045C">
        <w:rPr>
          <w:rFonts w:eastAsia="Times New Roman" w:cs="Calibri"/>
          <w:color w:val="000000"/>
          <w:sz w:val="23"/>
          <w:szCs w:val="23"/>
        </w:rPr>
        <w:t xml:space="preserve">For each </w:t>
      </w:r>
      <w:r w:rsidRPr="009172B3">
        <w:rPr>
          <w:color w:val="000000"/>
          <w:sz w:val="23"/>
          <w:szCs w:val="23"/>
        </w:rPr>
        <w:t>amount</w:t>
      </w:r>
      <w:r>
        <w:rPr>
          <w:rFonts w:eastAsia="Times New Roman" w:cs="Calibri"/>
          <w:color w:val="000000"/>
          <w:sz w:val="23"/>
          <w:szCs w:val="23"/>
        </w:rPr>
        <w:t xml:space="preserve">, except items listed in clause </w:t>
      </w:r>
      <w:r w:rsidR="00883A0F">
        <w:rPr>
          <w:rFonts w:eastAsia="Times New Roman" w:cs="Calibri"/>
          <w:color w:val="000000"/>
          <w:sz w:val="23"/>
          <w:szCs w:val="23"/>
        </w:rPr>
        <w:t xml:space="preserve">46 </w:t>
      </w:r>
      <w:r>
        <w:rPr>
          <w:rFonts w:eastAsia="Times New Roman" w:cs="Calibri"/>
          <w:color w:val="000000"/>
          <w:sz w:val="23"/>
          <w:szCs w:val="23"/>
        </w:rPr>
        <w:t>below</w:t>
      </w:r>
      <w:r w:rsidRPr="001C045C">
        <w:rPr>
          <w:rFonts w:eastAsia="Times New Roman" w:cs="Calibri"/>
          <w:color w:val="000000"/>
          <w:sz w:val="23"/>
          <w:szCs w:val="23"/>
        </w:rPr>
        <w:t xml:space="preserve">, the report must include </w:t>
      </w:r>
      <w:r w:rsidRPr="009172B3">
        <w:rPr>
          <w:color w:val="000000"/>
          <w:sz w:val="23"/>
          <w:szCs w:val="23"/>
        </w:rPr>
        <w:t>evidence</w:t>
      </w:r>
      <w:r w:rsidRPr="001C045C">
        <w:rPr>
          <w:rFonts w:eastAsia="Times New Roman" w:cs="Calibri"/>
          <w:color w:val="000000"/>
          <w:sz w:val="23"/>
          <w:szCs w:val="23"/>
        </w:rPr>
        <w:t xml:space="preserve"> that the amount has been certified and is consistent with the agreed methodology in </w:t>
      </w:r>
      <w:r w:rsidRPr="003F7A3B">
        <w:rPr>
          <w:rFonts w:eastAsia="Times New Roman" w:cs="Calibri"/>
          <w:color w:val="000000"/>
          <w:sz w:val="23"/>
          <w:szCs w:val="23"/>
        </w:rPr>
        <w:t xml:space="preserve">clause </w:t>
      </w:r>
      <w:r w:rsidR="00883A0F">
        <w:rPr>
          <w:rFonts w:eastAsia="Times New Roman" w:cs="Calibri"/>
          <w:color w:val="000000"/>
          <w:sz w:val="23"/>
          <w:szCs w:val="23"/>
        </w:rPr>
        <w:t>31</w:t>
      </w:r>
      <w:r w:rsidR="00883A0F" w:rsidRPr="001C045C">
        <w:rPr>
          <w:rFonts w:eastAsia="Times New Roman" w:cs="Calibri"/>
          <w:color w:val="000000"/>
          <w:sz w:val="23"/>
          <w:szCs w:val="23"/>
        </w:rPr>
        <w:t xml:space="preserve"> </w:t>
      </w:r>
      <w:r w:rsidRPr="001C045C">
        <w:rPr>
          <w:rFonts w:eastAsia="Times New Roman" w:cs="Calibri"/>
          <w:color w:val="000000"/>
          <w:sz w:val="23"/>
          <w:szCs w:val="23"/>
        </w:rPr>
        <w:t xml:space="preserve">of this bilateral agreement by </w:t>
      </w:r>
      <w:r>
        <w:rPr>
          <w:rFonts w:eastAsia="Times New Roman" w:cs="Calibri"/>
          <w:color w:val="000000"/>
          <w:sz w:val="23"/>
          <w:szCs w:val="23"/>
        </w:rPr>
        <w:t>one of the following</w:t>
      </w:r>
      <w:r w:rsidRPr="003308E3">
        <w:rPr>
          <w:rFonts w:eastAsia="Times New Roman" w:cs="Calibri"/>
          <w:color w:val="000000"/>
          <w:sz w:val="23"/>
          <w:szCs w:val="23"/>
        </w:rPr>
        <w:t>:</w:t>
      </w:r>
    </w:p>
    <w:p w14:paraId="36DC71B4" w14:textId="77CC9EC6" w:rsidR="00A57408" w:rsidRPr="006244D2" w:rsidRDefault="00A57408" w:rsidP="00A57408">
      <w:pPr>
        <w:keepNext/>
        <w:keepLines/>
        <w:widowControl/>
        <w:numPr>
          <w:ilvl w:val="0"/>
          <w:numId w:val="7"/>
        </w:numPr>
        <w:autoSpaceDE/>
        <w:autoSpaceDN/>
        <w:spacing w:after="240" w:line="260" w:lineRule="exact"/>
        <w:ind w:left="924" w:hanging="357"/>
        <w:jc w:val="both"/>
        <w:rPr>
          <w:rFonts w:eastAsia="Times New Roman" w:cs="Calibri"/>
          <w:color w:val="000000"/>
          <w:sz w:val="23"/>
          <w:szCs w:val="23"/>
        </w:rPr>
      </w:pPr>
      <w:r w:rsidRPr="006244D2">
        <w:rPr>
          <w:rFonts w:eastAsia="Times New Roman" w:cs="Calibri"/>
          <w:color w:val="000000"/>
          <w:sz w:val="23"/>
          <w:szCs w:val="23"/>
        </w:rPr>
        <w:lastRenderedPageBreak/>
        <w:t xml:space="preserve">the Auditor-General of the </w:t>
      </w:r>
      <w:r w:rsidR="008E004C">
        <w:rPr>
          <w:rFonts w:eastAsia="Times New Roman" w:cs="Calibri"/>
          <w:color w:val="000000"/>
          <w:sz w:val="23"/>
          <w:szCs w:val="23"/>
        </w:rPr>
        <w:t>s</w:t>
      </w:r>
      <w:r w:rsidRPr="006244D2">
        <w:rPr>
          <w:rFonts w:eastAsia="Times New Roman" w:cs="Calibri"/>
          <w:color w:val="000000"/>
          <w:sz w:val="23"/>
          <w:szCs w:val="23"/>
        </w:rPr>
        <w:t xml:space="preserve">tate or </w:t>
      </w:r>
      <w:r w:rsidR="008E004C">
        <w:rPr>
          <w:rFonts w:eastAsia="Times New Roman" w:cs="Calibri"/>
          <w:color w:val="000000"/>
          <w:sz w:val="23"/>
          <w:szCs w:val="23"/>
        </w:rPr>
        <w:t>t</w:t>
      </w:r>
      <w:r w:rsidRPr="006244D2">
        <w:rPr>
          <w:rFonts w:eastAsia="Times New Roman" w:cs="Calibri"/>
          <w:color w:val="000000"/>
          <w:sz w:val="23"/>
          <w:szCs w:val="23"/>
        </w:rPr>
        <w:t>erritory</w:t>
      </w:r>
      <w:r w:rsidR="00485B30">
        <w:rPr>
          <w:rFonts w:eastAsia="Times New Roman" w:cs="Calibri"/>
          <w:color w:val="000000"/>
          <w:sz w:val="23"/>
          <w:szCs w:val="23"/>
        </w:rPr>
        <w:t>;</w:t>
      </w:r>
      <w:r w:rsidRPr="006244D2">
        <w:rPr>
          <w:rFonts w:eastAsia="Times New Roman" w:cs="Calibri"/>
          <w:color w:val="000000"/>
          <w:sz w:val="23"/>
          <w:szCs w:val="23"/>
        </w:rPr>
        <w:t xml:space="preserve"> or</w:t>
      </w:r>
    </w:p>
    <w:p w14:paraId="4202D225" w14:textId="77777777" w:rsidR="00A57408" w:rsidRPr="006244D2" w:rsidRDefault="00A57408" w:rsidP="00A57408">
      <w:pPr>
        <w:keepNext/>
        <w:keepLines/>
        <w:widowControl/>
        <w:numPr>
          <w:ilvl w:val="0"/>
          <w:numId w:val="7"/>
        </w:numPr>
        <w:autoSpaceDE/>
        <w:autoSpaceDN/>
        <w:spacing w:after="240" w:line="260" w:lineRule="exact"/>
        <w:ind w:left="924" w:hanging="357"/>
        <w:jc w:val="both"/>
        <w:rPr>
          <w:rFonts w:eastAsia="Times New Roman" w:cs="Calibri"/>
          <w:color w:val="000000"/>
          <w:sz w:val="23"/>
          <w:szCs w:val="23"/>
        </w:rPr>
      </w:pPr>
      <w:r w:rsidRPr="006244D2">
        <w:rPr>
          <w:rFonts w:eastAsia="Times New Roman" w:cs="Calibri"/>
          <w:color w:val="000000"/>
          <w:sz w:val="23"/>
          <w:szCs w:val="23"/>
        </w:rPr>
        <w:t>an independent qualified accountant</w:t>
      </w:r>
      <w:r w:rsidR="00485B30">
        <w:rPr>
          <w:rFonts w:eastAsia="Times New Roman" w:cs="Calibri"/>
          <w:color w:val="000000"/>
          <w:sz w:val="23"/>
          <w:szCs w:val="23"/>
        </w:rPr>
        <w:t>;</w:t>
      </w:r>
      <w:r w:rsidRPr="006244D2">
        <w:rPr>
          <w:rFonts w:eastAsia="Times New Roman" w:cs="Calibri"/>
          <w:color w:val="000000"/>
          <w:sz w:val="23"/>
          <w:szCs w:val="23"/>
        </w:rPr>
        <w:t xml:space="preserve"> or </w:t>
      </w:r>
    </w:p>
    <w:p w14:paraId="0144A16C" w14:textId="77777777" w:rsidR="00A57408" w:rsidRPr="006244D2" w:rsidRDefault="00A57408" w:rsidP="00A57408">
      <w:pPr>
        <w:keepNext/>
        <w:keepLines/>
        <w:widowControl/>
        <w:numPr>
          <w:ilvl w:val="0"/>
          <w:numId w:val="7"/>
        </w:numPr>
        <w:autoSpaceDE/>
        <w:autoSpaceDN/>
        <w:spacing w:after="240" w:line="260" w:lineRule="exact"/>
        <w:ind w:left="924" w:hanging="357"/>
        <w:jc w:val="both"/>
        <w:rPr>
          <w:rFonts w:eastAsia="Times New Roman" w:cs="Calibri"/>
          <w:color w:val="000000"/>
          <w:sz w:val="23"/>
          <w:szCs w:val="23"/>
        </w:rPr>
      </w:pPr>
      <w:r w:rsidRPr="006244D2">
        <w:rPr>
          <w:rFonts w:eastAsia="Times New Roman" w:cs="Calibri"/>
          <w:color w:val="000000"/>
          <w:sz w:val="23"/>
          <w:szCs w:val="23"/>
        </w:rPr>
        <w:t>an independent qualified accountant engaged by ACARA for NRIPS funding</w:t>
      </w:r>
      <w:r w:rsidR="00485B30">
        <w:rPr>
          <w:rFonts w:eastAsia="Times New Roman" w:cs="Calibri"/>
          <w:color w:val="000000"/>
          <w:sz w:val="23"/>
          <w:szCs w:val="23"/>
        </w:rPr>
        <w:t>;</w:t>
      </w:r>
      <w:r w:rsidRPr="006244D2">
        <w:rPr>
          <w:rFonts w:eastAsia="Times New Roman" w:cs="Calibri"/>
          <w:color w:val="000000"/>
          <w:sz w:val="23"/>
          <w:szCs w:val="23"/>
        </w:rPr>
        <w:t xml:space="preserve"> or</w:t>
      </w:r>
    </w:p>
    <w:p w14:paraId="40F166C1" w14:textId="6B5211D2" w:rsidR="00A57408" w:rsidRPr="006244D2" w:rsidRDefault="00A57408" w:rsidP="00A57408">
      <w:pPr>
        <w:keepNext/>
        <w:keepLines/>
        <w:widowControl/>
        <w:numPr>
          <w:ilvl w:val="0"/>
          <w:numId w:val="7"/>
        </w:numPr>
        <w:autoSpaceDE/>
        <w:autoSpaceDN/>
        <w:spacing w:after="240" w:line="260" w:lineRule="exact"/>
        <w:ind w:left="924" w:hanging="357"/>
        <w:jc w:val="both"/>
        <w:rPr>
          <w:rFonts w:eastAsia="Times New Roman" w:cs="Calibri"/>
          <w:color w:val="000000"/>
          <w:sz w:val="23"/>
          <w:szCs w:val="23"/>
        </w:rPr>
      </w:pPr>
      <w:r w:rsidRPr="006244D2">
        <w:rPr>
          <w:rFonts w:eastAsia="Times New Roman" w:cs="Calibri"/>
          <w:color w:val="000000"/>
          <w:sz w:val="23"/>
          <w:szCs w:val="23"/>
        </w:rPr>
        <w:t xml:space="preserve">the Director General or equivalent of the </w:t>
      </w:r>
      <w:r w:rsidR="00553A93" w:rsidRPr="006244D2">
        <w:rPr>
          <w:rFonts w:eastAsia="Times New Roman" w:cs="Calibri"/>
          <w:color w:val="000000"/>
          <w:sz w:val="23"/>
          <w:szCs w:val="23"/>
        </w:rPr>
        <w:t>education</w:t>
      </w:r>
      <w:r w:rsidRPr="006244D2">
        <w:rPr>
          <w:rFonts w:eastAsia="Times New Roman" w:cs="Calibri"/>
          <w:color w:val="000000"/>
          <w:sz w:val="23"/>
          <w:szCs w:val="23"/>
        </w:rPr>
        <w:t xml:space="preserve"> portfolio for the </w:t>
      </w:r>
      <w:r w:rsidR="008E004C">
        <w:rPr>
          <w:rFonts w:eastAsia="Times New Roman" w:cs="Calibri"/>
          <w:color w:val="000000"/>
          <w:sz w:val="23"/>
          <w:szCs w:val="23"/>
        </w:rPr>
        <w:t>s</w:t>
      </w:r>
      <w:r w:rsidRPr="006244D2">
        <w:rPr>
          <w:rFonts w:eastAsia="Times New Roman" w:cs="Calibri"/>
          <w:color w:val="000000"/>
          <w:sz w:val="23"/>
          <w:szCs w:val="23"/>
        </w:rPr>
        <w:t xml:space="preserve">tate or </w:t>
      </w:r>
      <w:r w:rsidR="008E004C">
        <w:rPr>
          <w:rFonts w:eastAsia="Times New Roman" w:cs="Calibri"/>
          <w:color w:val="000000"/>
          <w:sz w:val="23"/>
          <w:szCs w:val="23"/>
        </w:rPr>
        <w:t>t</w:t>
      </w:r>
      <w:r w:rsidRPr="006244D2">
        <w:rPr>
          <w:rFonts w:eastAsia="Times New Roman" w:cs="Calibri"/>
          <w:color w:val="000000"/>
          <w:sz w:val="23"/>
          <w:szCs w:val="23"/>
        </w:rPr>
        <w:t>erritory</w:t>
      </w:r>
      <w:r>
        <w:rPr>
          <w:rFonts w:eastAsia="Times New Roman" w:cs="Calibri"/>
          <w:color w:val="000000"/>
          <w:sz w:val="23"/>
          <w:szCs w:val="23"/>
        </w:rPr>
        <w:t>,</w:t>
      </w:r>
      <w:r w:rsidRPr="00C05B0B">
        <w:rPr>
          <w:rFonts w:eastAsia="Times New Roman" w:cs="Calibri"/>
          <w:sz w:val="23"/>
          <w:szCs w:val="23"/>
        </w:rPr>
        <w:t xml:space="preserve"> but only up to 0.1 per cent of the SRS for the </w:t>
      </w:r>
      <w:r w:rsidR="008E004C">
        <w:rPr>
          <w:rFonts w:eastAsia="Times New Roman" w:cs="Calibri"/>
          <w:sz w:val="23"/>
          <w:szCs w:val="23"/>
        </w:rPr>
        <w:t>s</w:t>
      </w:r>
      <w:r>
        <w:rPr>
          <w:rFonts w:eastAsia="Times New Roman" w:cs="Calibri"/>
          <w:sz w:val="23"/>
          <w:szCs w:val="23"/>
        </w:rPr>
        <w:t>tate</w:t>
      </w:r>
      <w:r w:rsidRPr="00C05B0B">
        <w:rPr>
          <w:rFonts w:eastAsia="Times New Roman" w:cs="Calibri"/>
          <w:sz w:val="23"/>
          <w:szCs w:val="23"/>
        </w:rPr>
        <w:t xml:space="preserve"> or </w:t>
      </w:r>
      <w:r w:rsidR="008E004C">
        <w:rPr>
          <w:rFonts w:eastAsia="Times New Roman" w:cs="Calibri"/>
          <w:sz w:val="23"/>
          <w:szCs w:val="23"/>
        </w:rPr>
        <w:t>t</w:t>
      </w:r>
      <w:r w:rsidRPr="00C05B0B">
        <w:rPr>
          <w:rFonts w:eastAsia="Times New Roman" w:cs="Calibri"/>
          <w:sz w:val="23"/>
          <w:szCs w:val="23"/>
        </w:rPr>
        <w:t>erritory for all reported funding.</w:t>
      </w:r>
      <w:r>
        <w:rPr>
          <w:rFonts w:eastAsia="Times New Roman" w:cs="Calibri"/>
          <w:color w:val="000000"/>
          <w:sz w:val="23"/>
          <w:szCs w:val="23"/>
        </w:rPr>
        <w:t xml:space="preserve"> </w:t>
      </w:r>
    </w:p>
    <w:p w14:paraId="07FFCEA3" w14:textId="77777777" w:rsidR="00A57408" w:rsidRPr="001C045C" w:rsidRDefault="00A57408" w:rsidP="00E95C42">
      <w:pPr>
        <w:keepLines/>
        <w:widowControl/>
        <w:numPr>
          <w:ilvl w:val="0"/>
          <w:numId w:val="3"/>
        </w:numPr>
        <w:autoSpaceDE/>
        <w:autoSpaceDN/>
        <w:spacing w:before="240" w:after="240" w:line="260" w:lineRule="exact"/>
        <w:jc w:val="both"/>
        <w:rPr>
          <w:rFonts w:eastAsia="Times New Roman" w:cs="Calibri"/>
          <w:color w:val="000000"/>
          <w:sz w:val="23"/>
          <w:szCs w:val="23"/>
        </w:rPr>
      </w:pPr>
      <w:r w:rsidRPr="001C045C">
        <w:rPr>
          <w:rFonts w:eastAsia="Times New Roman" w:cs="Calibri"/>
          <w:color w:val="000000"/>
          <w:sz w:val="23"/>
          <w:szCs w:val="23"/>
        </w:rPr>
        <w:t xml:space="preserve">For the </w:t>
      </w:r>
      <w:r>
        <w:rPr>
          <w:rFonts w:eastAsia="Times New Roman" w:cs="Calibri"/>
          <w:color w:val="000000"/>
          <w:sz w:val="23"/>
          <w:szCs w:val="23"/>
        </w:rPr>
        <w:t>items listed below</w:t>
      </w:r>
      <w:r w:rsidRPr="001C045C">
        <w:rPr>
          <w:rFonts w:eastAsia="Times New Roman" w:cs="Calibri"/>
          <w:color w:val="000000"/>
          <w:sz w:val="23"/>
          <w:szCs w:val="23"/>
        </w:rPr>
        <w:t xml:space="preserve">, </w:t>
      </w:r>
      <w:r>
        <w:rPr>
          <w:rFonts w:eastAsia="Times New Roman" w:cs="Calibri"/>
          <w:color w:val="000000"/>
          <w:sz w:val="23"/>
          <w:szCs w:val="23"/>
        </w:rPr>
        <w:t xml:space="preserve">the amounts must be certified in accordance with clause </w:t>
      </w:r>
      <w:r w:rsidR="00883A0F">
        <w:rPr>
          <w:rFonts w:eastAsia="Times New Roman" w:cs="Calibri"/>
          <w:color w:val="000000"/>
          <w:sz w:val="23"/>
          <w:szCs w:val="23"/>
        </w:rPr>
        <w:t xml:space="preserve">45 </w:t>
      </w:r>
      <w:r>
        <w:rPr>
          <w:rFonts w:eastAsia="Times New Roman" w:cs="Calibri"/>
          <w:color w:val="000000"/>
          <w:sz w:val="23"/>
          <w:szCs w:val="23"/>
        </w:rPr>
        <w:t xml:space="preserve">above however </w:t>
      </w:r>
      <w:r w:rsidRPr="001C045C">
        <w:rPr>
          <w:rFonts w:eastAsia="Times New Roman" w:cs="Calibri"/>
          <w:color w:val="000000"/>
          <w:sz w:val="23"/>
          <w:szCs w:val="23"/>
        </w:rPr>
        <w:t xml:space="preserve">it is agreed that evidence of certification will be provided after the annual report </w:t>
      </w:r>
      <w:r w:rsidRPr="009172B3">
        <w:rPr>
          <w:color w:val="000000"/>
          <w:sz w:val="23"/>
          <w:szCs w:val="23"/>
        </w:rPr>
        <w:t>but</w:t>
      </w:r>
      <w:r w:rsidRPr="001C045C">
        <w:rPr>
          <w:rFonts w:eastAsia="Times New Roman" w:cs="Calibri"/>
          <w:color w:val="000000"/>
          <w:sz w:val="23"/>
          <w:szCs w:val="23"/>
        </w:rPr>
        <w:t xml:space="preserve"> no later than 31 January Year T+2:</w:t>
      </w:r>
    </w:p>
    <w:p w14:paraId="7BA6FDF5" w14:textId="1CE5A698" w:rsidR="00A57408" w:rsidRPr="00401E94" w:rsidRDefault="00A57408" w:rsidP="00A57408">
      <w:pPr>
        <w:keepNext/>
        <w:keepLines/>
        <w:widowControl/>
        <w:numPr>
          <w:ilvl w:val="0"/>
          <w:numId w:val="8"/>
        </w:numPr>
        <w:autoSpaceDE/>
        <w:autoSpaceDN/>
        <w:spacing w:after="240" w:line="260" w:lineRule="exact"/>
        <w:ind w:left="924" w:hanging="357"/>
        <w:jc w:val="both"/>
        <w:rPr>
          <w:rFonts w:eastAsia="Times New Roman" w:cs="Calibri"/>
          <w:color w:val="000000"/>
          <w:sz w:val="23"/>
          <w:szCs w:val="23"/>
        </w:rPr>
      </w:pPr>
      <w:r w:rsidRPr="00401E94">
        <w:rPr>
          <w:rFonts w:eastAsia="Times New Roman" w:cs="Calibri"/>
          <w:color w:val="000000"/>
          <w:sz w:val="23"/>
          <w:szCs w:val="23"/>
        </w:rPr>
        <w:t xml:space="preserve">This clause relates to items where the </w:t>
      </w:r>
      <w:r w:rsidR="008E004C">
        <w:rPr>
          <w:rFonts w:eastAsia="Times New Roman" w:cs="Calibri"/>
          <w:color w:val="000000"/>
          <w:sz w:val="23"/>
          <w:szCs w:val="23"/>
        </w:rPr>
        <w:t>s</w:t>
      </w:r>
      <w:r w:rsidRPr="00401E94">
        <w:rPr>
          <w:rFonts w:eastAsia="Times New Roman" w:cs="Calibri"/>
          <w:color w:val="000000"/>
          <w:sz w:val="23"/>
          <w:szCs w:val="23"/>
        </w:rPr>
        <w:t xml:space="preserve">tate or </w:t>
      </w:r>
      <w:r w:rsidR="008E004C">
        <w:rPr>
          <w:rFonts w:eastAsia="Times New Roman" w:cs="Calibri"/>
          <w:color w:val="000000"/>
          <w:sz w:val="23"/>
          <w:szCs w:val="23"/>
        </w:rPr>
        <w:t>t</w:t>
      </w:r>
      <w:r w:rsidRPr="00401E94">
        <w:rPr>
          <w:rFonts w:eastAsia="Times New Roman" w:cs="Calibri"/>
          <w:color w:val="000000"/>
          <w:sz w:val="23"/>
          <w:szCs w:val="23"/>
        </w:rPr>
        <w:t xml:space="preserve">erritory has provided evidence the amount does not typically have a material change once audited – i.e. NRIPS data and will be enacted as required. </w:t>
      </w:r>
    </w:p>
    <w:p w14:paraId="5069896D" w14:textId="50604DB5" w:rsidR="00A57408" w:rsidRPr="001C045C" w:rsidRDefault="00A57408" w:rsidP="00E95C42">
      <w:pPr>
        <w:keepLines/>
        <w:widowControl/>
        <w:numPr>
          <w:ilvl w:val="0"/>
          <w:numId w:val="3"/>
        </w:numPr>
        <w:autoSpaceDE/>
        <w:autoSpaceDN/>
        <w:spacing w:before="240" w:after="240" w:line="260" w:lineRule="exact"/>
        <w:jc w:val="both"/>
        <w:rPr>
          <w:rFonts w:eastAsia="Times New Roman" w:cs="Calibri"/>
          <w:color w:val="000000"/>
          <w:sz w:val="23"/>
          <w:szCs w:val="23"/>
        </w:rPr>
      </w:pPr>
      <w:r w:rsidRPr="001C045C">
        <w:rPr>
          <w:rFonts w:eastAsia="Times New Roman" w:cs="Calibri"/>
          <w:color w:val="000000"/>
          <w:sz w:val="23"/>
          <w:szCs w:val="23"/>
        </w:rPr>
        <w:t xml:space="preserve">The annual report may also provide an explanation and supporting evidence for the Board’s consideration of any </w:t>
      </w:r>
      <w:r>
        <w:rPr>
          <w:rFonts w:eastAsia="Times New Roman" w:cs="Calibri"/>
          <w:color w:val="000000"/>
          <w:sz w:val="23"/>
          <w:szCs w:val="23"/>
        </w:rPr>
        <w:t xml:space="preserve">material </w:t>
      </w:r>
      <w:r w:rsidRPr="001C045C">
        <w:rPr>
          <w:rFonts w:eastAsia="Times New Roman" w:cs="Calibri"/>
          <w:color w:val="000000"/>
          <w:sz w:val="23"/>
          <w:szCs w:val="23"/>
        </w:rPr>
        <w:t xml:space="preserve">shortfall between the total </w:t>
      </w:r>
      <w:r w:rsidRPr="009172B3">
        <w:rPr>
          <w:color w:val="000000"/>
          <w:sz w:val="23"/>
          <w:szCs w:val="23"/>
        </w:rPr>
        <w:t>amount</w:t>
      </w:r>
      <w:r w:rsidRPr="001C045C">
        <w:rPr>
          <w:rFonts w:eastAsia="Times New Roman" w:cs="Calibri"/>
          <w:color w:val="000000"/>
          <w:sz w:val="23"/>
          <w:szCs w:val="23"/>
        </w:rPr>
        <w:t xml:space="preserve"> reported for Year T and the agreed funding contributions for Year T in clause </w:t>
      </w:r>
      <w:r w:rsidR="000D2F83">
        <w:rPr>
          <w:rFonts w:eastAsia="Times New Roman" w:cs="Calibri"/>
          <w:color w:val="000000"/>
          <w:sz w:val="23"/>
          <w:szCs w:val="23"/>
        </w:rPr>
        <w:t>26</w:t>
      </w:r>
      <w:r w:rsidR="000D2F83" w:rsidRPr="001C045C">
        <w:rPr>
          <w:rFonts w:eastAsia="Times New Roman" w:cs="Calibri"/>
          <w:color w:val="000000"/>
          <w:sz w:val="23"/>
          <w:szCs w:val="23"/>
        </w:rPr>
        <w:t xml:space="preserve"> </w:t>
      </w:r>
      <w:r w:rsidRPr="001C045C">
        <w:rPr>
          <w:rFonts w:eastAsia="Times New Roman" w:cs="Calibri"/>
          <w:color w:val="000000"/>
          <w:sz w:val="23"/>
          <w:szCs w:val="23"/>
        </w:rPr>
        <w:t>of this bilateral agreement.</w:t>
      </w:r>
    </w:p>
    <w:p w14:paraId="7BCA0A50" w14:textId="2AD39421" w:rsidR="00A57408" w:rsidRPr="001C045C" w:rsidRDefault="00A57408" w:rsidP="00E95C42">
      <w:pPr>
        <w:keepLines/>
        <w:widowControl/>
        <w:numPr>
          <w:ilvl w:val="0"/>
          <w:numId w:val="3"/>
        </w:numPr>
        <w:autoSpaceDE/>
        <w:autoSpaceDN/>
        <w:spacing w:before="240" w:after="240" w:line="260" w:lineRule="exact"/>
        <w:jc w:val="both"/>
        <w:rPr>
          <w:rFonts w:eastAsia="Times New Roman" w:cs="Calibri"/>
          <w:color w:val="000000"/>
          <w:sz w:val="23"/>
          <w:szCs w:val="23"/>
        </w:rPr>
      </w:pPr>
      <w:r w:rsidRPr="001C045C">
        <w:rPr>
          <w:rFonts w:eastAsia="Times New Roman" w:cs="Calibri"/>
          <w:color w:val="000000"/>
          <w:sz w:val="23"/>
          <w:szCs w:val="23"/>
        </w:rPr>
        <w:t xml:space="preserve">The Commonwealth will provide the </w:t>
      </w:r>
      <w:r w:rsidR="008E004C">
        <w:rPr>
          <w:rFonts w:eastAsia="Times New Roman" w:cs="Calibri"/>
          <w:color w:val="000000"/>
          <w:sz w:val="23"/>
          <w:szCs w:val="23"/>
        </w:rPr>
        <w:t>s</w:t>
      </w:r>
      <w:r w:rsidRPr="001C045C">
        <w:rPr>
          <w:rFonts w:eastAsia="Times New Roman" w:cs="Calibri"/>
          <w:color w:val="000000"/>
          <w:sz w:val="23"/>
          <w:szCs w:val="23"/>
        </w:rPr>
        <w:t xml:space="preserve">tate or </w:t>
      </w:r>
      <w:r w:rsidR="008E004C">
        <w:rPr>
          <w:rFonts w:eastAsia="Times New Roman" w:cs="Calibri"/>
          <w:color w:val="000000"/>
          <w:sz w:val="23"/>
          <w:szCs w:val="23"/>
        </w:rPr>
        <w:t>t</w:t>
      </w:r>
      <w:r w:rsidRPr="001C045C">
        <w:rPr>
          <w:rFonts w:eastAsia="Times New Roman" w:cs="Calibri"/>
          <w:color w:val="000000"/>
          <w:sz w:val="23"/>
          <w:szCs w:val="23"/>
        </w:rPr>
        <w:t xml:space="preserve">erritory’s annual report to the Board for </w:t>
      </w:r>
      <w:r w:rsidRPr="009172B3">
        <w:rPr>
          <w:color w:val="000000"/>
          <w:sz w:val="23"/>
          <w:szCs w:val="23"/>
        </w:rPr>
        <w:t>assessment</w:t>
      </w:r>
      <w:r w:rsidRPr="001C045C">
        <w:rPr>
          <w:rFonts w:eastAsia="Times New Roman" w:cs="Calibri"/>
          <w:color w:val="000000"/>
          <w:sz w:val="23"/>
          <w:szCs w:val="23"/>
        </w:rPr>
        <w:t xml:space="preserve"> of the </w:t>
      </w:r>
      <w:r w:rsidR="008E004C">
        <w:rPr>
          <w:rFonts w:eastAsia="Times New Roman" w:cs="Calibri"/>
          <w:color w:val="000000"/>
          <w:sz w:val="23"/>
          <w:szCs w:val="23"/>
        </w:rPr>
        <w:t>s</w:t>
      </w:r>
      <w:r w:rsidRPr="001C045C">
        <w:rPr>
          <w:rFonts w:eastAsia="Times New Roman" w:cs="Calibri"/>
          <w:color w:val="000000"/>
          <w:sz w:val="23"/>
          <w:szCs w:val="23"/>
        </w:rPr>
        <w:t xml:space="preserve">tate or </w:t>
      </w:r>
      <w:r w:rsidR="008E004C">
        <w:rPr>
          <w:rFonts w:eastAsia="Times New Roman" w:cs="Calibri"/>
          <w:color w:val="000000"/>
          <w:sz w:val="23"/>
          <w:szCs w:val="23"/>
        </w:rPr>
        <w:t>t</w:t>
      </w:r>
      <w:r w:rsidRPr="001C045C">
        <w:rPr>
          <w:rFonts w:eastAsia="Times New Roman" w:cs="Calibri"/>
          <w:color w:val="000000"/>
          <w:sz w:val="23"/>
          <w:szCs w:val="23"/>
        </w:rPr>
        <w:t>erritory’s compliance for Year T with section 22A of the Act, including any funding requirements specified in this bilateral agreement.</w:t>
      </w:r>
    </w:p>
    <w:p w14:paraId="10FA9899" w14:textId="57437C7E" w:rsidR="00A57408" w:rsidRPr="001C045C" w:rsidRDefault="00A57408" w:rsidP="00E95C42">
      <w:pPr>
        <w:keepLines/>
        <w:widowControl/>
        <w:numPr>
          <w:ilvl w:val="0"/>
          <w:numId w:val="3"/>
        </w:numPr>
        <w:autoSpaceDE/>
        <w:autoSpaceDN/>
        <w:spacing w:before="240" w:after="240" w:line="260" w:lineRule="exact"/>
        <w:jc w:val="both"/>
        <w:rPr>
          <w:rFonts w:eastAsia="Times New Roman" w:cs="Calibri"/>
          <w:color w:val="000000"/>
          <w:sz w:val="23"/>
          <w:szCs w:val="23"/>
        </w:rPr>
      </w:pPr>
      <w:r w:rsidRPr="001C045C">
        <w:rPr>
          <w:rFonts w:eastAsia="Times New Roman" w:cs="Calibri"/>
          <w:color w:val="000000"/>
          <w:sz w:val="23"/>
          <w:szCs w:val="23"/>
        </w:rPr>
        <w:t xml:space="preserve">The Commonwealth may request additional information from the </w:t>
      </w:r>
      <w:r w:rsidR="008E004C">
        <w:rPr>
          <w:rFonts w:eastAsia="Times New Roman" w:cs="Calibri"/>
          <w:color w:val="000000"/>
          <w:sz w:val="23"/>
          <w:szCs w:val="23"/>
        </w:rPr>
        <w:t>s</w:t>
      </w:r>
      <w:r w:rsidRPr="001C045C">
        <w:rPr>
          <w:rFonts w:eastAsia="Times New Roman" w:cs="Calibri"/>
          <w:color w:val="000000"/>
          <w:sz w:val="23"/>
          <w:szCs w:val="23"/>
        </w:rPr>
        <w:t xml:space="preserve">tate or </w:t>
      </w:r>
      <w:r w:rsidR="008E004C">
        <w:rPr>
          <w:rFonts w:eastAsia="Times New Roman" w:cs="Calibri"/>
          <w:color w:val="000000"/>
          <w:sz w:val="23"/>
          <w:szCs w:val="23"/>
        </w:rPr>
        <w:t>t</w:t>
      </w:r>
      <w:r w:rsidRPr="001C045C">
        <w:rPr>
          <w:rFonts w:eastAsia="Times New Roman" w:cs="Calibri"/>
          <w:color w:val="000000"/>
          <w:sz w:val="23"/>
          <w:szCs w:val="23"/>
        </w:rPr>
        <w:t>erritory on behalf of the Board</w:t>
      </w:r>
      <w:r>
        <w:rPr>
          <w:rFonts w:eastAsia="Times New Roman" w:cs="Calibri"/>
          <w:color w:val="000000"/>
          <w:sz w:val="23"/>
          <w:szCs w:val="23"/>
        </w:rPr>
        <w:t>,</w:t>
      </w:r>
      <w:r w:rsidRPr="001C045C">
        <w:rPr>
          <w:rFonts w:eastAsia="Times New Roman" w:cs="Calibri"/>
          <w:color w:val="000000"/>
          <w:sz w:val="23"/>
          <w:szCs w:val="23"/>
        </w:rPr>
        <w:t xml:space="preserve"> </w:t>
      </w:r>
      <w:r>
        <w:rPr>
          <w:rFonts w:eastAsia="Times New Roman" w:cs="Calibri"/>
          <w:color w:val="000000"/>
          <w:sz w:val="23"/>
          <w:szCs w:val="23"/>
        </w:rPr>
        <w:t>to be provided within 21</w:t>
      </w:r>
      <w:r w:rsidRPr="001C045C">
        <w:rPr>
          <w:rFonts w:eastAsia="Times New Roman" w:cs="Calibri"/>
          <w:color w:val="000000"/>
          <w:sz w:val="23"/>
          <w:szCs w:val="23"/>
        </w:rPr>
        <w:t xml:space="preserve"> days. If the </w:t>
      </w:r>
      <w:r w:rsidR="005D6C88">
        <w:rPr>
          <w:rFonts w:eastAsia="Times New Roman" w:cs="Calibri"/>
          <w:color w:val="000000"/>
          <w:sz w:val="23"/>
          <w:szCs w:val="23"/>
        </w:rPr>
        <w:t>s</w:t>
      </w:r>
      <w:r w:rsidRPr="001C045C">
        <w:rPr>
          <w:rFonts w:eastAsia="Times New Roman" w:cs="Calibri"/>
          <w:color w:val="000000"/>
          <w:sz w:val="23"/>
          <w:szCs w:val="23"/>
        </w:rPr>
        <w:t>tate</w:t>
      </w:r>
      <w:r>
        <w:rPr>
          <w:rFonts w:eastAsia="Times New Roman" w:cs="Calibri"/>
          <w:color w:val="000000"/>
          <w:sz w:val="23"/>
          <w:szCs w:val="23"/>
        </w:rPr>
        <w:t xml:space="preserve"> or </w:t>
      </w:r>
      <w:r w:rsidR="005D6C88">
        <w:rPr>
          <w:rFonts w:eastAsia="Times New Roman" w:cs="Calibri"/>
          <w:color w:val="000000"/>
          <w:sz w:val="23"/>
          <w:szCs w:val="23"/>
        </w:rPr>
        <w:t>t</w:t>
      </w:r>
      <w:r>
        <w:rPr>
          <w:rFonts w:eastAsia="Times New Roman" w:cs="Calibri"/>
          <w:color w:val="000000"/>
          <w:sz w:val="23"/>
          <w:szCs w:val="23"/>
        </w:rPr>
        <w:t>erritory</w:t>
      </w:r>
      <w:r w:rsidRPr="001C045C">
        <w:rPr>
          <w:rFonts w:eastAsia="Times New Roman" w:cs="Calibri"/>
          <w:color w:val="000000"/>
          <w:sz w:val="23"/>
          <w:szCs w:val="23"/>
        </w:rPr>
        <w:t xml:space="preserve"> do</w:t>
      </w:r>
      <w:r>
        <w:rPr>
          <w:rFonts w:eastAsia="Times New Roman" w:cs="Calibri"/>
          <w:color w:val="000000"/>
          <w:sz w:val="23"/>
          <w:szCs w:val="23"/>
        </w:rPr>
        <w:t>es</w:t>
      </w:r>
      <w:r w:rsidRPr="001C045C">
        <w:rPr>
          <w:rFonts w:eastAsia="Times New Roman" w:cs="Calibri"/>
          <w:color w:val="000000"/>
          <w:sz w:val="23"/>
          <w:szCs w:val="23"/>
        </w:rPr>
        <w:t xml:space="preserve"> not provide </w:t>
      </w:r>
      <w:r w:rsidRPr="009172B3">
        <w:rPr>
          <w:color w:val="000000"/>
          <w:sz w:val="23"/>
          <w:szCs w:val="23"/>
        </w:rPr>
        <w:t>information</w:t>
      </w:r>
      <w:r w:rsidRPr="001C045C">
        <w:rPr>
          <w:rFonts w:eastAsia="Times New Roman" w:cs="Calibri"/>
          <w:color w:val="000000"/>
          <w:sz w:val="23"/>
          <w:szCs w:val="23"/>
        </w:rPr>
        <w:t xml:space="preserve"> or advice in this timeframe, the Board will make an assessment based on the information and evidence available.</w:t>
      </w:r>
    </w:p>
    <w:p w14:paraId="78BCF108" w14:textId="4E2B63F9" w:rsidR="00A57408" w:rsidRPr="00E702FC" w:rsidRDefault="00A57408" w:rsidP="00E702FC">
      <w:pPr>
        <w:keepLines/>
        <w:widowControl/>
        <w:numPr>
          <w:ilvl w:val="0"/>
          <w:numId w:val="3"/>
        </w:numPr>
        <w:autoSpaceDE/>
        <w:autoSpaceDN/>
        <w:spacing w:before="240" w:after="240" w:line="260" w:lineRule="exact"/>
        <w:jc w:val="both"/>
        <w:rPr>
          <w:rFonts w:eastAsia="Times New Roman" w:cs="Calibri"/>
          <w:color w:val="000000"/>
          <w:sz w:val="23"/>
          <w:szCs w:val="23"/>
        </w:rPr>
      </w:pPr>
      <w:r w:rsidRPr="001C045C">
        <w:rPr>
          <w:rFonts w:eastAsia="Times New Roman" w:cs="Calibri"/>
          <w:color w:val="000000"/>
          <w:sz w:val="23"/>
          <w:szCs w:val="23"/>
        </w:rPr>
        <w:t xml:space="preserve">The </w:t>
      </w:r>
      <w:r w:rsidR="005D6C88">
        <w:rPr>
          <w:rFonts w:eastAsia="Times New Roman" w:cs="Calibri"/>
          <w:color w:val="000000"/>
          <w:sz w:val="23"/>
          <w:szCs w:val="23"/>
        </w:rPr>
        <w:t>s</w:t>
      </w:r>
      <w:r w:rsidRPr="001C045C">
        <w:rPr>
          <w:rFonts w:eastAsia="Times New Roman" w:cs="Calibri"/>
          <w:color w:val="000000"/>
          <w:sz w:val="23"/>
          <w:szCs w:val="23"/>
        </w:rPr>
        <w:t xml:space="preserve">tate or </w:t>
      </w:r>
      <w:r w:rsidR="005D6C88">
        <w:rPr>
          <w:rFonts w:eastAsia="Times New Roman" w:cs="Calibri"/>
          <w:color w:val="000000"/>
          <w:sz w:val="23"/>
          <w:szCs w:val="23"/>
        </w:rPr>
        <w:t>t</w:t>
      </w:r>
      <w:r w:rsidRPr="001C045C">
        <w:rPr>
          <w:rFonts w:eastAsia="Times New Roman" w:cs="Calibri"/>
          <w:color w:val="000000"/>
          <w:sz w:val="23"/>
          <w:szCs w:val="23"/>
        </w:rPr>
        <w:t xml:space="preserve">erritory will have an opportunity to provide further information for the Board’s consideration </w:t>
      </w:r>
      <w:r w:rsidRPr="00E702FC">
        <w:rPr>
          <w:rFonts w:eastAsia="Times New Roman" w:cs="Calibri"/>
          <w:color w:val="000000"/>
          <w:sz w:val="23"/>
          <w:szCs w:val="23"/>
        </w:rPr>
        <w:t>following</w:t>
      </w:r>
      <w:r w:rsidRPr="001C045C">
        <w:rPr>
          <w:rFonts w:eastAsia="Times New Roman" w:cs="Calibri"/>
          <w:color w:val="000000"/>
          <w:sz w:val="23"/>
          <w:szCs w:val="23"/>
        </w:rPr>
        <w:t xml:space="preserve"> their receipt of the Board’s draft findings.</w:t>
      </w:r>
    </w:p>
    <w:p w14:paraId="06A02AC0" w14:textId="77777777" w:rsidR="00372CDD" w:rsidRDefault="00372CDD">
      <w:pPr>
        <w:pStyle w:val="BodyText"/>
        <w:spacing w:before="5"/>
        <w:rPr>
          <w:sz w:val="19"/>
        </w:rPr>
      </w:pPr>
    </w:p>
    <w:p w14:paraId="5A4DFC9F" w14:textId="3A9494D9" w:rsidR="007D4790" w:rsidRPr="005E7B17" w:rsidRDefault="007D4790" w:rsidP="007D4790">
      <w:pPr>
        <w:keepNext/>
        <w:tabs>
          <w:tab w:val="left" w:pos="3569"/>
        </w:tabs>
        <w:spacing w:before="480" w:after="180"/>
        <w:outlineLvl w:val="0"/>
        <w:rPr>
          <w:rFonts w:eastAsia="Times New Roman" w:cs="Consolas"/>
          <w:b/>
          <w:caps/>
          <w:color w:val="316F72"/>
          <w:kern w:val="32"/>
          <w:sz w:val="32"/>
          <w:szCs w:val="32"/>
        </w:rPr>
      </w:pPr>
      <w:r w:rsidRPr="005E7B17">
        <w:rPr>
          <w:rFonts w:eastAsia="Times New Roman" w:cs="Consolas"/>
          <w:b/>
          <w:caps/>
          <w:color w:val="316F72"/>
          <w:kern w:val="32"/>
          <w:sz w:val="32"/>
          <w:szCs w:val="32"/>
        </w:rPr>
        <w:t xml:space="preserve">SIGNATURES </w:t>
      </w:r>
    </w:p>
    <w:p w14:paraId="4994B3BC" w14:textId="58DD4470" w:rsidR="00372CDD" w:rsidRDefault="00041B2E">
      <w:pPr>
        <w:pStyle w:val="BodyText"/>
        <w:spacing w:before="5"/>
        <w:rPr>
          <w:sz w:val="19"/>
        </w:rPr>
      </w:pPr>
      <w:r>
        <w:rPr>
          <w:noProof/>
        </w:rPr>
        <w:drawing>
          <wp:inline distT="0" distB="0" distL="0" distR="0" wp14:anchorId="3B975E2B" wp14:editId="0B2813B4">
            <wp:extent cx="5886450" cy="2447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86450" cy="2447925"/>
                    </a:xfrm>
                    <a:prstGeom prst="rect">
                      <a:avLst/>
                    </a:prstGeom>
                  </pic:spPr>
                </pic:pic>
              </a:graphicData>
            </a:graphic>
          </wp:inline>
        </w:drawing>
      </w:r>
    </w:p>
    <w:sectPr w:rsidR="00372CDD" w:rsidSect="007D4790">
      <w:pgSz w:w="11910" w:h="16840"/>
      <w:pgMar w:top="1380" w:right="1320" w:bottom="280" w:left="1320" w:header="746" w:footer="2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79286" w14:textId="77777777" w:rsidR="006D7C66" w:rsidRDefault="006D7C66">
      <w:r>
        <w:separator/>
      </w:r>
    </w:p>
  </w:endnote>
  <w:endnote w:type="continuationSeparator" w:id="0">
    <w:p w14:paraId="679EEAAA" w14:textId="77777777" w:rsidR="006D7C66" w:rsidRDefault="006D7C66">
      <w:r>
        <w:continuationSeparator/>
      </w:r>
    </w:p>
  </w:endnote>
  <w:endnote w:type="continuationNotice" w:id="1">
    <w:p w14:paraId="72394314" w14:textId="77777777" w:rsidR="006D7C66" w:rsidRDefault="006D7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715849"/>
      <w:docPartObj>
        <w:docPartGallery w:val="Page Numbers (Bottom of Page)"/>
        <w:docPartUnique/>
      </w:docPartObj>
    </w:sdtPr>
    <w:sdtEndPr/>
    <w:sdtContent>
      <w:sdt>
        <w:sdtPr>
          <w:id w:val="-1769616900"/>
          <w:docPartObj>
            <w:docPartGallery w:val="Page Numbers (Top of Page)"/>
            <w:docPartUnique/>
          </w:docPartObj>
        </w:sdtPr>
        <w:sdtEndPr/>
        <w:sdtContent>
          <w:p w14:paraId="4324E7A1" w14:textId="09C9E015" w:rsidR="00A829E7" w:rsidRDefault="00A829E7" w:rsidP="00A829E7">
            <w:pPr>
              <w:pStyle w:val="Footer"/>
              <w:jc w:val="right"/>
            </w:pPr>
            <w:r>
              <w:t xml:space="preserve">Page </w:t>
            </w:r>
            <w:r w:rsidRPr="007D4790">
              <w:fldChar w:fldCharType="begin"/>
            </w:r>
            <w:r w:rsidRPr="007D4790">
              <w:instrText xml:space="preserve"> PAGE </w:instrText>
            </w:r>
            <w:r w:rsidRPr="007D4790">
              <w:fldChar w:fldCharType="separate"/>
            </w:r>
            <w:r w:rsidR="00E5426E">
              <w:rPr>
                <w:noProof/>
              </w:rPr>
              <w:t>2</w:t>
            </w:r>
            <w:r w:rsidRPr="007D4790">
              <w:fldChar w:fldCharType="end"/>
            </w:r>
            <w:r>
              <w:t xml:space="preserve"> of </w:t>
            </w:r>
            <w:r w:rsidRPr="007D4790">
              <w:fldChar w:fldCharType="begin"/>
            </w:r>
            <w:r w:rsidRPr="007D4790">
              <w:instrText xml:space="preserve"> NUMPAGES  </w:instrText>
            </w:r>
            <w:r w:rsidRPr="007D4790">
              <w:fldChar w:fldCharType="separate"/>
            </w:r>
            <w:r w:rsidR="00E5426E">
              <w:rPr>
                <w:noProof/>
              </w:rPr>
              <w:t>12</w:t>
            </w:r>
            <w:r w:rsidRPr="007D4790">
              <w:fldChar w:fldCharType="end"/>
            </w:r>
          </w:p>
          <w:p w14:paraId="11FD9559" w14:textId="69C4EF80" w:rsidR="00A829E7" w:rsidRDefault="00041B2E" w:rsidP="00A829E7">
            <w:pPr>
              <w:pStyle w:val="Footer"/>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63411" w14:textId="77777777" w:rsidR="006D7C66" w:rsidRDefault="006D7C66">
      <w:r>
        <w:separator/>
      </w:r>
    </w:p>
  </w:footnote>
  <w:footnote w:type="continuationSeparator" w:id="0">
    <w:p w14:paraId="57A09C0E" w14:textId="77777777" w:rsidR="006D7C66" w:rsidRDefault="006D7C66">
      <w:r>
        <w:continuationSeparator/>
      </w:r>
    </w:p>
  </w:footnote>
  <w:footnote w:type="continuationNotice" w:id="1">
    <w:p w14:paraId="6DD3449E" w14:textId="77777777" w:rsidR="006D7C66" w:rsidRDefault="006D7C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D022D" w14:textId="5569D6BB" w:rsidR="0065612E" w:rsidRDefault="0065612E">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A9953" w14:textId="717C3B12" w:rsidR="0065612E" w:rsidRDefault="0065612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A4C3E"/>
    <w:multiLevelType w:val="hybridMultilevel"/>
    <w:tmpl w:val="649E9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7F385D"/>
    <w:multiLevelType w:val="hybridMultilevel"/>
    <w:tmpl w:val="33F0F3F4"/>
    <w:lvl w:ilvl="0" w:tplc="6C50A6C0">
      <w:numFmt w:val="bullet"/>
      <w:lvlText w:val="•"/>
      <w:lvlJc w:val="left"/>
      <w:pPr>
        <w:ind w:left="257" w:hanging="150"/>
      </w:pPr>
      <w:rPr>
        <w:rFonts w:ascii="Corbel" w:eastAsia="Corbel" w:hAnsi="Corbel" w:cs="Corbel" w:hint="default"/>
        <w:i/>
        <w:w w:val="100"/>
        <w:sz w:val="23"/>
        <w:szCs w:val="23"/>
        <w:lang w:val="en-AU" w:eastAsia="en-AU" w:bidi="en-AU"/>
      </w:rPr>
    </w:lvl>
    <w:lvl w:ilvl="1" w:tplc="7EBC728A">
      <w:numFmt w:val="bullet"/>
      <w:lvlText w:val="•"/>
      <w:lvlJc w:val="left"/>
      <w:pPr>
        <w:ind w:left="1069" w:hanging="150"/>
      </w:pPr>
      <w:rPr>
        <w:rFonts w:hint="default"/>
        <w:lang w:val="en-AU" w:eastAsia="en-AU" w:bidi="en-AU"/>
      </w:rPr>
    </w:lvl>
    <w:lvl w:ilvl="2" w:tplc="B28C472E">
      <w:numFmt w:val="bullet"/>
      <w:lvlText w:val="•"/>
      <w:lvlJc w:val="left"/>
      <w:pPr>
        <w:ind w:left="1878" w:hanging="150"/>
      </w:pPr>
      <w:rPr>
        <w:rFonts w:hint="default"/>
        <w:lang w:val="en-AU" w:eastAsia="en-AU" w:bidi="en-AU"/>
      </w:rPr>
    </w:lvl>
    <w:lvl w:ilvl="3" w:tplc="212847F0">
      <w:numFmt w:val="bullet"/>
      <w:lvlText w:val="•"/>
      <w:lvlJc w:val="left"/>
      <w:pPr>
        <w:ind w:left="2687" w:hanging="150"/>
      </w:pPr>
      <w:rPr>
        <w:rFonts w:hint="default"/>
        <w:lang w:val="en-AU" w:eastAsia="en-AU" w:bidi="en-AU"/>
      </w:rPr>
    </w:lvl>
    <w:lvl w:ilvl="4" w:tplc="2474B7F4">
      <w:numFmt w:val="bullet"/>
      <w:lvlText w:val="•"/>
      <w:lvlJc w:val="left"/>
      <w:pPr>
        <w:ind w:left="3496" w:hanging="150"/>
      </w:pPr>
      <w:rPr>
        <w:rFonts w:hint="default"/>
        <w:lang w:val="en-AU" w:eastAsia="en-AU" w:bidi="en-AU"/>
      </w:rPr>
    </w:lvl>
    <w:lvl w:ilvl="5" w:tplc="9BB630A2">
      <w:numFmt w:val="bullet"/>
      <w:lvlText w:val="•"/>
      <w:lvlJc w:val="left"/>
      <w:pPr>
        <w:ind w:left="4306" w:hanging="150"/>
      </w:pPr>
      <w:rPr>
        <w:rFonts w:hint="default"/>
        <w:lang w:val="en-AU" w:eastAsia="en-AU" w:bidi="en-AU"/>
      </w:rPr>
    </w:lvl>
    <w:lvl w:ilvl="6" w:tplc="0B3675E8">
      <w:numFmt w:val="bullet"/>
      <w:lvlText w:val="•"/>
      <w:lvlJc w:val="left"/>
      <w:pPr>
        <w:ind w:left="5115" w:hanging="150"/>
      </w:pPr>
      <w:rPr>
        <w:rFonts w:hint="default"/>
        <w:lang w:val="en-AU" w:eastAsia="en-AU" w:bidi="en-AU"/>
      </w:rPr>
    </w:lvl>
    <w:lvl w:ilvl="7" w:tplc="DDAE01E0">
      <w:numFmt w:val="bullet"/>
      <w:lvlText w:val="•"/>
      <w:lvlJc w:val="left"/>
      <w:pPr>
        <w:ind w:left="5924" w:hanging="150"/>
      </w:pPr>
      <w:rPr>
        <w:rFonts w:hint="default"/>
        <w:lang w:val="en-AU" w:eastAsia="en-AU" w:bidi="en-AU"/>
      </w:rPr>
    </w:lvl>
    <w:lvl w:ilvl="8" w:tplc="5E660C7E">
      <w:numFmt w:val="bullet"/>
      <w:lvlText w:val="•"/>
      <w:lvlJc w:val="left"/>
      <w:pPr>
        <w:ind w:left="6733" w:hanging="150"/>
      </w:pPr>
      <w:rPr>
        <w:rFonts w:hint="default"/>
        <w:lang w:val="en-AU" w:eastAsia="en-AU" w:bidi="en-AU"/>
      </w:rPr>
    </w:lvl>
  </w:abstractNum>
  <w:abstractNum w:abstractNumId="2" w15:restartNumberingAfterBreak="0">
    <w:nsid w:val="39BF0D21"/>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4E96917"/>
    <w:multiLevelType w:val="hybridMultilevel"/>
    <w:tmpl w:val="C99AC95A"/>
    <w:lvl w:ilvl="0" w:tplc="11A08DF8">
      <w:start w:val="1"/>
      <w:numFmt w:val="lowerLetter"/>
      <w:lvlText w:val="%1)"/>
      <w:lvlJc w:val="left"/>
      <w:pPr>
        <w:ind w:left="1277" w:hanging="360"/>
      </w:pPr>
      <w:rPr>
        <w:rFonts w:ascii="Corbel" w:eastAsia="Corbel" w:hAnsi="Corbel" w:cs="Corbel" w:hint="default"/>
        <w:spacing w:val="-1"/>
        <w:w w:val="100"/>
        <w:sz w:val="23"/>
        <w:szCs w:val="23"/>
        <w:lang w:val="en-AU" w:eastAsia="en-AU" w:bidi="en-AU"/>
      </w:rPr>
    </w:lvl>
    <w:lvl w:ilvl="1" w:tplc="F132AC8A">
      <w:numFmt w:val="bullet"/>
      <w:lvlText w:val="•"/>
      <w:lvlJc w:val="left"/>
      <w:pPr>
        <w:ind w:left="2078" w:hanging="360"/>
      </w:pPr>
      <w:rPr>
        <w:rFonts w:hint="default"/>
        <w:lang w:val="en-AU" w:eastAsia="en-AU" w:bidi="en-AU"/>
      </w:rPr>
    </w:lvl>
    <w:lvl w:ilvl="2" w:tplc="D07E16D0">
      <w:numFmt w:val="bullet"/>
      <w:lvlText w:val="•"/>
      <w:lvlJc w:val="left"/>
      <w:pPr>
        <w:ind w:left="2877" w:hanging="360"/>
      </w:pPr>
      <w:rPr>
        <w:rFonts w:hint="default"/>
        <w:lang w:val="en-AU" w:eastAsia="en-AU" w:bidi="en-AU"/>
      </w:rPr>
    </w:lvl>
    <w:lvl w:ilvl="3" w:tplc="9C4EF192">
      <w:numFmt w:val="bullet"/>
      <w:lvlText w:val="•"/>
      <w:lvlJc w:val="left"/>
      <w:pPr>
        <w:ind w:left="3675" w:hanging="360"/>
      </w:pPr>
      <w:rPr>
        <w:rFonts w:hint="default"/>
        <w:lang w:val="en-AU" w:eastAsia="en-AU" w:bidi="en-AU"/>
      </w:rPr>
    </w:lvl>
    <w:lvl w:ilvl="4" w:tplc="1AD489BA">
      <w:numFmt w:val="bullet"/>
      <w:lvlText w:val="•"/>
      <w:lvlJc w:val="left"/>
      <w:pPr>
        <w:ind w:left="4474" w:hanging="360"/>
      </w:pPr>
      <w:rPr>
        <w:rFonts w:hint="default"/>
        <w:lang w:val="en-AU" w:eastAsia="en-AU" w:bidi="en-AU"/>
      </w:rPr>
    </w:lvl>
    <w:lvl w:ilvl="5" w:tplc="0C70795A">
      <w:numFmt w:val="bullet"/>
      <w:lvlText w:val="•"/>
      <w:lvlJc w:val="left"/>
      <w:pPr>
        <w:ind w:left="5273" w:hanging="360"/>
      </w:pPr>
      <w:rPr>
        <w:rFonts w:hint="default"/>
        <w:lang w:val="en-AU" w:eastAsia="en-AU" w:bidi="en-AU"/>
      </w:rPr>
    </w:lvl>
    <w:lvl w:ilvl="6" w:tplc="17D0CFC8">
      <w:numFmt w:val="bullet"/>
      <w:lvlText w:val="•"/>
      <w:lvlJc w:val="left"/>
      <w:pPr>
        <w:ind w:left="6071" w:hanging="360"/>
      </w:pPr>
      <w:rPr>
        <w:rFonts w:hint="default"/>
        <w:lang w:val="en-AU" w:eastAsia="en-AU" w:bidi="en-AU"/>
      </w:rPr>
    </w:lvl>
    <w:lvl w:ilvl="7" w:tplc="E70075DE">
      <w:numFmt w:val="bullet"/>
      <w:lvlText w:val="•"/>
      <w:lvlJc w:val="left"/>
      <w:pPr>
        <w:ind w:left="6870" w:hanging="360"/>
      </w:pPr>
      <w:rPr>
        <w:rFonts w:hint="default"/>
        <w:lang w:val="en-AU" w:eastAsia="en-AU" w:bidi="en-AU"/>
      </w:rPr>
    </w:lvl>
    <w:lvl w:ilvl="8" w:tplc="20A48ED0">
      <w:numFmt w:val="bullet"/>
      <w:lvlText w:val="•"/>
      <w:lvlJc w:val="left"/>
      <w:pPr>
        <w:ind w:left="7669" w:hanging="360"/>
      </w:pPr>
      <w:rPr>
        <w:rFonts w:hint="default"/>
        <w:lang w:val="en-AU" w:eastAsia="en-AU" w:bidi="en-AU"/>
      </w:rPr>
    </w:lvl>
  </w:abstractNum>
  <w:abstractNum w:abstractNumId="4" w15:restartNumberingAfterBreak="0">
    <w:nsid w:val="460B5D5D"/>
    <w:multiLevelType w:val="hybridMultilevel"/>
    <w:tmpl w:val="16425C20"/>
    <w:lvl w:ilvl="0" w:tplc="9A7E3E8C">
      <w:start w:val="1"/>
      <w:numFmt w:val="lowerLetter"/>
      <w:lvlText w:val="%1."/>
      <w:lvlJc w:val="left"/>
      <w:pPr>
        <w:ind w:left="144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9A15814"/>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D7552CF"/>
    <w:multiLevelType w:val="hybridMultilevel"/>
    <w:tmpl w:val="9E7A3F24"/>
    <w:lvl w:ilvl="0" w:tplc="436273EC">
      <w:start w:val="1"/>
      <w:numFmt w:val="decimal"/>
      <w:lvlText w:val="%1."/>
      <w:lvlJc w:val="left"/>
      <w:pPr>
        <w:ind w:left="567" w:hanging="567"/>
      </w:pPr>
      <w:rPr>
        <w:rFonts w:ascii="Calibri" w:eastAsia="Calibri" w:hAnsi="Calibri" w:cs="Calibri" w:hint="default"/>
        <w:w w:val="100"/>
        <w:sz w:val="23"/>
        <w:szCs w:val="23"/>
        <w:lang w:val="en-AU" w:eastAsia="en-AU" w:bidi="en-AU"/>
      </w:rPr>
    </w:lvl>
    <w:lvl w:ilvl="1" w:tplc="B5D05AC4">
      <w:start w:val="1"/>
      <w:numFmt w:val="lowerLetter"/>
      <w:lvlText w:val="%2."/>
      <w:lvlJc w:val="left"/>
      <w:pPr>
        <w:ind w:left="1094" w:hanging="360"/>
      </w:pPr>
      <w:rPr>
        <w:rFonts w:ascii="Corbel" w:eastAsia="Corbel" w:hAnsi="Corbel" w:cs="Corbel" w:hint="default"/>
        <w:spacing w:val="-1"/>
        <w:w w:val="100"/>
        <w:sz w:val="23"/>
        <w:szCs w:val="23"/>
        <w:lang w:val="en-AU" w:eastAsia="en-AU" w:bidi="en-AU"/>
      </w:rPr>
    </w:lvl>
    <w:lvl w:ilvl="2" w:tplc="281ADBC8">
      <w:start w:val="1"/>
      <w:numFmt w:val="lowerRoman"/>
      <w:lvlText w:val="%3."/>
      <w:lvlJc w:val="right"/>
      <w:pPr>
        <w:ind w:left="1040" w:hanging="360"/>
      </w:pPr>
      <w:rPr>
        <w:rFonts w:hint="default"/>
        <w:lang w:val="en-AU" w:eastAsia="en-AU" w:bidi="en-AU"/>
      </w:rPr>
    </w:lvl>
    <w:lvl w:ilvl="3" w:tplc="AACE4514">
      <w:numFmt w:val="bullet"/>
      <w:lvlText w:val="•"/>
      <w:lvlJc w:val="left"/>
      <w:pPr>
        <w:ind w:left="1100" w:hanging="360"/>
      </w:pPr>
      <w:rPr>
        <w:rFonts w:hint="default"/>
        <w:lang w:val="en-AU" w:eastAsia="en-AU" w:bidi="en-AU"/>
      </w:rPr>
    </w:lvl>
    <w:lvl w:ilvl="4" w:tplc="7D163BA4">
      <w:numFmt w:val="bullet"/>
      <w:lvlText w:val="•"/>
      <w:lvlJc w:val="left"/>
      <w:pPr>
        <w:ind w:left="1560" w:hanging="360"/>
      </w:pPr>
      <w:rPr>
        <w:rFonts w:hint="default"/>
        <w:lang w:val="en-AU" w:eastAsia="en-AU" w:bidi="en-AU"/>
      </w:rPr>
    </w:lvl>
    <w:lvl w:ilvl="5" w:tplc="500E8B52">
      <w:numFmt w:val="bullet"/>
      <w:lvlText w:val="•"/>
      <w:lvlJc w:val="left"/>
      <w:pPr>
        <w:ind w:left="2841" w:hanging="360"/>
      </w:pPr>
      <w:rPr>
        <w:rFonts w:hint="default"/>
        <w:lang w:val="en-AU" w:eastAsia="en-AU" w:bidi="en-AU"/>
      </w:rPr>
    </w:lvl>
    <w:lvl w:ilvl="6" w:tplc="2A64ACF2">
      <w:numFmt w:val="bullet"/>
      <w:lvlText w:val="•"/>
      <w:lvlJc w:val="left"/>
      <w:pPr>
        <w:ind w:left="4122" w:hanging="360"/>
      </w:pPr>
      <w:rPr>
        <w:rFonts w:hint="default"/>
        <w:lang w:val="en-AU" w:eastAsia="en-AU" w:bidi="en-AU"/>
      </w:rPr>
    </w:lvl>
    <w:lvl w:ilvl="7" w:tplc="391C30B6">
      <w:numFmt w:val="bullet"/>
      <w:lvlText w:val="•"/>
      <w:lvlJc w:val="left"/>
      <w:pPr>
        <w:ind w:left="5403" w:hanging="360"/>
      </w:pPr>
      <w:rPr>
        <w:rFonts w:hint="default"/>
        <w:lang w:val="en-AU" w:eastAsia="en-AU" w:bidi="en-AU"/>
      </w:rPr>
    </w:lvl>
    <w:lvl w:ilvl="8" w:tplc="35509616">
      <w:numFmt w:val="bullet"/>
      <w:lvlText w:val="•"/>
      <w:lvlJc w:val="left"/>
      <w:pPr>
        <w:ind w:left="6684" w:hanging="360"/>
      </w:pPr>
      <w:rPr>
        <w:rFonts w:hint="default"/>
        <w:lang w:val="en-AU" w:eastAsia="en-AU" w:bidi="en-AU"/>
      </w:rPr>
    </w:lvl>
  </w:abstractNum>
  <w:abstractNum w:abstractNumId="7" w15:restartNumberingAfterBreak="0">
    <w:nsid w:val="5928284D"/>
    <w:multiLevelType w:val="hybridMultilevel"/>
    <w:tmpl w:val="E0746F84"/>
    <w:lvl w:ilvl="0" w:tplc="F6165220">
      <w:start w:val="1"/>
      <w:numFmt w:val="decimal"/>
      <w:lvlText w:val="%1."/>
      <w:lvlJc w:val="left"/>
      <w:pPr>
        <w:ind w:left="1070" w:hanging="360"/>
      </w:pPr>
      <w:rPr>
        <w:rFonts w:hint="default"/>
      </w:rPr>
    </w:lvl>
    <w:lvl w:ilvl="1" w:tplc="0872630C">
      <w:start w:val="1"/>
      <w:numFmt w:val="lowerLetter"/>
      <w:lvlText w:val="%2."/>
      <w:lvlJc w:val="left"/>
      <w:pPr>
        <w:ind w:left="513" w:hanging="360"/>
      </w:pPr>
    </w:lvl>
    <w:lvl w:ilvl="2" w:tplc="281ADBC8">
      <w:start w:val="1"/>
      <w:numFmt w:val="lowerRoman"/>
      <w:lvlText w:val="%3."/>
      <w:lvlJc w:val="right"/>
      <w:pPr>
        <w:ind w:left="1233" w:hanging="180"/>
      </w:pPr>
    </w:lvl>
    <w:lvl w:ilvl="3" w:tplc="299A49B6" w:tentative="1">
      <w:start w:val="1"/>
      <w:numFmt w:val="decimal"/>
      <w:lvlText w:val="%4."/>
      <w:lvlJc w:val="left"/>
      <w:pPr>
        <w:ind w:left="1953" w:hanging="360"/>
      </w:pPr>
    </w:lvl>
    <w:lvl w:ilvl="4" w:tplc="1DE8B4E6" w:tentative="1">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8" w15:restartNumberingAfterBreak="0">
    <w:nsid w:val="6F474D33"/>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7"/>
  </w:num>
  <w:num w:numId="5">
    <w:abstractNumId w:val="2"/>
  </w:num>
  <w:num w:numId="6">
    <w:abstractNumId w:val="8"/>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CDD"/>
    <w:rsid w:val="0001393C"/>
    <w:rsid w:val="000309F4"/>
    <w:rsid w:val="0003742B"/>
    <w:rsid w:val="00041B2E"/>
    <w:rsid w:val="00055A09"/>
    <w:rsid w:val="00060D8C"/>
    <w:rsid w:val="0009075F"/>
    <w:rsid w:val="000D2F83"/>
    <w:rsid w:val="000D3114"/>
    <w:rsid w:val="000D6BEF"/>
    <w:rsid w:val="00127FDC"/>
    <w:rsid w:val="00146AE1"/>
    <w:rsid w:val="00172708"/>
    <w:rsid w:val="001A5F20"/>
    <w:rsid w:val="001C6BD5"/>
    <w:rsid w:val="001F2EB8"/>
    <w:rsid w:val="001F46E4"/>
    <w:rsid w:val="00233438"/>
    <w:rsid w:val="00241A79"/>
    <w:rsid w:val="00264FC2"/>
    <w:rsid w:val="00290685"/>
    <w:rsid w:val="002A7692"/>
    <w:rsid w:val="002D6E94"/>
    <w:rsid w:val="002E1B76"/>
    <w:rsid w:val="00372CDD"/>
    <w:rsid w:val="00376518"/>
    <w:rsid w:val="00393900"/>
    <w:rsid w:val="003C166B"/>
    <w:rsid w:val="003D0E91"/>
    <w:rsid w:val="00400048"/>
    <w:rsid w:val="00416B71"/>
    <w:rsid w:val="004351DC"/>
    <w:rsid w:val="00450A02"/>
    <w:rsid w:val="00485B30"/>
    <w:rsid w:val="004C076B"/>
    <w:rsid w:val="004F0B3F"/>
    <w:rsid w:val="004F0CFD"/>
    <w:rsid w:val="004F3542"/>
    <w:rsid w:val="004F3C32"/>
    <w:rsid w:val="00517C63"/>
    <w:rsid w:val="005227E2"/>
    <w:rsid w:val="00552B3B"/>
    <w:rsid w:val="00553A93"/>
    <w:rsid w:val="00597066"/>
    <w:rsid w:val="005A1998"/>
    <w:rsid w:val="005B31B5"/>
    <w:rsid w:val="005D6C88"/>
    <w:rsid w:val="005D7406"/>
    <w:rsid w:val="005E504B"/>
    <w:rsid w:val="00613ED4"/>
    <w:rsid w:val="00625CC9"/>
    <w:rsid w:val="00650EDF"/>
    <w:rsid w:val="0065522F"/>
    <w:rsid w:val="0065612E"/>
    <w:rsid w:val="00667EDF"/>
    <w:rsid w:val="006737A4"/>
    <w:rsid w:val="00680063"/>
    <w:rsid w:val="0068146F"/>
    <w:rsid w:val="0068635F"/>
    <w:rsid w:val="006A62D8"/>
    <w:rsid w:val="006B0473"/>
    <w:rsid w:val="006B2078"/>
    <w:rsid w:val="006D7C66"/>
    <w:rsid w:val="00747B9B"/>
    <w:rsid w:val="0075725B"/>
    <w:rsid w:val="007642C3"/>
    <w:rsid w:val="00780425"/>
    <w:rsid w:val="007D4790"/>
    <w:rsid w:val="007E0C2A"/>
    <w:rsid w:val="008165B6"/>
    <w:rsid w:val="008206C1"/>
    <w:rsid w:val="0086116F"/>
    <w:rsid w:val="00863D33"/>
    <w:rsid w:val="008727C5"/>
    <w:rsid w:val="0087321C"/>
    <w:rsid w:val="00873DE7"/>
    <w:rsid w:val="00874B07"/>
    <w:rsid w:val="00883A0F"/>
    <w:rsid w:val="008C11BE"/>
    <w:rsid w:val="008E004C"/>
    <w:rsid w:val="008F185E"/>
    <w:rsid w:val="009A644D"/>
    <w:rsid w:val="009B306E"/>
    <w:rsid w:val="00A57408"/>
    <w:rsid w:val="00A80A1A"/>
    <w:rsid w:val="00A829E7"/>
    <w:rsid w:val="00AA70D7"/>
    <w:rsid w:val="00AE1647"/>
    <w:rsid w:val="00B00D58"/>
    <w:rsid w:val="00B3509E"/>
    <w:rsid w:val="00B8715A"/>
    <w:rsid w:val="00BA0EA1"/>
    <w:rsid w:val="00BA379E"/>
    <w:rsid w:val="00BC53D8"/>
    <w:rsid w:val="00C127E8"/>
    <w:rsid w:val="00C13ED8"/>
    <w:rsid w:val="00C529E7"/>
    <w:rsid w:val="00C56773"/>
    <w:rsid w:val="00C87ECC"/>
    <w:rsid w:val="00CA7B94"/>
    <w:rsid w:val="00CB2756"/>
    <w:rsid w:val="00CC1102"/>
    <w:rsid w:val="00CC18A0"/>
    <w:rsid w:val="00CD48A1"/>
    <w:rsid w:val="00D47708"/>
    <w:rsid w:val="00D47EF0"/>
    <w:rsid w:val="00D62333"/>
    <w:rsid w:val="00D656EB"/>
    <w:rsid w:val="00DC0BA0"/>
    <w:rsid w:val="00E424CF"/>
    <w:rsid w:val="00E5426E"/>
    <w:rsid w:val="00E61415"/>
    <w:rsid w:val="00E702FC"/>
    <w:rsid w:val="00E755A5"/>
    <w:rsid w:val="00E92FDA"/>
    <w:rsid w:val="00E95C42"/>
    <w:rsid w:val="00E95DAF"/>
    <w:rsid w:val="00EC3EFF"/>
    <w:rsid w:val="00F231E6"/>
    <w:rsid w:val="00F5262D"/>
    <w:rsid w:val="00FC4BA7"/>
    <w:rsid w:val="00FC7A1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FD2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orbel" w:eastAsia="Corbel" w:hAnsi="Corbel" w:cs="Corbel"/>
      <w:lang w:val="en-AU" w:eastAsia="en-AU" w:bidi="en-AU"/>
    </w:rPr>
  </w:style>
  <w:style w:type="paragraph" w:styleId="Heading1">
    <w:name w:val="heading 1"/>
    <w:basedOn w:val="Normal"/>
    <w:uiPriority w:val="1"/>
    <w:qFormat/>
    <w:pPr>
      <w:ind w:left="100"/>
      <w:outlineLvl w:val="0"/>
    </w:pPr>
    <w:rPr>
      <w:b/>
      <w:bCs/>
      <w:sz w:val="32"/>
      <w:szCs w:val="32"/>
    </w:rPr>
  </w:style>
  <w:style w:type="paragraph" w:styleId="Heading2">
    <w:name w:val="heading 2"/>
    <w:basedOn w:val="Normal"/>
    <w:link w:val="Heading2Char"/>
    <w:uiPriority w:val="1"/>
    <w:qFormat/>
    <w:pPr>
      <w:ind w:left="10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aliases w:val="Bullet point,Bulletr List Paragraph,Content descriptions,FooterText,L,List Paragraph Number,List Paragraph1,List Paragraph11,List Paragraph2,List Paragraph21,NFP GP Bulleted List,Paragraphe de liste1,Recommendation,numbered,列,列出段落,列出段落1"/>
    <w:basedOn w:val="Normal"/>
    <w:link w:val="ListParagraphChar"/>
    <w:uiPriority w:val="1"/>
    <w:qFormat/>
    <w:pPr>
      <w:ind w:left="686" w:right="116" w:hanging="566"/>
      <w:jc w:val="both"/>
    </w:pPr>
  </w:style>
  <w:style w:type="paragraph" w:customStyle="1" w:styleId="TableParagraph">
    <w:name w:val="Table Paragraph"/>
    <w:basedOn w:val="Normal"/>
    <w:uiPriority w:val="1"/>
    <w:qFormat/>
    <w:pPr>
      <w:spacing w:before="109"/>
      <w:ind w:left="108"/>
    </w:pPr>
  </w:style>
  <w:style w:type="character" w:styleId="CommentReference">
    <w:name w:val="annotation reference"/>
    <w:basedOn w:val="DefaultParagraphFont"/>
    <w:uiPriority w:val="99"/>
    <w:semiHidden/>
    <w:unhideWhenUsed/>
    <w:rsid w:val="00CD48A1"/>
    <w:rPr>
      <w:sz w:val="16"/>
      <w:szCs w:val="16"/>
    </w:rPr>
  </w:style>
  <w:style w:type="paragraph" w:styleId="CommentText">
    <w:name w:val="annotation text"/>
    <w:basedOn w:val="Normal"/>
    <w:link w:val="CommentTextChar"/>
    <w:uiPriority w:val="99"/>
    <w:unhideWhenUsed/>
    <w:rsid w:val="00CD48A1"/>
    <w:rPr>
      <w:sz w:val="20"/>
      <w:szCs w:val="20"/>
    </w:rPr>
  </w:style>
  <w:style w:type="character" w:customStyle="1" w:styleId="CommentTextChar">
    <w:name w:val="Comment Text Char"/>
    <w:basedOn w:val="DefaultParagraphFont"/>
    <w:link w:val="CommentText"/>
    <w:uiPriority w:val="99"/>
    <w:rsid w:val="00CD48A1"/>
    <w:rPr>
      <w:rFonts w:ascii="Corbel" w:eastAsia="Corbel" w:hAnsi="Corbel" w:cs="Corbel"/>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CD48A1"/>
    <w:rPr>
      <w:b/>
      <w:bCs/>
    </w:rPr>
  </w:style>
  <w:style w:type="character" w:customStyle="1" w:styleId="CommentSubjectChar">
    <w:name w:val="Comment Subject Char"/>
    <w:basedOn w:val="CommentTextChar"/>
    <w:link w:val="CommentSubject"/>
    <w:uiPriority w:val="99"/>
    <w:semiHidden/>
    <w:rsid w:val="00CD48A1"/>
    <w:rPr>
      <w:rFonts w:ascii="Corbel" w:eastAsia="Corbel" w:hAnsi="Corbel" w:cs="Corbel"/>
      <w:b/>
      <w:bCs/>
      <w:sz w:val="20"/>
      <w:szCs w:val="20"/>
      <w:lang w:val="en-AU" w:eastAsia="en-AU" w:bidi="en-AU"/>
    </w:rPr>
  </w:style>
  <w:style w:type="paragraph" w:styleId="BalloonText">
    <w:name w:val="Balloon Text"/>
    <w:basedOn w:val="Normal"/>
    <w:link w:val="BalloonTextChar"/>
    <w:uiPriority w:val="99"/>
    <w:semiHidden/>
    <w:unhideWhenUsed/>
    <w:rsid w:val="00CD48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8A1"/>
    <w:rPr>
      <w:rFonts w:ascii="Segoe UI" w:eastAsia="Corbel" w:hAnsi="Segoe UI" w:cs="Segoe UI"/>
      <w:sz w:val="18"/>
      <w:szCs w:val="18"/>
      <w:lang w:val="en-AU" w:eastAsia="en-AU" w:bidi="en-AU"/>
    </w:rPr>
  </w:style>
  <w:style w:type="paragraph" w:customStyle="1" w:styleId="Default">
    <w:name w:val="Default"/>
    <w:rsid w:val="00C87ECC"/>
    <w:pPr>
      <w:widowControl/>
      <w:adjustRightInd w:val="0"/>
    </w:pPr>
    <w:rPr>
      <w:rFonts w:ascii="Corbel" w:hAnsi="Corbel" w:cs="Corbel"/>
      <w:color w:val="000000"/>
      <w:sz w:val="24"/>
      <w:szCs w:val="24"/>
      <w:lang w:val="en-AU"/>
    </w:rPr>
  </w:style>
  <w:style w:type="paragraph" w:styleId="Header">
    <w:name w:val="header"/>
    <w:basedOn w:val="Normal"/>
    <w:link w:val="HeaderChar"/>
    <w:uiPriority w:val="99"/>
    <w:unhideWhenUsed/>
    <w:rsid w:val="005D7406"/>
    <w:pPr>
      <w:tabs>
        <w:tab w:val="center" w:pos="4513"/>
        <w:tab w:val="right" w:pos="9026"/>
      </w:tabs>
    </w:pPr>
  </w:style>
  <w:style w:type="character" w:customStyle="1" w:styleId="HeaderChar">
    <w:name w:val="Header Char"/>
    <w:basedOn w:val="DefaultParagraphFont"/>
    <w:link w:val="Header"/>
    <w:uiPriority w:val="99"/>
    <w:rsid w:val="005D7406"/>
    <w:rPr>
      <w:rFonts w:ascii="Corbel" w:eastAsia="Corbel" w:hAnsi="Corbel" w:cs="Corbel"/>
      <w:lang w:val="en-AU" w:eastAsia="en-AU" w:bidi="en-AU"/>
    </w:rPr>
  </w:style>
  <w:style w:type="paragraph" w:styleId="Footer">
    <w:name w:val="footer"/>
    <w:basedOn w:val="Normal"/>
    <w:link w:val="FooterChar"/>
    <w:uiPriority w:val="99"/>
    <w:unhideWhenUsed/>
    <w:rsid w:val="005D7406"/>
    <w:pPr>
      <w:tabs>
        <w:tab w:val="center" w:pos="4513"/>
        <w:tab w:val="right" w:pos="9026"/>
      </w:tabs>
    </w:pPr>
  </w:style>
  <w:style w:type="character" w:customStyle="1" w:styleId="FooterChar">
    <w:name w:val="Footer Char"/>
    <w:basedOn w:val="DefaultParagraphFont"/>
    <w:link w:val="Footer"/>
    <w:uiPriority w:val="99"/>
    <w:rsid w:val="005D7406"/>
    <w:rPr>
      <w:rFonts w:ascii="Corbel" w:eastAsia="Corbel" w:hAnsi="Corbel" w:cs="Corbel"/>
      <w:lang w:val="en-AU" w:eastAsia="en-AU" w:bidi="en-AU"/>
    </w:rPr>
  </w:style>
  <w:style w:type="paragraph" w:styleId="Revision">
    <w:name w:val="Revision"/>
    <w:hidden/>
    <w:uiPriority w:val="99"/>
    <w:semiHidden/>
    <w:rsid w:val="00C127E8"/>
    <w:pPr>
      <w:widowControl/>
      <w:autoSpaceDE/>
      <w:autoSpaceDN/>
    </w:pPr>
    <w:rPr>
      <w:rFonts w:ascii="Corbel" w:eastAsia="Corbel" w:hAnsi="Corbel" w:cs="Corbel"/>
      <w:lang w:val="en-AU" w:eastAsia="en-AU" w:bidi="en-AU"/>
    </w:rPr>
  </w:style>
  <w:style w:type="character" w:customStyle="1" w:styleId="Heading2Char">
    <w:name w:val="Heading 2 Char"/>
    <w:basedOn w:val="DefaultParagraphFont"/>
    <w:link w:val="Heading2"/>
    <w:uiPriority w:val="1"/>
    <w:rsid w:val="00376518"/>
    <w:rPr>
      <w:rFonts w:ascii="Corbel" w:eastAsia="Corbel" w:hAnsi="Corbel" w:cs="Corbel"/>
      <w:b/>
      <w:bCs/>
      <w:sz w:val="28"/>
      <w:szCs w:val="28"/>
      <w:lang w:val="en-AU" w:eastAsia="en-AU" w:bidi="en-AU"/>
    </w:rPr>
  </w:style>
  <w:style w:type="character" w:customStyle="1" w:styleId="ListParagraphChar">
    <w:name w:val="List Paragraph Char"/>
    <w:aliases w:val="Bullet point Char,Bulletr List Paragraph Char,Content descriptions Char,FooterText Char,L Char,List Paragraph Number Char,List Paragraph1 Char,List Paragraph11 Char,List Paragraph2 Char,List Paragraph21 Char,NFP GP Bulleted List Char"/>
    <w:basedOn w:val="DefaultParagraphFont"/>
    <w:link w:val="ListParagraph"/>
    <w:uiPriority w:val="1"/>
    <w:qFormat/>
    <w:locked/>
    <w:rsid w:val="007D4790"/>
    <w:rPr>
      <w:rFonts w:ascii="Corbel" w:eastAsia="Corbel" w:hAnsi="Corbel" w:cs="Corbel"/>
      <w:lang w:val="en-AU" w:eastAsia="en-AU" w:bidi="en-AU"/>
    </w:rPr>
  </w:style>
  <w:style w:type="paragraph" w:styleId="NoSpacing">
    <w:name w:val="No Spacing"/>
    <w:basedOn w:val="Normal"/>
    <w:link w:val="NoSpacingChar"/>
    <w:uiPriority w:val="1"/>
    <w:qFormat/>
    <w:rsid w:val="007D4790"/>
    <w:pPr>
      <w:widowControl/>
      <w:autoSpaceDE/>
      <w:autoSpaceDN/>
    </w:pPr>
    <w:rPr>
      <w:rFonts w:ascii="Arial" w:eastAsiaTheme="minorHAnsi" w:hAnsi="Arial" w:cstheme="minorBidi"/>
      <w:lang w:eastAsia="en-US" w:bidi="ar-SA"/>
    </w:rPr>
  </w:style>
  <w:style w:type="character" w:customStyle="1" w:styleId="NoSpacingChar">
    <w:name w:val="No Spacing Char"/>
    <w:basedOn w:val="DefaultParagraphFont"/>
    <w:link w:val="NoSpacing"/>
    <w:uiPriority w:val="1"/>
    <w:rsid w:val="007D4790"/>
    <w:rPr>
      <w:rFonts w:ascii="Arial" w:hAnsi="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D15F50-B24C-467F-A90A-6DFF4C22B556}">
  <ds:schemaRef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DA0EA659-3E11-41F8-95E5-AEDB7C098C97"/>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0888D9C2-0E58-4E6B-A9BF-84A41B792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13D9DD-3A04-42F8-A988-413A7EE40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4000</Words>
  <Characters>22804</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2021-07-14T23:08:00Z</dcterms:created>
  <dcterms:modified xsi:type="dcterms:W3CDTF">2021-07-14T23:08:00Z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0x010100266966F133664895A6EE3632470D45F5008DB8D4BBCF2D714EB4BA9FEAD51F8501</vt:lpwstr>
  </property>
</Properties>
</file>