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1801" w14:textId="77777777" w:rsidR="006E5D6E" w:rsidRPr="00A9540E" w:rsidRDefault="00350FFA" w:rsidP="00350FFA">
      <w:pPr>
        <w:ind w:left="-1474"/>
      </w:pPr>
      <w:r w:rsidRPr="00A9540E">
        <w:rPr>
          <w:noProof/>
          <w:lang w:eastAsia="en-AU"/>
        </w:rPr>
        <w:drawing>
          <wp:inline distT="0" distB="0" distL="0" distR="0" wp14:anchorId="63F0E418" wp14:editId="7BD9A720">
            <wp:extent cx="7624633" cy="2176709"/>
            <wp:effectExtent l="0" t="0" r="0" b="0"/>
            <wp:docPr id="7" name="Picture 7"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7624633" cy="2176709"/>
                    </a:xfrm>
                    <a:prstGeom prst="rect">
                      <a:avLst/>
                    </a:prstGeom>
                  </pic:spPr>
                </pic:pic>
              </a:graphicData>
            </a:graphic>
          </wp:inline>
        </w:drawing>
      </w:r>
    </w:p>
    <w:p w14:paraId="296DC684" w14:textId="77777777" w:rsidR="008507C1" w:rsidRPr="00A9540E" w:rsidRDefault="008507C1" w:rsidP="006E5D6E">
      <w:pPr>
        <w:ind w:left="-1418"/>
        <w:sectPr w:rsidR="008507C1" w:rsidRPr="00A9540E" w:rsidSect="000A453D">
          <w:pgSz w:w="11906" w:h="16838"/>
          <w:pgMar w:top="0" w:right="1440" w:bottom="1440" w:left="1418" w:header="708" w:footer="708" w:gutter="0"/>
          <w:cols w:space="708"/>
          <w:docGrid w:linePitch="360"/>
        </w:sectPr>
      </w:pPr>
    </w:p>
    <w:p w14:paraId="73657C02" w14:textId="77777777" w:rsidR="00401E4F" w:rsidRPr="00A9540E" w:rsidRDefault="00401E4F" w:rsidP="00E00BB2">
      <w:pPr>
        <w:pStyle w:val="Title"/>
        <w:spacing w:before="240"/>
      </w:pPr>
      <w:r w:rsidRPr="00A9540E">
        <w:t>What is the Choice and Affordability Fund?</w:t>
      </w:r>
    </w:p>
    <w:p w14:paraId="7CC2965F" w14:textId="3B154A6B" w:rsidR="002D2763" w:rsidRPr="00A9540E" w:rsidRDefault="00401E4F" w:rsidP="002D2763">
      <w:r w:rsidRPr="00A9540E">
        <w:t xml:space="preserve">On 20 September 2018, the </w:t>
      </w:r>
      <w:r w:rsidR="00745562" w:rsidRPr="00A9540E">
        <w:t xml:space="preserve">Australian </w:t>
      </w:r>
      <w:r w:rsidRPr="00A9540E">
        <w:t xml:space="preserve">Government announced the establishment of a Choice and Affordability Fund (the Fund) to support </w:t>
      </w:r>
      <w:r w:rsidR="00E22D15" w:rsidRPr="00A9540E">
        <w:t xml:space="preserve">the </w:t>
      </w:r>
      <w:r w:rsidRPr="00A9540E">
        <w:t>non-government school</w:t>
      </w:r>
      <w:r w:rsidR="00E22D15" w:rsidRPr="00A9540E">
        <w:t xml:space="preserve"> </w:t>
      </w:r>
      <w:r w:rsidRPr="00A9540E">
        <w:t>s</w:t>
      </w:r>
      <w:r w:rsidR="00E22D15" w:rsidRPr="00A9540E">
        <w:t>ector</w:t>
      </w:r>
      <w:r w:rsidRPr="00A9540E">
        <w:t xml:space="preserve">. </w:t>
      </w:r>
      <w:r w:rsidR="002D2763" w:rsidRPr="00A9540E">
        <w:t xml:space="preserve">The Fund </w:t>
      </w:r>
      <w:r w:rsidR="04DA582A" w:rsidRPr="00A9540E">
        <w:t>began</w:t>
      </w:r>
      <w:r w:rsidR="002D2763" w:rsidRPr="00A9540E">
        <w:t xml:space="preserve"> in 2020 with an estimated $1.2 billion to be provided to the non-government sector to 2029. </w:t>
      </w:r>
    </w:p>
    <w:p w14:paraId="1123ACC7" w14:textId="4B6D1816" w:rsidR="00401E4F" w:rsidRPr="00A9540E" w:rsidDel="00521B8A" w:rsidRDefault="00401E4F" w:rsidP="00401E4F">
      <w:pPr>
        <w:pStyle w:val="Heading1"/>
      </w:pPr>
      <w:r w:rsidRPr="00A9540E">
        <w:t xml:space="preserve">How </w:t>
      </w:r>
      <w:r w:rsidR="00CF4F15" w:rsidRPr="00A9540E">
        <w:t xml:space="preserve">does </w:t>
      </w:r>
      <w:r w:rsidRPr="00A9540E">
        <w:t>the Fund work?</w:t>
      </w:r>
    </w:p>
    <w:p w14:paraId="20A81AF2" w14:textId="2E837B59" w:rsidR="00401E4F" w:rsidRPr="00A9540E" w:rsidRDefault="00401E4F" w:rsidP="00401E4F">
      <w:bookmarkStart w:id="0" w:name="_Toc364946115"/>
      <w:r w:rsidRPr="00A9540E">
        <w:t xml:space="preserve">Funding </w:t>
      </w:r>
      <w:r w:rsidR="00E6595D" w:rsidRPr="00A9540E">
        <w:t>is</w:t>
      </w:r>
      <w:r w:rsidRPr="00A9540E">
        <w:t xml:space="preserve"> provided </w:t>
      </w:r>
      <w:r w:rsidR="001F13FA" w:rsidRPr="00A9540E">
        <w:t xml:space="preserve">for </w:t>
      </w:r>
      <w:r w:rsidRPr="00A9540E">
        <w:t>the non-government school sector under the</w:t>
      </w:r>
      <w:r w:rsidRPr="00A9540E">
        <w:rPr>
          <w:color w:val="333333"/>
          <w:lang w:val="en"/>
        </w:rPr>
        <w:t xml:space="preserve"> </w:t>
      </w:r>
      <w:hyperlink r:id="rId12">
        <w:r w:rsidRPr="00A9540E">
          <w:rPr>
            <w:rStyle w:val="Hyperlink"/>
            <w:i/>
            <w:iCs/>
          </w:rPr>
          <w:t>Australian Education Act 2013</w:t>
        </w:r>
      </w:hyperlink>
      <w:r w:rsidRPr="00A9540E">
        <w:t xml:space="preserve">. </w:t>
      </w:r>
      <w:r w:rsidR="000E651F" w:rsidRPr="00A9540E">
        <w:t>Catholic and independent n</w:t>
      </w:r>
      <w:r w:rsidRPr="00A9540E">
        <w:t>on-government representative bodies (NGRBs)</w:t>
      </w:r>
      <w:r w:rsidR="000E651F" w:rsidRPr="00A9540E">
        <w:t xml:space="preserve"> in each state and territory</w:t>
      </w:r>
      <w:r w:rsidRPr="00A9540E">
        <w:t xml:space="preserve"> administer funding in line with agreed priorities for the Fund. </w:t>
      </w:r>
      <w:r w:rsidR="26C1854D" w:rsidRPr="00A9540E">
        <w:t xml:space="preserve">The administrative arrangements </w:t>
      </w:r>
      <w:r w:rsidR="70BA500E" w:rsidRPr="00A9540E">
        <w:t xml:space="preserve">for the fund </w:t>
      </w:r>
      <w:r w:rsidR="26C1854D" w:rsidRPr="00A9540E">
        <w:t xml:space="preserve">are set out </w:t>
      </w:r>
      <w:r w:rsidR="09E8AF91" w:rsidRPr="00A9540E">
        <w:t>under the</w:t>
      </w:r>
      <w:r w:rsidR="005B3191" w:rsidRPr="00A9540E">
        <w:t xml:space="preserve"> </w:t>
      </w:r>
      <w:hyperlink r:id="rId13">
        <w:r w:rsidRPr="00A9540E">
          <w:rPr>
            <w:rStyle w:val="Hyperlink"/>
          </w:rPr>
          <w:t>Australian Education Regulation 2013</w:t>
        </w:r>
      </w:hyperlink>
      <w:r w:rsidRPr="00A9540E">
        <w:t>.</w:t>
      </w:r>
    </w:p>
    <w:p w14:paraId="6C1E88C8" w14:textId="4E361FB3" w:rsidR="00401E4F" w:rsidRPr="00A9540E" w:rsidDel="00521B8A" w:rsidRDefault="00A9540E" w:rsidP="00401E4F">
      <w:hyperlink r:id="rId14">
        <w:r w:rsidR="00401E4F" w:rsidRPr="00A9540E">
          <w:rPr>
            <w:rStyle w:val="Hyperlink"/>
          </w:rPr>
          <w:t>Guidelines for the Fund</w:t>
        </w:r>
      </w:hyperlink>
      <w:r w:rsidR="00401E4F" w:rsidRPr="00A9540E">
        <w:t xml:space="preserve"> are available on the </w:t>
      </w:r>
      <w:r w:rsidR="00745562" w:rsidRPr="00A9540E">
        <w:t>D</w:t>
      </w:r>
      <w:r w:rsidR="00401E4F" w:rsidRPr="00A9540E">
        <w:t xml:space="preserve">epartment </w:t>
      </w:r>
      <w:r w:rsidR="00745562" w:rsidRPr="00A9540E">
        <w:t>of Education, Skills and Employment</w:t>
      </w:r>
      <w:r w:rsidR="00103645" w:rsidRPr="00A9540E">
        <w:t>’s (the department)</w:t>
      </w:r>
      <w:r w:rsidR="00745562" w:rsidRPr="00A9540E">
        <w:t xml:space="preserve"> </w:t>
      </w:r>
      <w:r w:rsidR="00401E4F" w:rsidRPr="00A9540E">
        <w:t xml:space="preserve">website. </w:t>
      </w:r>
    </w:p>
    <w:p w14:paraId="6A725CCF" w14:textId="5460E86A" w:rsidR="00401E4F" w:rsidRPr="00A9540E" w:rsidRDefault="00401E4F" w:rsidP="0084356E">
      <w:pPr>
        <w:pStyle w:val="Heading1"/>
      </w:pPr>
      <w:bookmarkStart w:id="1" w:name="_Hlk51592630"/>
      <w:r w:rsidRPr="00A9540E">
        <w:t xml:space="preserve">What </w:t>
      </w:r>
      <w:r w:rsidR="00CF4F15" w:rsidRPr="00A9540E">
        <w:t xml:space="preserve">is </w:t>
      </w:r>
      <w:r w:rsidRPr="00A9540E">
        <w:t>the Fund</w:t>
      </w:r>
      <w:r w:rsidR="00CF4F15" w:rsidRPr="00A9540E">
        <w:t xml:space="preserve"> to</w:t>
      </w:r>
      <w:r w:rsidRPr="00A9540E">
        <w:t xml:space="preserve"> be used for?</w:t>
      </w:r>
    </w:p>
    <w:bookmarkEnd w:id="1"/>
    <w:p w14:paraId="69E4109B" w14:textId="77777777" w:rsidR="0076654D" w:rsidRPr="00A9540E" w:rsidRDefault="0076654D" w:rsidP="0076654D">
      <w:r w:rsidRPr="00A9540E">
        <w:t>The Fund prioritises assistance for non-government schools transitioning to the new direct measure of income funding arrangements, including regional, rural and remote schools. It also prioritises funding for schools affected by drought, bushfires and other natural disasters, particularly where this affects a school’s short-term financial viability. </w:t>
      </w:r>
    </w:p>
    <w:p w14:paraId="5AF7EB19" w14:textId="69C1B187" w:rsidR="00401E4F" w:rsidRPr="00A9540E" w:rsidRDefault="0076654D" w:rsidP="005B3191">
      <w:r w:rsidRPr="00A9540E">
        <w:t>Other priorities include providing choice to parents of an affordable school that will best suit their child, enhancing student wellbeing and support initiatives, and lifting outcomes in underperforming schools.</w:t>
      </w:r>
      <w:r w:rsidR="005B3191" w:rsidRPr="00A9540E">
        <w:t xml:space="preserve"> </w:t>
      </w:r>
    </w:p>
    <w:p w14:paraId="5948B7EB" w14:textId="7407D114" w:rsidR="00734B13" w:rsidRPr="00A9540E" w:rsidRDefault="00311789" w:rsidP="00734B13">
      <w:r w:rsidRPr="00A9540E">
        <w:t xml:space="preserve">NGRBs can use the </w:t>
      </w:r>
      <w:r w:rsidR="00401E4F" w:rsidRPr="00A9540E">
        <w:t>Fund flexibly over the 10 years to maximise its impact on these priorities.</w:t>
      </w:r>
    </w:p>
    <w:p w14:paraId="5CD7FD43" w14:textId="18E526BF" w:rsidR="00777AA8" w:rsidRPr="00A9540E" w:rsidRDefault="00777AA8" w:rsidP="00777AA8">
      <w:pPr>
        <w:pStyle w:val="Heading1"/>
      </w:pPr>
      <w:r w:rsidRPr="00A9540E">
        <w:t>Reporting and transparency</w:t>
      </w:r>
    </w:p>
    <w:p w14:paraId="5269A156" w14:textId="4B77BCD2" w:rsidR="00734B13" w:rsidRPr="00A9540E" w:rsidRDefault="00734B13" w:rsidP="00734B13">
      <w:r w:rsidRPr="00A9540E">
        <w:t>All NGRBs must have an agreement with the department</w:t>
      </w:r>
      <w:r w:rsidR="00EC0C25" w:rsidRPr="00A9540E">
        <w:t xml:space="preserve"> which sets </w:t>
      </w:r>
      <w:r w:rsidRPr="00A9540E">
        <w:t xml:space="preserve">out their intended use </w:t>
      </w:r>
      <w:r w:rsidR="00777AA8" w:rsidRPr="00A9540E">
        <w:t>for</w:t>
      </w:r>
      <w:r w:rsidRPr="00A9540E">
        <w:t xml:space="preserve"> the Fund. </w:t>
      </w:r>
    </w:p>
    <w:p w14:paraId="079FA5C7" w14:textId="5E42AD8D" w:rsidR="00734B13" w:rsidRPr="00A9540E" w:rsidRDefault="00734B13" w:rsidP="00734B13">
      <w:r w:rsidRPr="00A9540E">
        <w:t xml:space="preserve">As a condition of ongoing funding, NGRBs must report annually </w:t>
      </w:r>
      <w:r w:rsidR="006C6DE2" w:rsidRPr="00A9540E">
        <w:t xml:space="preserve">to the department </w:t>
      </w:r>
      <w:r w:rsidRPr="00A9540E">
        <w:t xml:space="preserve">on their progress in achieving the priority objectives and intended outcomes identified in their agreements. </w:t>
      </w:r>
    </w:p>
    <w:p w14:paraId="433FB392" w14:textId="05C9995A" w:rsidR="00734B13" w:rsidRPr="00A9540E" w:rsidRDefault="00734B13" w:rsidP="00734B13">
      <w:r w:rsidRPr="00A9540E">
        <w:t>Agreements</w:t>
      </w:r>
      <w:r w:rsidR="00D3739C" w:rsidRPr="00A9540E">
        <w:t xml:space="preserve"> </w:t>
      </w:r>
      <w:r w:rsidRPr="00A9540E">
        <w:t>will be made publicly available on the department’s website.</w:t>
      </w:r>
      <w:r w:rsidR="00777AA8" w:rsidRPr="00A9540E">
        <w:t xml:space="preserve"> </w:t>
      </w:r>
    </w:p>
    <w:p w14:paraId="1444AE95" w14:textId="7EF540D0" w:rsidR="00CF7703" w:rsidRPr="00A9540E" w:rsidRDefault="00CF7703" w:rsidP="00102B55">
      <w:pPr>
        <w:pStyle w:val="Heading1"/>
      </w:pPr>
      <w:r w:rsidRPr="00A9540E">
        <w:lastRenderedPageBreak/>
        <w:t>How can schools access assistance from the Fund?</w:t>
      </w:r>
    </w:p>
    <w:p w14:paraId="21C46B78" w14:textId="63455CD5" w:rsidR="00CF7703" w:rsidRPr="00B415E4" w:rsidRDefault="006A39C3" w:rsidP="00401E4F">
      <w:r w:rsidRPr="00A9540E">
        <w:t>Schools wishing to gain support under the Fund should contact their NGRB.</w:t>
      </w:r>
      <w:bookmarkStart w:id="2" w:name="_GoBack"/>
      <w:bookmarkEnd w:id="2"/>
      <w:r w:rsidRPr="006A39C3">
        <w:t> </w:t>
      </w:r>
    </w:p>
    <w:bookmarkEnd w:id="0"/>
    <w:p w14:paraId="59A682B3" w14:textId="689677D0" w:rsidR="00401E4F" w:rsidRDefault="00401E4F" w:rsidP="00102B55">
      <w:pPr>
        <w:keepNext/>
        <w:keepLines/>
        <w:spacing w:before="240" w:after="0"/>
        <w:outlineLvl w:val="0"/>
      </w:pPr>
    </w:p>
    <w:sectPr w:rsidR="00401E4F"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F957" w14:textId="77777777" w:rsidR="000A7016" w:rsidRDefault="000A7016" w:rsidP="0051352E">
      <w:pPr>
        <w:spacing w:after="0" w:line="240" w:lineRule="auto"/>
      </w:pPr>
      <w:r>
        <w:separator/>
      </w:r>
    </w:p>
  </w:endnote>
  <w:endnote w:type="continuationSeparator" w:id="0">
    <w:p w14:paraId="42C8B5C7" w14:textId="77777777" w:rsidR="000A7016" w:rsidRDefault="000A701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52F8" w14:textId="77777777" w:rsidR="000A7016" w:rsidRDefault="000A7016" w:rsidP="0051352E">
      <w:pPr>
        <w:spacing w:after="0" w:line="240" w:lineRule="auto"/>
      </w:pPr>
      <w:r>
        <w:separator/>
      </w:r>
    </w:p>
  </w:footnote>
  <w:footnote w:type="continuationSeparator" w:id="0">
    <w:p w14:paraId="205B72A2" w14:textId="77777777" w:rsidR="000A7016" w:rsidRDefault="000A701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E80CE1"/>
    <w:multiLevelType w:val="multilevel"/>
    <w:tmpl w:val="9F8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CE4869"/>
    <w:multiLevelType w:val="hybridMultilevel"/>
    <w:tmpl w:val="66CC21A2"/>
    <w:lvl w:ilvl="0" w:tplc="E6ECA49A">
      <w:start w:val="1"/>
      <w:numFmt w:val="bullet"/>
      <w:lvlText w:val=""/>
      <w:lvlJc w:val="left"/>
      <w:pPr>
        <w:tabs>
          <w:tab w:val="num" w:pos="720"/>
        </w:tabs>
        <w:ind w:left="720" w:hanging="360"/>
      </w:pPr>
      <w:rPr>
        <w:rFonts w:ascii="Symbol" w:hAnsi="Symbol" w:hint="default"/>
        <w:sz w:val="20"/>
      </w:rPr>
    </w:lvl>
    <w:lvl w:ilvl="1" w:tplc="3E2806B2" w:tentative="1">
      <w:start w:val="1"/>
      <w:numFmt w:val="bullet"/>
      <w:lvlText w:val=""/>
      <w:lvlJc w:val="left"/>
      <w:pPr>
        <w:tabs>
          <w:tab w:val="num" w:pos="1440"/>
        </w:tabs>
        <w:ind w:left="1440" w:hanging="360"/>
      </w:pPr>
      <w:rPr>
        <w:rFonts w:ascii="Symbol" w:hAnsi="Symbol" w:hint="default"/>
        <w:sz w:val="20"/>
      </w:rPr>
    </w:lvl>
    <w:lvl w:ilvl="2" w:tplc="33DAADF6" w:tentative="1">
      <w:start w:val="1"/>
      <w:numFmt w:val="bullet"/>
      <w:lvlText w:val=""/>
      <w:lvlJc w:val="left"/>
      <w:pPr>
        <w:tabs>
          <w:tab w:val="num" w:pos="2160"/>
        </w:tabs>
        <w:ind w:left="2160" w:hanging="360"/>
      </w:pPr>
      <w:rPr>
        <w:rFonts w:ascii="Symbol" w:hAnsi="Symbol" w:hint="default"/>
        <w:sz w:val="20"/>
      </w:rPr>
    </w:lvl>
    <w:lvl w:ilvl="3" w:tplc="40E891B0" w:tentative="1">
      <w:start w:val="1"/>
      <w:numFmt w:val="bullet"/>
      <w:lvlText w:val=""/>
      <w:lvlJc w:val="left"/>
      <w:pPr>
        <w:tabs>
          <w:tab w:val="num" w:pos="2880"/>
        </w:tabs>
        <w:ind w:left="2880" w:hanging="360"/>
      </w:pPr>
      <w:rPr>
        <w:rFonts w:ascii="Symbol" w:hAnsi="Symbol" w:hint="default"/>
        <w:sz w:val="20"/>
      </w:rPr>
    </w:lvl>
    <w:lvl w:ilvl="4" w:tplc="A9F2392C" w:tentative="1">
      <w:start w:val="1"/>
      <w:numFmt w:val="bullet"/>
      <w:lvlText w:val=""/>
      <w:lvlJc w:val="left"/>
      <w:pPr>
        <w:tabs>
          <w:tab w:val="num" w:pos="3600"/>
        </w:tabs>
        <w:ind w:left="3600" w:hanging="360"/>
      </w:pPr>
      <w:rPr>
        <w:rFonts w:ascii="Symbol" w:hAnsi="Symbol" w:hint="default"/>
        <w:sz w:val="20"/>
      </w:rPr>
    </w:lvl>
    <w:lvl w:ilvl="5" w:tplc="BE7E641A" w:tentative="1">
      <w:start w:val="1"/>
      <w:numFmt w:val="bullet"/>
      <w:lvlText w:val=""/>
      <w:lvlJc w:val="left"/>
      <w:pPr>
        <w:tabs>
          <w:tab w:val="num" w:pos="4320"/>
        </w:tabs>
        <w:ind w:left="4320" w:hanging="360"/>
      </w:pPr>
      <w:rPr>
        <w:rFonts w:ascii="Symbol" w:hAnsi="Symbol" w:hint="default"/>
        <w:sz w:val="20"/>
      </w:rPr>
    </w:lvl>
    <w:lvl w:ilvl="6" w:tplc="D464BC7A" w:tentative="1">
      <w:start w:val="1"/>
      <w:numFmt w:val="bullet"/>
      <w:lvlText w:val=""/>
      <w:lvlJc w:val="left"/>
      <w:pPr>
        <w:tabs>
          <w:tab w:val="num" w:pos="5040"/>
        </w:tabs>
        <w:ind w:left="5040" w:hanging="360"/>
      </w:pPr>
      <w:rPr>
        <w:rFonts w:ascii="Symbol" w:hAnsi="Symbol" w:hint="default"/>
        <w:sz w:val="20"/>
      </w:rPr>
    </w:lvl>
    <w:lvl w:ilvl="7" w:tplc="134A581E" w:tentative="1">
      <w:start w:val="1"/>
      <w:numFmt w:val="bullet"/>
      <w:lvlText w:val=""/>
      <w:lvlJc w:val="left"/>
      <w:pPr>
        <w:tabs>
          <w:tab w:val="num" w:pos="5760"/>
        </w:tabs>
        <w:ind w:left="5760" w:hanging="360"/>
      </w:pPr>
      <w:rPr>
        <w:rFonts w:ascii="Symbol" w:hAnsi="Symbol" w:hint="default"/>
        <w:sz w:val="20"/>
      </w:rPr>
    </w:lvl>
    <w:lvl w:ilvl="8" w:tplc="E20EE15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FA6DB4"/>
    <w:multiLevelType w:val="hybridMultilevel"/>
    <w:tmpl w:val="D2EC550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4F"/>
    <w:rsid w:val="00052BBC"/>
    <w:rsid w:val="000A453D"/>
    <w:rsid w:val="000A7016"/>
    <w:rsid w:val="000E651F"/>
    <w:rsid w:val="00102B55"/>
    <w:rsid w:val="00103645"/>
    <w:rsid w:val="00157F35"/>
    <w:rsid w:val="00160A7E"/>
    <w:rsid w:val="0017189C"/>
    <w:rsid w:val="001F13FA"/>
    <w:rsid w:val="00217EAB"/>
    <w:rsid w:val="0022498C"/>
    <w:rsid w:val="002724D0"/>
    <w:rsid w:val="00275135"/>
    <w:rsid w:val="002B1CE5"/>
    <w:rsid w:val="002D2763"/>
    <w:rsid w:val="002F4DB3"/>
    <w:rsid w:val="00311789"/>
    <w:rsid w:val="00350FFA"/>
    <w:rsid w:val="00382F07"/>
    <w:rsid w:val="00397386"/>
    <w:rsid w:val="003E046B"/>
    <w:rsid w:val="003E46A6"/>
    <w:rsid w:val="00401E4F"/>
    <w:rsid w:val="00440290"/>
    <w:rsid w:val="00453C04"/>
    <w:rsid w:val="00497764"/>
    <w:rsid w:val="00502244"/>
    <w:rsid w:val="0051352E"/>
    <w:rsid w:val="00517DA7"/>
    <w:rsid w:val="00520A33"/>
    <w:rsid w:val="00527AE4"/>
    <w:rsid w:val="00556C14"/>
    <w:rsid w:val="005B3191"/>
    <w:rsid w:val="005C34C8"/>
    <w:rsid w:val="005E608C"/>
    <w:rsid w:val="00630DDF"/>
    <w:rsid w:val="00671595"/>
    <w:rsid w:val="00673F52"/>
    <w:rsid w:val="006A39C3"/>
    <w:rsid w:val="006C6DE2"/>
    <w:rsid w:val="006D1759"/>
    <w:rsid w:val="006D66EA"/>
    <w:rsid w:val="006E5D6E"/>
    <w:rsid w:val="00721B03"/>
    <w:rsid w:val="00734B13"/>
    <w:rsid w:val="00745562"/>
    <w:rsid w:val="007570DC"/>
    <w:rsid w:val="00761B7E"/>
    <w:rsid w:val="0076654D"/>
    <w:rsid w:val="00777AA8"/>
    <w:rsid w:val="0079409C"/>
    <w:rsid w:val="007B1ABA"/>
    <w:rsid w:val="007B74C5"/>
    <w:rsid w:val="007C5D14"/>
    <w:rsid w:val="007F32F0"/>
    <w:rsid w:val="007F7930"/>
    <w:rsid w:val="0084356E"/>
    <w:rsid w:val="008507C1"/>
    <w:rsid w:val="00861934"/>
    <w:rsid w:val="00875DAA"/>
    <w:rsid w:val="00896EDB"/>
    <w:rsid w:val="008F0AC9"/>
    <w:rsid w:val="0093473D"/>
    <w:rsid w:val="00972F57"/>
    <w:rsid w:val="00995280"/>
    <w:rsid w:val="00A127C8"/>
    <w:rsid w:val="00A24E6E"/>
    <w:rsid w:val="00A43694"/>
    <w:rsid w:val="00A5122B"/>
    <w:rsid w:val="00A56FC7"/>
    <w:rsid w:val="00A6311D"/>
    <w:rsid w:val="00A71367"/>
    <w:rsid w:val="00A72575"/>
    <w:rsid w:val="00A74071"/>
    <w:rsid w:val="00A9540E"/>
    <w:rsid w:val="00AA124A"/>
    <w:rsid w:val="00AA2A96"/>
    <w:rsid w:val="00AF41DA"/>
    <w:rsid w:val="00AF613E"/>
    <w:rsid w:val="00B100CC"/>
    <w:rsid w:val="00B6689D"/>
    <w:rsid w:val="00B718D4"/>
    <w:rsid w:val="00B72368"/>
    <w:rsid w:val="00BC68CD"/>
    <w:rsid w:val="00C00563"/>
    <w:rsid w:val="00C54D58"/>
    <w:rsid w:val="00C573E1"/>
    <w:rsid w:val="00C95DF6"/>
    <w:rsid w:val="00CB650A"/>
    <w:rsid w:val="00CF4F15"/>
    <w:rsid w:val="00CF7703"/>
    <w:rsid w:val="00D104D7"/>
    <w:rsid w:val="00D35D3E"/>
    <w:rsid w:val="00D3739C"/>
    <w:rsid w:val="00D451CA"/>
    <w:rsid w:val="00D62B01"/>
    <w:rsid w:val="00DA1B7B"/>
    <w:rsid w:val="00DB79DF"/>
    <w:rsid w:val="00E00BB2"/>
    <w:rsid w:val="00E22D15"/>
    <w:rsid w:val="00E6595D"/>
    <w:rsid w:val="00EA32F7"/>
    <w:rsid w:val="00EC0C25"/>
    <w:rsid w:val="00ED5197"/>
    <w:rsid w:val="00F230CD"/>
    <w:rsid w:val="00F405B2"/>
    <w:rsid w:val="00F51C18"/>
    <w:rsid w:val="00FA31E2"/>
    <w:rsid w:val="00FA3851"/>
    <w:rsid w:val="00FE2092"/>
    <w:rsid w:val="00FF476F"/>
    <w:rsid w:val="00FF5B70"/>
    <w:rsid w:val="00FF5BB9"/>
    <w:rsid w:val="04DA582A"/>
    <w:rsid w:val="09E8AF91"/>
    <w:rsid w:val="0ABD2160"/>
    <w:rsid w:val="2527CCD7"/>
    <w:rsid w:val="26C1854D"/>
    <w:rsid w:val="27F8E9A7"/>
    <w:rsid w:val="2C1CDF67"/>
    <w:rsid w:val="31C83649"/>
    <w:rsid w:val="3DC744BE"/>
    <w:rsid w:val="4475E8E8"/>
    <w:rsid w:val="4DB5F1D3"/>
    <w:rsid w:val="516C2EB2"/>
    <w:rsid w:val="6CEC892A"/>
    <w:rsid w:val="70BA50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4D79A9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401E4F"/>
    <w:rPr>
      <w:sz w:val="16"/>
      <w:szCs w:val="16"/>
    </w:rPr>
  </w:style>
  <w:style w:type="paragraph" w:styleId="CommentText">
    <w:name w:val="annotation text"/>
    <w:basedOn w:val="Normal"/>
    <w:link w:val="CommentTextChar"/>
    <w:uiPriority w:val="99"/>
    <w:semiHidden/>
    <w:unhideWhenUsed/>
    <w:rsid w:val="00401E4F"/>
    <w:pPr>
      <w:spacing w:before="120" w:after="120" w:line="240" w:lineRule="auto"/>
    </w:pPr>
    <w:rPr>
      <w:sz w:val="20"/>
      <w:szCs w:val="20"/>
    </w:rPr>
  </w:style>
  <w:style w:type="character" w:customStyle="1" w:styleId="CommentTextChar">
    <w:name w:val="Comment Text Char"/>
    <w:basedOn w:val="DefaultParagraphFont"/>
    <w:link w:val="CommentText"/>
    <w:uiPriority w:val="99"/>
    <w:semiHidden/>
    <w:rsid w:val="00401E4F"/>
    <w:rPr>
      <w:sz w:val="20"/>
      <w:szCs w:val="20"/>
    </w:rPr>
  </w:style>
  <w:style w:type="character" w:styleId="FollowedHyperlink">
    <w:name w:val="FollowedHyperlink"/>
    <w:basedOn w:val="DefaultParagraphFont"/>
    <w:uiPriority w:val="99"/>
    <w:semiHidden/>
    <w:unhideWhenUsed/>
    <w:rsid w:val="00401E4F"/>
    <w:rPr>
      <w:color w:val="002D3F" w:themeColor="followedHyperlink"/>
      <w:u w:val="single"/>
    </w:rPr>
  </w:style>
  <w:style w:type="paragraph" w:styleId="Revision">
    <w:name w:val="Revision"/>
    <w:hidden/>
    <w:uiPriority w:val="99"/>
    <w:semiHidden/>
    <w:rsid w:val="007F7930"/>
    <w:pPr>
      <w:spacing w:after="0" w:line="240" w:lineRule="auto"/>
    </w:pPr>
  </w:style>
  <w:style w:type="paragraph" w:styleId="CommentSubject">
    <w:name w:val="annotation subject"/>
    <w:basedOn w:val="CommentText"/>
    <w:next w:val="CommentText"/>
    <w:link w:val="CommentSubjectChar"/>
    <w:uiPriority w:val="99"/>
    <w:semiHidden/>
    <w:unhideWhenUsed/>
    <w:rsid w:val="00CB650A"/>
    <w:pPr>
      <w:spacing w:before="0" w:after="200"/>
    </w:pPr>
    <w:rPr>
      <w:b/>
      <w:bCs/>
    </w:rPr>
  </w:style>
  <w:style w:type="character" w:customStyle="1" w:styleId="CommentSubjectChar">
    <w:name w:val="Comment Subject Char"/>
    <w:basedOn w:val="CommentTextChar"/>
    <w:link w:val="CommentSubject"/>
    <w:uiPriority w:val="99"/>
    <w:semiHidden/>
    <w:rsid w:val="00CB6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16558">
      <w:bodyDiv w:val="1"/>
      <w:marLeft w:val="0"/>
      <w:marRight w:val="0"/>
      <w:marTop w:val="0"/>
      <w:marBottom w:val="0"/>
      <w:divBdr>
        <w:top w:val="none" w:sz="0" w:space="0" w:color="auto"/>
        <w:left w:val="none" w:sz="0" w:space="0" w:color="auto"/>
        <w:bottom w:val="none" w:sz="0" w:space="0" w:color="auto"/>
        <w:right w:val="none" w:sz="0" w:space="0" w:color="auto"/>
      </w:divBdr>
      <w:divsChild>
        <w:div w:id="1241673937">
          <w:marLeft w:val="0"/>
          <w:marRight w:val="0"/>
          <w:marTop w:val="0"/>
          <w:marBottom w:val="0"/>
          <w:divBdr>
            <w:top w:val="none" w:sz="0" w:space="0" w:color="auto"/>
            <w:left w:val="none" w:sz="0" w:space="0" w:color="auto"/>
            <w:bottom w:val="none" w:sz="0" w:space="0" w:color="auto"/>
            <w:right w:val="none" w:sz="0" w:space="0" w:color="auto"/>
          </w:divBdr>
        </w:div>
        <w:div w:id="28327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9C008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australian-education-act-20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education.gov.au/documents/choice-and-affordability-fund-guideline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6" ma:contentTypeDescription="Create a new document." ma:contentTypeScope="" ma:versionID="4de0d32561de2326b59df9620bcbe430">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b30690fe6e8901bee387b5b55004e2e2"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ae7c9846-b409-431d-9ec7-76b30568bf70"/>
    <ds:schemaRef ds:uri="811bef87-b317-4239-89d2-1f3b6fba6559"/>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645CCA6-EC47-4005-81F3-B12E90F2B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AFEE7-9BDF-410F-A299-8009AFB4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What is the Choice and Affordability Fund?</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Choice and Affordability Fund?</dc:title>
  <dc:subject/>
  <dc:creator/>
  <cp:keywords/>
  <dc:description/>
  <cp:lastModifiedBy/>
  <cp:revision>1</cp:revision>
  <dcterms:created xsi:type="dcterms:W3CDTF">2020-12-23T03:37:00Z</dcterms:created>
  <dcterms:modified xsi:type="dcterms:W3CDTF">2020-12-23T03:37:00Z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