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4BEAD" w14:textId="77777777" w:rsidR="00EB545E" w:rsidRPr="00E20451" w:rsidRDefault="00EB545E" w:rsidP="00EB545E">
      <w:pPr>
        <w:pStyle w:val="Heading1"/>
        <w:rPr>
          <w:lang w:val="en-AU"/>
        </w:rPr>
      </w:pPr>
      <w:r w:rsidRPr="00E20451">
        <w:rPr>
          <w:lang w:val="en-AU"/>
        </w:rPr>
        <w:t>Changing work requires new skills and learning methods</w:t>
      </w:r>
    </w:p>
    <w:p w14:paraId="7683ACD7" w14:textId="77777777" w:rsidR="00EB545E" w:rsidRPr="00E20451" w:rsidRDefault="00EB545E" w:rsidP="00EB545E">
      <w:pPr>
        <w:pStyle w:val="Heading2"/>
        <w:rPr>
          <w:lang w:val="en-AU"/>
        </w:rPr>
      </w:pPr>
      <w:r w:rsidRPr="00E20451">
        <w:rPr>
          <w:lang w:val="en-AU"/>
        </w:rPr>
        <w:t>New Skills</w:t>
      </w:r>
    </w:p>
    <w:p w14:paraId="348AA493" w14:textId="71CF27EB" w:rsidR="00EB545E" w:rsidRPr="00E20451" w:rsidRDefault="00EB545E" w:rsidP="00EB545E">
      <w:pPr>
        <w:pStyle w:val="BodyText"/>
        <w:rPr>
          <w:lang w:val="en-AU"/>
        </w:rPr>
      </w:pPr>
      <w:r w:rsidRPr="00E20451">
        <w:rPr>
          <w:lang w:val="en-AU"/>
        </w:rPr>
        <w:t>There have been many reports emphasising the need for different skill sets and capabilities for people to thrive in a future technology-rich, globalised, competitive world. The required skills are variously referred to as future skills, 21</w:t>
      </w:r>
      <w:r w:rsidRPr="00E20451">
        <w:rPr>
          <w:vertAlign w:val="superscript"/>
          <w:lang w:val="en-AU"/>
        </w:rPr>
        <w:t>st</w:t>
      </w:r>
      <w:r w:rsidRPr="00E20451">
        <w:rPr>
          <w:lang w:val="en-AU"/>
        </w:rPr>
        <w:t xml:space="preserve"> century skills, enterprise skills, or enabling skills. This paper refers to them as ‘enterprise and social skills’. Enterprise and social skills are the skills that a person will need in order to thrive in the twenty-first century, not just in work, but also in life. While these skills are not necessarily new, they are seen as increasingly important given ongoing change in the nature of work. The Productivity Commission states that for many future jobs, these kinds of skills will be needed as part of core competencies.</w:t>
      </w:r>
      <w:r w:rsidRPr="00E20451">
        <w:rPr>
          <w:rStyle w:val="FootnoteReference"/>
          <w:lang w:val="en-AU"/>
        </w:rPr>
        <w:footnoteReference w:id="2"/>
      </w:r>
    </w:p>
    <w:p w14:paraId="016DEA65" w14:textId="7EFD1C61" w:rsidR="00EB545E" w:rsidRPr="00E20451" w:rsidRDefault="00E20451" w:rsidP="00EB545E">
      <w:pPr>
        <w:pStyle w:val="BodyText"/>
        <w:rPr>
          <w:color w:val="4F81BD" w:themeColor="accent1"/>
          <w:lang w:val="en-AU"/>
        </w:rPr>
      </w:pPr>
      <w:r>
        <w:rPr>
          <w:lang w:val="en-AU"/>
        </w:rPr>
        <w:t xml:space="preserve">In its paper, </w:t>
      </w:r>
      <w:r w:rsidRPr="00E20451">
        <w:rPr>
          <w:i/>
          <w:lang w:val="en-AU"/>
        </w:rPr>
        <w:t>Connecting for Productivity</w:t>
      </w:r>
      <w:r w:rsidR="00EB545E" w:rsidRPr="00E20451">
        <w:rPr>
          <w:lang w:val="en-AU"/>
        </w:rPr>
        <w:t>, the Ai Group asserts that employers are seeking ‘graduates who develop in-depth disciplinary knowledge but also develop skills and abilities not simply specific to one area’.</w:t>
      </w:r>
      <w:r w:rsidR="00EB545E" w:rsidRPr="00E20451">
        <w:rPr>
          <w:rStyle w:val="FootnoteReference"/>
          <w:lang w:val="en-AU"/>
        </w:rPr>
        <w:footnoteReference w:id="3"/>
      </w:r>
      <w:r w:rsidR="00EB545E" w:rsidRPr="00E20451">
        <w:rPr>
          <w:lang w:val="en-AU"/>
        </w:rPr>
        <w:t xml:space="preserve"> Australia’s Chief Scientist, Dr Alan Finkel AO, has also emphasised the importance of T</w:t>
      </w:r>
      <w:r>
        <w:rPr>
          <w:lang w:val="en-AU"/>
        </w:rPr>
        <w:noBreakHyphen/>
      </w:r>
      <w:r w:rsidR="00EB545E" w:rsidRPr="00E20451">
        <w:rPr>
          <w:lang w:val="en-AU"/>
        </w:rPr>
        <w:t>shaped workers. He explained that the vertical line of the T represents deep expertise in a discipline, which should be acquired first. The horizontal line signifies the flexibility to apply that expertise creatively, as part of a team in a workplace, and to develop new skills as opportunities present.</w:t>
      </w:r>
      <w:r w:rsidR="00EB545E" w:rsidRPr="00E20451">
        <w:rPr>
          <w:rStyle w:val="FootnoteReference"/>
          <w:lang w:val="en-AU"/>
        </w:rPr>
        <w:footnoteReference w:id="4"/>
      </w:r>
      <w:r w:rsidR="00EB545E" w:rsidRPr="00E20451">
        <w:rPr>
          <w:color w:val="4F81BD" w:themeColor="accent1"/>
          <w:lang w:val="en-AU"/>
        </w:rPr>
        <w:t xml:space="preserve"> </w:t>
      </w:r>
    </w:p>
    <w:p w14:paraId="10BA14F4" w14:textId="3E8BF913" w:rsidR="00EB545E" w:rsidRPr="00E20451" w:rsidRDefault="00EB545E" w:rsidP="00E20451">
      <w:pPr>
        <w:pStyle w:val="BodyText"/>
        <w:rPr>
          <w:lang w:val="en-AU"/>
        </w:rPr>
      </w:pPr>
      <w:r w:rsidRPr="00E20451">
        <w:rPr>
          <w:lang w:val="en-AU"/>
        </w:rPr>
        <w:t>The Business Council of Australia (BCA) has noted that a qualification based on just technical skills and knowledge is unlikely to be enough, as employers are looking for workers with a mixture of skills, values and behaviours.</w:t>
      </w:r>
      <w:r w:rsidRPr="00E20451">
        <w:rPr>
          <w:rStyle w:val="FootnoteReference"/>
          <w:lang w:val="en-AU"/>
        </w:rPr>
        <w:footnoteReference w:id="5"/>
      </w:r>
      <w:r w:rsidRPr="00E20451">
        <w:rPr>
          <w:lang w:val="en-AU"/>
        </w:rPr>
        <w:t xml:space="preserve"> </w:t>
      </w:r>
      <w:r w:rsidR="00716C78">
        <w:rPr>
          <w:lang w:val="en-AU"/>
        </w:rPr>
        <w:t xml:space="preserve">BCA’s report, </w:t>
      </w:r>
      <w:r w:rsidR="00716C78" w:rsidRPr="00E20451">
        <w:rPr>
          <w:i/>
          <w:lang w:val="en-AU"/>
        </w:rPr>
        <w:t>Future Proof, Protecting Australians through Education and Skills,</w:t>
      </w:r>
      <w:r w:rsidRPr="00E20451">
        <w:rPr>
          <w:lang w:val="en-AU"/>
        </w:rPr>
        <w:t xml:space="preserve"> shows the mix of skills, values and behaviours the BCA believes are required for work readiness.</w:t>
      </w:r>
      <w:r w:rsidRPr="00E20451">
        <w:rPr>
          <w:rStyle w:val="FootnoteReference"/>
          <w:sz w:val="18"/>
          <w:szCs w:val="18"/>
          <w:lang w:val="en-AU"/>
        </w:rPr>
        <w:footnoteReference w:id="6"/>
      </w:r>
      <w:r w:rsidRPr="00E20451">
        <w:rPr>
          <w:lang w:val="en-AU"/>
        </w:rPr>
        <w:t xml:space="preserve"> In addition to these, the Foundation for Young Australians (FYA) stresses the need for entrepreneurial</w:t>
      </w:r>
      <w:r w:rsidRPr="00E20451">
        <w:rPr>
          <w:rStyle w:val="FootnoteReference"/>
          <w:lang w:val="en-AU"/>
        </w:rPr>
        <w:footnoteReference w:id="7"/>
      </w:r>
      <w:r w:rsidRPr="00E20451">
        <w:rPr>
          <w:lang w:val="en-AU"/>
        </w:rPr>
        <w:t xml:space="preserve"> and career management skills for effectively preparing young people to navigate through multiple jobs.</w:t>
      </w:r>
      <w:r w:rsidRPr="00E20451">
        <w:rPr>
          <w:vertAlign w:val="superscript"/>
          <w:lang w:val="en-AU"/>
        </w:rPr>
        <w:footnoteReference w:id="8"/>
      </w:r>
    </w:p>
    <w:p w14:paraId="0FD83F3D" w14:textId="6DC967F7" w:rsidR="00EB545E" w:rsidRPr="00E20451" w:rsidRDefault="00EB545E" w:rsidP="00EB545E">
      <w:pPr>
        <w:pStyle w:val="Heading3"/>
        <w:rPr>
          <w:color w:val="2E74B5"/>
          <w:lang w:val="en-AU"/>
        </w:rPr>
      </w:pPr>
      <w:r w:rsidRPr="00E20451">
        <w:rPr>
          <w:lang w:val="en-AU"/>
        </w:rPr>
        <w:t>Enterprise and social skills debate</w:t>
      </w:r>
    </w:p>
    <w:p w14:paraId="75FEBB62" w14:textId="2C7B9659" w:rsidR="00EB545E" w:rsidRPr="00E20451" w:rsidRDefault="00E20451" w:rsidP="00EB545E">
      <w:pPr>
        <w:pStyle w:val="BodyText"/>
        <w:rPr>
          <w:lang w:val="en-AU"/>
        </w:rPr>
      </w:pPr>
      <w:r>
        <w:rPr>
          <w:lang w:val="en-AU"/>
        </w:rPr>
        <w:t>Enterprise and s</w:t>
      </w:r>
      <w:r w:rsidR="00716C78">
        <w:rPr>
          <w:lang w:val="en-AU"/>
        </w:rPr>
        <w:t>ocial</w:t>
      </w:r>
      <w:r w:rsidR="00EB545E" w:rsidRPr="00E20451">
        <w:rPr>
          <w:lang w:val="en-AU"/>
        </w:rPr>
        <w:t xml:space="preserve"> skills may be attractive in an employee, but there is less certainty about how they may be acquired through the education system </w:t>
      </w:r>
    </w:p>
    <w:p w14:paraId="48678F98" w14:textId="4D9E2AF6" w:rsidR="00EB545E" w:rsidRPr="00E20451" w:rsidRDefault="00EB545E" w:rsidP="00EB545E">
      <w:pPr>
        <w:pStyle w:val="BodyText"/>
        <w:rPr>
          <w:lang w:val="en-AU"/>
        </w:rPr>
      </w:pPr>
      <w:r w:rsidRPr="00E20451">
        <w:rPr>
          <w:lang w:val="en-AU"/>
        </w:rPr>
        <w:t>There is debate about ‘social’ skills:</w:t>
      </w:r>
    </w:p>
    <w:p w14:paraId="47FC90C3" w14:textId="77777777" w:rsidR="00EB545E" w:rsidRPr="00BB2E80" w:rsidRDefault="00EB545E" w:rsidP="00EB545E">
      <w:pPr>
        <w:pStyle w:val="bullet1"/>
      </w:pPr>
      <w:r w:rsidRPr="00BB2E80">
        <w:t>whether they reflect personal attributes and personality traits</w:t>
      </w:r>
    </w:p>
    <w:p w14:paraId="3F4A5AD0" w14:textId="77777777" w:rsidR="00EB545E" w:rsidRPr="00BB2E80" w:rsidRDefault="00EB545E" w:rsidP="00EB545E">
      <w:pPr>
        <w:pStyle w:val="bullet1"/>
      </w:pPr>
      <w:r w:rsidRPr="00BB2E80">
        <w:t>how they are to be defined</w:t>
      </w:r>
    </w:p>
    <w:p w14:paraId="228AAC77" w14:textId="77777777" w:rsidR="00EB545E" w:rsidRPr="00BB2E80" w:rsidRDefault="00EB545E" w:rsidP="00EB545E">
      <w:pPr>
        <w:pStyle w:val="bullet1"/>
      </w:pPr>
      <w:r w:rsidRPr="00BB2E80">
        <w:t>which are the most critical skills to focus on</w:t>
      </w:r>
    </w:p>
    <w:p w14:paraId="3D070EF9" w14:textId="77777777" w:rsidR="00EB545E" w:rsidRPr="00BB2E80" w:rsidRDefault="00EB545E" w:rsidP="00EB545E">
      <w:pPr>
        <w:pStyle w:val="bullet1"/>
      </w:pPr>
      <w:r w:rsidRPr="00BB2E80">
        <w:t>whether they are transferable across different contexts</w:t>
      </w:r>
    </w:p>
    <w:p w14:paraId="52D633B5" w14:textId="77777777" w:rsidR="00EB545E" w:rsidRPr="00BB2E80" w:rsidRDefault="00EB545E" w:rsidP="00EB545E">
      <w:pPr>
        <w:pStyle w:val="bullet1"/>
      </w:pPr>
      <w:r w:rsidRPr="00BB2E80">
        <w:t>whether they can be taught and assessed through the education system</w:t>
      </w:r>
    </w:p>
    <w:p w14:paraId="7E8A8B01" w14:textId="77777777" w:rsidR="00EB545E" w:rsidRPr="00BB2E80" w:rsidRDefault="00EB545E" w:rsidP="00EB545E">
      <w:pPr>
        <w:pStyle w:val="bullet1"/>
      </w:pPr>
      <w:r w:rsidRPr="00BB2E80">
        <w:t>whether they can be considered legitimate learning outcomes in their own right.</w:t>
      </w:r>
    </w:p>
    <w:p w14:paraId="2403A6EB" w14:textId="1B2BA56B" w:rsidR="00EB545E" w:rsidRPr="00E20451" w:rsidRDefault="00EB545E" w:rsidP="00EB545E">
      <w:pPr>
        <w:pStyle w:val="BodyText"/>
        <w:rPr>
          <w:lang w:val="en-AU"/>
        </w:rPr>
      </w:pPr>
      <w:r w:rsidRPr="00E20451">
        <w:rPr>
          <w:lang w:val="en-AU"/>
        </w:rPr>
        <w:lastRenderedPageBreak/>
        <w:t>Some argue that social skills are not actually skills but a cluster of personality traits, social graces, communication, personal habits, friendliness, managing people, leadership, etc. that characterise relationships with other people.</w:t>
      </w:r>
      <w:r w:rsidRPr="00E20451">
        <w:rPr>
          <w:vertAlign w:val="superscript"/>
          <w:lang w:val="en-AU"/>
        </w:rPr>
        <w:footnoteReference w:id="9"/>
      </w:r>
      <w:r w:rsidRPr="00E20451">
        <w:rPr>
          <w:lang w:val="en-AU"/>
        </w:rPr>
        <w:t xml:space="preserve"> There may be difficulty in teaching these traits because they are not based on knowledge</w:t>
      </w:r>
      <w:r w:rsidRPr="00E20451">
        <w:rPr>
          <w:vertAlign w:val="superscript"/>
          <w:lang w:val="en-AU"/>
        </w:rPr>
        <w:footnoteReference w:id="10"/>
      </w:r>
      <w:r w:rsidRPr="00E20451">
        <w:rPr>
          <w:lang w:val="en-AU"/>
        </w:rPr>
        <w:t xml:space="preserve"> and they are not easily quantified and measured.</w:t>
      </w:r>
      <w:r w:rsidRPr="00E20451">
        <w:rPr>
          <w:vertAlign w:val="superscript"/>
          <w:lang w:val="en-AU"/>
        </w:rPr>
        <w:footnoteReference w:id="11"/>
      </w:r>
    </w:p>
    <w:p w14:paraId="3B273B18" w14:textId="514FAEA8" w:rsidR="00EB545E" w:rsidRPr="00E20451" w:rsidRDefault="00EB545E" w:rsidP="00EB545E">
      <w:pPr>
        <w:pStyle w:val="BodyText"/>
        <w:rPr>
          <w:lang w:val="en-AU"/>
        </w:rPr>
      </w:pPr>
      <w:r w:rsidRPr="00E20451">
        <w:rPr>
          <w:lang w:val="en-AU"/>
        </w:rPr>
        <w:t>Buchanan et al. suggest that these skills cannot be acquired in isolation from knowledge of the domain in which they will be applied.</w:t>
      </w:r>
      <w:r w:rsidRPr="00E20451">
        <w:rPr>
          <w:vertAlign w:val="superscript"/>
          <w:lang w:val="en-AU"/>
        </w:rPr>
        <w:footnoteReference w:id="12"/>
      </w:r>
      <w:r w:rsidRPr="00E20451">
        <w:rPr>
          <w:lang w:val="en-AU"/>
        </w:rPr>
        <w:t xml:space="preserve"> For example, an effective ‘problem solver’ in a preschool kindergarten may have little to contribute to solving the problem of an uncontrolled fire on an oilrig. Equally a highly skilled mining engineer may </w:t>
      </w:r>
      <w:r w:rsidR="002E37FC" w:rsidRPr="00E20451">
        <w:rPr>
          <w:lang w:val="en-AU"/>
        </w:rPr>
        <w:t xml:space="preserve">not be able to solve problems in a </w:t>
      </w:r>
      <w:r w:rsidRPr="00E20451">
        <w:rPr>
          <w:lang w:val="en-AU"/>
        </w:rPr>
        <w:t>preschool.</w:t>
      </w:r>
      <w:r w:rsidRPr="00E20451">
        <w:rPr>
          <w:vertAlign w:val="superscript"/>
          <w:lang w:val="en-AU"/>
        </w:rPr>
        <w:footnoteReference w:id="13"/>
      </w:r>
    </w:p>
    <w:p w14:paraId="6B12EA9F" w14:textId="264C2697" w:rsidR="00EB545E" w:rsidRPr="00E20451" w:rsidRDefault="00EB545E" w:rsidP="00EB545E">
      <w:pPr>
        <w:pStyle w:val="BodyText"/>
        <w:rPr>
          <w:lang w:val="en-AU"/>
        </w:rPr>
      </w:pPr>
      <w:r w:rsidRPr="00E20451">
        <w:rPr>
          <w:lang w:val="en-AU"/>
        </w:rPr>
        <w:t>Lamb et al., suggest that all of these skills can be learned and developed, although they are better considered as partly context, or content, dependent rather than purely generic.</w:t>
      </w:r>
      <w:r w:rsidRPr="00E20451">
        <w:rPr>
          <w:vertAlign w:val="superscript"/>
          <w:lang w:val="en-AU"/>
        </w:rPr>
        <w:footnoteReference w:id="14"/>
      </w:r>
      <w:r w:rsidRPr="00E20451">
        <w:rPr>
          <w:lang w:val="en-AU"/>
        </w:rPr>
        <w:t xml:space="preserve"> For example, being skilled in creative and critical thinking in mathematics may not translate into creative and critical thinking in English.</w:t>
      </w:r>
      <w:r w:rsidRPr="00E20451">
        <w:rPr>
          <w:vertAlign w:val="superscript"/>
          <w:lang w:val="en-AU"/>
        </w:rPr>
        <w:footnoteReference w:id="15"/>
      </w:r>
      <w:r w:rsidRPr="00E20451">
        <w:rPr>
          <w:lang w:val="en-AU"/>
        </w:rPr>
        <w:t xml:space="preserve"> </w:t>
      </w:r>
    </w:p>
    <w:p w14:paraId="4FBFCCF9" w14:textId="77777777" w:rsidR="00EB545E" w:rsidRPr="00E20451" w:rsidRDefault="00EB545E" w:rsidP="00EB545E">
      <w:pPr>
        <w:pStyle w:val="BodyText"/>
        <w:rPr>
          <w:lang w:val="en-AU"/>
        </w:rPr>
      </w:pPr>
      <w:r w:rsidRPr="00E20451">
        <w:rPr>
          <w:lang w:val="en-AU"/>
        </w:rPr>
        <w:t>Some people suggest that it is possible to teach these skills by providing facilitating environments or interventions like coaching, training and leadership development.</w:t>
      </w:r>
      <w:r w:rsidRPr="00E20451">
        <w:rPr>
          <w:vertAlign w:val="superscript"/>
          <w:lang w:val="en-AU"/>
        </w:rPr>
        <w:footnoteReference w:id="16"/>
      </w:r>
      <w:r w:rsidRPr="00E20451">
        <w:rPr>
          <w:lang w:val="en-AU"/>
        </w:rPr>
        <w:t xml:space="preserve"> Others suggest that these skills cannot be taught by demonstration; they need to be taught by participation.</w:t>
      </w:r>
      <w:r w:rsidRPr="00E20451">
        <w:rPr>
          <w:vertAlign w:val="superscript"/>
          <w:lang w:val="en-AU"/>
        </w:rPr>
        <w:footnoteReference w:id="17"/>
      </w:r>
    </w:p>
    <w:p w14:paraId="0C274600" w14:textId="78EC33E0" w:rsidR="00EB545E" w:rsidRPr="00E20451" w:rsidRDefault="00EB545E" w:rsidP="00EB545E">
      <w:pPr>
        <w:pStyle w:val="BodyText"/>
        <w:rPr>
          <w:lang w:val="en-AU"/>
        </w:rPr>
      </w:pPr>
      <w:r w:rsidRPr="00E20451">
        <w:rPr>
          <w:lang w:val="en-AU"/>
        </w:rPr>
        <w:t>There is an issue around establishing valid and reliable measurement and evaluation tools for these skills, which is a critical hurdle for the education and training system.</w:t>
      </w:r>
      <w:r w:rsidRPr="00E20451">
        <w:rPr>
          <w:vertAlign w:val="superscript"/>
          <w:lang w:val="en-AU"/>
        </w:rPr>
        <w:footnoteReference w:id="18"/>
      </w:r>
      <w:r w:rsidRPr="00E20451">
        <w:rPr>
          <w:lang w:val="en-AU"/>
        </w:rPr>
        <w:t xml:space="preserve"> Experts argue that ‘social’ skills are difficult to measure using objective,</w:t>
      </w:r>
      <w:r w:rsidRPr="00E20451">
        <w:rPr>
          <w:vertAlign w:val="superscript"/>
          <w:lang w:val="en-AU"/>
        </w:rPr>
        <w:footnoteReference w:id="19"/>
      </w:r>
      <w:r w:rsidRPr="00E20451">
        <w:rPr>
          <w:lang w:val="en-AU"/>
        </w:rPr>
        <w:t xml:space="preserve"> direct assessment (measurement tends to mostly rely on self-reporting).</w:t>
      </w:r>
      <w:r w:rsidRPr="00E20451">
        <w:rPr>
          <w:vertAlign w:val="superscript"/>
          <w:lang w:val="en-AU"/>
        </w:rPr>
        <w:footnoteReference w:id="20"/>
      </w:r>
      <w:r w:rsidRPr="00E20451">
        <w:rPr>
          <w:lang w:val="en-AU"/>
        </w:rPr>
        <w:t xml:space="preserve"> The assessment and evaluation of ‘social’ skills is considered as a major challenge because the theory and measurement of these skills is still very much ‘in its infancy’. </w:t>
      </w:r>
      <w:r w:rsidR="002B2DED" w:rsidRPr="00E20451">
        <w:rPr>
          <w:lang w:val="en-AU"/>
        </w:rPr>
        <w:t>Some researchers consider that t</w:t>
      </w:r>
      <w:r w:rsidRPr="00E20451">
        <w:rPr>
          <w:lang w:val="en-AU"/>
        </w:rPr>
        <w:t>he rich body of experience, as we have with how to teach and assess literacy and numeracy, doesn’t yet exist for things like ‘creative thinking or ‘resilience’ etc.</w:t>
      </w:r>
      <w:r w:rsidRPr="00E20451">
        <w:rPr>
          <w:vertAlign w:val="superscript"/>
          <w:lang w:val="en-AU"/>
        </w:rPr>
        <w:footnoteReference w:id="21"/>
      </w:r>
    </w:p>
    <w:p w14:paraId="59B523CC" w14:textId="766D8474" w:rsidR="00EB545E" w:rsidRPr="00E20451" w:rsidRDefault="00EB545E" w:rsidP="00EB545E">
      <w:pPr>
        <w:pStyle w:val="BodyText"/>
        <w:rPr>
          <w:lang w:val="en-AU"/>
        </w:rPr>
      </w:pPr>
      <w:r w:rsidRPr="00E20451">
        <w:rPr>
          <w:lang w:val="en-AU"/>
        </w:rPr>
        <w:t>There is also no way to ensure that the successful acquisition of ‘social’ skills by students is definitely going to result in them successfully applying these skills, behaviours and values in their life and work.</w:t>
      </w:r>
    </w:p>
    <w:p w14:paraId="152B32FC" w14:textId="77777777" w:rsidR="00EB545E" w:rsidRPr="00E20451" w:rsidRDefault="00EB545E" w:rsidP="00EB545E">
      <w:pPr>
        <w:pStyle w:val="Heading2"/>
        <w:rPr>
          <w:lang w:val="en-AU"/>
        </w:rPr>
      </w:pPr>
      <w:r w:rsidRPr="00E20451">
        <w:rPr>
          <w:lang w:val="en-AU"/>
        </w:rPr>
        <w:t xml:space="preserve">New teaching and learning methods </w:t>
      </w:r>
    </w:p>
    <w:p w14:paraId="354FBA46" w14:textId="37F8427C" w:rsidR="00EB545E" w:rsidRPr="00E20451" w:rsidRDefault="00EB545E" w:rsidP="00EB545E">
      <w:pPr>
        <w:pStyle w:val="BodyText"/>
        <w:rPr>
          <w:lang w:val="en-AU"/>
        </w:rPr>
      </w:pPr>
      <w:r w:rsidRPr="00E20451">
        <w:rPr>
          <w:lang w:val="en-AU"/>
        </w:rPr>
        <w:t>Changes in technology are also changing ways of teaching and learning.</w:t>
      </w:r>
      <w:r w:rsidRPr="00E20451">
        <w:rPr>
          <w:vertAlign w:val="superscript"/>
          <w:lang w:val="en-AU"/>
        </w:rPr>
        <w:footnoteReference w:id="22"/>
      </w:r>
      <w:r w:rsidRPr="00E20451">
        <w:rPr>
          <w:lang w:val="en-AU"/>
        </w:rPr>
        <w:t xml:space="preserve"> The Ai Group has predicted the need for faster, cheaper and on-demand delivery of new learning experiences</w:t>
      </w:r>
      <w:r w:rsidRPr="00E20451">
        <w:rPr>
          <w:color w:val="76923C" w:themeColor="accent3" w:themeShade="BF"/>
          <w:lang w:val="en-AU"/>
        </w:rPr>
        <w:t xml:space="preserve"> </w:t>
      </w:r>
      <w:r w:rsidRPr="00E20451">
        <w:rPr>
          <w:lang w:val="en-AU"/>
        </w:rPr>
        <w:t>to cater for the</w:t>
      </w:r>
      <w:r w:rsidRPr="00E20451">
        <w:rPr>
          <w:color w:val="76923C" w:themeColor="accent3" w:themeShade="BF"/>
          <w:lang w:val="en-AU"/>
        </w:rPr>
        <w:t xml:space="preserve"> </w:t>
      </w:r>
      <w:r w:rsidRPr="00E20451">
        <w:rPr>
          <w:lang w:val="en-AU"/>
        </w:rPr>
        <w:t>skills</w:t>
      </w:r>
      <w:r w:rsidRPr="00E20451">
        <w:rPr>
          <w:color w:val="76923C" w:themeColor="accent3" w:themeShade="BF"/>
          <w:lang w:val="en-AU"/>
        </w:rPr>
        <w:t xml:space="preserve"> </w:t>
      </w:r>
      <w:r w:rsidRPr="00E20451">
        <w:rPr>
          <w:lang w:val="en-AU"/>
        </w:rPr>
        <w:t>needed in the future workforce.</w:t>
      </w:r>
      <w:r w:rsidRPr="00E20451">
        <w:rPr>
          <w:vertAlign w:val="superscript"/>
          <w:lang w:val="en-AU"/>
        </w:rPr>
        <w:footnoteReference w:id="23"/>
      </w:r>
      <w:r w:rsidRPr="00E20451">
        <w:rPr>
          <w:lang w:val="en-AU"/>
        </w:rPr>
        <w:t xml:space="preserve"> We are already seeing increased use of online education (</w:t>
      </w:r>
      <w:r w:rsidR="00E20451">
        <w:rPr>
          <w:lang w:val="en-AU"/>
        </w:rPr>
        <w:t xml:space="preserve">for </w:t>
      </w:r>
      <w:r w:rsidR="00E20451">
        <w:rPr>
          <w:lang w:val="en-AU"/>
        </w:rPr>
        <w:lastRenderedPageBreak/>
        <w:t xml:space="preserve">example </w:t>
      </w:r>
      <w:r w:rsidRPr="00E20451">
        <w:rPr>
          <w:lang w:val="en-AU"/>
        </w:rPr>
        <w:t>M</w:t>
      </w:r>
      <w:r w:rsidR="00E20451">
        <w:rPr>
          <w:lang w:val="en-AU"/>
        </w:rPr>
        <w:t xml:space="preserve">assive </w:t>
      </w:r>
      <w:r w:rsidRPr="00E20451">
        <w:rPr>
          <w:lang w:val="en-AU"/>
        </w:rPr>
        <w:t>O</w:t>
      </w:r>
      <w:r w:rsidR="00E20451">
        <w:rPr>
          <w:lang w:val="en-AU"/>
        </w:rPr>
        <w:t xml:space="preserve">pen </w:t>
      </w:r>
      <w:r w:rsidRPr="00E20451">
        <w:rPr>
          <w:lang w:val="en-AU"/>
        </w:rPr>
        <w:t>O</w:t>
      </w:r>
      <w:r w:rsidR="00E20451">
        <w:rPr>
          <w:lang w:val="en-AU"/>
        </w:rPr>
        <w:t xml:space="preserve">nline </w:t>
      </w:r>
      <w:r w:rsidRPr="00E20451">
        <w:rPr>
          <w:lang w:val="en-AU"/>
        </w:rPr>
        <w:t>C</w:t>
      </w:r>
      <w:r w:rsidR="00E20451">
        <w:rPr>
          <w:lang w:val="en-AU"/>
        </w:rPr>
        <w:t>ourse</w:t>
      </w:r>
      <w:bookmarkStart w:id="0" w:name="_GoBack"/>
      <w:bookmarkEnd w:id="0"/>
      <w:r w:rsidRPr="00E20451">
        <w:rPr>
          <w:lang w:val="en-AU"/>
        </w:rPr>
        <w:t xml:space="preserve">s), and the rise in popularity of micro-credentials and digital badges.  </w:t>
      </w:r>
    </w:p>
    <w:p w14:paraId="4EA9E945" w14:textId="30C2CB5B" w:rsidR="00EB545E" w:rsidRPr="00E20451" w:rsidRDefault="00EB545E" w:rsidP="00EB545E">
      <w:pPr>
        <w:pStyle w:val="BodyText"/>
        <w:rPr>
          <w:color w:val="76923C" w:themeColor="accent3" w:themeShade="BF"/>
          <w:lang w:val="en-AU"/>
        </w:rPr>
      </w:pPr>
      <w:r w:rsidRPr="00E20451">
        <w:rPr>
          <w:lang w:val="en-AU"/>
        </w:rPr>
        <w:t xml:space="preserve">Online learning is gaining popularity because it is either free (not including certification of skills and knowledge acquired) or </w:t>
      </w:r>
      <w:r w:rsidR="0071612E" w:rsidRPr="00E20451">
        <w:rPr>
          <w:lang w:val="en-AU"/>
        </w:rPr>
        <w:t xml:space="preserve">may be </w:t>
      </w:r>
      <w:r w:rsidRPr="00E20451">
        <w:rPr>
          <w:lang w:val="en-AU"/>
        </w:rPr>
        <w:t>less costly (including certification of skills and knowledge acquired) compared to face-to-face learning.</w:t>
      </w:r>
      <w:r w:rsidRPr="00E20451">
        <w:rPr>
          <w:vertAlign w:val="superscript"/>
          <w:lang w:val="en-AU"/>
        </w:rPr>
        <w:footnoteReference w:id="24"/>
      </w:r>
      <w:r w:rsidRPr="00E20451">
        <w:rPr>
          <w:lang w:val="en-AU"/>
        </w:rPr>
        <w:t xml:space="preserve"> It is also better suited for people ‘who are working, have caring responsibilities, are geographically distant, or who want to undertake a course at a speed that suits them’.</w:t>
      </w:r>
      <w:r w:rsidRPr="00E20451">
        <w:rPr>
          <w:rStyle w:val="FootnoteReference"/>
          <w:lang w:val="en-AU"/>
        </w:rPr>
        <w:footnoteReference w:id="25"/>
      </w:r>
    </w:p>
    <w:p w14:paraId="6766CDBC" w14:textId="188F1835" w:rsidR="00EB545E" w:rsidRPr="00E20451" w:rsidRDefault="00EB545E" w:rsidP="00EB545E">
      <w:pPr>
        <w:pStyle w:val="BodyText"/>
        <w:rPr>
          <w:lang w:val="en-AU"/>
        </w:rPr>
      </w:pPr>
      <w:r w:rsidRPr="00E20451">
        <w:rPr>
          <w:lang w:val="en-AU"/>
        </w:rPr>
        <w:t>The demand for short courses or micro-credentials appears to be increasing. This is because they are short, available just-in-time</w:t>
      </w:r>
      <w:r w:rsidRPr="00E20451">
        <w:rPr>
          <w:rStyle w:val="FootnoteReference"/>
          <w:rFonts w:cstheme="minorHAnsi"/>
          <w:lang w:val="en-AU"/>
        </w:rPr>
        <w:footnoteReference w:id="26"/>
      </w:r>
      <w:r w:rsidRPr="00E20451">
        <w:rPr>
          <w:lang w:val="en-AU"/>
        </w:rPr>
        <w:t xml:space="preserve"> and suitable for upskilling workers based on changing market needs,</w:t>
      </w:r>
      <w:r w:rsidRPr="00E20451">
        <w:rPr>
          <w:rStyle w:val="FootnoteReference"/>
          <w:rFonts w:cstheme="minorHAnsi"/>
          <w:lang w:val="en-AU"/>
        </w:rPr>
        <w:footnoteReference w:id="27"/>
      </w:r>
      <w:r w:rsidRPr="00E20451">
        <w:rPr>
          <w:lang w:val="en-AU"/>
        </w:rPr>
        <w:t xml:space="preserve"> which may enhance job security. Shorter forms of learning are also suitable for incrementally acquiring skills and knowledge over a person’s career (life-long learning).</w:t>
      </w:r>
      <w:r w:rsidRPr="00E20451">
        <w:rPr>
          <w:rStyle w:val="FootnoteReference"/>
          <w:rFonts w:cstheme="minorHAnsi"/>
          <w:lang w:val="en-AU"/>
        </w:rPr>
        <w:footnoteReference w:id="28"/>
      </w:r>
      <w:r w:rsidRPr="00E20451">
        <w:rPr>
          <w:lang w:val="en-AU"/>
        </w:rPr>
        <w:t xml:space="preserve"> These credentials could be combined to build formal qualifications.</w:t>
      </w:r>
      <w:r w:rsidRPr="00E20451">
        <w:rPr>
          <w:rStyle w:val="FootnoteReference"/>
          <w:rFonts w:cstheme="minorHAnsi"/>
          <w:lang w:val="en-AU"/>
        </w:rPr>
        <w:footnoteReference w:id="29"/>
      </w:r>
      <w:r w:rsidRPr="00E20451">
        <w:rPr>
          <w:lang w:val="en-AU"/>
        </w:rPr>
        <w:t xml:space="preserve"> </w:t>
      </w:r>
    </w:p>
    <w:p w14:paraId="6DEFA50C" w14:textId="77777777" w:rsidR="00EB545E" w:rsidRPr="00E20451" w:rsidRDefault="00EB545E" w:rsidP="00EB545E">
      <w:pPr>
        <w:pStyle w:val="BodyText"/>
        <w:rPr>
          <w:lang w:val="en-AU"/>
        </w:rPr>
      </w:pPr>
    </w:p>
    <w:p w14:paraId="064FC504" w14:textId="77777777" w:rsidR="00EB545E" w:rsidRPr="00BB2E80" w:rsidRDefault="00EB545E" w:rsidP="00EB545E">
      <w:pPr>
        <w:pStyle w:val="BodyText"/>
        <w:rPr>
          <w:lang w:val="en-AU"/>
        </w:rPr>
      </w:pPr>
    </w:p>
    <w:sectPr w:rsidR="00EB545E" w:rsidRPr="00BB2E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E1B6" w14:textId="77777777" w:rsidR="00FD4306" w:rsidRDefault="00FD4306">
      <w:r>
        <w:separator/>
      </w:r>
    </w:p>
    <w:p w14:paraId="5BFB2FB1" w14:textId="77777777" w:rsidR="00FD4306" w:rsidRDefault="00FD4306"/>
    <w:p w14:paraId="54C8B58E" w14:textId="77777777" w:rsidR="00FD4306" w:rsidRDefault="00FD4306"/>
    <w:p w14:paraId="50A5015E" w14:textId="77777777" w:rsidR="00FD4306" w:rsidRDefault="00FD4306"/>
    <w:p w14:paraId="6ABB41C9" w14:textId="77777777" w:rsidR="004E1349" w:rsidRDefault="004E1349"/>
  </w:endnote>
  <w:endnote w:type="continuationSeparator" w:id="0">
    <w:p w14:paraId="7C1A3CCE" w14:textId="77777777" w:rsidR="00FD4306" w:rsidRDefault="00FD4306">
      <w:r>
        <w:continuationSeparator/>
      </w:r>
    </w:p>
    <w:p w14:paraId="5C9A0858" w14:textId="77777777" w:rsidR="00FD4306" w:rsidRDefault="00FD4306"/>
    <w:p w14:paraId="4DDDA33D" w14:textId="77777777" w:rsidR="00FD4306" w:rsidRDefault="00FD4306"/>
    <w:p w14:paraId="45319007" w14:textId="77777777" w:rsidR="00FD4306" w:rsidRDefault="00FD4306"/>
    <w:p w14:paraId="40ADFACA" w14:textId="77777777" w:rsidR="004E1349" w:rsidRDefault="004E1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Light">
    <w:altName w:val="Gill Sans Light"/>
    <w:charset w:val="00"/>
    <w:family w:val="swiss"/>
    <w:pitch w:val="variable"/>
    <w:sig w:usb0="00000003" w:usb1="00000000" w:usb2="00000000" w:usb3="00000000" w:csb0="00000001" w:csb1="00000000"/>
  </w:font>
  <w:font w:name="Gill Sans">
    <w:altName w:val="Segoe UI"/>
    <w:charset w:val="00"/>
    <w:family w:val="auto"/>
    <w:pitch w:val="variable"/>
    <w:sig w:usb0="00000000" w:usb1="00000000" w:usb2="00000000" w:usb3="00000000" w:csb0="000001F7" w:csb1="00000000"/>
  </w:font>
  <w:font w:name="Gill Sans SemiBold">
    <w:altName w:val="Segoe UI Semibold"/>
    <w:charset w:val="00"/>
    <w:family w:val="auto"/>
    <w:pitch w:val="variable"/>
    <w:sig w:usb0="00000001" w:usb1="5000004A" w:usb2="00000000" w:usb3="00000000" w:csb0="00000005" w:csb1="00000000"/>
  </w:font>
  <w:font w:name="GillSans-SemiBold">
    <w:altName w:val="Times New Roman"/>
    <w:panose1 w:val="00000000000000000000"/>
    <w:charset w:val="CD"/>
    <w:family w:val="auto"/>
    <w:notTrueType/>
    <w:pitch w:val="default"/>
    <w:sig w:usb0="00000001" w:usb1="00000000" w:usb2="00000000" w:usb3="00000000" w:csb0="00000000" w:csb1="00000000"/>
  </w:font>
  <w:font w:name="Gill Sans SemiBold Italic">
    <w:altName w:val="Segoe UI Semibold"/>
    <w:charset w:val="00"/>
    <w:family w:val="auto"/>
    <w:pitch w:val="variable"/>
    <w:sig w:usb0="00000001"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5B13" w14:textId="640D8EA2" w:rsidR="004E1349" w:rsidRDefault="00FD4306">
      <w:r>
        <w:separator/>
      </w:r>
    </w:p>
  </w:footnote>
  <w:footnote w:type="continuationSeparator" w:id="0">
    <w:p w14:paraId="6304A85A" w14:textId="34AA092E" w:rsidR="004E1349" w:rsidRDefault="00FD4306">
      <w:r>
        <w:continuationSeparator/>
      </w:r>
    </w:p>
  </w:footnote>
  <w:footnote w:type="continuationNotice" w:id="1">
    <w:p w14:paraId="2A21B344" w14:textId="77777777" w:rsidR="00B810AE" w:rsidRDefault="00B810AE"/>
  </w:footnote>
  <w:footnote w:id="2">
    <w:p w14:paraId="14CBE023" w14:textId="77777777"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Productivity Commission, </w:t>
      </w:r>
      <w:hyperlink r:id="rId1" w:history="1">
        <w:r w:rsidRPr="00E20451">
          <w:rPr>
            <w:rStyle w:val="Hyperlink"/>
            <w:sz w:val="18"/>
            <w:szCs w:val="18"/>
          </w:rPr>
          <w:t>Shifting the Dial: 5 year Productivity Review</w:t>
        </w:r>
      </w:hyperlink>
      <w:r w:rsidRPr="00E20451">
        <w:rPr>
          <w:sz w:val="18"/>
          <w:szCs w:val="18"/>
        </w:rPr>
        <w:t>, 2017, p. 87</w:t>
      </w:r>
    </w:p>
  </w:footnote>
  <w:footnote w:id="3">
    <w:p w14:paraId="70C5D6D1" w14:textId="1A379943" w:rsidR="00EB545E" w:rsidRPr="00E20451" w:rsidRDefault="00EB545E" w:rsidP="00E20451">
      <w:pPr>
        <w:pStyle w:val="BodyText"/>
        <w:spacing w:before="0"/>
        <w:rPr>
          <w:color w:val="FF0000"/>
          <w:sz w:val="18"/>
          <w:szCs w:val="18"/>
        </w:rPr>
      </w:pPr>
      <w:r w:rsidRPr="00E20451">
        <w:rPr>
          <w:rStyle w:val="FootnoteReference"/>
          <w:sz w:val="18"/>
          <w:szCs w:val="18"/>
        </w:rPr>
        <w:footnoteRef/>
      </w:r>
      <w:r w:rsidRPr="00E20451">
        <w:rPr>
          <w:sz w:val="18"/>
          <w:szCs w:val="18"/>
        </w:rPr>
        <w:t xml:space="preserve"> Guest, D. as cited in </w:t>
      </w:r>
      <w:hyperlink r:id="rId2" w:history="1">
        <w:r w:rsidRPr="00E20451">
          <w:rPr>
            <w:rStyle w:val="Hyperlink"/>
            <w:sz w:val="18"/>
            <w:szCs w:val="18"/>
          </w:rPr>
          <w:t>Connecting for Productivity: University and industry partnerships</w:t>
        </w:r>
      </w:hyperlink>
      <w:r w:rsidRPr="00E20451">
        <w:rPr>
          <w:sz w:val="18"/>
          <w:szCs w:val="18"/>
        </w:rPr>
        <w:t>, A</w:t>
      </w:r>
      <w:r w:rsidR="00000235" w:rsidRPr="00E20451">
        <w:rPr>
          <w:sz w:val="18"/>
          <w:szCs w:val="18"/>
        </w:rPr>
        <w:t xml:space="preserve">i </w:t>
      </w:r>
      <w:r w:rsidRPr="00E20451">
        <w:rPr>
          <w:sz w:val="18"/>
          <w:szCs w:val="18"/>
        </w:rPr>
        <w:t>Group,</w:t>
      </w:r>
      <w:r w:rsidRPr="00E20451">
        <w:rPr>
          <w:color w:val="FF0000"/>
          <w:sz w:val="18"/>
          <w:szCs w:val="18"/>
        </w:rPr>
        <w:t xml:space="preserve"> </w:t>
      </w:r>
      <w:r w:rsidRPr="00E20451">
        <w:rPr>
          <w:sz w:val="18"/>
          <w:szCs w:val="18"/>
        </w:rPr>
        <w:t>2016</w:t>
      </w:r>
      <w:r w:rsidR="00256159">
        <w:rPr>
          <w:sz w:val="18"/>
          <w:szCs w:val="18"/>
        </w:rPr>
        <w:t>, p. 2</w:t>
      </w:r>
    </w:p>
  </w:footnote>
  <w:footnote w:id="4">
    <w:p w14:paraId="70CEFD9F" w14:textId="61FF5716"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Finkel, A.</w:t>
      </w:r>
      <w:r w:rsidR="00000235" w:rsidRPr="00E20451">
        <w:rPr>
          <w:sz w:val="18"/>
          <w:szCs w:val="18"/>
        </w:rPr>
        <w:t>,</w:t>
      </w:r>
      <w:r w:rsidRPr="00E20451">
        <w:rPr>
          <w:sz w:val="18"/>
          <w:szCs w:val="18"/>
        </w:rPr>
        <w:t xml:space="preserve"> </w:t>
      </w:r>
      <w:hyperlink r:id="rId3" w:history="1">
        <w:r w:rsidRPr="00E20451">
          <w:rPr>
            <w:rStyle w:val="Hyperlink"/>
            <w:sz w:val="18"/>
            <w:szCs w:val="18"/>
          </w:rPr>
          <w:t>Raising Twenty-First Century Citizens</w:t>
        </w:r>
      </w:hyperlink>
      <w:r w:rsidRPr="00E20451">
        <w:rPr>
          <w:sz w:val="18"/>
          <w:szCs w:val="18"/>
        </w:rPr>
        <w:t>, Australian Science Teachers Association Annual Conference (CONASTA 67) Keynote Address, July 2018</w:t>
      </w:r>
      <w:r w:rsidR="00524D0B">
        <w:rPr>
          <w:sz w:val="18"/>
          <w:szCs w:val="18"/>
        </w:rPr>
        <w:t>, p. 4</w:t>
      </w:r>
    </w:p>
  </w:footnote>
  <w:footnote w:id="5">
    <w:p w14:paraId="6C625ACE" w14:textId="3088F65C" w:rsidR="00EB545E" w:rsidRPr="00E20451" w:rsidRDefault="00EB545E" w:rsidP="00E20451">
      <w:pPr>
        <w:pStyle w:val="BodyText"/>
        <w:spacing w:before="0"/>
        <w:rPr>
          <w:color w:val="FF0000"/>
          <w:sz w:val="18"/>
          <w:szCs w:val="18"/>
        </w:rPr>
      </w:pPr>
      <w:r w:rsidRPr="00E20451">
        <w:rPr>
          <w:rStyle w:val="FootnoteReference"/>
          <w:sz w:val="18"/>
          <w:szCs w:val="18"/>
        </w:rPr>
        <w:footnoteRef/>
      </w:r>
      <w:r w:rsidRPr="00E20451">
        <w:rPr>
          <w:sz w:val="18"/>
          <w:szCs w:val="18"/>
        </w:rPr>
        <w:t xml:space="preserve"> Business Council of Australia, </w:t>
      </w:r>
      <w:hyperlink r:id="rId4" w:history="1">
        <w:r w:rsidRPr="00E20451">
          <w:rPr>
            <w:rStyle w:val="Hyperlink"/>
            <w:sz w:val="18"/>
            <w:szCs w:val="18"/>
          </w:rPr>
          <w:t>Future-Proof: Protecting Australians Through Education and Skills</w:t>
        </w:r>
      </w:hyperlink>
      <w:r w:rsidRPr="00E20451">
        <w:rPr>
          <w:rStyle w:val="Hyperlink"/>
          <w:sz w:val="18"/>
          <w:szCs w:val="18"/>
        </w:rPr>
        <w:t>,</w:t>
      </w:r>
      <w:r w:rsidR="00000235" w:rsidRPr="00E20451">
        <w:rPr>
          <w:sz w:val="18"/>
          <w:szCs w:val="18"/>
        </w:rPr>
        <w:t xml:space="preserve"> 2</w:t>
      </w:r>
      <w:r w:rsidRPr="00E20451">
        <w:rPr>
          <w:sz w:val="18"/>
          <w:szCs w:val="18"/>
        </w:rPr>
        <w:t>017, p. 7, 15</w:t>
      </w:r>
      <w:r w:rsidR="00000235" w:rsidRPr="00E20451">
        <w:rPr>
          <w:sz w:val="18"/>
          <w:szCs w:val="18"/>
        </w:rPr>
        <w:t xml:space="preserve">, </w:t>
      </w:r>
      <w:r w:rsidRPr="00E20451">
        <w:rPr>
          <w:sz w:val="18"/>
          <w:szCs w:val="18"/>
        </w:rPr>
        <w:t>18</w:t>
      </w:r>
    </w:p>
  </w:footnote>
  <w:footnote w:id="6">
    <w:p w14:paraId="1442849A" w14:textId="1160022A"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Business Council of Australia, </w:t>
      </w:r>
      <w:hyperlink r:id="rId5" w:history="1">
        <w:r w:rsidRPr="00E20451">
          <w:rPr>
            <w:rStyle w:val="Hyperlink"/>
            <w:sz w:val="18"/>
            <w:szCs w:val="18"/>
          </w:rPr>
          <w:t>Future-Proof: Australia’s future post-secondary education and skills system</w:t>
        </w:r>
      </w:hyperlink>
      <w:r w:rsidRPr="00E20451">
        <w:rPr>
          <w:sz w:val="18"/>
          <w:szCs w:val="18"/>
        </w:rPr>
        <w:t>, August</w:t>
      </w:r>
      <w:r w:rsidR="003E6B13">
        <w:rPr>
          <w:sz w:val="18"/>
          <w:szCs w:val="18"/>
        </w:rPr>
        <w:t> </w:t>
      </w:r>
      <w:r w:rsidRPr="00E20451">
        <w:rPr>
          <w:sz w:val="18"/>
          <w:szCs w:val="18"/>
        </w:rPr>
        <w:t xml:space="preserve">2018, p. 41 </w:t>
      </w:r>
    </w:p>
  </w:footnote>
  <w:footnote w:id="7">
    <w:p w14:paraId="56E5D3D9" w14:textId="02A3D5EC"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The Foundation for Young Australians, </w:t>
      </w:r>
      <w:hyperlink r:id="rId6" w:history="1">
        <w:r w:rsidR="00B53C3A" w:rsidRPr="00E20451">
          <w:rPr>
            <w:rStyle w:val="Hyperlink"/>
            <w:rFonts w:ascii="Gill Sans" w:hAnsi="Gill Sans"/>
            <w:sz w:val="18"/>
            <w:szCs w:val="18"/>
          </w:rPr>
          <w:t>The New Work Order: Ensuring young Australians have skills and experience for the jobs of the future</w:t>
        </w:r>
      </w:hyperlink>
      <w:r w:rsidRPr="00E20451">
        <w:rPr>
          <w:sz w:val="18"/>
          <w:szCs w:val="18"/>
        </w:rPr>
        <w:t>, 201</w:t>
      </w:r>
      <w:r w:rsidR="003050EA" w:rsidRPr="00E20451">
        <w:rPr>
          <w:sz w:val="18"/>
          <w:szCs w:val="18"/>
        </w:rPr>
        <w:t>7, p. 2</w:t>
      </w:r>
      <w:r w:rsidRPr="00E20451">
        <w:rPr>
          <w:sz w:val="18"/>
          <w:szCs w:val="18"/>
        </w:rPr>
        <w:t xml:space="preserve"> </w:t>
      </w:r>
    </w:p>
  </w:footnote>
  <w:footnote w:id="8">
    <w:p w14:paraId="49FD05BF" w14:textId="4F82707B" w:rsidR="00EB545E" w:rsidRDefault="00EB545E" w:rsidP="00E20451">
      <w:pPr>
        <w:pStyle w:val="BodyText"/>
        <w:spacing w:before="0"/>
      </w:pPr>
      <w:r w:rsidRPr="00E20451">
        <w:rPr>
          <w:rStyle w:val="FootnoteReference"/>
          <w:sz w:val="18"/>
          <w:szCs w:val="18"/>
        </w:rPr>
        <w:footnoteRef/>
      </w:r>
      <w:r w:rsidRPr="00E20451">
        <w:rPr>
          <w:sz w:val="18"/>
          <w:szCs w:val="18"/>
        </w:rPr>
        <w:t xml:space="preserve"> The Foundation for Young Australians, </w:t>
      </w:r>
      <w:hyperlink r:id="rId7" w:history="1">
        <w:r w:rsidRPr="00E20451">
          <w:rPr>
            <w:rStyle w:val="Hyperlink"/>
            <w:sz w:val="18"/>
            <w:szCs w:val="18"/>
          </w:rPr>
          <w:t>The New Work Reality</w:t>
        </w:r>
      </w:hyperlink>
      <w:r w:rsidRPr="00E20451">
        <w:rPr>
          <w:sz w:val="18"/>
          <w:szCs w:val="18"/>
        </w:rPr>
        <w:t>, 2018</w:t>
      </w:r>
      <w:r w:rsidR="00F81903">
        <w:rPr>
          <w:sz w:val="18"/>
          <w:szCs w:val="18"/>
        </w:rPr>
        <w:t>, p. 9</w:t>
      </w:r>
    </w:p>
  </w:footnote>
  <w:footnote w:id="9">
    <w:p w14:paraId="7C12C824" w14:textId="62527F65"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Marchant, J.</w:t>
      </w:r>
      <w:r w:rsidR="00B53C3A" w:rsidRPr="007A5174">
        <w:rPr>
          <w:sz w:val="18"/>
          <w:szCs w:val="18"/>
        </w:rPr>
        <w:t>,</w:t>
      </w:r>
      <w:r w:rsidRPr="00E20451">
        <w:rPr>
          <w:sz w:val="18"/>
          <w:szCs w:val="18"/>
        </w:rPr>
        <w:t xml:space="preserve"> </w:t>
      </w:r>
      <w:hyperlink r:id="rId8" w:history="1">
        <w:r w:rsidRPr="00E20451">
          <w:rPr>
            <w:rStyle w:val="Hyperlink"/>
            <w:sz w:val="18"/>
            <w:szCs w:val="18"/>
          </w:rPr>
          <w:t>Why you can't teach soft-skills</w:t>
        </w:r>
      </w:hyperlink>
      <w:r w:rsidRPr="00E20451">
        <w:rPr>
          <w:sz w:val="18"/>
          <w:szCs w:val="18"/>
        </w:rPr>
        <w:t>, 2015</w:t>
      </w:r>
    </w:p>
  </w:footnote>
  <w:footnote w:id="10">
    <w:p w14:paraId="77951632" w14:textId="11EE3C88"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National Soft Skills Association, </w:t>
      </w:r>
      <w:hyperlink r:id="rId9" w:history="1">
        <w:r w:rsidRPr="00E20451">
          <w:rPr>
            <w:rStyle w:val="Hyperlink"/>
            <w:sz w:val="18"/>
            <w:szCs w:val="18"/>
          </w:rPr>
          <w:t>Why the Reluctance to Teach Soft Skills?</w:t>
        </w:r>
      </w:hyperlink>
      <w:r w:rsidRPr="00E20451">
        <w:rPr>
          <w:sz w:val="18"/>
          <w:szCs w:val="18"/>
        </w:rPr>
        <w:t xml:space="preserve">, 2015  </w:t>
      </w:r>
    </w:p>
  </w:footnote>
  <w:footnote w:id="11">
    <w:p w14:paraId="2D816597" w14:textId="7B94FB07"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Marchant, J.</w:t>
      </w:r>
      <w:r w:rsidR="00B53C3A" w:rsidRPr="007A5174">
        <w:rPr>
          <w:sz w:val="18"/>
          <w:szCs w:val="18"/>
        </w:rPr>
        <w:t>,</w:t>
      </w:r>
      <w:r w:rsidRPr="00E20451">
        <w:rPr>
          <w:sz w:val="18"/>
          <w:szCs w:val="18"/>
        </w:rPr>
        <w:t xml:space="preserve"> </w:t>
      </w:r>
      <w:hyperlink r:id="rId10" w:history="1">
        <w:r w:rsidRPr="00E20451">
          <w:rPr>
            <w:rStyle w:val="Hyperlink"/>
            <w:sz w:val="18"/>
            <w:szCs w:val="18"/>
          </w:rPr>
          <w:t>Why you can't teach soft-skills</w:t>
        </w:r>
      </w:hyperlink>
      <w:r w:rsidRPr="00E20451">
        <w:rPr>
          <w:sz w:val="18"/>
          <w:szCs w:val="18"/>
        </w:rPr>
        <w:t>, 2015</w:t>
      </w:r>
    </w:p>
  </w:footnote>
  <w:footnote w:id="12">
    <w:p w14:paraId="58231B36" w14:textId="1D6F42A4"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Buchanan, J. et al., </w:t>
      </w:r>
      <w:hyperlink r:id="rId11" w:history="1">
        <w:r w:rsidRPr="00E20451">
          <w:rPr>
            <w:rStyle w:val="Hyperlink"/>
            <w:sz w:val="18"/>
            <w:szCs w:val="18"/>
          </w:rPr>
          <w:t>Future Frontiers Analytical Report: Preparing for the best and worst of times</w:t>
        </w:r>
      </w:hyperlink>
      <w:r w:rsidRPr="00E20451">
        <w:rPr>
          <w:sz w:val="18"/>
          <w:szCs w:val="18"/>
        </w:rPr>
        <w:t>, 2018, p</w:t>
      </w:r>
      <w:r w:rsidR="00B53C3A" w:rsidRPr="007A5174">
        <w:rPr>
          <w:sz w:val="18"/>
          <w:szCs w:val="18"/>
        </w:rPr>
        <w:t>p</w:t>
      </w:r>
      <w:r w:rsidRPr="00E20451">
        <w:rPr>
          <w:sz w:val="18"/>
          <w:szCs w:val="18"/>
        </w:rPr>
        <w:t>. 24-25</w:t>
      </w:r>
    </w:p>
  </w:footnote>
  <w:footnote w:id="13">
    <w:p w14:paraId="55D7B9C9" w14:textId="73697717" w:rsidR="00EB545E" w:rsidRPr="00E20451" w:rsidRDefault="00EB545E" w:rsidP="00E20451">
      <w:pPr>
        <w:pStyle w:val="BodyText"/>
        <w:spacing w:before="0"/>
        <w:rPr>
          <w:sz w:val="18"/>
          <w:szCs w:val="18"/>
        </w:rPr>
      </w:pPr>
      <w:r w:rsidRPr="00E20451">
        <w:rPr>
          <w:rStyle w:val="FootnoteReference"/>
          <w:sz w:val="18"/>
          <w:szCs w:val="18"/>
        </w:rPr>
        <w:footnoteRef/>
      </w:r>
      <w:r w:rsidR="00B40AFE" w:rsidRPr="00E20451">
        <w:rPr>
          <w:sz w:val="18"/>
          <w:szCs w:val="18"/>
        </w:rPr>
        <w:t xml:space="preserve"> </w:t>
      </w:r>
      <w:r w:rsidR="00B40AFE" w:rsidRPr="00B40AFE">
        <w:rPr>
          <w:sz w:val="18"/>
          <w:lang w:val="en-AU"/>
        </w:rPr>
        <w:t>B</w:t>
      </w:r>
      <w:r w:rsidR="00B40AFE" w:rsidRPr="00A93DEE">
        <w:rPr>
          <w:sz w:val="18"/>
          <w:lang w:val="en-AU"/>
        </w:rPr>
        <w:t xml:space="preserve">uchanan, J. et al., </w:t>
      </w:r>
      <w:hyperlink r:id="rId12" w:history="1">
        <w:r w:rsidR="00B40AFE" w:rsidRPr="00A93DEE">
          <w:rPr>
            <w:rStyle w:val="Hyperlink"/>
            <w:sz w:val="18"/>
            <w:lang w:val="en-AU"/>
          </w:rPr>
          <w:t>Future Frontiers Analytical Report: Preparing for the best and worst of times</w:t>
        </w:r>
      </w:hyperlink>
      <w:r w:rsidR="00B40AFE" w:rsidRPr="00A93DEE">
        <w:rPr>
          <w:sz w:val="18"/>
          <w:lang w:val="en-AU"/>
        </w:rPr>
        <w:t>, 2018, p. 25</w:t>
      </w:r>
    </w:p>
  </w:footnote>
  <w:footnote w:id="14">
    <w:p w14:paraId="4FFF45AF" w14:textId="300A9B2A"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Lamb, S. et al., </w:t>
      </w:r>
      <w:hyperlink r:id="rId13" w:history="1">
        <w:r w:rsidRPr="00E20451">
          <w:rPr>
            <w:rStyle w:val="Hyperlink"/>
            <w:sz w:val="18"/>
            <w:szCs w:val="18"/>
          </w:rPr>
          <w:t>Future Frontiers Analytical Report: Key Skills for the 21st century an evidence-based review</w:t>
        </w:r>
      </w:hyperlink>
      <w:r w:rsidRPr="00E20451">
        <w:rPr>
          <w:sz w:val="18"/>
          <w:szCs w:val="18"/>
        </w:rPr>
        <w:t>, 2018, p.</w:t>
      </w:r>
      <w:r w:rsidR="007A5174" w:rsidRPr="007A5174">
        <w:rPr>
          <w:sz w:val="18"/>
          <w:szCs w:val="18"/>
        </w:rPr>
        <w:t> </w:t>
      </w:r>
      <w:r w:rsidRPr="00E20451">
        <w:rPr>
          <w:sz w:val="18"/>
          <w:szCs w:val="18"/>
        </w:rPr>
        <w:t>4</w:t>
      </w:r>
    </w:p>
  </w:footnote>
  <w:footnote w:id="15">
    <w:p w14:paraId="0F213979" w14:textId="21EF6869"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Lamb, S. et al., </w:t>
      </w:r>
      <w:hyperlink r:id="rId14" w:history="1">
        <w:r w:rsidRPr="00E20451">
          <w:rPr>
            <w:rStyle w:val="Hyperlink"/>
            <w:sz w:val="18"/>
            <w:szCs w:val="18"/>
          </w:rPr>
          <w:t>Future Frontiers Analytical Report: Key Skills for the 21st century an evidence-based review</w:t>
        </w:r>
      </w:hyperlink>
      <w:r w:rsidRPr="00E20451">
        <w:rPr>
          <w:sz w:val="18"/>
          <w:szCs w:val="18"/>
        </w:rPr>
        <w:t>, 2018, p.</w:t>
      </w:r>
      <w:r w:rsidR="007A5174" w:rsidRPr="007A5174">
        <w:rPr>
          <w:sz w:val="18"/>
          <w:szCs w:val="18"/>
        </w:rPr>
        <w:t> </w:t>
      </w:r>
      <w:r w:rsidRPr="00E20451">
        <w:rPr>
          <w:sz w:val="18"/>
          <w:szCs w:val="18"/>
        </w:rPr>
        <w:t>4</w:t>
      </w:r>
    </w:p>
  </w:footnote>
  <w:footnote w:id="16">
    <w:p w14:paraId="08A683D8" w14:textId="2C4BA290"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Chamorro-Premuzic, T., </w:t>
      </w:r>
      <w:hyperlink r:id="rId15" w:anchor="23ae785dc460" w:history="1">
        <w:r w:rsidRPr="00E20451">
          <w:rPr>
            <w:rStyle w:val="Hyperlink"/>
            <w:sz w:val="18"/>
            <w:szCs w:val="18"/>
          </w:rPr>
          <w:t>Can You Really Train Soft Skills? Some Answers From The Science Of Talent</w:t>
        </w:r>
      </w:hyperlink>
      <w:r w:rsidRPr="00E20451">
        <w:rPr>
          <w:sz w:val="18"/>
          <w:szCs w:val="18"/>
        </w:rPr>
        <w:t xml:space="preserve">, 2018 </w:t>
      </w:r>
    </w:p>
  </w:footnote>
  <w:footnote w:id="17">
    <w:p w14:paraId="771CA160" w14:textId="0A27C86B"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Eastlake, M.</w:t>
      </w:r>
      <w:r w:rsidR="007A5174" w:rsidRPr="007A5174">
        <w:rPr>
          <w:sz w:val="18"/>
          <w:szCs w:val="18"/>
        </w:rPr>
        <w:t>,</w:t>
      </w:r>
      <w:r w:rsidRPr="00E20451">
        <w:rPr>
          <w:sz w:val="18"/>
          <w:szCs w:val="18"/>
        </w:rPr>
        <w:t xml:space="preserve"> </w:t>
      </w:r>
      <w:hyperlink r:id="rId16" w:history="1">
        <w:r w:rsidRPr="00E20451">
          <w:rPr>
            <w:rStyle w:val="Hyperlink"/>
            <w:sz w:val="18"/>
            <w:szCs w:val="18"/>
          </w:rPr>
          <w:t>Soft skills can't be taught... but they can be learned</w:t>
        </w:r>
      </w:hyperlink>
      <w:r w:rsidRPr="00E20451">
        <w:rPr>
          <w:sz w:val="18"/>
          <w:szCs w:val="18"/>
        </w:rPr>
        <w:t xml:space="preserve">, 2015 </w:t>
      </w:r>
    </w:p>
  </w:footnote>
  <w:footnote w:id="18">
    <w:p w14:paraId="2067CAA6" w14:textId="334070A3"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Lamb, S. et al., </w:t>
      </w:r>
      <w:hyperlink r:id="rId17" w:history="1">
        <w:r w:rsidRPr="00E20451">
          <w:rPr>
            <w:rStyle w:val="Hyperlink"/>
            <w:sz w:val="18"/>
            <w:szCs w:val="18"/>
          </w:rPr>
          <w:t>Future Frontiers Analytical Report: Key Skills for the 21st century an evidence-based review</w:t>
        </w:r>
      </w:hyperlink>
      <w:r w:rsidRPr="00E20451">
        <w:rPr>
          <w:sz w:val="18"/>
          <w:szCs w:val="18"/>
        </w:rPr>
        <w:t>, 2018, p</w:t>
      </w:r>
      <w:r w:rsidR="00AB39EA">
        <w:rPr>
          <w:sz w:val="18"/>
          <w:szCs w:val="18"/>
        </w:rPr>
        <w:t>p</w:t>
      </w:r>
      <w:r w:rsidRPr="00E20451">
        <w:rPr>
          <w:sz w:val="18"/>
          <w:szCs w:val="18"/>
        </w:rPr>
        <w:t>.</w:t>
      </w:r>
      <w:r w:rsidR="007A5174" w:rsidRPr="007A5174">
        <w:rPr>
          <w:sz w:val="18"/>
          <w:szCs w:val="18"/>
        </w:rPr>
        <w:t> </w:t>
      </w:r>
      <w:r w:rsidRPr="00E20451">
        <w:rPr>
          <w:sz w:val="18"/>
          <w:szCs w:val="18"/>
        </w:rPr>
        <w:t>4-5</w:t>
      </w:r>
    </w:p>
  </w:footnote>
  <w:footnote w:id="19">
    <w:p w14:paraId="48D61600" w14:textId="5DFBE1D2"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National Soft Skills Association, </w:t>
      </w:r>
      <w:hyperlink r:id="rId18" w:history="1">
        <w:r w:rsidRPr="00E20451">
          <w:rPr>
            <w:rStyle w:val="Hyperlink"/>
            <w:sz w:val="18"/>
            <w:szCs w:val="18"/>
          </w:rPr>
          <w:t>Why the Reluctance to Teach Soft Skills?</w:t>
        </w:r>
      </w:hyperlink>
      <w:r w:rsidRPr="00E20451">
        <w:rPr>
          <w:sz w:val="18"/>
          <w:szCs w:val="18"/>
        </w:rPr>
        <w:t>, 2015</w:t>
      </w:r>
    </w:p>
  </w:footnote>
  <w:footnote w:id="20">
    <w:p w14:paraId="5816D3B8" w14:textId="23131A98" w:rsidR="00EB545E" w:rsidRDefault="00EB545E" w:rsidP="00E20451">
      <w:pPr>
        <w:pStyle w:val="BodyText"/>
        <w:spacing w:before="0"/>
      </w:pPr>
      <w:r w:rsidRPr="00E20451">
        <w:rPr>
          <w:rStyle w:val="FootnoteReference"/>
          <w:sz w:val="18"/>
          <w:szCs w:val="18"/>
        </w:rPr>
        <w:footnoteRef/>
      </w:r>
      <w:r w:rsidRPr="00E20451">
        <w:rPr>
          <w:sz w:val="18"/>
          <w:szCs w:val="18"/>
        </w:rPr>
        <w:t xml:space="preserve"> Lamb, S. et al., </w:t>
      </w:r>
      <w:hyperlink r:id="rId19" w:history="1">
        <w:r w:rsidRPr="00E20451">
          <w:rPr>
            <w:rStyle w:val="Hyperlink"/>
            <w:sz w:val="18"/>
            <w:szCs w:val="18"/>
          </w:rPr>
          <w:t>Future Frontiers Analytical Report: Key Skills for the 21st century an evidence-based review</w:t>
        </w:r>
      </w:hyperlink>
      <w:r w:rsidRPr="00E20451">
        <w:rPr>
          <w:sz w:val="18"/>
          <w:szCs w:val="18"/>
        </w:rPr>
        <w:t>, 2018, p</w:t>
      </w:r>
      <w:r w:rsidR="00AB39EA">
        <w:rPr>
          <w:sz w:val="18"/>
          <w:szCs w:val="18"/>
        </w:rPr>
        <w:t>p</w:t>
      </w:r>
      <w:r w:rsidRPr="00E20451">
        <w:rPr>
          <w:sz w:val="18"/>
          <w:szCs w:val="18"/>
        </w:rPr>
        <w:t>.</w:t>
      </w:r>
      <w:r w:rsidR="00AB39EA">
        <w:rPr>
          <w:sz w:val="18"/>
          <w:szCs w:val="18"/>
        </w:rPr>
        <w:t> </w:t>
      </w:r>
      <w:r w:rsidRPr="00E20451">
        <w:rPr>
          <w:sz w:val="18"/>
          <w:szCs w:val="18"/>
        </w:rPr>
        <w:t>4-5</w:t>
      </w:r>
    </w:p>
  </w:footnote>
  <w:footnote w:id="21">
    <w:p w14:paraId="7EC50BE3" w14:textId="2EF002E0"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Lamb, S. et al., </w:t>
      </w:r>
      <w:hyperlink r:id="rId20" w:history="1">
        <w:r w:rsidRPr="00E20451">
          <w:rPr>
            <w:rStyle w:val="Hyperlink"/>
            <w:sz w:val="18"/>
            <w:szCs w:val="18"/>
          </w:rPr>
          <w:t>Future Frontiers Analytical Report: Key Skills for the 21st century an evidence-based review</w:t>
        </w:r>
      </w:hyperlink>
      <w:r w:rsidRPr="00E20451">
        <w:rPr>
          <w:sz w:val="18"/>
          <w:szCs w:val="18"/>
        </w:rPr>
        <w:t>, 2018, p.</w:t>
      </w:r>
      <w:r w:rsidR="00AB39EA">
        <w:rPr>
          <w:sz w:val="18"/>
          <w:szCs w:val="18"/>
        </w:rPr>
        <w:t> </w:t>
      </w:r>
      <w:r w:rsidRPr="00E20451">
        <w:rPr>
          <w:sz w:val="18"/>
          <w:szCs w:val="18"/>
        </w:rPr>
        <w:t>47</w:t>
      </w:r>
    </w:p>
  </w:footnote>
  <w:footnote w:id="22">
    <w:p w14:paraId="6865FFB2" w14:textId="48AB140E" w:rsidR="00EB545E" w:rsidRPr="00E20451" w:rsidRDefault="00EB545E" w:rsidP="00E20451">
      <w:pPr>
        <w:pStyle w:val="BodyText"/>
        <w:spacing w:before="0"/>
        <w:rPr>
          <w:color w:val="FF0000"/>
          <w:sz w:val="18"/>
          <w:szCs w:val="18"/>
        </w:rPr>
      </w:pPr>
      <w:r w:rsidRPr="00E20451">
        <w:rPr>
          <w:rStyle w:val="FootnoteReference"/>
          <w:sz w:val="18"/>
          <w:szCs w:val="18"/>
        </w:rPr>
        <w:footnoteRef/>
      </w:r>
      <w:r w:rsidRPr="00E20451">
        <w:rPr>
          <w:sz w:val="18"/>
          <w:szCs w:val="18"/>
        </w:rPr>
        <w:t xml:space="preserve"> Productivity Commission, </w:t>
      </w:r>
      <w:hyperlink r:id="rId21" w:history="1">
        <w:r w:rsidRPr="00E20451">
          <w:rPr>
            <w:rStyle w:val="Hyperlink"/>
            <w:sz w:val="18"/>
            <w:szCs w:val="18"/>
          </w:rPr>
          <w:t>Shifting the Dial: 5 Year Productivity Review</w:t>
        </w:r>
      </w:hyperlink>
      <w:r w:rsidRPr="00E20451">
        <w:rPr>
          <w:rStyle w:val="Hyperlink"/>
          <w:sz w:val="18"/>
          <w:szCs w:val="18"/>
        </w:rPr>
        <w:t>,</w:t>
      </w:r>
      <w:r w:rsidRPr="00E20451">
        <w:rPr>
          <w:color w:val="FF0000"/>
          <w:sz w:val="18"/>
          <w:szCs w:val="18"/>
        </w:rPr>
        <w:t xml:space="preserve"> </w:t>
      </w:r>
      <w:r w:rsidRPr="00E20451">
        <w:rPr>
          <w:sz w:val="18"/>
          <w:szCs w:val="18"/>
        </w:rPr>
        <w:t>2017, p. 67</w:t>
      </w:r>
    </w:p>
  </w:footnote>
  <w:footnote w:id="23">
    <w:p w14:paraId="2C0F2FCC" w14:textId="70BAA718" w:rsidR="00EB545E" w:rsidRPr="00E20451" w:rsidRDefault="00EB545E" w:rsidP="00E20451">
      <w:pPr>
        <w:pStyle w:val="BodyText"/>
        <w:spacing w:before="0"/>
        <w:rPr>
          <w:sz w:val="18"/>
          <w:szCs w:val="18"/>
        </w:rPr>
      </w:pPr>
      <w:r w:rsidRPr="00E20451">
        <w:rPr>
          <w:rStyle w:val="FootnoteReference"/>
          <w:sz w:val="18"/>
          <w:szCs w:val="18"/>
        </w:rPr>
        <w:footnoteRef/>
      </w:r>
      <w:r w:rsidR="00AB39EA" w:rsidRPr="00E20451">
        <w:rPr>
          <w:sz w:val="18"/>
          <w:szCs w:val="18"/>
        </w:rPr>
        <w:t xml:space="preserve"> </w:t>
      </w:r>
      <w:r w:rsidRPr="00E20451">
        <w:rPr>
          <w:sz w:val="18"/>
          <w:szCs w:val="18"/>
        </w:rPr>
        <w:t xml:space="preserve">Ai Group, </w:t>
      </w:r>
      <w:hyperlink r:id="rId22" w:history="1">
        <w:r w:rsidRPr="00E20451">
          <w:rPr>
            <w:rStyle w:val="Hyperlink"/>
            <w:sz w:val="18"/>
            <w:szCs w:val="18"/>
          </w:rPr>
          <w:t>Connecting for Productivity: University and industry partnerships</w:t>
        </w:r>
      </w:hyperlink>
      <w:r w:rsidRPr="00E20451">
        <w:rPr>
          <w:sz w:val="18"/>
          <w:szCs w:val="18"/>
        </w:rPr>
        <w:t>, 2016</w:t>
      </w:r>
      <w:r w:rsidR="00B40AFE" w:rsidRPr="00E20451">
        <w:rPr>
          <w:sz w:val="18"/>
          <w:szCs w:val="18"/>
        </w:rPr>
        <w:t>, p. 3</w:t>
      </w:r>
    </w:p>
  </w:footnote>
  <w:footnote w:id="24">
    <w:p w14:paraId="5DA980AC" w14:textId="43A92F3E"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Productivity Commission, </w:t>
      </w:r>
      <w:hyperlink r:id="rId23" w:history="1">
        <w:r w:rsidRPr="00E20451">
          <w:rPr>
            <w:rStyle w:val="Hyperlink"/>
            <w:sz w:val="18"/>
            <w:szCs w:val="18"/>
          </w:rPr>
          <w:t>Shifting the Dial: 5 Year Productivity Review</w:t>
        </w:r>
      </w:hyperlink>
      <w:r w:rsidRPr="00E20451">
        <w:rPr>
          <w:rStyle w:val="Hyperlink"/>
          <w:sz w:val="18"/>
          <w:szCs w:val="18"/>
        </w:rPr>
        <w:t>,</w:t>
      </w:r>
      <w:r w:rsidRPr="00E20451">
        <w:rPr>
          <w:color w:val="FF0000"/>
          <w:sz w:val="18"/>
          <w:szCs w:val="18"/>
        </w:rPr>
        <w:t xml:space="preserve"> </w:t>
      </w:r>
      <w:r w:rsidRPr="00E20451">
        <w:rPr>
          <w:sz w:val="18"/>
          <w:szCs w:val="18"/>
        </w:rPr>
        <w:t>2017, p. 97</w:t>
      </w:r>
    </w:p>
  </w:footnote>
  <w:footnote w:id="25">
    <w:p w14:paraId="4ABA1EF9" w14:textId="4C862A2D"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Productivity Commission, </w:t>
      </w:r>
      <w:hyperlink r:id="rId24" w:history="1">
        <w:r w:rsidRPr="00E20451">
          <w:rPr>
            <w:rStyle w:val="Hyperlink"/>
            <w:sz w:val="18"/>
            <w:szCs w:val="18"/>
          </w:rPr>
          <w:t>Shifting the Dial: 5 Year Productivity Review</w:t>
        </w:r>
      </w:hyperlink>
      <w:r w:rsidRPr="00E20451">
        <w:rPr>
          <w:rStyle w:val="Hyperlink"/>
          <w:sz w:val="18"/>
          <w:szCs w:val="18"/>
        </w:rPr>
        <w:t>,</w:t>
      </w:r>
      <w:r w:rsidRPr="00E20451">
        <w:rPr>
          <w:color w:val="FF0000"/>
          <w:sz w:val="18"/>
          <w:szCs w:val="18"/>
        </w:rPr>
        <w:t xml:space="preserve"> </w:t>
      </w:r>
      <w:r w:rsidRPr="00E20451">
        <w:rPr>
          <w:sz w:val="18"/>
          <w:szCs w:val="18"/>
        </w:rPr>
        <w:t>2017, p. 97</w:t>
      </w:r>
    </w:p>
  </w:footnote>
  <w:footnote w:id="26">
    <w:p w14:paraId="67CEC302" w14:textId="77777777" w:rsidR="00EB545E" w:rsidRPr="00E20451" w:rsidRDefault="00EB545E" w:rsidP="00E20451">
      <w:pPr>
        <w:pStyle w:val="BodyText"/>
        <w:spacing w:before="0"/>
        <w:rPr>
          <w:sz w:val="18"/>
          <w:szCs w:val="18"/>
        </w:rPr>
      </w:pPr>
      <w:r w:rsidRPr="00E20451">
        <w:rPr>
          <w:rStyle w:val="FootnoteReference"/>
          <w:sz w:val="18"/>
          <w:szCs w:val="18"/>
        </w:rPr>
        <w:footnoteRef/>
      </w:r>
      <w:r w:rsidRPr="00E20451">
        <w:rPr>
          <w:sz w:val="18"/>
          <w:szCs w:val="18"/>
        </w:rPr>
        <w:t xml:space="preserve"> Obvious Choice, </w:t>
      </w:r>
      <w:hyperlink r:id="rId25" w:history="1">
        <w:r w:rsidRPr="00E20451">
          <w:rPr>
            <w:rStyle w:val="Hyperlink"/>
            <w:sz w:val="18"/>
            <w:szCs w:val="18"/>
          </w:rPr>
          <w:t>Micro-learning</w:t>
        </w:r>
      </w:hyperlink>
      <w:r w:rsidRPr="00E20451">
        <w:rPr>
          <w:sz w:val="18"/>
          <w:szCs w:val="18"/>
        </w:rPr>
        <w:t xml:space="preserve"> accessed 06 May 2018</w:t>
      </w:r>
    </w:p>
  </w:footnote>
  <w:footnote w:id="27">
    <w:p w14:paraId="021C1193" w14:textId="520CD338" w:rsidR="00EB545E" w:rsidRPr="00E20451" w:rsidRDefault="00EB545E" w:rsidP="00E20451">
      <w:pPr>
        <w:pStyle w:val="BodyText"/>
        <w:spacing w:before="0"/>
        <w:rPr>
          <w:color w:val="FF0000"/>
          <w:sz w:val="18"/>
          <w:szCs w:val="18"/>
        </w:rPr>
      </w:pPr>
      <w:r w:rsidRPr="00E20451">
        <w:rPr>
          <w:rStyle w:val="FootnoteReference"/>
          <w:sz w:val="18"/>
          <w:szCs w:val="18"/>
        </w:rPr>
        <w:footnoteRef/>
      </w:r>
      <w:r w:rsidRPr="00E20451">
        <w:rPr>
          <w:sz w:val="18"/>
          <w:szCs w:val="18"/>
        </w:rPr>
        <w:t xml:space="preserve"> Productivity Commission, </w:t>
      </w:r>
      <w:hyperlink r:id="rId26" w:history="1">
        <w:r w:rsidRPr="00E20451">
          <w:rPr>
            <w:rStyle w:val="Hyperlink"/>
            <w:sz w:val="18"/>
            <w:szCs w:val="18"/>
          </w:rPr>
          <w:t>Shifting the Dial: 5 Year Productivity Review</w:t>
        </w:r>
      </w:hyperlink>
      <w:r w:rsidRPr="00E20451">
        <w:rPr>
          <w:sz w:val="18"/>
          <w:szCs w:val="18"/>
        </w:rPr>
        <w:t>, 2017, p.</w:t>
      </w:r>
      <w:r w:rsidR="00AB39EA">
        <w:rPr>
          <w:sz w:val="18"/>
          <w:szCs w:val="18"/>
        </w:rPr>
        <w:t xml:space="preserve"> </w:t>
      </w:r>
      <w:r w:rsidRPr="00E20451">
        <w:rPr>
          <w:sz w:val="18"/>
          <w:szCs w:val="18"/>
        </w:rPr>
        <w:t>97</w:t>
      </w:r>
    </w:p>
  </w:footnote>
  <w:footnote w:id="28">
    <w:p w14:paraId="09DAF2D2" w14:textId="510FE123" w:rsidR="00EB545E" w:rsidRPr="00E20451" w:rsidRDefault="00EB545E" w:rsidP="00E20451">
      <w:pPr>
        <w:pStyle w:val="BodyText"/>
        <w:spacing w:before="0"/>
        <w:rPr>
          <w:color w:val="FF0000"/>
          <w:sz w:val="18"/>
          <w:szCs w:val="18"/>
        </w:rPr>
      </w:pPr>
      <w:r w:rsidRPr="00E20451">
        <w:rPr>
          <w:rStyle w:val="FootnoteReference"/>
          <w:sz w:val="18"/>
          <w:szCs w:val="18"/>
        </w:rPr>
        <w:footnoteRef/>
      </w:r>
      <w:r w:rsidRPr="00E20451">
        <w:rPr>
          <w:sz w:val="18"/>
          <w:szCs w:val="18"/>
        </w:rPr>
        <w:t xml:space="preserve"> Productivity Commission, </w:t>
      </w:r>
      <w:hyperlink r:id="rId27" w:history="1">
        <w:r w:rsidRPr="00E20451">
          <w:rPr>
            <w:rStyle w:val="Hyperlink"/>
            <w:sz w:val="18"/>
            <w:szCs w:val="18"/>
          </w:rPr>
          <w:t>Shifting the Dial: 5 Year Productivity Review</w:t>
        </w:r>
      </w:hyperlink>
      <w:r w:rsidRPr="00E20451">
        <w:rPr>
          <w:rStyle w:val="Hyperlink"/>
          <w:sz w:val="18"/>
          <w:szCs w:val="18"/>
        </w:rPr>
        <w:t>,</w:t>
      </w:r>
      <w:r w:rsidRPr="00E20451">
        <w:rPr>
          <w:color w:val="FF0000"/>
          <w:sz w:val="18"/>
          <w:szCs w:val="18"/>
        </w:rPr>
        <w:t xml:space="preserve"> </w:t>
      </w:r>
      <w:r w:rsidRPr="00E20451">
        <w:rPr>
          <w:sz w:val="18"/>
          <w:szCs w:val="18"/>
        </w:rPr>
        <w:t>2017, p.</w:t>
      </w:r>
      <w:r w:rsidR="00AB39EA">
        <w:rPr>
          <w:sz w:val="18"/>
          <w:szCs w:val="18"/>
        </w:rPr>
        <w:t xml:space="preserve"> </w:t>
      </w:r>
      <w:r w:rsidRPr="00E20451">
        <w:rPr>
          <w:sz w:val="18"/>
          <w:szCs w:val="18"/>
        </w:rPr>
        <w:t>97</w:t>
      </w:r>
    </w:p>
  </w:footnote>
  <w:footnote w:id="29">
    <w:p w14:paraId="2FA22188" w14:textId="5DB9DBAE" w:rsidR="00EB545E" w:rsidRPr="00B6731D" w:rsidRDefault="00EB545E" w:rsidP="00E20451">
      <w:pPr>
        <w:pStyle w:val="BodyText"/>
        <w:spacing w:before="0"/>
        <w:rPr>
          <w:color w:val="FF0000"/>
        </w:rPr>
      </w:pPr>
      <w:r w:rsidRPr="00E20451">
        <w:rPr>
          <w:rStyle w:val="FootnoteReference"/>
          <w:sz w:val="18"/>
          <w:szCs w:val="18"/>
        </w:rPr>
        <w:footnoteRef/>
      </w:r>
      <w:r w:rsidRPr="00E20451">
        <w:rPr>
          <w:sz w:val="18"/>
          <w:szCs w:val="18"/>
        </w:rPr>
        <w:t xml:space="preserve"> PhillipsKPA, </w:t>
      </w:r>
      <w:hyperlink r:id="rId28" w:history="1">
        <w:r w:rsidRPr="00E20451">
          <w:rPr>
            <w:rStyle w:val="Hyperlink"/>
            <w:sz w:val="18"/>
            <w:szCs w:val="18"/>
          </w:rPr>
          <w:t>Contextual Research for the Australian Qualifications Framework Review</w:t>
        </w:r>
      </w:hyperlink>
      <w:r w:rsidRPr="00E20451">
        <w:rPr>
          <w:rStyle w:val="Hyperlink"/>
          <w:sz w:val="18"/>
          <w:szCs w:val="18"/>
        </w:rPr>
        <w:t>,</w:t>
      </w:r>
      <w:r w:rsidRPr="00E20451">
        <w:rPr>
          <w:color w:val="FF0000"/>
          <w:sz w:val="18"/>
          <w:szCs w:val="18"/>
        </w:rPr>
        <w:t xml:space="preserve"> </w:t>
      </w:r>
      <w:r w:rsidRPr="00E20451">
        <w:rPr>
          <w:sz w:val="18"/>
          <w:szCs w:val="18"/>
        </w:rPr>
        <w:t>2018</w:t>
      </w:r>
      <w:r w:rsidR="00C97D78">
        <w:rPr>
          <w:sz w:val="18"/>
          <w:szCs w:val="18"/>
        </w:rPr>
        <w:t>, p.139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2303" w14:textId="77777777" w:rsidR="00FD4306" w:rsidRDefault="00FD430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4661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82F514"/>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59765E0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1FBA5C77"/>
    <w:multiLevelType w:val="multilevel"/>
    <w:tmpl w:val="7A4E8484"/>
    <w:lvl w:ilvl="0">
      <w:start w:val="1"/>
      <w:numFmt w:val="decimal"/>
      <w:pStyle w:val="ListNumber3"/>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Bullet"/>
      <w:lvlText w:val="%1.%2.%3"/>
      <w:lvlJc w:val="left"/>
      <w:pPr>
        <w:ind w:left="1474" w:hanging="623"/>
      </w:pPr>
      <w:rPr>
        <w:rFonts w:hint="default"/>
      </w:rPr>
    </w:lvl>
    <w:lvl w:ilvl="3">
      <w:start w:val="1"/>
      <w:numFmt w:val="decimal"/>
      <w:pStyle w:val="ListBullet2"/>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9401E8F"/>
    <w:multiLevelType w:val="hybridMultilevel"/>
    <w:tmpl w:val="1A5CA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FE7E51"/>
    <w:multiLevelType w:val="hybridMultilevel"/>
    <w:tmpl w:val="4A48FB1A"/>
    <w:lvl w:ilvl="0" w:tplc="6430F92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5F09F0"/>
    <w:multiLevelType w:val="hybridMultilevel"/>
    <w:tmpl w:val="D742AC8C"/>
    <w:lvl w:ilvl="0" w:tplc="06E618A2">
      <w:start w:val="1"/>
      <w:numFmt w:val="bullet"/>
      <w:pStyle w:val="bullet3"/>
      <w:lvlText w:val="o"/>
      <w:lvlJc w:val="left"/>
      <w:pPr>
        <w:ind w:left="3272" w:hanging="360"/>
      </w:pPr>
      <w:rPr>
        <w:rFonts w:ascii="Courier New" w:hAnsi="Courier New" w:hint="default"/>
      </w:rPr>
    </w:lvl>
    <w:lvl w:ilvl="1" w:tplc="04090003" w:tentative="1">
      <w:start w:val="1"/>
      <w:numFmt w:val="bullet"/>
      <w:lvlText w:val="o"/>
      <w:lvlJc w:val="left"/>
      <w:pPr>
        <w:ind w:left="3992" w:hanging="360"/>
      </w:pPr>
      <w:rPr>
        <w:rFonts w:ascii="Courier New" w:hAnsi="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8" w15:restartNumberingAfterBreak="0">
    <w:nsid w:val="51B73210"/>
    <w:multiLevelType w:val="multilevel"/>
    <w:tmpl w:val="D986A558"/>
    <w:lvl w:ilvl="0">
      <w:start w:val="1"/>
      <w:numFmt w:val="bullet"/>
      <w:pStyle w:val="ListBullet3"/>
      <w:lvlText w:val=""/>
      <w:lvlJc w:val="left"/>
      <w:pPr>
        <w:ind w:left="786" w:hanging="360"/>
      </w:pPr>
      <w:rPr>
        <w:rFonts w:ascii="Symbol" w:hAnsi="Symbol" w:hint="default"/>
      </w:rPr>
    </w:lvl>
    <w:lvl w:ilvl="1">
      <w:start w:val="1"/>
      <w:numFmt w:val="bullet"/>
      <w:pStyle w:val="ListBullet4"/>
      <w:lvlText w:val=""/>
      <w:lvlJc w:val="left"/>
      <w:pPr>
        <w:ind w:left="737" w:hanging="340"/>
      </w:pPr>
      <w:rPr>
        <w:rFonts w:ascii="Symbol" w:hAnsi="Symbol" w:hint="default"/>
      </w:rPr>
    </w:lvl>
    <w:lvl w:ilvl="2">
      <w:start w:val="1"/>
      <w:numFmt w:val="bullet"/>
      <w:pStyle w:val="TableGrid"/>
      <w:lvlText w:val=""/>
      <w:lvlJc w:val="left"/>
      <w:pPr>
        <w:ind w:left="1134" w:hanging="340"/>
      </w:pPr>
      <w:rPr>
        <w:rFonts w:ascii="Wingdings" w:hAnsi="Wingdings" w:hint="default"/>
      </w:rPr>
    </w:lvl>
    <w:lvl w:ilvl="3">
      <w:start w:val="1"/>
      <w:numFmt w:val="bullet"/>
      <w:pStyle w:val="DEEWRTable"/>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82D10DF"/>
    <w:multiLevelType w:val="multilevel"/>
    <w:tmpl w:val="7A8CDE76"/>
    <w:lvl w:ilvl="0">
      <w:start w:val="30"/>
      <w:numFmt w:val="lowerRoman"/>
      <w:lvlText w:val="%1"/>
      <w:lvlJc w:val="left"/>
      <w:pPr>
        <w:ind w:left="113" w:hanging="1552"/>
      </w:pPr>
      <w:rPr>
        <w:rFonts w:hint="default"/>
        <w:lang w:val="en-US" w:eastAsia="en-US" w:bidi="en-US"/>
      </w:rPr>
    </w:lvl>
    <w:lvl w:ilvl="1">
      <w:start w:val="10"/>
      <w:numFmt w:val="lowerRoman"/>
      <w:lvlText w:val="%1-%2"/>
      <w:lvlJc w:val="left"/>
      <w:pPr>
        <w:ind w:left="113" w:hanging="1552"/>
      </w:pPr>
      <w:rPr>
        <w:rFonts w:hint="default"/>
        <w:lang w:val="en-US" w:eastAsia="en-US" w:bidi="en-US"/>
      </w:rPr>
    </w:lvl>
    <w:lvl w:ilvl="2">
      <w:start w:val="30"/>
      <w:numFmt w:val="lowerRoman"/>
      <w:lvlText w:val="%1-%2-%3"/>
      <w:lvlJc w:val="left"/>
      <w:pPr>
        <w:ind w:left="113" w:hanging="1552"/>
      </w:pPr>
      <w:rPr>
        <w:rFonts w:hint="default"/>
        <w:lang w:val="en-US" w:eastAsia="en-US" w:bidi="en-US"/>
      </w:rPr>
    </w:lvl>
    <w:lvl w:ilvl="3">
      <w:start w:val="50"/>
      <w:numFmt w:val="lowerRoman"/>
      <w:lvlText w:val="%1-%2-%3-%4"/>
      <w:lvlJc w:val="left"/>
      <w:pPr>
        <w:ind w:left="113" w:hanging="1552"/>
      </w:pPr>
      <w:rPr>
        <w:rFonts w:hint="default"/>
        <w:lang w:val="en-US" w:eastAsia="en-US" w:bidi="en-US"/>
      </w:rPr>
    </w:lvl>
    <w:lvl w:ilvl="4">
      <w:start w:val="10"/>
      <w:numFmt w:val="lowerRoman"/>
      <w:lvlText w:val="%1-%2-%3-%4-%5"/>
      <w:lvlJc w:val="left"/>
      <w:pPr>
        <w:ind w:left="113" w:hanging="1552"/>
      </w:pPr>
      <w:rPr>
        <w:rFonts w:ascii="GillSans-Light" w:eastAsia="GillSans-Light" w:hAnsi="GillSans-Light" w:cs="GillSans-Light" w:hint="default"/>
        <w:color w:val="231F20"/>
        <w:w w:val="100"/>
        <w:sz w:val="20"/>
        <w:szCs w:val="20"/>
        <w:lang w:val="en-US" w:eastAsia="en-US" w:bidi="en-US"/>
      </w:rPr>
    </w:lvl>
    <w:lvl w:ilvl="5">
      <w:numFmt w:val="bullet"/>
      <w:lvlText w:val="•"/>
      <w:lvlJc w:val="left"/>
      <w:pPr>
        <w:ind w:left="537" w:hanging="127"/>
      </w:pPr>
      <w:rPr>
        <w:rFonts w:ascii="Gill Sans" w:eastAsia="Gill Sans" w:hAnsi="Gill Sans" w:cs="Gill Sans" w:hint="default"/>
        <w:color w:val="231F20"/>
        <w:spacing w:val="-1"/>
        <w:w w:val="100"/>
        <w:sz w:val="20"/>
        <w:szCs w:val="20"/>
        <w:lang w:val="en-US" w:eastAsia="en-US" w:bidi="en-US"/>
      </w:rPr>
    </w:lvl>
    <w:lvl w:ilvl="6">
      <w:numFmt w:val="bullet"/>
      <w:lvlText w:val="−"/>
      <w:lvlJc w:val="left"/>
      <w:pPr>
        <w:ind w:left="1303" w:hanging="173"/>
      </w:pPr>
      <w:rPr>
        <w:rFonts w:ascii="Gill Sans" w:eastAsia="Gill Sans" w:hAnsi="Gill Sans" w:cs="Gill Sans" w:hint="default"/>
        <w:color w:val="231F20"/>
        <w:spacing w:val="-1"/>
        <w:w w:val="100"/>
        <w:sz w:val="20"/>
        <w:szCs w:val="20"/>
        <w:lang w:val="en-US" w:eastAsia="en-US" w:bidi="en-US"/>
      </w:rPr>
    </w:lvl>
    <w:lvl w:ilvl="7">
      <w:numFmt w:val="bullet"/>
      <w:lvlText w:val="•"/>
      <w:lvlJc w:val="left"/>
      <w:pPr>
        <w:ind w:left="1977" w:hanging="127"/>
      </w:pPr>
      <w:rPr>
        <w:rFonts w:ascii="Gill Sans" w:eastAsia="Gill Sans" w:hAnsi="Gill Sans" w:cs="Gill Sans" w:hint="default"/>
        <w:color w:val="231F20"/>
        <w:spacing w:val="-1"/>
        <w:w w:val="100"/>
        <w:sz w:val="20"/>
        <w:szCs w:val="20"/>
        <w:lang w:val="en-US" w:eastAsia="en-US" w:bidi="en-US"/>
      </w:rPr>
    </w:lvl>
    <w:lvl w:ilvl="8">
      <w:numFmt w:val="bullet"/>
      <w:lvlText w:val="•"/>
      <w:lvlJc w:val="left"/>
      <w:pPr>
        <w:ind w:left="7490" w:hanging="127"/>
      </w:pPr>
      <w:rPr>
        <w:rFonts w:hint="default"/>
        <w:lang w:val="en-US" w:eastAsia="en-US" w:bidi="en-US"/>
      </w:rPr>
    </w:lvl>
  </w:abstractNum>
  <w:abstractNum w:abstractNumId="10" w15:restartNumberingAfterBreak="0">
    <w:nsid w:val="698C6360"/>
    <w:multiLevelType w:val="multilevel"/>
    <w:tmpl w:val="3470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7D078D"/>
    <w:multiLevelType w:val="hybridMultilevel"/>
    <w:tmpl w:val="9A38C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1B2296"/>
    <w:multiLevelType w:val="hybridMultilevel"/>
    <w:tmpl w:val="38986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B7F1183"/>
    <w:multiLevelType w:val="hybridMultilevel"/>
    <w:tmpl w:val="E73E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2"/>
  </w:num>
  <w:num w:numId="5">
    <w:abstractNumId w:val="1"/>
  </w:num>
  <w:num w:numId="6">
    <w:abstractNumId w:val="3"/>
  </w:num>
  <w:num w:numId="7">
    <w:abstractNumId w:val="0"/>
  </w:num>
  <w:num w:numId="8">
    <w:abstractNumId w:val="7"/>
  </w:num>
  <w:num w:numId="9">
    <w:abstractNumId w:val="12"/>
  </w:num>
  <w:num w:numId="10">
    <w:abstractNumId w:val="11"/>
  </w:num>
  <w:num w:numId="11">
    <w:abstractNumId w:val="13"/>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6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0B"/>
    <w:rsid w:val="00000235"/>
    <w:rsid w:val="00027F97"/>
    <w:rsid w:val="000302DB"/>
    <w:rsid w:val="0003771A"/>
    <w:rsid w:val="000472FE"/>
    <w:rsid w:val="00053204"/>
    <w:rsid w:val="00065AAD"/>
    <w:rsid w:val="000707C1"/>
    <w:rsid w:val="00077962"/>
    <w:rsid w:val="0008793E"/>
    <w:rsid w:val="000978A5"/>
    <w:rsid w:val="000A33FF"/>
    <w:rsid w:val="000F12C9"/>
    <w:rsid w:val="00131D5A"/>
    <w:rsid w:val="00145061"/>
    <w:rsid w:val="00151F5D"/>
    <w:rsid w:val="00166339"/>
    <w:rsid w:val="00183CE8"/>
    <w:rsid w:val="00184852"/>
    <w:rsid w:val="0018778D"/>
    <w:rsid w:val="0019015D"/>
    <w:rsid w:val="001C0AD2"/>
    <w:rsid w:val="00204692"/>
    <w:rsid w:val="00244A3A"/>
    <w:rsid w:val="00256159"/>
    <w:rsid w:val="00270394"/>
    <w:rsid w:val="00276F60"/>
    <w:rsid w:val="00292844"/>
    <w:rsid w:val="0029639C"/>
    <w:rsid w:val="002B2DED"/>
    <w:rsid w:val="002D3431"/>
    <w:rsid w:val="002E37FC"/>
    <w:rsid w:val="002F3A0D"/>
    <w:rsid w:val="003050EA"/>
    <w:rsid w:val="0030510B"/>
    <w:rsid w:val="0030519A"/>
    <w:rsid w:val="00306C9E"/>
    <w:rsid w:val="00346A98"/>
    <w:rsid w:val="0035170F"/>
    <w:rsid w:val="00370331"/>
    <w:rsid w:val="00380421"/>
    <w:rsid w:val="00386C34"/>
    <w:rsid w:val="003B69F4"/>
    <w:rsid w:val="003E6B13"/>
    <w:rsid w:val="004153FE"/>
    <w:rsid w:val="004230BF"/>
    <w:rsid w:val="00424358"/>
    <w:rsid w:val="00435C08"/>
    <w:rsid w:val="004474CB"/>
    <w:rsid w:val="00454101"/>
    <w:rsid w:val="00457F51"/>
    <w:rsid w:val="004B1E90"/>
    <w:rsid w:val="004B1EAF"/>
    <w:rsid w:val="004C782F"/>
    <w:rsid w:val="004E1349"/>
    <w:rsid w:val="004F2542"/>
    <w:rsid w:val="0050448A"/>
    <w:rsid w:val="00520032"/>
    <w:rsid w:val="00523E65"/>
    <w:rsid w:val="00524D0B"/>
    <w:rsid w:val="00526B5A"/>
    <w:rsid w:val="00531D87"/>
    <w:rsid w:val="00594273"/>
    <w:rsid w:val="005D3B43"/>
    <w:rsid w:val="005D5484"/>
    <w:rsid w:val="005E219C"/>
    <w:rsid w:val="00602610"/>
    <w:rsid w:val="00611113"/>
    <w:rsid w:val="0061774F"/>
    <w:rsid w:val="006315DA"/>
    <w:rsid w:val="006A499D"/>
    <w:rsid w:val="006D6BB8"/>
    <w:rsid w:val="006E7B81"/>
    <w:rsid w:val="006F6FB8"/>
    <w:rsid w:val="0071612E"/>
    <w:rsid w:val="00716C78"/>
    <w:rsid w:val="00724166"/>
    <w:rsid w:val="00731FF1"/>
    <w:rsid w:val="00737E89"/>
    <w:rsid w:val="00772FC8"/>
    <w:rsid w:val="007A3556"/>
    <w:rsid w:val="007A5174"/>
    <w:rsid w:val="007C1EB1"/>
    <w:rsid w:val="007C22CD"/>
    <w:rsid w:val="007C328D"/>
    <w:rsid w:val="007C7C0E"/>
    <w:rsid w:val="007E4843"/>
    <w:rsid w:val="007F0382"/>
    <w:rsid w:val="007F4713"/>
    <w:rsid w:val="007F5CD9"/>
    <w:rsid w:val="007F7198"/>
    <w:rsid w:val="00800E2C"/>
    <w:rsid w:val="00816D68"/>
    <w:rsid w:val="008208BC"/>
    <w:rsid w:val="00867A6A"/>
    <w:rsid w:val="008C42AB"/>
    <w:rsid w:val="008E3BD8"/>
    <w:rsid w:val="008E3F21"/>
    <w:rsid w:val="008F7CEB"/>
    <w:rsid w:val="00905CAD"/>
    <w:rsid w:val="0092034C"/>
    <w:rsid w:val="009304B2"/>
    <w:rsid w:val="00951795"/>
    <w:rsid w:val="009808ED"/>
    <w:rsid w:val="009953DE"/>
    <w:rsid w:val="009B0681"/>
    <w:rsid w:val="009D678F"/>
    <w:rsid w:val="009F1A4E"/>
    <w:rsid w:val="00A06364"/>
    <w:rsid w:val="00A1207E"/>
    <w:rsid w:val="00A4047C"/>
    <w:rsid w:val="00AA18D0"/>
    <w:rsid w:val="00AB39EA"/>
    <w:rsid w:val="00AF1DEB"/>
    <w:rsid w:val="00AF3162"/>
    <w:rsid w:val="00B125D6"/>
    <w:rsid w:val="00B22219"/>
    <w:rsid w:val="00B33F0D"/>
    <w:rsid w:val="00B35E3D"/>
    <w:rsid w:val="00B40AFE"/>
    <w:rsid w:val="00B41181"/>
    <w:rsid w:val="00B53C3A"/>
    <w:rsid w:val="00B55651"/>
    <w:rsid w:val="00B72EBE"/>
    <w:rsid w:val="00B810AE"/>
    <w:rsid w:val="00BA7958"/>
    <w:rsid w:val="00BB2E80"/>
    <w:rsid w:val="00BC792E"/>
    <w:rsid w:val="00BD4B78"/>
    <w:rsid w:val="00C026FD"/>
    <w:rsid w:val="00C158E1"/>
    <w:rsid w:val="00C22750"/>
    <w:rsid w:val="00C22CF6"/>
    <w:rsid w:val="00C51244"/>
    <w:rsid w:val="00C76A94"/>
    <w:rsid w:val="00C81383"/>
    <w:rsid w:val="00C85EA4"/>
    <w:rsid w:val="00C94D48"/>
    <w:rsid w:val="00C97D78"/>
    <w:rsid w:val="00CB53F7"/>
    <w:rsid w:val="00CC27B4"/>
    <w:rsid w:val="00CC49DA"/>
    <w:rsid w:val="00CD1AB5"/>
    <w:rsid w:val="00CD4B75"/>
    <w:rsid w:val="00CD4C3C"/>
    <w:rsid w:val="00CE71AC"/>
    <w:rsid w:val="00CE73B8"/>
    <w:rsid w:val="00CF4321"/>
    <w:rsid w:val="00CF6F31"/>
    <w:rsid w:val="00D008CB"/>
    <w:rsid w:val="00D05241"/>
    <w:rsid w:val="00D14D0C"/>
    <w:rsid w:val="00D51FA1"/>
    <w:rsid w:val="00D64276"/>
    <w:rsid w:val="00D76834"/>
    <w:rsid w:val="00DB0895"/>
    <w:rsid w:val="00DD3A0E"/>
    <w:rsid w:val="00DE2840"/>
    <w:rsid w:val="00E063CD"/>
    <w:rsid w:val="00E0699B"/>
    <w:rsid w:val="00E20451"/>
    <w:rsid w:val="00E2167F"/>
    <w:rsid w:val="00E50676"/>
    <w:rsid w:val="00E66659"/>
    <w:rsid w:val="00E71231"/>
    <w:rsid w:val="00E72EBA"/>
    <w:rsid w:val="00E75DE4"/>
    <w:rsid w:val="00E76ABD"/>
    <w:rsid w:val="00EA10A5"/>
    <w:rsid w:val="00EA785A"/>
    <w:rsid w:val="00EB388C"/>
    <w:rsid w:val="00EB545E"/>
    <w:rsid w:val="00EC0B6E"/>
    <w:rsid w:val="00EC4AE6"/>
    <w:rsid w:val="00EC5378"/>
    <w:rsid w:val="00ED3CE8"/>
    <w:rsid w:val="00ED74BC"/>
    <w:rsid w:val="00EF3F48"/>
    <w:rsid w:val="00F81903"/>
    <w:rsid w:val="00F829E3"/>
    <w:rsid w:val="00FA41DF"/>
    <w:rsid w:val="00FA6D8C"/>
    <w:rsid w:val="00FB02CF"/>
    <w:rsid w:val="00FC22E3"/>
    <w:rsid w:val="00FD4306"/>
    <w:rsid w:val="00FE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72FC1FDD"/>
  <w15:docId w15:val="{BE77C50F-E941-40A4-9C4E-9F076657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ection Title"/>
    <w:next w:val="SectionTitleUse"/>
    <w:uiPriority w:val="1"/>
    <w:qFormat/>
    <w:rsid w:val="00A4047C"/>
    <w:pPr>
      <w:widowControl w:val="0"/>
      <w:autoSpaceDE w:val="0"/>
      <w:autoSpaceDN w:val="0"/>
      <w:spacing w:after="0" w:line="240" w:lineRule="auto"/>
    </w:pPr>
    <w:rPr>
      <w:rFonts w:ascii="Gill Sans" w:eastAsia="Gill Sans" w:hAnsi="Gill Sans" w:cs="Gill Sans"/>
      <w:lang w:bidi="en-US"/>
    </w:rPr>
  </w:style>
  <w:style w:type="paragraph" w:styleId="Heading1">
    <w:name w:val="heading 1"/>
    <w:basedOn w:val="SectionTitleUse"/>
    <w:next w:val="Normal"/>
    <w:link w:val="Heading1Char"/>
    <w:qFormat/>
    <w:rsid w:val="006315DA"/>
    <w:pPr>
      <w:spacing w:before="360"/>
      <w:outlineLvl w:val="0"/>
    </w:pPr>
    <w:rPr>
      <w:sz w:val="34"/>
    </w:rPr>
  </w:style>
  <w:style w:type="paragraph" w:styleId="Heading2">
    <w:name w:val="heading 2"/>
    <w:basedOn w:val="Normal"/>
    <w:link w:val="Heading2Char"/>
    <w:qFormat/>
    <w:rsid w:val="00AF1DEB"/>
    <w:pPr>
      <w:spacing w:before="360"/>
      <w:outlineLvl w:val="1"/>
    </w:pPr>
    <w:rPr>
      <w:rFonts w:ascii="Gill Sans SemiBold" w:eastAsia="GillSans-SemiBold" w:hAnsi="Gill Sans SemiBold" w:cs="GillSans-SemiBold"/>
      <w:bCs/>
      <w:color w:val="231F20"/>
      <w:sz w:val="24"/>
      <w:szCs w:val="24"/>
    </w:rPr>
  </w:style>
  <w:style w:type="paragraph" w:styleId="Heading3">
    <w:name w:val="heading 3"/>
    <w:basedOn w:val="Normal"/>
    <w:link w:val="Heading3Char"/>
    <w:qFormat/>
    <w:rsid w:val="00AF1DEB"/>
    <w:pPr>
      <w:spacing w:before="360"/>
      <w:outlineLvl w:val="2"/>
    </w:pPr>
    <w:rPr>
      <w:rFonts w:ascii="Gill Sans SemiBold" w:eastAsia="GillSans-SemiBold" w:hAnsi="Gill Sans SemiBold" w:cs="GillSans-SemiBold"/>
      <w:bCs/>
      <w:color w:val="3777BC"/>
      <w:sz w:val="20"/>
      <w:szCs w:val="20"/>
    </w:rPr>
  </w:style>
  <w:style w:type="paragraph" w:styleId="Heading4">
    <w:name w:val="heading 4"/>
    <w:basedOn w:val="Normal"/>
    <w:next w:val="Normal"/>
    <w:link w:val="Heading4Char"/>
    <w:qFormat/>
    <w:rsid w:val="00AF1DEB"/>
    <w:pPr>
      <w:spacing w:before="360"/>
      <w:outlineLvl w:val="3"/>
    </w:pPr>
    <w:rPr>
      <w:rFonts w:ascii="Gill Sans SemiBold Italic" w:hAnsi="Gill Sans SemiBold Italic"/>
      <w:color w:val="3777BC"/>
      <w:sz w:val="20"/>
    </w:rPr>
  </w:style>
  <w:style w:type="paragraph" w:styleId="Heading5">
    <w:name w:val="heading 5"/>
    <w:basedOn w:val="Normal"/>
    <w:next w:val="Normal"/>
    <w:link w:val="Heading5Char"/>
    <w:uiPriority w:val="9"/>
    <w:unhideWhenUsed/>
    <w:qFormat/>
    <w:rsid w:val="007C22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DEB"/>
    <w:rPr>
      <w:rFonts w:ascii="Gill Sans SemiBold" w:eastAsia="GillSans-SemiBold" w:hAnsi="Gill Sans SemiBold" w:cs="GillSans-SemiBold"/>
      <w:bCs/>
      <w:color w:val="231F20"/>
      <w:sz w:val="24"/>
      <w:szCs w:val="24"/>
      <w:lang w:bidi="en-US"/>
    </w:rPr>
  </w:style>
  <w:style w:type="character" w:customStyle="1" w:styleId="Heading3Char">
    <w:name w:val="Heading 3 Char"/>
    <w:basedOn w:val="DefaultParagraphFont"/>
    <w:link w:val="Heading3"/>
    <w:rsid w:val="00AF1DEB"/>
    <w:rPr>
      <w:rFonts w:ascii="Gill Sans SemiBold" w:eastAsia="GillSans-SemiBold" w:hAnsi="Gill Sans SemiBold" w:cs="GillSans-SemiBold"/>
      <w:bCs/>
      <w:color w:val="3777BC"/>
      <w:sz w:val="20"/>
      <w:szCs w:val="20"/>
      <w:lang w:bidi="en-US"/>
    </w:rPr>
  </w:style>
  <w:style w:type="paragraph" w:styleId="BodyText">
    <w:name w:val="Body Text"/>
    <w:basedOn w:val="Normal"/>
    <w:link w:val="BodyTextChar"/>
    <w:uiPriority w:val="1"/>
    <w:qFormat/>
    <w:rsid w:val="00B810AE"/>
    <w:pPr>
      <w:spacing w:before="120"/>
    </w:pPr>
    <w:rPr>
      <w:sz w:val="20"/>
      <w:szCs w:val="20"/>
    </w:rPr>
  </w:style>
  <w:style w:type="character" w:customStyle="1" w:styleId="BodyTextChar">
    <w:name w:val="Body Text Char"/>
    <w:basedOn w:val="DefaultParagraphFont"/>
    <w:link w:val="BodyText"/>
    <w:uiPriority w:val="1"/>
    <w:rsid w:val="00B810AE"/>
    <w:rPr>
      <w:rFonts w:ascii="Gill Sans" w:eastAsia="Gill Sans" w:hAnsi="Gill Sans" w:cs="Gill Sans"/>
      <w:sz w:val="20"/>
      <w:szCs w:val="20"/>
      <w:lang w:bidi="en-US"/>
    </w:rPr>
  </w:style>
  <w:style w:type="paragraph" w:styleId="ListParagraph">
    <w:name w:val="List Paragraph"/>
    <w:aliases w:val="0Bullet,Body Bullets 1,Bullet Point,Bullet point,Bullet points,Bulleted Para,Content descriptions,L,List Paragraph Number,List Paragraph1,List Paragraph11,List Paragraph2,NFP GP Bulleted List,Recommendation,bullet point list"/>
    <w:basedOn w:val="Normal"/>
    <w:link w:val="ListParagraphChar"/>
    <w:uiPriority w:val="34"/>
    <w:qFormat/>
    <w:rsid w:val="00A06364"/>
    <w:pPr>
      <w:spacing w:before="67"/>
      <w:ind w:left="113" w:hanging="126"/>
    </w:pPr>
    <w:rPr>
      <w:rFonts w:ascii="GillSans-Light" w:eastAsia="GillSans-Light" w:hAnsi="GillSans-Light" w:cs="GillSans-Light"/>
    </w:rPr>
  </w:style>
  <w:style w:type="paragraph" w:customStyle="1" w:styleId="TableParagraph">
    <w:name w:val="Table Paragraph"/>
    <w:basedOn w:val="Normal"/>
    <w:uiPriority w:val="1"/>
    <w:qFormat/>
    <w:rsid w:val="00A06364"/>
    <w:pPr>
      <w:spacing w:before="34"/>
      <w:ind w:left="79"/>
    </w:pPr>
    <w:rPr>
      <w:rFonts w:ascii="GillSans-SemiBold" w:eastAsia="GillSans-SemiBold" w:hAnsi="GillSans-SemiBold" w:cs="GillSans-SemiBold"/>
    </w:rPr>
  </w:style>
  <w:style w:type="paragraph" w:customStyle="1" w:styleId="CoverTITLE">
    <w:name w:val="Cover TITLE"/>
    <w:basedOn w:val="BodyText"/>
    <w:uiPriority w:val="1"/>
    <w:qFormat/>
    <w:rsid w:val="00DE2840"/>
    <w:pPr>
      <w:ind w:left="-1020" w:right="-428"/>
    </w:pPr>
    <w:rPr>
      <w:rFonts w:ascii="Gill Sans SemiBold" w:hAnsi="Gill Sans SemiBold"/>
      <w:sz w:val="66"/>
    </w:rPr>
  </w:style>
  <w:style w:type="character" w:customStyle="1" w:styleId="CoverSubtitle">
    <w:name w:val="Cover Subtitle"/>
    <w:basedOn w:val="DefaultParagraphFont"/>
    <w:uiPriority w:val="1"/>
    <w:qFormat/>
    <w:rsid w:val="00A06364"/>
    <w:rPr>
      <w:rFonts w:ascii="GillSans-Light"/>
      <w:color w:val="231F20"/>
      <w:sz w:val="46"/>
    </w:rPr>
  </w:style>
  <w:style w:type="character" w:customStyle="1" w:styleId="CoverDate">
    <w:name w:val="Cover Date"/>
    <w:uiPriority w:val="1"/>
    <w:qFormat/>
    <w:rsid w:val="009808ED"/>
    <w:rPr>
      <w:rFonts w:ascii="Gill Sans SemiBold" w:hAnsi="Gill Sans SemiBold"/>
      <w:color w:val="231F20"/>
      <w:sz w:val="34"/>
      <w:szCs w:val="34"/>
    </w:rPr>
  </w:style>
  <w:style w:type="character" w:styleId="Hyperlink">
    <w:name w:val="Hyperlink"/>
    <w:basedOn w:val="DefaultParagraphFont"/>
    <w:qFormat/>
    <w:rsid w:val="00772FC8"/>
    <w:rPr>
      <w:rFonts w:ascii="Gill Sans Light" w:hAnsi="Gill Sans Light"/>
      <w:b w:val="0"/>
      <w:i w:val="0"/>
      <w:color w:val="548DD4"/>
      <w:sz w:val="20"/>
      <w:u w:val="single"/>
    </w:rPr>
  </w:style>
  <w:style w:type="character" w:customStyle="1" w:styleId="Heading1Char">
    <w:name w:val="Heading 1 Char"/>
    <w:basedOn w:val="DefaultParagraphFont"/>
    <w:link w:val="Heading1"/>
    <w:rsid w:val="00B810AE"/>
    <w:rPr>
      <w:rFonts w:ascii="Gill Sans" w:eastAsia="Gill Sans" w:hAnsi="Gill Sans" w:cs="Gill Sans"/>
      <w:color w:val="548DD4" w:themeColor="text2" w:themeTint="99"/>
      <w:sz w:val="34"/>
      <w:szCs w:val="48"/>
      <w:lang w:bidi="en-US"/>
    </w:rPr>
  </w:style>
  <w:style w:type="paragraph" w:styleId="TOCHeading">
    <w:name w:val="TOC Heading"/>
    <w:basedOn w:val="Heading1"/>
    <w:next w:val="Normal"/>
    <w:uiPriority w:val="39"/>
    <w:unhideWhenUsed/>
    <w:qFormat/>
    <w:rsid w:val="00FB02CF"/>
    <w:pPr>
      <w:widowControl/>
      <w:autoSpaceDE/>
      <w:autoSpaceDN/>
      <w:spacing w:before="0" w:after="240"/>
      <w:contextualSpacing/>
      <w:outlineLvl w:val="9"/>
    </w:pPr>
    <w:rPr>
      <w:b/>
      <w:lang w:val="en-AU"/>
    </w:rPr>
  </w:style>
  <w:style w:type="paragraph" w:styleId="TOC1">
    <w:name w:val="toc 1"/>
    <w:basedOn w:val="Normal"/>
    <w:next w:val="Normal"/>
    <w:autoRedefine/>
    <w:uiPriority w:val="39"/>
    <w:unhideWhenUsed/>
    <w:rsid w:val="00A06364"/>
    <w:pPr>
      <w:spacing w:before="120"/>
    </w:pPr>
    <w:rPr>
      <w:rFonts w:asciiTheme="minorHAnsi" w:hAnsiTheme="minorHAnsi"/>
      <w:b/>
      <w:sz w:val="24"/>
      <w:szCs w:val="24"/>
    </w:rPr>
  </w:style>
  <w:style w:type="paragraph" w:styleId="TOC2">
    <w:name w:val="toc 2"/>
    <w:basedOn w:val="Normal"/>
    <w:next w:val="Normal"/>
    <w:autoRedefine/>
    <w:uiPriority w:val="39"/>
    <w:unhideWhenUsed/>
    <w:rsid w:val="00A06364"/>
    <w:pPr>
      <w:ind w:left="220"/>
    </w:pPr>
    <w:rPr>
      <w:rFonts w:asciiTheme="minorHAnsi" w:hAnsiTheme="minorHAnsi"/>
      <w:b/>
      <w:color w:val="A6A6A6" w:themeColor="background1" w:themeShade="A6"/>
    </w:rPr>
  </w:style>
  <w:style w:type="paragraph" w:styleId="TOC3">
    <w:name w:val="toc 3"/>
    <w:basedOn w:val="Normal"/>
    <w:next w:val="Normal"/>
    <w:autoRedefine/>
    <w:uiPriority w:val="39"/>
    <w:unhideWhenUsed/>
    <w:rsid w:val="00A06364"/>
    <w:pPr>
      <w:ind w:left="1160" w:firstLine="280"/>
    </w:pPr>
    <w:rPr>
      <w:rFonts w:ascii="Gill Sans SemiBold Italic" w:hAnsi="Gill Sans SemiBold Italic"/>
      <w:color w:val="A6A6A6" w:themeColor="background1" w:themeShade="A6"/>
    </w:rPr>
  </w:style>
  <w:style w:type="character" w:customStyle="1" w:styleId="BodyTextBoldItalic">
    <w:name w:val="Body Text Bold Italic"/>
    <w:basedOn w:val="BodytextBoldWord"/>
    <w:uiPriority w:val="1"/>
    <w:qFormat/>
    <w:rsid w:val="00EC4AE6"/>
    <w:rPr>
      <w:rFonts w:ascii="Gill Sans SemiBold Italic" w:hAnsi="Gill Sans SemiBold Italic"/>
    </w:rPr>
  </w:style>
  <w:style w:type="paragraph" w:styleId="Footer">
    <w:name w:val="footer"/>
    <w:basedOn w:val="Normal"/>
    <w:link w:val="FooterChar"/>
    <w:uiPriority w:val="99"/>
    <w:unhideWhenUsed/>
    <w:rsid w:val="00A06364"/>
    <w:pPr>
      <w:tabs>
        <w:tab w:val="center" w:pos="4320"/>
        <w:tab w:val="right" w:pos="8640"/>
      </w:tabs>
    </w:pPr>
  </w:style>
  <w:style w:type="character" w:customStyle="1" w:styleId="FooterChar">
    <w:name w:val="Footer Char"/>
    <w:basedOn w:val="DefaultParagraphFont"/>
    <w:link w:val="Footer"/>
    <w:uiPriority w:val="99"/>
    <w:rsid w:val="00A06364"/>
    <w:rPr>
      <w:rFonts w:ascii="Gill Sans" w:eastAsia="Gill Sans" w:hAnsi="Gill Sans" w:cs="Gill Sans"/>
      <w:lang w:bidi="en-US"/>
    </w:rPr>
  </w:style>
  <w:style w:type="character" w:styleId="PageNumber">
    <w:name w:val="page number"/>
    <w:basedOn w:val="DefaultParagraphFont"/>
    <w:uiPriority w:val="99"/>
    <w:semiHidden/>
    <w:unhideWhenUsed/>
    <w:rsid w:val="00A06364"/>
  </w:style>
  <w:style w:type="paragraph" w:customStyle="1" w:styleId="Heading1Use">
    <w:name w:val="Heading 1 Use"/>
    <w:basedOn w:val="Normal"/>
    <w:uiPriority w:val="1"/>
    <w:qFormat/>
    <w:rsid w:val="009F1A4E"/>
    <w:pPr>
      <w:spacing w:before="480"/>
      <w:ind w:left="418"/>
    </w:pPr>
    <w:rPr>
      <w:color w:val="3777BC"/>
      <w:sz w:val="34"/>
    </w:rPr>
  </w:style>
  <w:style w:type="paragraph" w:styleId="ListNumber2">
    <w:name w:val="List Number 2"/>
    <w:basedOn w:val="Normal"/>
    <w:uiPriority w:val="99"/>
    <w:unhideWhenUsed/>
    <w:rsid w:val="00D008CB"/>
    <w:pPr>
      <w:widowControl/>
      <w:numPr>
        <w:ilvl w:val="1"/>
        <w:numId w:val="2"/>
      </w:numPr>
      <w:tabs>
        <w:tab w:val="left" w:pos="1134"/>
      </w:tabs>
      <w:autoSpaceDE/>
      <w:autoSpaceDN/>
      <w:spacing w:after="120" w:line="360" w:lineRule="auto"/>
      <w:ind w:left="1134" w:firstLine="57"/>
      <w:contextualSpacing/>
    </w:pPr>
    <w:rPr>
      <w:rFonts w:eastAsiaTheme="minorEastAsia" w:cstheme="minorBidi"/>
      <w:sz w:val="20"/>
      <w:lang w:val="en-AU" w:bidi="ar-SA"/>
    </w:rPr>
  </w:style>
  <w:style w:type="paragraph" w:styleId="ListNumber3">
    <w:name w:val="List Number 3"/>
    <w:basedOn w:val="Normal"/>
    <w:uiPriority w:val="99"/>
    <w:unhideWhenUsed/>
    <w:rsid w:val="00A06364"/>
    <w:pPr>
      <w:widowControl/>
      <w:numPr>
        <w:numId w:val="2"/>
      </w:numPr>
      <w:autoSpaceDE/>
      <w:autoSpaceDN/>
      <w:spacing w:after="120" w:line="276" w:lineRule="auto"/>
      <w:ind w:left="1701" w:hanging="765"/>
      <w:contextualSpacing/>
    </w:pPr>
    <w:rPr>
      <w:rFonts w:eastAsiaTheme="minorEastAsia" w:cstheme="minorBidi"/>
      <w:sz w:val="20"/>
      <w:lang w:val="en-AU" w:bidi="ar-SA"/>
    </w:rPr>
  </w:style>
  <w:style w:type="paragraph" w:styleId="ListNumber4">
    <w:name w:val="List Number 4"/>
    <w:basedOn w:val="Normal"/>
    <w:uiPriority w:val="99"/>
    <w:unhideWhenUsed/>
    <w:rsid w:val="00A06364"/>
    <w:pPr>
      <w:widowControl/>
      <w:autoSpaceDE/>
      <w:autoSpaceDN/>
      <w:spacing w:after="120" w:line="276" w:lineRule="auto"/>
      <w:ind w:left="2637" w:hanging="936"/>
      <w:contextualSpacing/>
    </w:pPr>
    <w:rPr>
      <w:rFonts w:eastAsiaTheme="minorEastAsia" w:cstheme="minorBidi"/>
      <w:sz w:val="20"/>
      <w:lang w:val="en-AU" w:bidi="ar-SA"/>
    </w:rPr>
  </w:style>
  <w:style w:type="paragraph" w:styleId="ListBullet">
    <w:name w:val="List Bullet"/>
    <w:basedOn w:val="Normal"/>
    <w:uiPriority w:val="99"/>
    <w:unhideWhenUsed/>
    <w:rsid w:val="007C328D"/>
    <w:pPr>
      <w:widowControl/>
      <w:numPr>
        <w:ilvl w:val="2"/>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2">
    <w:name w:val="List Bullet 2"/>
    <w:basedOn w:val="Normal"/>
    <w:uiPriority w:val="99"/>
    <w:unhideWhenUsed/>
    <w:rsid w:val="006E7B81"/>
    <w:pPr>
      <w:widowControl/>
      <w:numPr>
        <w:ilvl w:val="3"/>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3">
    <w:name w:val="List Bullet 3"/>
    <w:aliases w:val="List Bullet 1"/>
    <w:basedOn w:val="Normal"/>
    <w:uiPriority w:val="99"/>
    <w:unhideWhenUsed/>
    <w:rsid w:val="007C328D"/>
    <w:pPr>
      <w:widowControl/>
      <w:numPr>
        <w:numId w:val="3"/>
      </w:numPr>
      <w:autoSpaceDE/>
      <w:autoSpaceDN/>
      <w:spacing w:after="120" w:line="276" w:lineRule="auto"/>
      <w:ind w:left="766" w:hanging="369"/>
      <w:contextualSpacing/>
    </w:pPr>
    <w:rPr>
      <w:rFonts w:eastAsiaTheme="minorEastAsia" w:cstheme="minorBidi"/>
      <w:sz w:val="20"/>
      <w:lang w:val="en-AU" w:bidi="ar-SA"/>
    </w:rPr>
  </w:style>
  <w:style w:type="paragraph" w:styleId="ListBullet4">
    <w:name w:val="List Bullet 4"/>
    <w:basedOn w:val="Normal"/>
    <w:uiPriority w:val="99"/>
    <w:unhideWhenUsed/>
    <w:rsid w:val="00A06364"/>
    <w:pPr>
      <w:widowControl/>
      <w:numPr>
        <w:ilvl w:val="1"/>
        <w:numId w:val="3"/>
      </w:numPr>
      <w:autoSpaceDE/>
      <w:autoSpaceDN/>
      <w:spacing w:after="120" w:line="276" w:lineRule="auto"/>
      <w:ind w:left="1503" w:hanging="369"/>
      <w:contextualSpacing/>
    </w:pPr>
    <w:rPr>
      <w:rFonts w:eastAsiaTheme="minorEastAsia" w:cstheme="minorBidi"/>
      <w:sz w:val="20"/>
      <w:lang w:val="en-AU" w:bidi="ar-SA"/>
    </w:rPr>
  </w:style>
  <w:style w:type="table" w:styleId="TableGrid">
    <w:name w:val="Table Grid"/>
    <w:basedOn w:val="TableNormal"/>
    <w:uiPriority w:val="39"/>
    <w:rsid w:val="00A06364"/>
    <w:pPr>
      <w:numPr>
        <w:ilvl w:val="2"/>
        <w:numId w:val="3"/>
      </w:numPr>
      <w:tabs>
        <w:tab w:val="num" w:pos="360"/>
      </w:tabs>
      <w:spacing w:after="0" w:line="240" w:lineRule="auto"/>
      <w:ind w:left="0" w:firstLine="0"/>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A06364"/>
    <w:pPr>
      <w:numPr>
        <w:ilvl w:val="3"/>
        <w:numId w:val="3"/>
      </w:numPr>
      <w:spacing w:after="0" w:line="240" w:lineRule="auto"/>
      <w:ind w:left="0" w:firstLine="0"/>
    </w:pPr>
    <w:rPr>
      <w:rFonts w:eastAsiaTheme="minorEastAsia"/>
      <w:color w:val="000000" w:themeColor="text1"/>
      <w:sz w:val="20"/>
      <w:lang w:val="en-AU"/>
    </w:rPr>
    <w:tblPr>
      <w:tblStyleRowBandSize w:val="1"/>
      <w:tblBorders>
        <w:bottom w:val="single" w:sz="4" w:space="0" w:color="auto"/>
      </w:tblBorders>
    </w:tblPr>
    <w:trPr>
      <w:cantSplit/>
    </w:trPr>
    <w:tblStylePr w:type="firstRow">
      <w:rPr>
        <w:rFonts w:asciiTheme="minorHAnsi" w:hAnsiTheme="minorHAnsi"/>
        <w:b/>
        <w:color w:val="FFFFFF" w:themeColor="background1"/>
        <w:sz w:val="20"/>
      </w:rPr>
      <w:tblPr/>
      <w:tcPr>
        <w:shd w:val="clear" w:color="auto" w:fill="522761"/>
      </w:tcPr>
    </w:tblStylePr>
    <w:tblStylePr w:type="firstCol">
      <w:rPr>
        <w:b/>
      </w:rPr>
    </w:tblStylePr>
  </w:style>
  <w:style w:type="character" w:customStyle="1" w:styleId="ISBNInformation">
    <w:name w:val="ISBN Information"/>
    <w:basedOn w:val="DefaultParagraphFont"/>
    <w:uiPriority w:val="1"/>
    <w:qFormat/>
    <w:rsid w:val="00A06364"/>
    <w:rPr>
      <w:rFonts w:ascii="GillSans-Light"/>
      <w:color w:val="231F20"/>
    </w:rPr>
  </w:style>
  <w:style w:type="table" w:styleId="LightList-Accent1">
    <w:name w:val="Light List Accent 1"/>
    <w:basedOn w:val="TableNormal"/>
    <w:uiPriority w:val="61"/>
    <w:rsid w:val="00A06364"/>
    <w:pPr>
      <w:widowControl w:val="0"/>
      <w:autoSpaceDE w:val="0"/>
      <w:autoSpaceDN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A06364"/>
    <w:rPr>
      <w:rFonts w:ascii="Tahoma" w:hAnsi="Tahoma" w:cs="Tahoma"/>
      <w:sz w:val="16"/>
      <w:szCs w:val="16"/>
    </w:rPr>
  </w:style>
  <w:style w:type="character" w:customStyle="1" w:styleId="BalloonTextChar">
    <w:name w:val="Balloon Text Char"/>
    <w:basedOn w:val="DefaultParagraphFont"/>
    <w:link w:val="BalloonText"/>
    <w:uiPriority w:val="99"/>
    <w:semiHidden/>
    <w:rsid w:val="00A06364"/>
    <w:rPr>
      <w:rFonts w:ascii="Tahoma" w:eastAsia="Gill Sans" w:hAnsi="Tahoma" w:cs="Tahoma"/>
      <w:sz w:val="16"/>
      <w:szCs w:val="16"/>
      <w:lang w:bidi="en-US"/>
    </w:rPr>
  </w:style>
  <w:style w:type="paragraph" w:customStyle="1" w:styleId="SectionSubtitle">
    <w:name w:val="Section Subtitle"/>
    <w:basedOn w:val="Normal"/>
    <w:qFormat/>
    <w:rsid w:val="00AF1DEB"/>
    <w:pPr>
      <w:spacing w:before="96"/>
    </w:pPr>
    <w:rPr>
      <w:rFonts w:ascii="GillSans-Light"/>
      <w:color w:val="231F20"/>
      <w:sz w:val="34"/>
    </w:rPr>
  </w:style>
  <w:style w:type="paragraph" w:customStyle="1" w:styleId="SectionTitleUse">
    <w:name w:val="Section Title Use"/>
    <w:basedOn w:val="Normal"/>
    <w:qFormat/>
    <w:rsid w:val="00AF1DEB"/>
    <w:pPr>
      <w:spacing w:before="120"/>
    </w:pPr>
    <w:rPr>
      <w:color w:val="548DD4" w:themeColor="text2" w:themeTint="99"/>
      <w:sz w:val="48"/>
      <w:szCs w:val="48"/>
    </w:rPr>
  </w:style>
  <w:style w:type="character" w:customStyle="1" w:styleId="Heading4Char">
    <w:name w:val="Heading 4 Char"/>
    <w:basedOn w:val="DefaultParagraphFont"/>
    <w:link w:val="Heading4"/>
    <w:rsid w:val="00AF1DEB"/>
    <w:rPr>
      <w:rFonts w:ascii="Gill Sans SemiBold Italic" w:eastAsia="Gill Sans" w:hAnsi="Gill Sans SemiBold Italic" w:cs="Gill Sans"/>
      <w:color w:val="3777BC"/>
      <w:sz w:val="20"/>
      <w:lang w:bidi="en-US"/>
    </w:rPr>
  </w:style>
  <w:style w:type="character" w:customStyle="1" w:styleId="Heading5Char">
    <w:name w:val="Heading 5 Char"/>
    <w:basedOn w:val="DefaultParagraphFont"/>
    <w:link w:val="Heading5"/>
    <w:uiPriority w:val="9"/>
    <w:rsid w:val="007C22CD"/>
    <w:rPr>
      <w:rFonts w:asciiTheme="majorHAnsi" w:eastAsiaTheme="majorEastAsia" w:hAnsiTheme="majorHAnsi" w:cstheme="majorBidi"/>
      <w:color w:val="243F60" w:themeColor="accent1" w:themeShade="7F"/>
      <w:lang w:bidi="en-US"/>
    </w:rPr>
  </w:style>
  <w:style w:type="paragraph" w:styleId="Header">
    <w:name w:val="header"/>
    <w:basedOn w:val="Normal"/>
    <w:link w:val="HeaderChar"/>
    <w:uiPriority w:val="99"/>
    <w:unhideWhenUsed/>
    <w:rsid w:val="0050448A"/>
    <w:pPr>
      <w:tabs>
        <w:tab w:val="center" w:pos="4320"/>
        <w:tab w:val="right" w:pos="8640"/>
      </w:tabs>
    </w:pPr>
  </w:style>
  <w:style w:type="character" w:customStyle="1" w:styleId="HeaderChar">
    <w:name w:val="Header Char"/>
    <w:basedOn w:val="DefaultParagraphFont"/>
    <w:link w:val="Header"/>
    <w:uiPriority w:val="99"/>
    <w:rsid w:val="0050448A"/>
    <w:rPr>
      <w:rFonts w:ascii="Gill Sans" w:eastAsia="Gill Sans" w:hAnsi="Gill Sans" w:cs="Gill Sans"/>
      <w:lang w:bidi="en-US"/>
    </w:rPr>
  </w:style>
  <w:style w:type="paragraph" w:customStyle="1" w:styleId="BodyTextafterSubtitle">
    <w:name w:val="Body Text after Subtitle"/>
    <w:basedOn w:val="BodyText"/>
    <w:uiPriority w:val="1"/>
    <w:qFormat/>
    <w:rsid w:val="00CC27B4"/>
    <w:rPr>
      <w:lang w:eastAsia="en-AU"/>
    </w:rPr>
  </w:style>
  <w:style w:type="character" w:customStyle="1" w:styleId="BodytextBoldWord">
    <w:name w:val="Body text Bold Word"/>
    <w:basedOn w:val="DefaultParagraphFont"/>
    <w:uiPriority w:val="1"/>
    <w:qFormat/>
    <w:rsid w:val="00EC4AE6"/>
    <w:rPr>
      <w:rFonts w:ascii="Gill Sans SemiBold" w:hAnsi="Gill Sans SemiBold"/>
    </w:rPr>
  </w:style>
  <w:style w:type="paragraph" w:styleId="Title">
    <w:name w:val="Title"/>
    <w:basedOn w:val="Normal"/>
    <w:next w:val="Normal"/>
    <w:link w:val="TitleChar"/>
    <w:uiPriority w:val="10"/>
    <w:qFormat/>
    <w:rsid w:val="006315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5DA"/>
    <w:rPr>
      <w:rFonts w:asciiTheme="majorHAnsi" w:eastAsiaTheme="majorEastAsia" w:hAnsiTheme="majorHAnsi" w:cstheme="majorBidi"/>
      <w:color w:val="17365D" w:themeColor="text2" w:themeShade="BF"/>
      <w:spacing w:val="5"/>
      <w:kern w:val="28"/>
      <w:sz w:val="52"/>
      <w:szCs w:val="52"/>
      <w:lang w:bidi="en-US"/>
    </w:rPr>
  </w:style>
  <w:style w:type="paragraph" w:customStyle="1" w:styleId="BodyTextBoldParagraph">
    <w:name w:val="Body Text Bold Paragraph"/>
    <w:basedOn w:val="BodyText"/>
    <w:uiPriority w:val="1"/>
    <w:qFormat/>
    <w:rsid w:val="006315DA"/>
    <w:rPr>
      <w:rFonts w:ascii="Gill Sans SemiBold" w:hAnsi="Gill Sans SemiBold"/>
      <w:lang w:eastAsia="en-AU"/>
    </w:rPr>
  </w:style>
  <w:style w:type="paragraph" w:customStyle="1" w:styleId="TableTitle">
    <w:name w:val="Table Title"/>
    <w:basedOn w:val="TableParagraph"/>
    <w:uiPriority w:val="1"/>
    <w:qFormat/>
    <w:rsid w:val="008F7CEB"/>
    <w:pPr>
      <w:spacing w:before="32" w:line="276" w:lineRule="auto"/>
    </w:pPr>
    <w:rPr>
      <w:rFonts w:ascii="Gill Sans" w:hAnsi="Gill Sans" w:cs="Gill Sans"/>
      <w:b/>
      <w:bCs/>
      <w:color w:val="FFFFFF"/>
      <w:sz w:val="20"/>
    </w:rPr>
  </w:style>
  <w:style w:type="paragraph" w:customStyle="1" w:styleId="BodyTextParagraphItalic">
    <w:name w:val="Body Text Paragraph Italic"/>
    <w:basedOn w:val="BodyText"/>
    <w:uiPriority w:val="1"/>
    <w:qFormat/>
    <w:rsid w:val="00E66659"/>
    <w:rPr>
      <w:i/>
      <w:lang w:eastAsia="en-AU"/>
    </w:rPr>
  </w:style>
  <w:style w:type="character" w:customStyle="1" w:styleId="BodyTextItalicWord">
    <w:name w:val="Body Text Italic Word"/>
    <w:basedOn w:val="DefaultParagraphFont"/>
    <w:uiPriority w:val="1"/>
    <w:qFormat/>
    <w:rsid w:val="00E66659"/>
    <w:rPr>
      <w:rFonts w:ascii="Gill Sans" w:hAnsi="Gill Sans"/>
      <w:b w:val="0"/>
      <w:i/>
      <w:sz w:val="20"/>
      <w:lang w:eastAsia="en-AU"/>
    </w:rPr>
  </w:style>
  <w:style w:type="paragraph" w:customStyle="1" w:styleId="BodyText1">
    <w:name w:val="Body Text1"/>
    <w:basedOn w:val="Normal"/>
    <w:uiPriority w:val="99"/>
    <w:rsid w:val="007C7C0E"/>
    <w:pPr>
      <w:adjustRightInd w:val="0"/>
      <w:spacing w:before="57" w:line="288" w:lineRule="auto"/>
      <w:textAlignment w:val="center"/>
    </w:pPr>
    <w:rPr>
      <w:rFonts w:ascii="GillSans" w:eastAsiaTheme="minorHAnsi" w:hAnsi="GillSans" w:cs="GillSans"/>
      <w:color w:val="000000"/>
      <w:sz w:val="20"/>
      <w:szCs w:val="20"/>
      <w:lang w:bidi="ar-SA"/>
    </w:rPr>
  </w:style>
  <w:style w:type="paragraph" w:styleId="ListContinue5">
    <w:name w:val="List Continue 5"/>
    <w:basedOn w:val="Normal"/>
    <w:uiPriority w:val="99"/>
    <w:unhideWhenUsed/>
    <w:rsid w:val="00D008CB"/>
    <w:pPr>
      <w:spacing w:after="120"/>
      <w:ind w:left="1415"/>
      <w:contextualSpacing/>
    </w:pPr>
  </w:style>
  <w:style w:type="paragraph" w:styleId="ListContinue">
    <w:name w:val="List Continue"/>
    <w:basedOn w:val="Normal"/>
    <w:uiPriority w:val="99"/>
    <w:unhideWhenUsed/>
    <w:rsid w:val="00BC792E"/>
    <w:pPr>
      <w:spacing w:before="120" w:after="40"/>
      <w:ind w:left="397"/>
      <w:contextualSpacing/>
    </w:pPr>
    <w:rPr>
      <w:sz w:val="20"/>
    </w:rPr>
  </w:style>
  <w:style w:type="paragraph" w:styleId="ListContinue2">
    <w:name w:val="List Continue 2"/>
    <w:basedOn w:val="Normal"/>
    <w:uiPriority w:val="99"/>
    <w:unhideWhenUsed/>
    <w:rsid w:val="00244A3A"/>
    <w:pPr>
      <w:spacing w:after="40"/>
      <w:ind w:left="1134"/>
      <w:contextualSpacing/>
    </w:pPr>
    <w:rPr>
      <w:sz w:val="20"/>
    </w:rPr>
  </w:style>
  <w:style w:type="paragraph" w:styleId="ListContinue3">
    <w:name w:val="List Continue 3"/>
    <w:basedOn w:val="Normal"/>
    <w:uiPriority w:val="99"/>
    <w:unhideWhenUsed/>
    <w:rsid w:val="000F12C9"/>
    <w:pPr>
      <w:spacing w:after="40"/>
      <w:ind w:left="1814"/>
      <w:contextualSpacing/>
    </w:pPr>
    <w:rPr>
      <w:sz w:val="20"/>
    </w:rPr>
  </w:style>
  <w:style w:type="paragraph" w:styleId="ListContinue4">
    <w:name w:val="List Continue 4"/>
    <w:basedOn w:val="Normal"/>
    <w:uiPriority w:val="99"/>
    <w:unhideWhenUsed/>
    <w:rsid w:val="00A1207E"/>
    <w:pPr>
      <w:spacing w:after="120"/>
      <w:ind w:left="2552"/>
      <w:contextualSpacing/>
    </w:pPr>
    <w:rPr>
      <w:sz w:val="20"/>
    </w:rPr>
  </w:style>
  <w:style w:type="paragraph" w:styleId="List">
    <w:name w:val="List"/>
    <w:aliases w:val="Bullet 1"/>
    <w:basedOn w:val="Normal"/>
    <w:uiPriority w:val="99"/>
    <w:unhideWhenUsed/>
    <w:rsid w:val="007C328D"/>
    <w:pPr>
      <w:ind w:left="283" w:hanging="283"/>
      <w:contextualSpacing/>
    </w:pPr>
  </w:style>
  <w:style w:type="paragraph" w:customStyle="1" w:styleId="bullet3">
    <w:name w:val="bullet 3"/>
    <w:basedOn w:val="bullet4"/>
    <w:uiPriority w:val="1"/>
    <w:qFormat/>
    <w:rsid w:val="00FE0B30"/>
    <w:pPr>
      <w:numPr>
        <w:numId w:val="8"/>
      </w:numPr>
      <w:spacing w:after="0"/>
      <w:ind w:left="2171" w:hanging="357"/>
    </w:pPr>
    <w:rPr>
      <w:rFonts w:cs="Lucida Grande"/>
      <w:szCs w:val="12"/>
    </w:rPr>
  </w:style>
  <w:style w:type="paragraph" w:customStyle="1" w:styleId="bullet4">
    <w:name w:val="bullet 4"/>
    <w:basedOn w:val="ListBullet3"/>
    <w:autoRedefine/>
    <w:uiPriority w:val="1"/>
    <w:qFormat/>
    <w:rsid w:val="004474CB"/>
    <w:pPr>
      <w:spacing w:after="40"/>
      <w:ind w:left="2977"/>
    </w:pPr>
  </w:style>
  <w:style w:type="paragraph" w:customStyle="1" w:styleId="bullet1">
    <w:name w:val="bullet 1"/>
    <w:basedOn w:val="ListBullet3"/>
    <w:uiPriority w:val="1"/>
    <w:qFormat/>
    <w:rsid w:val="00D14D0C"/>
    <w:pPr>
      <w:spacing w:after="0"/>
    </w:pPr>
  </w:style>
  <w:style w:type="paragraph" w:customStyle="1" w:styleId="bullet2">
    <w:name w:val="bullet 2"/>
    <w:basedOn w:val="ListBullet4"/>
    <w:uiPriority w:val="1"/>
    <w:qFormat/>
    <w:rsid w:val="00B22219"/>
    <w:pPr>
      <w:spacing w:after="40"/>
    </w:pPr>
  </w:style>
  <w:style w:type="paragraph" w:customStyle="1" w:styleId="ListContinue1">
    <w:name w:val="List Continue 1"/>
    <w:basedOn w:val="BodyText"/>
    <w:uiPriority w:val="1"/>
    <w:qFormat/>
    <w:rsid w:val="00BD4B78"/>
  </w:style>
  <w:style w:type="character" w:customStyle="1" w:styleId="ListParagraphChar">
    <w:name w:val="List Paragraph Char"/>
    <w:aliases w:val="0Bullet Char,Body Bullets 1 Char,Bullet Point Char,Bullet point Char,Bullet points Char,Bulleted Para Char,Content descriptions Char,L Char,List Paragraph Number Char,List Paragraph1 Char,List Paragraph11 Char,List Paragraph2 Char"/>
    <w:basedOn w:val="DefaultParagraphFont"/>
    <w:link w:val="ListParagraph"/>
    <w:uiPriority w:val="34"/>
    <w:locked/>
    <w:rsid w:val="007C1EB1"/>
    <w:rPr>
      <w:rFonts w:ascii="GillSans-Light" w:eastAsia="GillSans-Light" w:hAnsi="GillSans-Light" w:cs="GillSans-Light"/>
      <w:lang w:bidi="en-US"/>
    </w:rPr>
  </w:style>
  <w:style w:type="paragraph" w:styleId="FootnoteText">
    <w:name w:val="footnote text"/>
    <w:basedOn w:val="Normal"/>
    <w:link w:val="FootnoteTextChar"/>
    <w:uiPriority w:val="99"/>
    <w:unhideWhenUsed/>
    <w:rsid w:val="007C1EB1"/>
    <w:pPr>
      <w:widowControl/>
      <w:autoSpaceDE/>
      <w:autoSpaceDN/>
    </w:pPr>
    <w:rPr>
      <w:rFonts w:ascii="Calibri" w:eastAsia="Calibri" w:hAnsi="Calibri" w:cs="Times New Roman"/>
      <w:color w:val="000000"/>
      <w:sz w:val="20"/>
      <w:szCs w:val="20"/>
      <w:lang w:val="en-AU" w:bidi="ar-SA"/>
    </w:rPr>
  </w:style>
  <w:style w:type="character" w:customStyle="1" w:styleId="FootnoteTextChar">
    <w:name w:val="Footnote Text Char"/>
    <w:basedOn w:val="DefaultParagraphFont"/>
    <w:link w:val="FootnoteText"/>
    <w:uiPriority w:val="99"/>
    <w:rsid w:val="007C1EB1"/>
    <w:rPr>
      <w:rFonts w:ascii="Calibri" w:eastAsia="Calibri" w:hAnsi="Calibri" w:cs="Times New Roman"/>
      <w:color w:val="000000"/>
      <w:sz w:val="20"/>
      <w:szCs w:val="20"/>
      <w:lang w:val="en-AU"/>
    </w:rPr>
  </w:style>
  <w:style w:type="character" w:styleId="FootnoteReference">
    <w:name w:val="footnote reference"/>
    <w:basedOn w:val="DefaultParagraphFont"/>
    <w:uiPriority w:val="99"/>
    <w:unhideWhenUsed/>
    <w:rsid w:val="007C1EB1"/>
    <w:rPr>
      <w:vertAlign w:val="superscript"/>
    </w:rPr>
  </w:style>
  <w:style w:type="character" w:styleId="CommentReference">
    <w:name w:val="annotation reference"/>
    <w:basedOn w:val="DefaultParagraphFont"/>
    <w:uiPriority w:val="99"/>
    <w:semiHidden/>
    <w:unhideWhenUsed/>
    <w:rsid w:val="007C1EB1"/>
    <w:rPr>
      <w:sz w:val="16"/>
      <w:szCs w:val="16"/>
    </w:rPr>
  </w:style>
  <w:style w:type="paragraph" w:styleId="CommentText">
    <w:name w:val="annotation text"/>
    <w:basedOn w:val="Normal"/>
    <w:link w:val="CommentTextChar"/>
    <w:uiPriority w:val="99"/>
    <w:semiHidden/>
    <w:unhideWhenUsed/>
    <w:rsid w:val="007C1EB1"/>
    <w:pPr>
      <w:widowControl/>
      <w:autoSpaceDE/>
      <w:autoSpaceDN/>
      <w:spacing w:after="120"/>
    </w:pPr>
    <w:rPr>
      <w:rFonts w:ascii="Calibri" w:eastAsia="Calibri" w:hAnsi="Calibri" w:cs="Times New Roman"/>
      <w:color w:val="000000"/>
      <w:sz w:val="20"/>
      <w:szCs w:val="20"/>
      <w:lang w:val="en-AU" w:bidi="ar-SA"/>
    </w:rPr>
  </w:style>
  <w:style w:type="character" w:customStyle="1" w:styleId="CommentTextChar">
    <w:name w:val="Comment Text Char"/>
    <w:basedOn w:val="DefaultParagraphFont"/>
    <w:link w:val="CommentText"/>
    <w:uiPriority w:val="99"/>
    <w:semiHidden/>
    <w:rsid w:val="007C1EB1"/>
    <w:rPr>
      <w:rFonts w:ascii="Calibri" w:eastAsia="Calibri" w:hAnsi="Calibri" w:cs="Times New Roman"/>
      <w:color w:val="000000"/>
      <w:sz w:val="20"/>
      <w:szCs w:val="20"/>
      <w:lang w:val="en-AU"/>
    </w:rPr>
  </w:style>
  <w:style w:type="table" w:customStyle="1" w:styleId="TableGrid1">
    <w:name w:val="Table Grid1"/>
    <w:basedOn w:val="TableNormal"/>
    <w:next w:val="TableGrid"/>
    <w:uiPriority w:val="39"/>
    <w:rsid w:val="007E484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B545E"/>
    <w:rPr>
      <w:color w:val="0563C1"/>
      <w:u w:val="single"/>
    </w:rPr>
  </w:style>
  <w:style w:type="character" w:styleId="FollowedHyperlink">
    <w:name w:val="FollowedHyperlink"/>
    <w:basedOn w:val="DefaultParagraphFont"/>
    <w:uiPriority w:val="99"/>
    <w:semiHidden/>
    <w:unhideWhenUsed/>
    <w:rsid w:val="0000023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53C3A"/>
    <w:pPr>
      <w:widowControl w:val="0"/>
      <w:autoSpaceDE w:val="0"/>
      <w:autoSpaceDN w:val="0"/>
      <w:spacing w:after="0"/>
    </w:pPr>
    <w:rPr>
      <w:rFonts w:ascii="Gill Sans" w:eastAsia="Gill Sans" w:hAnsi="Gill Sans" w:cs="Gill Sans"/>
      <w:b/>
      <w:bCs/>
      <w:color w:val="auto"/>
      <w:lang w:val="en-US" w:bidi="en-US"/>
    </w:rPr>
  </w:style>
  <w:style w:type="character" w:customStyle="1" w:styleId="CommentSubjectChar">
    <w:name w:val="Comment Subject Char"/>
    <w:basedOn w:val="CommentTextChar"/>
    <w:link w:val="CommentSubject"/>
    <w:uiPriority w:val="99"/>
    <w:semiHidden/>
    <w:rsid w:val="00B53C3A"/>
    <w:rPr>
      <w:rFonts w:ascii="Gill Sans" w:eastAsia="Gill Sans" w:hAnsi="Gill Sans" w:cs="Gill Sans"/>
      <w:b/>
      <w:bCs/>
      <w:color w:val="000000"/>
      <w:sz w:val="20"/>
      <w:szCs w:val="20"/>
      <w:lang w:val="en-AU" w:bidi="en-US"/>
    </w:rPr>
  </w:style>
  <w:style w:type="paragraph" w:styleId="Revision">
    <w:name w:val="Revision"/>
    <w:hidden/>
    <w:uiPriority w:val="99"/>
    <w:semiHidden/>
    <w:rsid w:val="00B53C3A"/>
    <w:pPr>
      <w:spacing w:after="0" w:line="240" w:lineRule="auto"/>
    </w:pPr>
    <w:rPr>
      <w:rFonts w:ascii="Gill Sans" w:eastAsia="Gill Sans" w:hAnsi="Gill Sans" w:cs="Gill Sans"/>
      <w:lang w:bidi="en-US"/>
    </w:rPr>
  </w:style>
  <w:style w:type="paragraph" w:styleId="Caption">
    <w:name w:val="caption"/>
    <w:basedOn w:val="Normal"/>
    <w:next w:val="Normal"/>
    <w:uiPriority w:val="35"/>
    <w:semiHidden/>
    <w:unhideWhenUsed/>
    <w:qFormat/>
    <w:rsid w:val="0072416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motionalintelligenceatwork.com/resources/cant-teach-soft-skills/" TargetMode="External"/><Relationship Id="rId13" Type="http://schemas.openxmlformats.org/officeDocument/2006/relationships/hyperlink" Target="https://education.nsw.gov.au/our-priorities/innovate-for-the-future/education-for-a-changing-world/research-findings/future-frontiers-analytical-report-key-skills-for-the-21st-century/Key-Skills-for-the-21st-Century-Analytical-Report.pdf" TargetMode="External"/><Relationship Id="rId18" Type="http://schemas.openxmlformats.org/officeDocument/2006/relationships/hyperlink" Target="https://www.nationalsoftskills.org/why-the-reluctance-to-teach-soft-skills/" TargetMode="External"/><Relationship Id="rId26" Type="http://schemas.openxmlformats.org/officeDocument/2006/relationships/hyperlink" Target="https://www.pc.gov.au/inquiries/completed/productivity-review/report/productivity-review.pdf" TargetMode="External"/><Relationship Id="rId3" Type="http://schemas.openxmlformats.org/officeDocument/2006/relationships/hyperlink" Target="https://www.chiefscientist.gov.au/wp-content/uploads/CONASTA-speech.pdf" TargetMode="External"/><Relationship Id="rId21" Type="http://schemas.openxmlformats.org/officeDocument/2006/relationships/hyperlink" Target="https://www.pc.gov.au/inquiries/completed/productivity-review/report/productivity-review.pdf" TargetMode="External"/><Relationship Id="rId7" Type="http://schemas.openxmlformats.org/officeDocument/2006/relationships/hyperlink" Target="https://www.fya.org.au/wp-content/uploads/2018/06/FYA_TheNewWorkReality_sml.pdf" TargetMode="External"/><Relationship Id="rId12" Type="http://schemas.openxmlformats.org/officeDocument/2006/relationships/hyperlink" Target="https://education.nsw.gov.au/our-priorities/innovate-for-the-future/education-for-a-changing-world/research-findings/future-frontiers-analytical-report-preparing-for-the-best-and-worst-of-times/Future-Frontiers_University-of-Sydney-exec-summary.pdf" TargetMode="External"/><Relationship Id="rId17" Type="http://schemas.openxmlformats.org/officeDocument/2006/relationships/hyperlink" Target="https://education.nsw.gov.au/our-priorities/innovate-for-the-future/education-for-a-changing-world/research-findings/future-frontiers-analytical-report-key-skills-for-the-21st-century/Key-Skills-for-the-21st-Century-Analytical-Report.pdf" TargetMode="External"/><Relationship Id="rId25" Type="http://schemas.openxmlformats.org/officeDocument/2006/relationships/hyperlink" Target="http://obviouschoice.com.au/micro-learning/" TargetMode="External"/><Relationship Id="rId2" Type="http://schemas.openxmlformats.org/officeDocument/2006/relationships/hyperlink" Target="http://cdn.aigroup.com.au/Reports/2016/Connecting_for_productivity_Oct16.pdf" TargetMode="External"/><Relationship Id="rId16" Type="http://schemas.openxmlformats.org/officeDocument/2006/relationships/hyperlink" Target="https://schoolsweek.co.uk/soft-skills-cant-be-taught-but-they-can-be-learned/" TargetMode="External"/><Relationship Id="rId20" Type="http://schemas.openxmlformats.org/officeDocument/2006/relationships/hyperlink" Target="https://education.nsw.gov.au/our-priorities/innovate-for-the-future/education-for-a-changing-world/research-findings/future-frontiers-analytical-report-key-skills-for-the-21st-century/Key-Skills-for-the-21st-Century-Analytical-Report.pdf" TargetMode="External"/><Relationship Id="rId1" Type="http://schemas.openxmlformats.org/officeDocument/2006/relationships/hyperlink" Target="https://www.pc.gov.au/inquiries/completed/productivity-review/report" TargetMode="External"/><Relationship Id="rId6" Type="http://schemas.openxmlformats.org/officeDocument/2006/relationships/hyperlink" Target="http://www.fya.org.au/wp-content/uploads/2015/08/fya-future-of-work-report-final-lr.pdf" TargetMode="External"/><Relationship Id="rId11" Type="http://schemas.openxmlformats.org/officeDocument/2006/relationships/hyperlink" Target="https://education.nsw.gov.au/our-priorities/innovate-for-the-future/education-for-a-changing-world/research-findings/future-frontiers-analytical-report-preparing-for-the-best-and-worst-of-times/Future-Frontiers_University-of-Sydney-exec-summary.pdf" TargetMode="External"/><Relationship Id="rId24" Type="http://schemas.openxmlformats.org/officeDocument/2006/relationships/hyperlink" Target="https://www.pc.gov.au/inquiries/completed/productivity-review/report/productivity-review.pdf" TargetMode="External"/><Relationship Id="rId5" Type="http://schemas.openxmlformats.org/officeDocument/2006/relationships/hyperlink" Target="http://www.bca.com.au/publications/future-proof-australias-future-post-secondary-education-and-skills-system" TargetMode="External"/><Relationship Id="rId15" Type="http://schemas.openxmlformats.org/officeDocument/2006/relationships/hyperlink" Target="https://www.forbes.com/sites/tomaspremuzic/2018/06/14/can-you-really-train-soft-skills-some-answers-from-the-science-of-talent/" TargetMode="External"/><Relationship Id="rId23" Type="http://schemas.openxmlformats.org/officeDocument/2006/relationships/hyperlink" Target="https://www.pc.gov.au/inquiries/completed/productivity-review/report/productivity-review.pdf" TargetMode="External"/><Relationship Id="rId28" Type="http://schemas.openxmlformats.org/officeDocument/2006/relationships/hyperlink" Target="https://docs.education.gov.au/documents/contextual-research-australian-qualifications-framework-review" TargetMode="External"/><Relationship Id="rId10" Type="http://schemas.openxmlformats.org/officeDocument/2006/relationships/hyperlink" Target="http://www.emotionalintelligenceatwork.com/resources/cant-teach-soft-skills/" TargetMode="External"/><Relationship Id="rId19" Type="http://schemas.openxmlformats.org/officeDocument/2006/relationships/hyperlink" Target="https://education.nsw.gov.au/our-priorities/innovate-for-the-future/education-for-a-changing-world/research-findings/future-frontiers-analytical-report-key-skills-for-the-21st-century/Key-Skills-for-the-21st-Century-Analytical-Report.pdf" TargetMode="External"/><Relationship Id="rId4" Type="http://schemas.openxmlformats.org/officeDocument/2006/relationships/hyperlink" Target="http://www.bca.com.au/publications/future-proof-protecting-australians-through-education-and-skills" TargetMode="External"/><Relationship Id="rId9" Type="http://schemas.openxmlformats.org/officeDocument/2006/relationships/hyperlink" Target="https://www.nationalsoftskills.org/why-the-reluctance-to-teach-soft-skills/" TargetMode="External"/><Relationship Id="rId14" Type="http://schemas.openxmlformats.org/officeDocument/2006/relationships/hyperlink" Target="https://education.nsw.gov.au/our-priorities/innovate-for-the-future/education-for-a-changing-world/research-findings/future-frontiers-analytical-report-key-skills-for-the-21st-century/Key-Skills-for-the-21st-Century-Analytical-Report.pdf" TargetMode="External"/><Relationship Id="rId22" Type="http://schemas.openxmlformats.org/officeDocument/2006/relationships/hyperlink" Target="http://cdn.aigroup.com.au/Reports/2016/Connecting_for_productivity_Oct16.pdf" TargetMode="External"/><Relationship Id="rId27" Type="http://schemas.openxmlformats.org/officeDocument/2006/relationships/hyperlink" Target="https://www.pc.gov.au/inquiries/completed/productivity-review/report/productivity-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222AE-A27C-4F1B-BF0F-927A99CBF740}"/>
</file>

<file path=customXml/itemProps2.xml><?xml version="1.0" encoding="utf-8"?>
<ds:datastoreItem xmlns:ds="http://schemas.openxmlformats.org/officeDocument/2006/customXml" ds:itemID="{0C1DE1FD-6CFA-4D40-9652-A7846126CFAD}"/>
</file>

<file path=customXml/itemProps3.xml><?xml version="1.0" encoding="utf-8"?>
<ds:datastoreItem xmlns:ds="http://schemas.openxmlformats.org/officeDocument/2006/customXml" ds:itemID="{9AA21F6D-254B-447B-B277-49E0496AA3A1}"/>
</file>

<file path=customXml/itemProps4.xml><?xml version="1.0" encoding="utf-8"?>
<ds:datastoreItem xmlns:ds="http://schemas.openxmlformats.org/officeDocument/2006/customXml" ds:itemID="{79A963AF-2FF1-4615-A566-73475DF5C8DE}"/>
</file>

<file path=docProps/app.xml><?xml version="1.0" encoding="utf-8"?>
<Properties xmlns="http://schemas.openxmlformats.org/officeDocument/2006/extended-properties" xmlns:vt="http://schemas.openxmlformats.org/officeDocument/2006/docPropsVTypes">
  <Template>758E1071.dotm</Template>
  <TotalTime>269</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RATLIFF,Vicki</cp:lastModifiedBy>
  <cp:revision>24</cp:revision>
  <dcterms:created xsi:type="dcterms:W3CDTF">2018-11-27T11:25:00Z</dcterms:created>
  <dcterms:modified xsi:type="dcterms:W3CDTF">2018-12-11T02:41:00Z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