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2C46" w:rsidRPr="00991062" w:rsidRDefault="00015E62" w:rsidP="00991062">
      <w:pPr>
        <w:pStyle w:val="ImageHeader"/>
      </w:pPr>
      <w:bookmarkStart w:id="0" w:name="_GoBack"/>
      <w:bookmarkEnd w:id="0"/>
      <w:r>
        <w:rPr>
          <w:noProof/>
          <w:lang w:eastAsia="en-AU"/>
        </w:rPr>
        <w:drawing>
          <wp:anchor distT="0" distB="0" distL="114300" distR="114300" simplePos="0" relativeHeight="251658240" behindDoc="1" locked="0" layoutInCell="1" allowOverlap="1" wp14:anchorId="27F92415" wp14:editId="1BE9F520">
            <wp:simplePos x="0" y="0"/>
            <wp:positionH relativeFrom="page">
              <wp:align>left</wp:align>
            </wp:positionH>
            <wp:positionV relativeFrom="page">
              <wp:posOffset>198755</wp:posOffset>
            </wp:positionV>
            <wp:extent cx="7555510" cy="10687390"/>
            <wp:effectExtent l="0" t="0" r="7620" b="0"/>
            <wp:wrapNone/>
            <wp:docPr id="2" name="Picture 2"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D18-0084 - SCH - NSRB SES Score Review_Report Template - Cover_0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55510" cy="10687390"/>
                    </a:xfrm>
                    <a:prstGeom prst="rect">
                      <a:avLst/>
                    </a:prstGeom>
                  </pic:spPr>
                </pic:pic>
              </a:graphicData>
            </a:graphic>
            <wp14:sizeRelH relativeFrom="page">
              <wp14:pctWidth>0</wp14:pctWidth>
            </wp14:sizeRelH>
            <wp14:sizeRelV relativeFrom="page">
              <wp14:pctHeight>0</wp14:pctHeight>
            </wp14:sizeRelV>
          </wp:anchor>
        </w:drawing>
      </w:r>
      <w:r w:rsidR="004F2C46" w:rsidRPr="00991062">
        <w:rPr>
          <w:noProof/>
          <w:lang w:eastAsia="en-AU"/>
        </w:rPr>
        <w:drawing>
          <wp:inline distT="0" distB="0" distL="0" distR="0" wp14:anchorId="796D88A4" wp14:editId="7A1FE85F">
            <wp:extent cx="2280920" cy="574040"/>
            <wp:effectExtent l="0" t="0" r="5080" b="0"/>
            <wp:docPr id="1" name="Picture 1" descr="Australian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ustGovt1A.jpg"/>
                    <pic:cNvPicPr/>
                  </pic:nvPicPr>
                  <pic:blipFill>
                    <a:blip r:embed="rId9">
                      <a:extLst>
                        <a:ext uri="{28A0092B-C50C-407E-A947-70E740481C1C}">
                          <a14:useLocalDpi xmlns:a14="http://schemas.microsoft.com/office/drawing/2010/main" val="0"/>
                        </a:ext>
                      </a:extLst>
                    </a:blip>
                    <a:stretch>
                      <a:fillRect/>
                    </a:stretch>
                  </pic:blipFill>
                  <pic:spPr>
                    <a:xfrm>
                      <a:off x="0" y="0"/>
                      <a:ext cx="2280920" cy="574040"/>
                    </a:xfrm>
                    <a:prstGeom prst="rect">
                      <a:avLst/>
                    </a:prstGeom>
                  </pic:spPr>
                </pic:pic>
              </a:graphicData>
            </a:graphic>
          </wp:inline>
        </w:drawing>
      </w:r>
    </w:p>
    <w:p w:rsidR="00015E62" w:rsidRPr="00015E62" w:rsidRDefault="00015E62" w:rsidP="00015E62">
      <w:pPr>
        <w:pStyle w:val="Title"/>
      </w:pPr>
      <w:r w:rsidRPr="00015E62">
        <w:t xml:space="preserve">Review of the </w:t>
      </w:r>
    </w:p>
    <w:p w:rsidR="00015E62" w:rsidRPr="00015E62" w:rsidRDefault="00015E62" w:rsidP="00015E62">
      <w:pPr>
        <w:pStyle w:val="Title"/>
      </w:pPr>
      <w:r w:rsidRPr="00015E62">
        <w:t xml:space="preserve">Higher Education Provider </w:t>
      </w:r>
    </w:p>
    <w:p w:rsidR="00015E62" w:rsidRPr="00015E62" w:rsidRDefault="00015E62" w:rsidP="00015E62">
      <w:pPr>
        <w:pStyle w:val="Title"/>
      </w:pPr>
      <w:r w:rsidRPr="00015E62">
        <w:t xml:space="preserve">Category Standards </w:t>
      </w:r>
    </w:p>
    <w:p w:rsidR="004403FD" w:rsidRDefault="00015E62" w:rsidP="00734A24">
      <w:pPr>
        <w:pStyle w:val="Subtitle"/>
      </w:pPr>
      <w:r w:rsidRPr="00734A24">
        <w:t>Discussion Paper</w:t>
      </w:r>
    </w:p>
    <w:p w:rsidR="00651E97" w:rsidRPr="0076278B" w:rsidRDefault="001B53C1" w:rsidP="0076278B">
      <w:pPr>
        <w:pStyle w:val="Subtitle"/>
        <w:spacing w:before="120"/>
        <w:rPr>
          <w:sz w:val="24"/>
          <w:szCs w:val="24"/>
        </w:rPr>
      </w:pPr>
      <w:r w:rsidRPr="0076278B">
        <w:rPr>
          <w:sz w:val="24"/>
          <w:szCs w:val="24"/>
        </w:rPr>
        <w:t>DECEMBER 2018</w:t>
      </w:r>
    </w:p>
    <w:p w:rsidR="00690602" w:rsidRDefault="00690602" w:rsidP="00651E97">
      <w:pPr>
        <w:tabs>
          <w:tab w:val="left" w:pos="5130"/>
        </w:tabs>
        <w:spacing w:before="0" w:after="0" w:line="240" w:lineRule="auto"/>
        <w:rPr>
          <w:rFonts w:cstheme="minorHAnsi"/>
          <w:b/>
        </w:rPr>
      </w:pPr>
      <w:r>
        <w:rPr>
          <w:rFonts w:cstheme="minorHAnsi"/>
          <w:b/>
        </w:rPr>
        <w:br w:type="page"/>
      </w:r>
    </w:p>
    <w:p w:rsidR="00651E97" w:rsidRPr="00CD3344" w:rsidRDefault="00651E97" w:rsidP="00651E97">
      <w:pPr>
        <w:tabs>
          <w:tab w:val="left" w:pos="5130"/>
        </w:tabs>
        <w:spacing w:before="0" w:after="0" w:line="240" w:lineRule="auto"/>
        <w:rPr>
          <w:rFonts w:cstheme="minorHAnsi"/>
          <w:b/>
        </w:rPr>
      </w:pPr>
      <w:r w:rsidRPr="00CD3344">
        <w:rPr>
          <w:rFonts w:cstheme="minorHAnsi"/>
          <w:b/>
        </w:rPr>
        <w:lastRenderedPageBreak/>
        <w:t>D</w:t>
      </w:r>
      <w:r>
        <w:rPr>
          <w:rFonts w:cstheme="minorHAnsi"/>
          <w:b/>
        </w:rPr>
        <w:t>iscussion p</w:t>
      </w:r>
      <w:r w:rsidRPr="00CD3344">
        <w:rPr>
          <w:rFonts w:cstheme="minorHAnsi"/>
          <w:b/>
        </w:rPr>
        <w:t>aper</w:t>
      </w:r>
    </w:p>
    <w:p w:rsidR="00651E97" w:rsidRPr="00CD3344" w:rsidRDefault="00651E97" w:rsidP="00651E97">
      <w:pPr>
        <w:pStyle w:val="NormalWeb"/>
        <w:keepNext/>
        <w:spacing w:before="0"/>
        <w:jc w:val="both"/>
        <w:rPr>
          <w:rFonts w:asciiTheme="minorHAnsi" w:hAnsiTheme="minorHAnsi" w:cstheme="minorHAnsi"/>
        </w:rPr>
      </w:pPr>
      <w:r w:rsidRPr="00CD3344">
        <w:rPr>
          <w:rFonts w:asciiTheme="minorHAnsi" w:hAnsiTheme="minorHAnsi" w:cstheme="minorHAnsi"/>
          <w:color w:val="000000"/>
        </w:rPr>
        <w:t xml:space="preserve">© Commonwealth of Australia </w:t>
      </w:r>
      <w:r w:rsidRPr="00CD3344">
        <w:rPr>
          <w:rFonts w:asciiTheme="minorHAnsi" w:hAnsiTheme="minorHAnsi" w:cstheme="minorHAnsi"/>
        </w:rPr>
        <w:t>2018</w:t>
      </w:r>
    </w:p>
    <w:p w:rsidR="00651E97" w:rsidRPr="00CD3344" w:rsidRDefault="00651E97" w:rsidP="00651E97">
      <w:pPr>
        <w:pStyle w:val="NormalWeb"/>
        <w:keepNext/>
        <w:spacing w:before="0"/>
        <w:jc w:val="both"/>
        <w:rPr>
          <w:rFonts w:asciiTheme="minorHAnsi" w:hAnsiTheme="minorHAnsi" w:cstheme="minorHAnsi"/>
          <w:lang w:eastAsia="en-AU"/>
        </w:rPr>
      </w:pPr>
      <w:r w:rsidRPr="00CD3344">
        <w:rPr>
          <w:rFonts w:asciiTheme="minorHAnsi" w:hAnsiTheme="minorHAnsi" w:cstheme="minorHAnsi"/>
          <w:b/>
        </w:rPr>
        <w:t xml:space="preserve">ISBN </w:t>
      </w:r>
      <w:r w:rsidR="005850F8">
        <w:rPr>
          <w:rFonts w:asciiTheme="minorHAnsi" w:hAnsiTheme="minorHAnsi" w:cstheme="minorHAnsi"/>
          <w:b/>
        </w:rPr>
        <w:t xml:space="preserve">978-1-76051-608-6 </w:t>
      </w:r>
      <w:r w:rsidRPr="00C82A11">
        <w:rPr>
          <w:rFonts w:asciiTheme="minorHAnsi" w:hAnsiTheme="minorHAnsi" w:cstheme="minorHAnsi"/>
          <w:color w:val="000000"/>
        </w:rPr>
        <w:t>(PDF)</w:t>
      </w:r>
    </w:p>
    <w:p w:rsidR="00651E97" w:rsidRPr="00CD3344" w:rsidRDefault="00651E97" w:rsidP="00651E97">
      <w:pPr>
        <w:pStyle w:val="NormalWeb"/>
        <w:keepNext/>
        <w:spacing w:before="0"/>
        <w:jc w:val="both"/>
        <w:rPr>
          <w:rFonts w:asciiTheme="minorHAnsi" w:hAnsiTheme="minorHAnsi" w:cstheme="minorHAnsi"/>
          <w:color w:val="000000"/>
        </w:rPr>
      </w:pPr>
      <w:r w:rsidRPr="00CD3344">
        <w:rPr>
          <w:rFonts w:asciiTheme="minorHAnsi" w:hAnsiTheme="minorHAnsi" w:cstheme="minorHAnsi"/>
          <w:b/>
        </w:rPr>
        <w:t xml:space="preserve">ISBN </w:t>
      </w:r>
      <w:r w:rsidR="005850F8">
        <w:rPr>
          <w:rFonts w:asciiTheme="minorHAnsi" w:hAnsiTheme="minorHAnsi" w:cstheme="minorHAnsi"/>
          <w:b/>
        </w:rPr>
        <w:t xml:space="preserve">978-1-76051-609-3 </w:t>
      </w:r>
      <w:r w:rsidRPr="00C82A11">
        <w:rPr>
          <w:rFonts w:asciiTheme="minorHAnsi" w:hAnsiTheme="minorHAnsi" w:cstheme="minorHAnsi"/>
          <w:color w:val="000000"/>
        </w:rPr>
        <w:t>(DOCX)</w:t>
      </w:r>
    </w:p>
    <w:p w:rsidR="00651E97" w:rsidRPr="00CD3344" w:rsidRDefault="00651E97" w:rsidP="00651E97">
      <w:pPr>
        <w:pStyle w:val="numberedpara"/>
        <w:keepNext/>
        <w:numPr>
          <w:ilvl w:val="0"/>
          <w:numId w:val="0"/>
        </w:numPr>
        <w:tabs>
          <w:tab w:val="left" w:pos="720"/>
        </w:tabs>
        <w:jc w:val="both"/>
        <w:rPr>
          <w:rFonts w:asciiTheme="minorHAnsi" w:hAnsiTheme="minorHAnsi" w:cstheme="minorHAnsi"/>
        </w:rPr>
      </w:pPr>
      <w:r w:rsidRPr="00CD3344">
        <w:rPr>
          <w:rFonts w:asciiTheme="minorHAnsi" w:hAnsiTheme="minorHAnsi" w:cstheme="minorHAnsi"/>
          <w:noProof/>
        </w:rPr>
        <w:drawing>
          <wp:inline distT="0" distB="0" distL="0" distR="0" wp14:anchorId="35227AD3" wp14:editId="06CEC34D">
            <wp:extent cx="847725" cy="285750"/>
            <wp:effectExtent l="0" t="0" r="9525" b="0"/>
            <wp:docPr id="6" name="Picture 6" descr="cid:image003.jpg@01D31CB3.AC4B5C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3.jpg@01D31CB3.AC4B5C20"/>
                    <pic:cNvPicPr>
                      <a:picLocks noChangeAspect="1" noChangeArrowheads="1"/>
                    </pic:cNvPicPr>
                  </pic:nvPicPr>
                  <pic:blipFill>
                    <a:blip r:embed="rId10" r:link="rId11" cstate="print">
                      <a:extLst>
                        <a:ext uri="{28A0092B-C50C-407E-A947-70E740481C1C}">
                          <a14:useLocalDpi xmlns:a14="http://schemas.microsoft.com/office/drawing/2010/main" val="0"/>
                        </a:ext>
                      </a:extLst>
                    </a:blip>
                    <a:srcRect/>
                    <a:stretch>
                      <a:fillRect/>
                    </a:stretch>
                  </pic:blipFill>
                  <pic:spPr bwMode="auto">
                    <a:xfrm>
                      <a:off x="0" y="0"/>
                      <a:ext cx="847725" cy="285750"/>
                    </a:xfrm>
                    <a:prstGeom prst="rect">
                      <a:avLst/>
                    </a:prstGeom>
                    <a:noFill/>
                    <a:ln>
                      <a:noFill/>
                    </a:ln>
                  </pic:spPr>
                </pic:pic>
              </a:graphicData>
            </a:graphic>
          </wp:inline>
        </w:drawing>
      </w:r>
    </w:p>
    <w:p w:rsidR="00651E97" w:rsidRPr="00CD3344" w:rsidRDefault="00651E97" w:rsidP="00651E97">
      <w:pPr>
        <w:spacing w:before="0" w:after="0" w:line="240" w:lineRule="auto"/>
        <w:rPr>
          <w:rFonts w:cstheme="minorHAnsi"/>
        </w:rPr>
      </w:pPr>
    </w:p>
    <w:p w:rsidR="00651E97" w:rsidRPr="00CD3344" w:rsidRDefault="00651E97" w:rsidP="00651E97">
      <w:pPr>
        <w:spacing w:before="0" w:after="0" w:line="240" w:lineRule="auto"/>
        <w:rPr>
          <w:rFonts w:cstheme="minorHAnsi"/>
          <w:color w:val="000000"/>
        </w:rPr>
      </w:pPr>
      <w:r w:rsidRPr="00CD3344">
        <w:rPr>
          <w:rFonts w:cstheme="minorHAnsi"/>
        </w:rPr>
        <w:t xml:space="preserve">Any material protected by a trademark and where otherwise noted all material presented in this document is provided under a Creative Commons Attribution 4.0 International licence. </w:t>
      </w:r>
    </w:p>
    <w:p w:rsidR="00651E97" w:rsidRPr="00CD3344" w:rsidRDefault="00651E97" w:rsidP="00651E97">
      <w:pPr>
        <w:spacing w:before="0" w:after="0" w:line="240" w:lineRule="auto"/>
        <w:rPr>
          <w:rFonts w:cstheme="minorHAnsi"/>
        </w:rPr>
      </w:pPr>
      <w:r w:rsidRPr="00CD3344">
        <w:rPr>
          <w:rFonts w:cstheme="minorHAnsi"/>
        </w:rPr>
        <w:t>The details of the relevant licence conditions are available on the Creative Commons website (</w:t>
      </w:r>
      <w:hyperlink r:id="rId12" w:tooltip="web link to creative commons licencing conditions" w:history="1">
        <w:r w:rsidRPr="00CD3344">
          <w:rPr>
            <w:rStyle w:val="Hyperlink"/>
            <w:rFonts w:cstheme="minorHAnsi"/>
          </w:rPr>
          <w:t>https://creativecommons.org/licenses/by/4.0/</w:t>
        </w:r>
      </w:hyperlink>
      <w:r w:rsidRPr="00CD3344">
        <w:rPr>
          <w:rFonts w:cstheme="minorHAnsi"/>
        </w:rPr>
        <w:t>) as is the full legal code (</w:t>
      </w:r>
      <w:hyperlink r:id="rId13" w:tooltip="web link to creative commons legal code" w:history="1">
        <w:r w:rsidRPr="00CD3344">
          <w:rPr>
            <w:rStyle w:val="Hyperlink"/>
            <w:rFonts w:cstheme="minorHAnsi"/>
          </w:rPr>
          <w:t>https://creativecommons.org/licenses/by/4.0/legalcode</w:t>
        </w:r>
      </w:hyperlink>
      <w:r w:rsidRPr="00CD3344">
        <w:rPr>
          <w:rFonts w:cstheme="minorHAnsi"/>
        </w:rPr>
        <w:t>)</w:t>
      </w:r>
    </w:p>
    <w:p w:rsidR="00651E97" w:rsidRPr="00CD3344" w:rsidRDefault="00651E97" w:rsidP="00651E97">
      <w:pPr>
        <w:spacing w:before="0" w:after="0" w:line="240" w:lineRule="auto"/>
        <w:rPr>
          <w:rFonts w:cstheme="minorHAnsi"/>
        </w:rPr>
      </w:pPr>
    </w:p>
    <w:p w:rsidR="00651E97" w:rsidRPr="00CD3344" w:rsidRDefault="00651E97" w:rsidP="00651E97">
      <w:pPr>
        <w:spacing w:before="0" w:after="0" w:line="240" w:lineRule="auto"/>
        <w:rPr>
          <w:rFonts w:cstheme="minorHAnsi"/>
        </w:rPr>
      </w:pPr>
      <w:r w:rsidRPr="00CD3344">
        <w:rPr>
          <w:rFonts w:cstheme="minorHAnsi"/>
        </w:rPr>
        <w:t>As far as practicable, material for which the copyright is owned by a third party will be clearly labelled. All reasonable efforts have been made to ensure that this material has been reproduced in this document with the full consent of the copyright owners.</w:t>
      </w:r>
    </w:p>
    <w:p w:rsidR="00651E97" w:rsidRPr="00CD3344" w:rsidRDefault="00651E97" w:rsidP="00651E97">
      <w:pPr>
        <w:spacing w:before="0" w:after="0" w:line="240" w:lineRule="auto"/>
        <w:rPr>
          <w:rFonts w:cstheme="minorHAnsi"/>
        </w:rPr>
      </w:pPr>
    </w:p>
    <w:p w:rsidR="00651E97" w:rsidRPr="00CD3344" w:rsidRDefault="00651E97" w:rsidP="00651E97">
      <w:pPr>
        <w:spacing w:before="0" w:after="0" w:line="240" w:lineRule="auto"/>
        <w:rPr>
          <w:rFonts w:cstheme="minorHAnsi"/>
        </w:rPr>
      </w:pPr>
      <w:r w:rsidRPr="00CD3344">
        <w:rPr>
          <w:rFonts w:cstheme="minorHAnsi"/>
        </w:rPr>
        <w:t>Copyright requests and enquiries concerning further authorisation should be addressed to:</w:t>
      </w:r>
    </w:p>
    <w:p w:rsidR="00651E97" w:rsidRPr="00CD3344" w:rsidRDefault="00651E97" w:rsidP="00651E97">
      <w:pPr>
        <w:spacing w:before="0" w:after="0" w:line="240" w:lineRule="auto"/>
        <w:ind w:left="720"/>
        <w:rPr>
          <w:rFonts w:cstheme="minorHAnsi"/>
          <w:color w:val="000000"/>
        </w:rPr>
      </w:pPr>
      <w:r w:rsidRPr="00CD3344">
        <w:rPr>
          <w:rFonts w:cstheme="minorHAnsi"/>
          <w:lang w:eastAsia="en-AU"/>
        </w:rPr>
        <w:t xml:space="preserve">The Copyright Officer, Department of Education and Training, Location code C50MA10 </w:t>
      </w:r>
      <w:r w:rsidRPr="00CD3344">
        <w:rPr>
          <w:rFonts w:cstheme="minorHAnsi"/>
          <w:lang w:eastAsia="en-AU"/>
        </w:rPr>
        <w:br/>
        <w:t xml:space="preserve">GPO Box 9880 Canberra ACT 2601 or emailed to </w:t>
      </w:r>
      <w:hyperlink r:id="rId14" w:history="1">
        <w:r w:rsidRPr="00CD3344">
          <w:rPr>
            <w:rStyle w:val="Hyperlink"/>
            <w:rFonts w:cstheme="minorHAnsi"/>
          </w:rPr>
          <w:t>copyright@education.gov.au</w:t>
        </w:r>
      </w:hyperlink>
      <w:r w:rsidRPr="00CD3344">
        <w:rPr>
          <w:rFonts w:cstheme="minorHAnsi"/>
          <w:color w:val="000000"/>
        </w:rPr>
        <w:t>.</w:t>
      </w:r>
    </w:p>
    <w:p w:rsidR="00651E97" w:rsidRPr="00CD3344" w:rsidRDefault="00651E97" w:rsidP="00651E97">
      <w:pPr>
        <w:spacing w:before="0" w:after="0" w:line="240" w:lineRule="auto"/>
        <w:rPr>
          <w:rFonts w:cstheme="minorHAnsi"/>
          <w:color w:val="000000"/>
        </w:rPr>
      </w:pPr>
    </w:p>
    <w:p w:rsidR="00651E97" w:rsidRDefault="00651E97" w:rsidP="00651E97">
      <w:pPr>
        <w:spacing w:before="0" w:after="0" w:line="240" w:lineRule="auto"/>
        <w:rPr>
          <w:rFonts w:cstheme="minorHAnsi"/>
          <w:lang w:eastAsia="en-AU"/>
        </w:rPr>
      </w:pPr>
      <w:r w:rsidRPr="00CD3344">
        <w:rPr>
          <w:rFonts w:cstheme="minorHAnsi"/>
          <w:color w:val="000000"/>
        </w:rPr>
        <w:t>Where a copyright owner other than the Commonwealth is identified with respect to this material, please contact that third party copyright owner directly to seek permission.</w:t>
      </w:r>
    </w:p>
    <w:p w:rsidR="00651E97" w:rsidRPr="005C1600" w:rsidRDefault="00651E97" w:rsidP="00651E97">
      <w:pPr>
        <w:spacing w:before="0" w:after="0" w:line="240" w:lineRule="auto"/>
        <w:rPr>
          <w:rFonts w:cstheme="minorHAnsi"/>
          <w:lang w:eastAsia="en-AU"/>
        </w:rPr>
      </w:pPr>
    </w:p>
    <w:p w:rsidR="00651E97" w:rsidRPr="00CD3344" w:rsidRDefault="00651E97" w:rsidP="00651E97">
      <w:pPr>
        <w:spacing w:before="0" w:after="0" w:line="240" w:lineRule="auto"/>
        <w:rPr>
          <w:rFonts w:cstheme="minorHAnsi"/>
          <w:b/>
          <w:lang w:eastAsia="en-AU"/>
        </w:rPr>
      </w:pPr>
      <w:r w:rsidRPr="00CD3344">
        <w:rPr>
          <w:rFonts w:cstheme="minorHAnsi"/>
          <w:b/>
          <w:lang w:eastAsia="en-AU"/>
        </w:rPr>
        <w:t>Disclaimer</w:t>
      </w:r>
    </w:p>
    <w:p w:rsidR="00651E97" w:rsidRDefault="00651E97" w:rsidP="00651E97">
      <w:pPr>
        <w:spacing w:before="0" w:after="0"/>
        <w:rPr>
          <w:lang w:eastAsia="en-AU"/>
        </w:rPr>
      </w:pPr>
      <w:r w:rsidRPr="00CD3344">
        <w:rPr>
          <w:lang w:eastAsia="en-AU"/>
        </w:rPr>
        <w:t>As this is an independent review, the discussion paper does not necessarily reflect the views of the Australian Government.</w:t>
      </w:r>
    </w:p>
    <w:p w:rsidR="00651E97" w:rsidRPr="00CD3344" w:rsidRDefault="00651E97" w:rsidP="00651E97">
      <w:pPr>
        <w:spacing w:before="0" w:after="0"/>
        <w:rPr>
          <w:lang w:eastAsia="en-AU"/>
        </w:rPr>
      </w:pPr>
    </w:p>
    <w:p w:rsidR="00651E97" w:rsidRDefault="00651E97" w:rsidP="00651E97">
      <w:pPr>
        <w:spacing w:before="0" w:after="0"/>
      </w:pPr>
      <w:r w:rsidRPr="00CD3344">
        <w:t xml:space="preserve">This document must be attributed as the </w:t>
      </w:r>
      <w:r w:rsidRPr="00CD3344">
        <w:rPr>
          <w:i/>
        </w:rPr>
        <w:t>Review of the Higher Education Provider Category Sta</w:t>
      </w:r>
      <w:r>
        <w:rPr>
          <w:i/>
        </w:rPr>
        <w:t>ndards – Discussion P</w:t>
      </w:r>
      <w:r w:rsidRPr="00CD3344">
        <w:rPr>
          <w:i/>
        </w:rPr>
        <w:t>aper</w:t>
      </w:r>
      <w:r w:rsidRPr="00CD3344">
        <w:t>.</w:t>
      </w:r>
    </w:p>
    <w:p w:rsidR="00651E97" w:rsidRPr="00CD3344" w:rsidRDefault="00651E97" w:rsidP="00651E97">
      <w:pPr>
        <w:spacing w:before="0" w:after="0"/>
      </w:pPr>
    </w:p>
    <w:p w:rsidR="00651E97" w:rsidRPr="00CD3344" w:rsidRDefault="00651E97" w:rsidP="00651E97">
      <w:pPr>
        <w:spacing w:before="0" w:after="0" w:line="240" w:lineRule="auto"/>
        <w:rPr>
          <w:rFonts w:cstheme="minorHAnsi"/>
          <w:b/>
        </w:rPr>
      </w:pPr>
      <w:r w:rsidRPr="00CD3344">
        <w:rPr>
          <w:rFonts w:cstheme="minorHAnsi"/>
          <w:b/>
        </w:rPr>
        <w:t>Reviewer</w:t>
      </w:r>
    </w:p>
    <w:p w:rsidR="00651E97" w:rsidRDefault="00651E97" w:rsidP="00651E97">
      <w:pPr>
        <w:spacing w:before="0" w:after="0" w:line="240" w:lineRule="auto"/>
        <w:contextualSpacing/>
        <w:rPr>
          <w:rFonts w:cstheme="minorHAnsi"/>
        </w:rPr>
      </w:pPr>
      <w:r w:rsidRPr="00CD3344">
        <w:rPr>
          <w:rFonts w:cstheme="minorHAnsi"/>
        </w:rPr>
        <w:t>Emeritus Professor Peter Coaldrake AO</w:t>
      </w:r>
    </w:p>
    <w:p w:rsidR="00651E97" w:rsidRPr="00CD3344" w:rsidRDefault="00651E97" w:rsidP="00651E97">
      <w:pPr>
        <w:spacing w:before="0" w:after="0" w:line="240" w:lineRule="auto"/>
        <w:contextualSpacing/>
        <w:rPr>
          <w:rFonts w:cstheme="minorHAnsi"/>
        </w:rPr>
      </w:pPr>
    </w:p>
    <w:p w:rsidR="00651E97" w:rsidRPr="00CD3344" w:rsidRDefault="00651E97" w:rsidP="00651E97">
      <w:pPr>
        <w:spacing w:before="0" w:after="0" w:line="240" w:lineRule="auto"/>
        <w:rPr>
          <w:rFonts w:cstheme="minorHAnsi"/>
          <w:b/>
        </w:rPr>
      </w:pPr>
      <w:r w:rsidRPr="00CD3344">
        <w:rPr>
          <w:rFonts w:cstheme="minorHAnsi"/>
          <w:b/>
        </w:rPr>
        <w:t>For the Higher Education Standards Panel</w:t>
      </w:r>
    </w:p>
    <w:p w:rsidR="00651E97" w:rsidRPr="00CD3344" w:rsidRDefault="00651E97" w:rsidP="00651E97">
      <w:pPr>
        <w:spacing w:before="0" w:after="0" w:line="240" w:lineRule="auto"/>
        <w:contextualSpacing/>
        <w:rPr>
          <w:rFonts w:cstheme="minorHAnsi"/>
        </w:rPr>
      </w:pPr>
      <w:r w:rsidRPr="00CD3344">
        <w:rPr>
          <w:rFonts w:cstheme="minorHAnsi"/>
        </w:rPr>
        <w:t>Professor Ian O'Connor AC (Chair)</w:t>
      </w:r>
    </w:p>
    <w:p w:rsidR="00651E97" w:rsidRPr="00CD3344" w:rsidRDefault="00651E97" w:rsidP="00651E97">
      <w:pPr>
        <w:spacing w:before="0" w:after="0" w:line="240" w:lineRule="auto"/>
        <w:contextualSpacing/>
        <w:rPr>
          <w:rFonts w:cstheme="minorHAnsi"/>
        </w:rPr>
      </w:pPr>
      <w:r w:rsidRPr="00CD3344">
        <w:rPr>
          <w:rFonts w:cstheme="minorHAnsi"/>
        </w:rPr>
        <w:t>Professor Kerri-Lee Krause (Deputy Chair)</w:t>
      </w:r>
    </w:p>
    <w:p w:rsidR="00651E97" w:rsidRPr="00CD3344" w:rsidRDefault="00651E97" w:rsidP="00651E97">
      <w:pPr>
        <w:spacing w:before="0" w:after="0" w:line="240" w:lineRule="auto"/>
        <w:contextualSpacing/>
        <w:rPr>
          <w:rFonts w:cstheme="minorHAnsi"/>
        </w:rPr>
      </w:pPr>
      <w:r w:rsidRPr="00CD3344">
        <w:rPr>
          <w:rFonts w:cstheme="minorHAnsi"/>
        </w:rPr>
        <w:t>The Hon Phil Honeywood</w:t>
      </w:r>
    </w:p>
    <w:p w:rsidR="00651E97" w:rsidRPr="00CD3344" w:rsidRDefault="00651E97" w:rsidP="00651E97">
      <w:pPr>
        <w:spacing w:before="0" w:after="0" w:line="240" w:lineRule="auto"/>
        <w:contextualSpacing/>
        <w:rPr>
          <w:rFonts w:cstheme="minorHAnsi"/>
        </w:rPr>
      </w:pPr>
      <w:r w:rsidRPr="00CD3344">
        <w:rPr>
          <w:rFonts w:cstheme="minorHAnsi"/>
        </w:rPr>
        <w:t>Dr Krystal Evans</w:t>
      </w:r>
    </w:p>
    <w:p w:rsidR="00651E97" w:rsidRPr="00CD3344" w:rsidRDefault="00651E97" w:rsidP="00651E97">
      <w:pPr>
        <w:spacing w:before="0" w:after="0" w:line="240" w:lineRule="auto"/>
        <w:contextualSpacing/>
        <w:rPr>
          <w:rFonts w:cstheme="minorHAnsi"/>
        </w:rPr>
      </w:pPr>
      <w:r w:rsidRPr="00CD3344">
        <w:rPr>
          <w:rFonts w:cstheme="minorHAnsi"/>
        </w:rPr>
        <w:t>Dr Don Owers</w:t>
      </w:r>
      <w:r>
        <w:rPr>
          <w:rFonts w:cstheme="minorHAnsi"/>
        </w:rPr>
        <w:t xml:space="preserve"> AM</w:t>
      </w:r>
    </w:p>
    <w:p w:rsidR="00651E97" w:rsidRPr="00CD3344" w:rsidRDefault="00651E97" w:rsidP="00651E97">
      <w:pPr>
        <w:spacing w:before="0" w:after="0" w:line="240" w:lineRule="auto"/>
        <w:contextualSpacing/>
        <w:rPr>
          <w:rFonts w:cstheme="minorHAnsi"/>
        </w:rPr>
      </w:pPr>
      <w:r>
        <w:rPr>
          <w:rFonts w:cstheme="minorHAnsi"/>
        </w:rPr>
        <w:t>Dr</w:t>
      </w:r>
      <w:r w:rsidRPr="00CD3344">
        <w:rPr>
          <w:rFonts w:cstheme="minorHAnsi"/>
        </w:rPr>
        <w:t xml:space="preserve"> Sadie Heckenberg</w:t>
      </w:r>
    </w:p>
    <w:p w:rsidR="00651E97" w:rsidRPr="00CD3344" w:rsidRDefault="00651E97" w:rsidP="00651E97">
      <w:pPr>
        <w:spacing w:before="0" w:after="0" w:line="240" w:lineRule="auto"/>
        <w:contextualSpacing/>
        <w:rPr>
          <w:rFonts w:cstheme="minorHAnsi"/>
        </w:rPr>
      </w:pPr>
      <w:r w:rsidRPr="00CD3344">
        <w:rPr>
          <w:rFonts w:cstheme="minorHAnsi"/>
        </w:rPr>
        <w:t>Ms Adrienne Nieuwenhuis</w:t>
      </w:r>
    </w:p>
    <w:p w:rsidR="00651E97" w:rsidRDefault="00651E97" w:rsidP="00651E97">
      <w:pPr>
        <w:spacing w:before="0" w:after="0" w:line="240" w:lineRule="auto"/>
        <w:contextualSpacing/>
        <w:rPr>
          <w:rFonts w:cstheme="minorHAnsi"/>
        </w:rPr>
      </w:pPr>
      <w:r w:rsidRPr="00CD3344">
        <w:rPr>
          <w:rFonts w:cstheme="minorHAnsi"/>
        </w:rPr>
        <w:t>Professor Kent Anderson</w:t>
      </w:r>
    </w:p>
    <w:p w:rsidR="00690602" w:rsidRDefault="00690602">
      <w:pPr>
        <w:spacing w:before="0" w:after="160"/>
      </w:pPr>
    </w:p>
    <w:sdt>
      <w:sdtPr>
        <w:rPr>
          <w:rFonts w:asciiTheme="minorHAnsi" w:eastAsiaTheme="minorHAnsi" w:hAnsiTheme="minorHAnsi" w:cstheme="minorBidi"/>
          <w:color w:val="auto"/>
          <w:sz w:val="22"/>
          <w:szCs w:val="22"/>
        </w:rPr>
        <w:id w:val="-304939935"/>
        <w:docPartObj>
          <w:docPartGallery w:val="Table of Contents"/>
          <w:docPartUnique/>
        </w:docPartObj>
      </w:sdtPr>
      <w:sdtEndPr>
        <w:rPr>
          <w:b/>
          <w:bCs/>
          <w:noProof/>
        </w:rPr>
      </w:sdtEndPr>
      <w:sdtContent>
        <w:p w:rsidR="004F3527" w:rsidRDefault="004F3527" w:rsidP="00651E97">
          <w:pPr>
            <w:pStyle w:val="TOCHeading"/>
            <w:spacing w:before="0" w:after="0" w:line="360" w:lineRule="auto"/>
            <w:rPr>
              <w:rFonts w:asciiTheme="minorHAnsi" w:eastAsiaTheme="minorHAnsi" w:hAnsiTheme="minorHAnsi" w:cstheme="minorBidi"/>
              <w:color w:val="auto"/>
              <w:sz w:val="22"/>
              <w:szCs w:val="22"/>
            </w:rPr>
            <w:sectPr w:rsidR="004F3527" w:rsidSect="004C2E45">
              <w:headerReference w:type="even" r:id="rId15"/>
              <w:headerReference w:type="default" r:id="rId16"/>
              <w:footerReference w:type="even" r:id="rId17"/>
              <w:footerReference w:type="default" r:id="rId18"/>
              <w:headerReference w:type="first" r:id="rId19"/>
              <w:footerReference w:type="first" r:id="rId20"/>
              <w:pgSz w:w="11906" w:h="16838"/>
              <w:pgMar w:top="1134" w:right="1418" w:bottom="1560" w:left="1418" w:header="680" w:footer="454" w:gutter="0"/>
              <w:pgNumType w:start="1"/>
              <w:cols w:space="708"/>
              <w:docGrid w:linePitch="360"/>
            </w:sectPr>
          </w:pPr>
        </w:p>
        <w:p w:rsidR="00651E97" w:rsidRDefault="00651E97" w:rsidP="00651E97">
          <w:pPr>
            <w:pStyle w:val="TOCHeading"/>
            <w:spacing w:before="0" w:after="0" w:line="360" w:lineRule="auto"/>
          </w:pPr>
          <w:bookmarkStart w:id="1" w:name="_Toc531606762"/>
          <w:r>
            <w:lastRenderedPageBreak/>
            <w:t>Contents</w:t>
          </w:r>
          <w:bookmarkEnd w:id="1"/>
        </w:p>
        <w:p w:rsidR="004F3527" w:rsidRDefault="00651E97">
          <w:pPr>
            <w:pStyle w:val="TOC1"/>
            <w:rPr>
              <w:rFonts w:eastAsiaTheme="minorEastAsia"/>
              <w:b w:val="0"/>
              <w:noProof/>
              <w:color w:val="auto"/>
              <w:sz w:val="22"/>
              <w:lang w:eastAsia="en-AU"/>
            </w:rPr>
          </w:pPr>
          <w:r>
            <w:fldChar w:fldCharType="begin"/>
          </w:r>
          <w:r>
            <w:instrText xml:space="preserve"> TOC \o "1-3" \h \z \u </w:instrText>
          </w:r>
          <w:r>
            <w:fldChar w:fldCharType="separate"/>
          </w:r>
          <w:hyperlink w:anchor="_Toc531606762" w:history="1">
            <w:r w:rsidR="004F3527" w:rsidRPr="0033382D">
              <w:rPr>
                <w:rStyle w:val="Hyperlink"/>
                <w:noProof/>
              </w:rPr>
              <w:t>Contents</w:t>
            </w:r>
            <w:r w:rsidR="004F3527">
              <w:rPr>
                <w:noProof/>
                <w:webHidden/>
              </w:rPr>
              <w:tab/>
            </w:r>
            <w:r w:rsidR="004F3527">
              <w:rPr>
                <w:noProof/>
                <w:webHidden/>
              </w:rPr>
              <w:fldChar w:fldCharType="begin"/>
            </w:r>
            <w:r w:rsidR="004F3527">
              <w:rPr>
                <w:noProof/>
                <w:webHidden/>
              </w:rPr>
              <w:instrText xml:space="preserve"> PAGEREF _Toc531606762 \h </w:instrText>
            </w:r>
            <w:r w:rsidR="004F3527">
              <w:rPr>
                <w:noProof/>
                <w:webHidden/>
              </w:rPr>
            </w:r>
            <w:r w:rsidR="004F3527">
              <w:rPr>
                <w:noProof/>
                <w:webHidden/>
              </w:rPr>
              <w:fldChar w:fldCharType="separate"/>
            </w:r>
            <w:r w:rsidR="00D17E45">
              <w:rPr>
                <w:noProof/>
                <w:webHidden/>
              </w:rPr>
              <w:t>1</w:t>
            </w:r>
            <w:r w:rsidR="004F3527">
              <w:rPr>
                <w:noProof/>
                <w:webHidden/>
              </w:rPr>
              <w:fldChar w:fldCharType="end"/>
            </w:r>
          </w:hyperlink>
        </w:p>
        <w:p w:rsidR="004F3527" w:rsidRDefault="00D17E45">
          <w:pPr>
            <w:pStyle w:val="TOC1"/>
            <w:rPr>
              <w:rFonts w:eastAsiaTheme="minorEastAsia"/>
              <w:b w:val="0"/>
              <w:noProof/>
              <w:color w:val="auto"/>
              <w:sz w:val="22"/>
              <w:lang w:eastAsia="en-AU"/>
            </w:rPr>
          </w:pPr>
          <w:hyperlink w:anchor="_Toc531606763" w:history="1">
            <w:r w:rsidR="004F3527" w:rsidRPr="0033382D">
              <w:rPr>
                <w:rStyle w:val="Hyperlink"/>
                <w:noProof/>
              </w:rPr>
              <w:t>List of Acronyms and Abbreviations</w:t>
            </w:r>
            <w:r w:rsidR="004F3527">
              <w:rPr>
                <w:noProof/>
                <w:webHidden/>
              </w:rPr>
              <w:tab/>
            </w:r>
            <w:r w:rsidR="004F3527">
              <w:rPr>
                <w:noProof/>
                <w:webHidden/>
              </w:rPr>
              <w:fldChar w:fldCharType="begin"/>
            </w:r>
            <w:r w:rsidR="004F3527">
              <w:rPr>
                <w:noProof/>
                <w:webHidden/>
              </w:rPr>
              <w:instrText xml:space="preserve"> PAGEREF _Toc531606763 \h </w:instrText>
            </w:r>
            <w:r w:rsidR="004F3527">
              <w:rPr>
                <w:noProof/>
                <w:webHidden/>
              </w:rPr>
            </w:r>
            <w:r w:rsidR="004F3527">
              <w:rPr>
                <w:noProof/>
                <w:webHidden/>
              </w:rPr>
              <w:fldChar w:fldCharType="separate"/>
            </w:r>
            <w:r>
              <w:rPr>
                <w:noProof/>
                <w:webHidden/>
              </w:rPr>
              <w:t>2</w:t>
            </w:r>
            <w:r w:rsidR="004F3527">
              <w:rPr>
                <w:noProof/>
                <w:webHidden/>
              </w:rPr>
              <w:fldChar w:fldCharType="end"/>
            </w:r>
          </w:hyperlink>
        </w:p>
        <w:p w:rsidR="004F3527" w:rsidRDefault="00D17E45">
          <w:pPr>
            <w:pStyle w:val="TOC1"/>
            <w:rPr>
              <w:rFonts w:eastAsiaTheme="minorEastAsia"/>
              <w:b w:val="0"/>
              <w:noProof/>
              <w:color w:val="auto"/>
              <w:sz w:val="22"/>
              <w:lang w:eastAsia="en-AU"/>
            </w:rPr>
          </w:pPr>
          <w:hyperlink w:anchor="_Toc531606764" w:history="1">
            <w:r w:rsidR="004F3527" w:rsidRPr="0033382D">
              <w:rPr>
                <w:rStyle w:val="Hyperlink"/>
                <w:noProof/>
              </w:rPr>
              <w:t>Purpose</w:t>
            </w:r>
            <w:r w:rsidR="004F3527">
              <w:rPr>
                <w:noProof/>
                <w:webHidden/>
              </w:rPr>
              <w:tab/>
            </w:r>
            <w:r w:rsidR="004F3527">
              <w:rPr>
                <w:noProof/>
                <w:webHidden/>
              </w:rPr>
              <w:fldChar w:fldCharType="begin"/>
            </w:r>
            <w:r w:rsidR="004F3527">
              <w:rPr>
                <w:noProof/>
                <w:webHidden/>
              </w:rPr>
              <w:instrText xml:space="preserve"> PAGEREF _Toc531606764 \h </w:instrText>
            </w:r>
            <w:r w:rsidR="004F3527">
              <w:rPr>
                <w:noProof/>
                <w:webHidden/>
              </w:rPr>
            </w:r>
            <w:r w:rsidR="004F3527">
              <w:rPr>
                <w:noProof/>
                <w:webHidden/>
              </w:rPr>
              <w:fldChar w:fldCharType="separate"/>
            </w:r>
            <w:r>
              <w:rPr>
                <w:noProof/>
                <w:webHidden/>
              </w:rPr>
              <w:t>3</w:t>
            </w:r>
            <w:r w:rsidR="004F3527">
              <w:rPr>
                <w:noProof/>
                <w:webHidden/>
              </w:rPr>
              <w:fldChar w:fldCharType="end"/>
            </w:r>
          </w:hyperlink>
        </w:p>
        <w:p w:rsidR="004F3527" w:rsidRDefault="00D17E45">
          <w:pPr>
            <w:pStyle w:val="TOC2"/>
            <w:tabs>
              <w:tab w:val="right" w:pos="9060"/>
            </w:tabs>
            <w:rPr>
              <w:rFonts w:eastAsiaTheme="minorEastAsia"/>
              <w:b w:val="0"/>
              <w:noProof/>
              <w:color w:val="auto"/>
              <w:lang w:eastAsia="en-AU"/>
            </w:rPr>
          </w:pPr>
          <w:hyperlink w:anchor="_Toc531606765" w:history="1">
            <w:r w:rsidR="004F3527" w:rsidRPr="0033382D">
              <w:rPr>
                <w:rStyle w:val="Hyperlink"/>
                <w:noProof/>
              </w:rPr>
              <w:t>Terms of Reference</w:t>
            </w:r>
            <w:r w:rsidR="004F3527">
              <w:rPr>
                <w:noProof/>
                <w:webHidden/>
              </w:rPr>
              <w:tab/>
            </w:r>
            <w:r w:rsidR="004F3527">
              <w:rPr>
                <w:noProof/>
                <w:webHidden/>
              </w:rPr>
              <w:fldChar w:fldCharType="begin"/>
            </w:r>
            <w:r w:rsidR="004F3527">
              <w:rPr>
                <w:noProof/>
                <w:webHidden/>
              </w:rPr>
              <w:instrText xml:space="preserve"> PAGEREF _Toc531606765 \h </w:instrText>
            </w:r>
            <w:r w:rsidR="004F3527">
              <w:rPr>
                <w:noProof/>
                <w:webHidden/>
              </w:rPr>
            </w:r>
            <w:r w:rsidR="004F3527">
              <w:rPr>
                <w:noProof/>
                <w:webHidden/>
              </w:rPr>
              <w:fldChar w:fldCharType="separate"/>
            </w:r>
            <w:r>
              <w:rPr>
                <w:noProof/>
                <w:webHidden/>
              </w:rPr>
              <w:t>5</w:t>
            </w:r>
            <w:r w:rsidR="004F3527">
              <w:rPr>
                <w:noProof/>
                <w:webHidden/>
              </w:rPr>
              <w:fldChar w:fldCharType="end"/>
            </w:r>
          </w:hyperlink>
        </w:p>
        <w:p w:rsidR="004F3527" w:rsidRDefault="00D17E45">
          <w:pPr>
            <w:pStyle w:val="TOC1"/>
            <w:rPr>
              <w:rFonts w:eastAsiaTheme="minorEastAsia"/>
              <w:b w:val="0"/>
              <w:noProof/>
              <w:color w:val="auto"/>
              <w:sz w:val="22"/>
              <w:lang w:eastAsia="en-AU"/>
            </w:rPr>
          </w:pPr>
          <w:hyperlink w:anchor="_Toc531606766" w:history="1">
            <w:r w:rsidR="004F3527" w:rsidRPr="0033382D">
              <w:rPr>
                <w:rStyle w:val="Hyperlink"/>
                <w:noProof/>
              </w:rPr>
              <w:t>Context</w:t>
            </w:r>
            <w:r w:rsidR="004F3527">
              <w:rPr>
                <w:noProof/>
                <w:webHidden/>
              </w:rPr>
              <w:tab/>
            </w:r>
            <w:r w:rsidR="004F3527">
              <w:rPr>
                <w:noProof/>
                <w:webHidden/>
              </w:rPr>
              <w:fldChar w:fldCharType="begin"/>
            </w:r>
            <w:r w:rsidR="004F3527">
              <w:rPr>
                <w:noProof/>
                <w:webHidden/>
              </w:rPr>
              <w:instrText xml:space="preserve"> PAGEREF _Toc531606766 \h </w:instrText>
            </w:r>
            <w:r w:rsidR="004F3527">
              <w:rPr>
                <w:noProof/>
                <w:webHidden/>
              </w:rPr>
            </w:r>
            <w:r w:rsidR="004F3527">
              <w:rPr>
                <w:noProof/>
                <w:webHidden/>
              </w:rPr>
              <w:fldChar w:fldCharType="separate"/>
            </w:r>
            <w:r>
              <w:rPr>
                <w:noProof/>
                <w:webHidden/>
              </w:rPr>
              <w:t>6</w:t>
            </w:r>
            <w:r w:rsidR="004F3527">
              <w:rPr>
                <w:noProof/>
                <w:webHidden/>
              </w:rPr>
              <w:fldChar w:fldCharType="end"/>
            </w:r>
          </w:hyperlink>
        </w:p>
        <w:p w:rsidR="004F3527" w:rsidRDefault="00D17E45">
          <w:pPr>
            <w:pStyle w:val="TOC2"/>
            <w:tabs>
              <w:tab w:val="right" w:pos="9060"/>
            </w:tabs>
            <w:rPr>
              <w:rFonts w:eastAsiaTheme="minorEastAsia"/>
              <w:b w:val="0"/>
              <w:noProof/>
              <w:color w:val="auto"/>
              <w:lang w:eastAsia="en-AU"/>
            </w:rPr>
          </w:pPr>
          <w:hyperlink w:anchor="_Toc531606767" w:history="1">
            <w:r w:rsidR="004F3527" w:rsidRPr="0033382D">
              <w:rPr>
                <w:rStyle w:val="Hyperlink"/>
                <w:noProof/>
              </w:rPr>
              <w:t>What are the PCS?</w:t>
            </w:r>
            <w:r w:rsidR="004F3527">
              <w:rPr>
                <w:noProof/>
                <w:webHidden/>
              </w:rPr>
              <w:tab/>
            </w:r>
            <w:r w:rsidR="004F3527">
              <w:rPr>
                <w:noProof/>
                <w:webHidden/>
              </w:rPr>
              <w:fldChar w:fldCharType="begin"/>
            </w:r>
            <w:r w:rsidR="004F3527">
              <w:rPr>
                <w:noProof/>
                <w:webHidden/>
              </w:rPr>
              <w:instrText xml:space="preserve"> PAGEREF _Toc531606767 \h </w:instrText>
            </w:r>
            <w:r w:rsidR="004F3527">
              <w:rPr>
                <w:noProof/>
                <w:webHidden/>
              </w:rPr>
            </w:r>
            <w:r w:rsidR="004F3527">
              <w:rPr>
                <w:noProof/>
                <w:webHidden/>
              </w:rPr>
              <w:fldChar w:fldCharType="separate"/>
            </w:r>
            <w:r>
              <w:rPr>
                <w:noProof/>
                <w:webHidden/>
              </w:rPr>
              <w:t>6</w:t>
            </w:r>
            <w:r w:rsidR="004F3527">
              <w:rPr>
                <w:noProof/>
                <w:webHidden/>
              </w:rPr>
              <w:fldChar w:fldCharType="end"/>
            </w:r>
          </w:hyperlink>
        </w:p>
        <w:p w:rsidR="004F3527" w:rsidRDefault="00D17E45">
          <w:pPr>
            <w:pStyle w:val="TOC2"/>
            <w:tabs>
              <w:tab w:val="right" w:pos="9060"/>
            </w:tabs>
            <w:rPr>
              <w:rFonts w:eastAsiaTheme="minorEastAsia"/>
              <w:b w:val="0"/>
              <w:noProof/>
              <w:color w:val="auto"/>
              <w:lang w:eastAsia="en-AU"/>
            </w:rPr>
          </w:pPr>
          <w:hyperlink w:anchor="_Toc531606768" w:history="1">
            <w:r w:rsidR="004F3527" w:rsidRPr="0033382D">
              <w:rPr>
                <w:rStyle w:val="Hyperlink"/>
                <w:noProof/>
              </w:rPr>
              <w:t>Historical context</w:t>
            </w:r>
            <w:r w:rsidR="004F3527">
              <w:rPr>
                <w:noProof/>
                <w:webHidden/>
              </w:rPr>
              <w:tab/>
            </w:r>
            <w:r w:rsidR="004F3527">
              <w:rPr>
                <w:noProof/>
                <w:webHidden/>
              </w:rPr>
              <w:fldChar w:fldCharType="begin"/>
            </w:r>
            <w:r w:rsidR="004F3527">
              <w:rPr>
                <w:noProof/>
                <w:webHidden/>
              </w:rPr>
              <w:instrText xml:space="preserve"> PAGEREF _Toc531606768 \h </w:instrText>
            </w:r>
            <w:r w:rsidR="004F3527">
              <w:rPr>
                <w:noProof/>
                <w:webHidden/>
              </w:rPr>
            </w:r>
            <w:r w:rsidR="004F3527">
              <w:rPr>
                <w:noProof/>
                <w:webHidden/>
              </w:rPr>
              <w:fldChar w:fldCharType="separate"/>
            </w:r>
            <w:r>
              <w:rPr>
                <w:noProof/>
                <w:webHidden/>
              </w:rPr>
              <w:t>7</w:t>
            </w:r>
            <w:r w:rsidR="004F3527">
              <w:rPr>
                <w:noProof/>
                <w:webHidden/>
              </w:rPr>
              <w:fldChar w:fldCharType="end"/>
            </w:r>
          </w:hyperlink>
        </w:p>
        <w:p w:rsidR="004F3527" w:rsidRDefault="00D17E45">
          <w:pPr>
            <w:pStyle w:val="TOC2"/>
            <w:tabs>
              <w:tab w:val="right" w:pos="9060"/>
            </w:tabs>
            <w:rPr>
              <w:rFonts w:eastAsiaTheme="minorEastAsia"/>
              <w:b w:val="0"/>
              <w:noProof/>
              <w:color w:val="auto"/>
              <w:lang w:eastAsia="en-AU"/>
            </w:rPr>
          </w:pPr>
          <w:hyperlink w:anchor="_Toc531606769" w:history="1">
            <w:r w:rsidR="004F3527" w:rsidRPr="0033382D">
              <w:rPr>
                <w:rStyle w:val="Hyperlink"/>
                <w:noProof/>
              </w:rPr>
              <w:t>Shape of the current system</w:t>
            </w:r>
            <w:r w:rsidR="004F3527">
              <w:rPr>
                <w:noProof/>
                <w:webHidden/>
              </w:rPr>
              <w:tab/>
            </w:r>
            <w:r w:rsidR="004F3527">
              <w:rPr>
                <w:noProof/>
                <w:webHidden/>
              </w:rPr>
              <w:fldChar w:fldCharType="begin"/>
            </w:r>
            <w:r w:rsidR="004F3527">
              <w:rPr>
                <w:noProof/>
                <w:webHidden/>
              </w:rPr>
              <w:instrText xml:space="preserve"> PAGEREF _Toc531606769 \h </w:instrText>
            </w:r>
            <w:r w:rsidR="004F3527">
              <w:rPr>
                <w:noProof/>
                <w:webHidden/>
              </w:rPr>
            </w:r>
            <w:r w:rsidR="004F3527">
              <w:rPr>
                <w:noProof/>
                <w:webHidden/>
              </w:rPr>
              <w:fldChar w:fldCharType="separate"/>
            </w:r>
            <w:r>
              <w:rPr>
                <w:noProof/>
                <w:webHidden/>
              </w:rPr>
              <w:t>8</w:t>
            </w:r>
            <w:r w:rsidR="004F3527">
              <w:rPr>
                <w:noProof/>
                <w:webHidden/>
              </w:rPr>
              <w:fldChar w:fldCharType="end"/>
            </w:r>
          </w:hyperlink>
        </w:p>
        <w:p w:rsidR="004F3527" w:rsidRDefault="00D17E45">
          <w:pPr>
            <w:pStyle w:val="TOC2"/>
            <w:tabs>
              <w:tab w:val="right" w:pos="9060"/>
            </w:tabs>
            <w:rPr>
              <w:rFonts w:eastAsiaTheme="minorEastAsia"/>
              <w:b w:val="0"/>
              <w:noProof/>
              <w:color w:val="auto"/>
              <w:lang w:eastAsia="en-AU"/>
            </w:rPr>
          </w:pPr>
          <w:hyperlink w:anchor="_Toc531606770" w:history="1">
            <w:r w:rsidR="004F3527" w:rsidRPr="0033382D">
              <w:rPr>
                <w:rStyle w:val="Hyperlink"/>
                <w:noProof/>
              </w:rPr>
              <w:t>Funding</w:t>
            </w:r>
            <w:r w:rsidR="004F3527">
              <w:rPr>
                <w:noProof/>
                <w:webHidden/>
              </w:rPr>
              <w:tab/>
            </w:r>
            <w:r w:rsidR="004F3527">
              <w:rPr>
                <w:noProof/>
                <w:webHidden/>
              </w:rPr>
              <w:fldChar w:fldCharType="begin"/>
            </w:r>
            <w:r w:rsidR="004F3527">
              <w:rPr>
                <w:noProof/>
                <w:webHidden/>
              </w:rPr>
              <w:instrText xml:space="preserve"> PAGEREF _Toc531606770 \h </w:instrText>
            </w:r>
            <w:r w:rsidR="004F3527">
              <w:rPr>
                <w:noProof/>
                <w:webHidden/>
              </w:rPr>
            </w:r>
            <w:r w:rsidR="004F3527">
              <w:rPr>
                <w:noProof/>
                <w:webHidden/>
              </w:rPr>
              <w:fldChar w:fldCharType="separate"/>
            </w:r>
            <w:r>
              <w:rPr>
                <w:noProof/>
                <w:webHidden/>
              </w:rPr>
              <w:t>9</w:t>
            </w:r>
            <w:r w:rsidR="004F3527">
              <w:rPr>
                <w:noProof/>
                <w:webHidden/>
              </w:rPr>
              <w:fldChar w:fldCharType="end"/>
            </w:r>
          </w:hyperlink>
        </w:p>
        <w:p w:rsidR="004F3527" w:rsidRDefault="00D17E45">
          <w:pPr>
            <w:pStyle w:val="TOC1"/>
            <w:rPr>
              <w:rFonts w:eastAsiaTheme="minorEastAsia"/>
              <w:b w:val="0"/>
              <w:noProof/>
              <w:color w:val="auto"/>
              <w:sz w:val="22"/>
              <w:lang w:eastAsia="en-AU"/>
            </w:rPr>
          </w:pPr>
          <w:hyperlink w:anchor="_Toc531606771" w:history="1">
            <w:r w:rsidR="004F3527" w:rsidRPr="0033382D">
              <w:rPr>
                <w:rStyle w:val="Hyperlink"/>
                <w:noProof/>
              </w:rPr>
              <w:t>Considerations</w:t>
            </w:r>
            <w:r w:rsidR="004F3527">
              <w:rPr>
                <w:noProof/>
                <w:webHidden/>
              </w:rPr>
              <w:tab/>
            </w:r>
            <w:r w:rsidR="004F3527">
              <w:rPr>
                <w:noProof/>
                <w:webHidden/>
              </w:rPr>
              <w:fldChar w:fldCharType="begin"/>
            </w:r>
            <w:r w:rsidR="004F3527">
              <w:rPr>
                <w:noProof/>
                <w:webHidden/>
              </w:rPr>
              <w:instrText xml:space="preserve"> PAGEREF _Toc531606771 \h </w:instrText>
            </w:r>
            <w:r w:rsidR="004F3527">
              <w:rPr>
                <w:noProof/>
                <w:webHidden/>
              </w:rPr>
            </w:r>
            <w:r w:rsidR="004F3527">
              <w:rPr>
                <w:noProof/>
                <w:webHidden/>
              </w:rPr>
              <w:fldChar w:fldCharType="separate"/>
            </w:r>
            <w:r>
              <w:rPr>
                <w:noProof/>
                <w:webHidden/>
              </w:rPr>
              <w:t>11</w:t>
            </w:r>
            <w:r w:rsidR="004F3527">
              <w:rPr>
                <w:noProof/>
                <w:webHidden/>
              </w:rPr>
              <w:fldChar w:fldCharType="end"/>
            </w:r>
          </w:hyperlink>
        </w:p>
        <w:p w:rsidR="004F3527" w:rsidRDefault="00D17E45">
          <w:pPr>
            <w:pStyle w:val="TOC2"/>
            <w:tabs>
              <w:tab w:val="right" w:pos="9060"/>
            </w:tabs>
            <w:rPr>
              <w:rFonts w:eastAsiaTheme="minorEastAsia"/>
              <w:b w:val="0"/>
              <w:noProof/>
              <w:color w:val="auto"/>
              <w:lang w:eastAsia="en-AU"/>
            </w:rPr>
          </w:pPr>
          <w:hyperlink w:anchor="_Toc531606772" w:history="1">
            <w:r w:rsidR="004F3527" w:rsidRPr="0033382D">
              <w:rPr>
                <w:rStyle w:val="Hyperlink"/>
                <w:noProof/>
              </w:rPr>
              <w:t>Australia’s conceptualisation of a ‘university’</w:t>
            </w:r>
            <w:r w:rsidR="004F3527">
              <w:rPr>
                <w:noProof/>
                <w:webHidden/>
              </w:rPr>
              <w:tab/>
            </w:r>
            <w:r w:rsidR="004F3527">
              <w:rPr>
                <w:noProof/>
                <w:webHidden/>
              </w:rPr>
              <w:fldChar w:fldCharType="begin"/>
            </w:r>
            <w:r w:rsidR="004F3527">
              <w:rPr>
                <w:noProof/>
                <w:webHidden/>
              </w:rPr>
              <w:instrText xml:space="preserve"> PAGEREF _Toc531606772 \h </w:instrText>
            </w:r>
            <w:r w:rsidR="004F3527">
              <w:rPr>
                <w:noProof/>
                <w:webHidden/>
              </w:rPr>
            </w:r>
            <w:r w:rsidR="004F3527">
              <w:rPr>
                <w:noProof/>
                <w:webHidden/>
              </w:rPr>
              <w:fldChar w:fldCharType="separate"/>
            </w:r>
            <w:r>
              <w:rPr>
                <w:noProof/>
                <w:webHidden/>
              </w:rPr>
              <w:t>11</w:t>
            </w:r>
            <w:r w:rsidR="004F3527">
              <w:rPr>
                <w:noProof/>
                <w:webHidden/>
              </w:rPr>
              <w:fldChar w:fldCharType="end"/>
            </w:r>
          </w:hyperlink>
        </w:p>
        <w:p w:rsidR="004F3527" w:rsidRDefault="00D17E45">
          <w:pPr>
            <w:pStyle w:val="TOC3"/>
            <w:tabs>
              <w:tab w:val="right" w:pos="9060"/>
            </w:tabs>
            <w:rPr>
              <w:rFonts w:eastAsiaTheme="minorEastAsia"/>
              <w:noProof/>
              <w:lang w:eastAsia="en-AU"/>
            </w:rPr>
          </w:pPr>
          <w:hyperlink w:anchor="_Toc531606773" w:history="1">
            <w:r w:rsidR="004F3527" w:rsidRPr="0033382D">
              <w:rPr>
                <w:rStyle w:val="Hyperlink"/>
                <w:noProof/>
              </w:rPr>
              <w:t>International comparison</w:t>
            </w:r>
            <w:r w:rsidR="004F3527">
              <w:rPr>
                <w:noProof/>
                <w:webHidden/>
              </w:rPr>
              <w:tab/>
            </w:r>
            <w:r w:rsidR="004F3527">
              <w:rPr>
                <w:noProof/>
                <w:webHidden/>
              </w:rPr>
              <w:fldChar w:fldCharType="begin"/>
            </w:r>
            <w:r w:rsidR="004F3527">
              <w:rPr>
                <w:noProof/>
                <w:webHidden/>
              </w:rPr>
              <w:instrText xml:space="preserve"> PAGEREF _Toc531606773 \h </w:instrText>
            </w:r>
            <w:r w:rsidR="004F3527">
              <w:rPr>
                <w:noProof/>
                <w:webHidden/>
              </w:rPr>
            </w:r>
            <w:r w:rsidR="004F3527">
              <w:rPr>
                <w:noProof/>
                <w:webHidden/>
              </w:rPr>
              <w:fldChar w:fldCharType="separate"/>
            </w:r>
            <w:r>
              <w:rPr>
                <w:noProof/>
                <w:webHidden/>
              </w:rPr>
              <w:t>11</w:t>
            </w:r>
            <w:r w:rsidR="004F3527">
              <w:rPr>
                <w:noProof/>
                <w:webHidden/>
              </w:rPr>
              <w:fldChar w:fldCharType="end"/>
            </w:r>
          </w:hyperlink>
        </w:p>
        <w:p w:rsidR="004F3527" w:rsidRDefault="00D17E45">
          <w:pPr>
            <w:pStyle w:val="TOC3"/>
            <w:tabs>
              <w:tab w:val="right" w:pos="9060"/>
            </w:tabs>
            <w:rPr>
              <w:rFonts w:eastAsiaTheme="minorEastAsia"/>
              <w:noProof/>
              <w:lang w:eastAsia="en-AU"/>
            </w:rPr>
          </w:pPr>
          <w:hyperlink w:anchor="_Toc531606774" w:history="1">
            <w:r w:rsidR="004F3527" w:rsidRPr="0033382D">
              <w:rPr>
                <w:rStyle w:val="Hyperlink"/>
                <w:noProof/>
              </w:rPr>
              <w:t>Teaching-research nexus and rethinking the research requirement</w:t>
            </w:r>
            <w:r w:rsidR="004F3527">
              <w:rPr>
                <w:noProof/>
                <w:webHidden/>
              </w:rPr>
              <w:tab/>
            </w:r>
            <w:r w:rsidR="004F3527">
              <w:rPr>
                <w:noProof/>
                <w:webHidden/>
              </w:rPr>
              <w:fldChar w:fldCharType="begin"/>
            </w:r>
            <w:r w:rsidR="004F3527">
              <w:rPr>
                <w:noProof/>
                <w:webHidden/>
              </w:rPr>
              <w:instrText xml:space="preserve"> PAGEREF _Toc531606774 \h </w:instrText>
            </w:r>
            <w:r w:rsidR="004F3527">
              <w:rPr>
                <w:noProof/>
                <w:webHidden/>
              </w:rPr>
            </w:r>
            <w:r w:rsidR="004F3527">
              <w:rPr>
                <w:noProof/>
                <w:webHidden/>
              </w:rPr>
              <w:fldChar w:fldCharType="separate"/>
            </w:r>
            <w:r>
              <w:rPr>
                <w:noProof/>
                <w:webHidden/>
              </w:rPr>
              <w:t>12</w:t>
            </w:r>
            <w:r w:rsidR="004F3527">
              <w:rPr>
                <w:noProof/>
                <w:webHidden/>
              </w:rPr>
              <w:fldChar w:fldCharType="end"/>
            </w:r>
          </w:hyperlink>
        </w:p>
        <w:p w:rsidR="004F3527" w:rsidRDefault="00D17E45">
          <w:pPr>
            <w:pStyle w:val="TOC2"/>
            <w:tabs>
              <w:tab w:val="right" w:pos="9060"/>
            </w:tabs>
            <w:rPr>
              <w:rFonts w:eastAsiaTheme="minorEastAsia"/>
              <w:b w:val="0"/>
              <w:noProof/>
              <w:color w:val="auto"/>
              <w:lang w:eastAsia="en-AU"/>
            </w:rPr>
          </w:pPr>
          <w:hyperlink w:anchor="_Toc531606775" w:history="1">
            <w:r w:rsidR="004F3527" w:rsidRPr="0033382D">
              <w:rPr>
                <w:rStyle w:val="Hyperlink"/>
                <w:noProof/>
              </w:rPr>
              <w:t>Signalling differentiation</w:t>
            </w:r>
            <w:r w:rsidR="004F3527">
              <w:rPr>
                <w:noProof/>
                <w:webHidden/>
              </w:rPr>
              <w:tab/>
            </w:r>
            <w:r w:rsidR="004F3527">
              <w:rPr>
                <w:noProof/>
                <w:webHidden/>
              </w:rPr>
              <w:fldChar w:fldCharType="begin"/>
            </w:r>
            <w:r w:rsidR="004F3527">
              <w:rPr>
                <w:noProof/>
                <w:webHidden/>
              </w:rPr>
              <w:instrText xml:space="preserve"> PAGEREF _Toc531606775 \h </w:instrText>
            </w:r>
            <w:r w:rsidR="004F3527">
              <w:rPr>
                <w:noProof/>
                <w:webHidden/>
              </w:rPr>
            </w:r>
            <w:r w:rsidR="004F3527">
              <w:rPr>
                <w:noProof/>
                <w:webHidden/>
              </w:rPr>
              <w:fldChar w:fldCharType="separate"/>
            </w:r>
            <w:r>
              <w:rPr>
                <w:noProof/>
                <w:webHidden/>
              </w:rPr>
              <w:t>13</w:t>
            </w:r>
            <w:r w:rsidR="004F3527">
              <w:rPr>
                <w:noProof/>
                <w:webHidden/>
              </w:rPr>
              <w:fldChar w:fldCharType="end"/>
            </w:r>
          </w:hyperlink>
        </w:p>
        <w:p w:rsidR="004F3527" w:rsidRDefault="00D17E45">
          <w:pPr>
            <w:pStyle w:val="TOC2"/>
            <w:tabs>
              <w:tab w:val="right" w:pos="9060"/>
            </w:tabs>
            <w:rPr>
              <w:rFonts w:eastAsiaTheme="minorEastAsia"/>
              <w:b w:val="0"/>
              <w:noProof/>
              <w:color w:val="auto"/>
              <w:lang w:eastAsia="en-AU"/>
            </w:rPr>
          </w:pPr>
          <w:hyperlink w:anchor="_Toc531606776" w:history="1">
            <w:r w:rsidR="004F3527" w:rsidRPr="0033382D">
              <w:rPr>
                <w:rStyle w:val="Hyperlink"/>
                <w:noProof/>
              </w:rPr>
              <w:t>Optimising the PCS</w:t>
            </w:r>
            <w:r w:rsidR="004F3527">
              <w:rPr>
                <w:noProof/>
                <w:webHidden/>
              </w:rPr>
              <w:tab/>
            </w:r>
            <w:r w:rsidR="004F3527">
              <w:rPr>
                <w:noProof/>
                <w:webHidden/>
              </w:rPr>
              <w:fldChar w:fldCharType="begin"/>
            </w:r>
            <w:r w:rsidR="004F3527">
              <w:rPr>
                <w:noProof/>
                <w:webHidden/>
              </w:rPr>
              <w:instrText xml:space="preserve"> PAGEREF _Toc531606776 \h </w:instrText>
            </w:r>
            <w:r w:rsidR="004F3527">
              <w:rPr>
                <w:noProof/>
                <w:webHidden/>
              </w:rPr>
            </w:r>
            <w:r w:rsidR="004F3527">
              <w:rPr>
                <w:noProof/>
                <w:webHidden/>
              </w:rPr>
              <w:fldChar w:fldCharType="separate"/>
            </w:r>
            <w:r>
              <w:rPr>
                <w:noProof/>
                <w:webHidden/>
              </w:rPr>
              <w:t>14</w:t>
            </w:r>
            <w:r w:rsidR="004F3527">
              <w:rPr>
                <w:noProof/>
                <w:webHidden/>
              </w:rPr>
              <w:fldChar w:fldCharType="end"/>
            </w:r>
          </w:hyperlink>
        </w:p>
        <w:p w:rsidR="004F3527" w:rsidRDefault="00D17E45">
          <w:pPr>
            <w:pStyle w:val="TOC3"/>
            <w:tabs>
              <w:tab w:val="right" w:pos="9060"/>
            </w:tabs>
            <w:rPr>
              <w:rFonts w:eastAsiaTheme="minorEastAsia"/>
              <w:noProof/>
              <w:lang w:eastAsia="en-AU"/>
            </w:rPr>
          </w:pPr>
          <w:hyperlink w:anchor="_Toc531606777" w:history="1">
            <w:r w:rsidR="004F3527" w:rsidRPr="0033382D">
              <w:rPr>
                <w:rStyle w:val="Hyperlink"/>
                <w:noProof/>
              </w:rPr>
              <w:t>Progression categories</w:t>
            </w:r>
            <w:r w:rsidR="004F3527">
              <w:rPr>
                <w:noProof/>
                <w:webHidden/>
              </w:rPr>
              <w:tab/>
            </w:r>
            <w:r w:rsidR="004F3527">
              <w:rPr>
                <w:noProof/>
                <w:webHidden/>
              </w:rPr>
              <w:fldChar w:fldCharType="begin"/>
            </w:r>
            <w:r w:rsidR="004F3527">
              <w:rPr>
                <w:noProof/>
                <w:webHidden/>
              </w:rPr>
              <w:instrText xml:space="preserve"> PAGEREF _Toc531606777 \h </w:instrText>
            </w:r>
            <w:r w:rsidR="004F3527">
              <w:rPr>
                <w:noProof/>
                <w:webHidden/>
              </w:rPr>
            </w:r>
            <w:r w:rsidR="004F3527">
              <w:rPr>
                <w:noProof/>
                <w:webHidden/>
              </w:rPr>
              <w:fldChar w:fldCharType="separate"/>
            </w:r>
            <w:r>
              <w:rPr>
                <w:noProof/>
                <w:webHidden/>
              </w:rPr>
              <w:t>14</w:t>
            </w:r>
            <w:r w:rsidR="004F3527">
              <w:rPr>
                <w:noProof/>
                <w:webHidden/>
              </w:rPr>
              <w:fldChar w:fldCharType="end"/>
            </w:r>
          </w:hyperlink>
        </w:p>
        <w:p w:rsidR="004F3527" w:rsidRDefault="00D17E45">
          <w:pPr>
            <w:pStyle w:val="TOC3"/>
            <w:tabs>
              <w:tab w:val="right" w:pos="9060"/>
            </w:tabs>
            <w:rPr>
              <w:rFonts w:eastAsiaTheme="minorEastAsia"/>
              <w:noProof/>
              <w:lang w:eastAsia="en-AU"/>
            </w:rPr>
          </w:pPr>
          <w:hyperlink w:anchor="_Toc531606778" w:history="1">
            <w:r w:rsidR="004F3527" w:rsidRPr="0033382D">
              <w:rPr>
                <w:rStyle w:val="Hyperlink"/>
                <w:noProof/>
              </w:rPr>
              <w:t>‘Greenfield’ universities</w:t>
            </w:r>
            <w:r w:rsidR="004F3527">
              <w:rPr>
                <w:noProof/>
                <w:webHidden/>
              </w:rPr>
              <w:tab/>
            </w:r>
            <w:r w:rsidR="004F3527">
              <w:rPr>
                <w:noProof/>
                <w:webHidden/>
              </w:rPr>
              <w:fldChar w:fldCharType="begin"/>
            </w:r>
            <w:r w:rsidR="004F3527">
              <w:rPr>
                <w:noProof/>
                <w:webHidden/>
              </w:rPr>
              <w:instrText xml:space="preserve"> PAGEREF _Toc531606778 \h </w:instrText>
            </w:r>
            <w:r w:rsidR="004F3527">
              <w:rPr>
                <w:noProof/>
                <w:webHidden/>
              </w:rPr>
            </w:r>
            <w:r w:rsidR="004F3527">
              <w:rPr>
                <w:noProof/>
                <w:webHidden/>
              </w:rPr>
              <w:fldChar w:fldCharType="separate"/>
            </w:r>
            <w:r>
              <w:rPr>
                <w:noProof/>
                <w:webHidden/>
              </w:rPr>
              <w:t>15</w:t>
            </w:r>
            <w:r w:rsidR="004F3527">
              <w:rPr>
                <w:noProof/>
                <w:webHidden/>
              </w:rPr>
              <w:fldChar w:fldCharType="end"/>
            </w:r>
          </w:hyperlink>
        </w:p>
        <w:p w:rsidR="004F3527" w:rsidRDefault="00D17E45">
          <w:pPr>
            <w:pStyle w:val="TOC3"/>
            <w:tabs>
              <w:tab w:val="right" w:pos="9060"/>
            </w:tabs>
            <w:rPr>
              <w:rFonts w:eastAsiaTheme="minorEastAsia"/>
              <w:noProof/>
              <w:lang w:eastAsia="en-AU"/>
            </w:rPr>
          </w:pPr>
          <w:hyperlink w:anchor="_Toc531606779" w:history="1">
            <w:r w:rsidR="004F3527" w:rsidRPr="0033382D">
              <w:rPr>
                <w:rStyle w:val="Hyperlink"/>
                <w:noProof/>
              </w:rPr>
              <w:t>Overseas universities</w:t>
            </w:r>
            <w:r w:rsidR="004F3527">
              <w:rPr>
                <w:noProof/>
                <w:webHidden/>
              </w:rPr>
              <w:tab/>
            </w:r>
            <w:r w:rsidR="004F3527">
              <w:rPr>
                <w:noProof/>
                <w:webHidden/>
              </w:rPr>
              <w:fldChar w:fldCharType="begin"/>
            </w:r>
            <w:r w:rsidR="004F3527">
              <w:rPr>
                <w:noProof/>
                <w:webHidden/>
              </w:rPr>
              <w:instrText xml:space="preserve"> PAGEREF _Toc531606779 \h </w:instrText>
            </w:r>
            <w:r w:rsidR="004F3527">
              <w:rPr>
                <w:noProof/>
                <w:webHidden/>
              </w:rPr>
            </w:r>
            <w:r w:rsidR="004F3527">
              <w:rPr>
                <w:noProof/>
                <w:webHidden/>
              </w:rPr>
              <w:fldChar w:fldCharType="separate"/>
            </w:r>
            <w:r>
              <w:rPr>
                <w:noProof/>
                <w:webHidden/>
              </w:rPr>
              <w:t>15</w:t>
            </w:r>
            <w:r w:rsidR="004F3527">
              <w:rPr>
                <w:noProof/>
                <w:webHidden/>
              </w:rPr>
              <w:fldChar w:fldCharType="end"/>
            </w:r>
          </w:hyperlink>
        </w:p>
        <w:p w:rsidR="004F3527" w:rsidRDefault="00D17E45">
          <w:pPr>
            <w:pStyle w:val="TOC3"/>
            <w:tabs>
              <w:tab w:val="right" w:pos="9060"/>
            </w:tabs>
            <w:rPr>
              <w:rFonts w:eastAsiaTheme="minorEastAsia"/>
              <w:noProof/>
              <w:lang w:eastAsia="en-AU"/>
            </w:rPr>
          </w:pPr>
          <w:hyperlink w:anchor="_Toc531606780" w:history="1">
            <w:r w:rsidR="004F3527" w:rsidRPr="0033382D">
              <w:rPr>
                <w:rStyle w:val="Hyperlink"/>
                <w:noProof/>
              </w:rPr>
              <w:t>Criteria for self-accreditation</w:t>
            </w:r>
            <w:r w:rsidR="004F3527">
              <w:rPr>
                <w:noProof/>
                <w:webHidden/>
              </w:rPr>
              <w:tab/>
            </w:r>
            <w:r w:rsidR="004F3527">
              <w:rPr>
                <w:noProof/>
                <w:webHidden/>
              </w:rPr>
              <w:fldChar w:fldCharType="begin"/>
            </w:r>
            <w:r w:rsidR="004F3527">
              <w:rPr>
                <w:noProof/>
                <w:webHidden/>
              </w:rPr>
              <w:instrText xml:space="preserve"> PAGEREF _Toc531606780 \h </w:instrText>
            </w:r>
            <w:r w:rsidR="004F3527">
              <w:rPr>
                <w:noProof/>
                <w:webHidden/>
              </w:rPr>
            </w:r>
            <w:r w:rsidR="004F3527">
              <w:rPr>
                <w:noProof/>
                <w:webHidden/>
              </w:rPr>
              <w:fldChar w:fldCharType="separate"/>
            </w:r>
            <w:r>
              <w:rPr>
                <w:noProof/>
                <w:webHidden/>
              </w:rPr>
              <w:t>15</w:t>
            </w:r>
            <w:r w:rsidR="004F3527">
              <w:rPr>
                <w:noProof/>
                <w:webHidden/>
              </w:rPr>
              <w:fldChar w:fldCharType="end"/>
            </w:r>
          </w:hyperlink>
        </w:p>
        <w:p w:rsidR="004F3527" w:rsidRDefault="00D17E45">
          <w:pPr>
            <w:pStyle w:val="TOC3"/>
            <w:tabs>
              <w:tab w:val="right" w:pos="9060"/>
            </w:tabs>
            <w:rPr>
              <w:rFonts w:eastAsiaTheme="minorEastAsia"/>
              <w:noProof/>
              <w:lang w:eastAsia="en-AU"/>
            </w:rPr>
          </w:pPr>
          <w:hyperlink w:anchor="_Toc531606781" w:history="1">
            <w:r w:rsidR="004F3527" w:rsidRPr="0033382D">
              <w:rPr>
                <w:rStyle w:val="Hyperlink"/>
                <w:noProof/>
              </w:rPr>
              <w:t>Quantity and quality of research</w:t>
            </w:r>
            <w:r w:rsidR="004F3527">
              <w:rPr>
                <w:noProof/>
                <w:webHidden/>
              </w:rPr>
              <w:tab/>
            </w:r>
            <w:r w:rsidR="004F3527">
              <w:rPr>
                <w:noProof/>
                <w:webHidden/>
              </w:rPr>
              <w:fldChar w:fldCharType="begin"/>
            </w:r>
            <w:r w:rsidR="004F3527">
              <w:rPr>
                <w:noProof/>
                <w:webHidden/>
              </w:rPr>
              <w:instrText xml:space="preserve"> PAGEREF _Toc531606781 \h </w:instrText>
            </w:r>
            <w:r w:rsidR="004F3527">
              <w:rPr>
                <w:noProof/>
                <w:webHidden/>
              </w:rPr>
            </w:r>
            <w:r w:rsidR="004F3527">
              <w:rPr>
                <w:noProof/>
                <w:webHidden/>
              </w:rPr>
              <w:fldChar w:fldCharType="separate"/>
            </w:r>
            <w:r>
              <w:rPr>
                <w:noProof/>
                <w:webHidden/>
              </w:rPr>
              <w:t>16</w:t>
            </w:r>
            <w:r w:rsidR="004F3527">
              <w:rPr>
                <w:noProof/>
                <w:webHidden/>
              </w:rPr>
              <w:fldChar w:fldCharType="end"/>
            </w:r>
          </w:hyperlink>
        </w:p>
        <w:p w:rsidR="004F3527" w:rsidRDefault="00D17E45">
          <w:pPr>
            <w:pStyle w:val="TOC1"/>
            <w:rPr>
              <w:rFonts w:eastAsiaTheme="minorEastAsia"/>
              <w:b w:val="0"/>
              <w:noProof/>
              <w:color w:val="auto"/>
              <w:sz w:val="22"/>
              <w:lang w:eastAsia="en-AU"/>
            </w:rPr>
          </w:pPr>
          <w:hyperlink w:anchor="_Toc531606782" w:history="1">
            <w:r w:rsidR="004F3527" w:rsidRPr="0033382D">
              <w:rPr>
                <w:rStyle w:val="Hyperlink"/>
                <w:noProof/>
              </w:rPr>
              <w:t>Submissions</w:t>
            </w:r>
            <w:r w:rsidR="004F3527">
              <w:rPr>
                <w:noProof/>
                <w:webHidden/>
              </w:rPr>
              <w:tab/>
            </w:r>
            <w:r w:rsidR="004F3527">
              <w:rPr>
                <w:noProof/>
                <w:webHidden/>
              </w:rPr>
              <w:fldChar w:fldCharType="begin"/>
            </w:r>
            <w:r w:rsidR="004F3527">
              <w:rPr>
                <w:noProof/>
                <w:webHidden/>
              </w:rPr>
              <w:instrText xml:space="preserve"> PAGEREF _Toc531606782 \h </w:instrText>
            </w:r>
            <w:r w:rsidR="004F3527">
              <w:rPr>
                <w:noProof/>
                <w:webHidden/>
              </w:rPr>
            </w:r>
            <w:r w:rsidR="004F3527">
              <w:rPr>
                <w:noProof/>
                <w:webHidden/>
              </w:rPr>
              <w:fldChar w:fldCharType="separate"/>
            </w:r>
            <w:r>
              <w:rPr>
                <w:noProof/>
                <w:webHidden/>
              </w:rPr>
              <w:t>17</w:t>
            </w:r>
            <w:r w:rsidR="004F3527">
              <w:rPr>
                <w:noProof/>
                <w:webHidden/>
              </w:rPr>
              <w:fldChar w:fldCharType="end"/>
            </w:r>
          </w:hyperlink>
        </w:p>
        <w:p w:rsidR="004F3527" w:rsidRDefault="00D17E45">
          <w:pPr>
            <w:pStyle w:val="TOC2"/>
            <w:tabs>
              <w:tab w:val="right" w:pos="9060"/>
            </w:tabs>
            <w:rPr>
              <w:rFonts w:eastAsiaTheme="minorEastAsia"/>
              <w:b w:val="0"/>
              <w:noProof/>
              <w:color w:val="auto"/>
              <w:lang w:eastAsia="en-AU"/>
            </w:rPr>
          </w:pPr>
          <w:hyperlink w:anchor="_Toc531606783" w:history="1">
            <w:r w:rsidR="004F3527" w:rsidRPr="0033382D">
              <w:rPr>
                <w:rStyle w:val="Hyperlink"/>
                <w:noProof/>
              </w:rPr>
              <w:t>Discussion questions</w:t>
            </w:r>
            <w:r w:rsidR="004F3527">
              <w:rPr>
                <w:noProof/>
                <w:webHidden/>
              </w:rPr>
              <w:tab/>
            </w:r>
            <w:r w:rsidR="004F3527">
              <w:rPr>
                <w:noProof/>
                <w:webHidden/>
              </w:rPr>
              <w:fldChar w:fldCharType="begin"/>
            </w:r>
            <w:r w:rsidR="004F3527">
              <w:rPr>
                <w:noProof/>
                <w:webHidden/>
              </w:rPr>
              <w:instrText xml:space="preserve"> PAGEREF _Toc531606783 \h </w:instrText>
            </w:r>
            <w:r w:rsidR="004F3527">
              <w:rPr>
                <w:noProof/>
                <w:webHidden/>
              </w:rPr>
            </w:r>
            <w:r w:rsidR="004F3527">
              <w:rPr>
                <w:noProof/>
                <w:webHidden/>
              </w:rPr>
              <w:fldChar w:fldCharType="separate"/>
            </w:r>
            <w:r>
              <w:rPr>
                <w:noProof/>
                <w:webHidden/>
              </w:rPr>
              <w:t>17</w:t>
            </w:r>
            <w:r w:rsidR="004F3527">
              <w:rPr>
                <w:noProof/>
                <w:webHidden/>
              </w:rPr>
              <w:fldChar w:fldCharType="end"/>
            </w:r>
          </w:hyperlink>
        </w:p>
        <w:p w:rsidR="004F3527" w:rsidRDefault="00D17E45">
          <w:pPr>
            <w:pStyle w:val="TOC2"/>
            <w:tabs>
              <w:tab w:val="right" w:pos="9060"/>
            </w:tabs>
            <w:rPr>
              <w:rFonts w:eastAsiaTheme="minorEastAsia"/>
              <w:b w:val="0"/>
              <w:noProof/>
              <w:color w:val="auto"/>
              <w:lang w:eastAsia="en-AU"/>
            </w:rPr>
          </w:pPr>
          <w:hyperlink w:anchor="_Toc531606784" w:history="1">
            <w:r w:rsidR="004F3527" w:rsidRPr="0033382D">
              <w:rPr>
                <w:rStyle w:val="Hyperlink"/>
                <w:noProof/>
              </w:rPr>
              <w:t>Making a submission</w:t>
            </w:r>
            <w:r w:rsidR="004F3527">
              <w:rPr>
                <w:noProof/>
                <w:webHidden/>
              </w:rPr>
              <w:tab/>
            </w:r>
            <w:r w:rsidR="004F3527">
              <w:rPr>
                <w:noProof/>
                <w:webHidden/>
              </w:rPr>
              <w:fldChar w:fldCharType="begin"/>
            </w:r>
            <w:r w:rsidR="004F3527">
              <w:rPr>
                <w:noProof/>
                <w:webHidden/>
              </w:rPr>
              <w:instrText xml:space="preserve"> PAGEREF _Toc531606784 \h </w:instrText>
            </w:r>
            <w:r w:rsidR="004F3527">
              <w:rPr>
                <w:noProof/>
                <w:webHidden/>
              </w:rPr>
            </w:r>
            <w:r w:rsidR="004F3527">
              <w:rPr>
                <w:noProof/>
                <w:webHidden/>
              </w:rPr>
              <w:fldChar w:fldCharType="separate"/>
            </w:r>
            <w:r>
              <w:rPr>
                <w:noProof/>
                <w:webHidden/>
              </w:rPr>
              <w:t>17</w:t>
            </w:r>
            <w:r w:rsidR="004F3527">
              <w:rPr>
                <w:noProof/>
                <w:webHidden/>
              </w:rPr>
              <w:fldChar w:fldCharType="end"/>
            </w:r>
          </w:hyperlink>
        </w:p>
        <w:p w:rsidR="00651E97" w:rsidRDefault="00651E97" w:rsidP="00651E97">
          <w:pPr>
            <w:spacing w:before="0" w:after="0" w:line="360" w:lineRule="auto"/>
            <w:rPr>
              <w:b/>
              <w:bCs/>
              <w:noProof/>
            </w:rPr>
          </w:pPr>
          <w:r>
            <w:rPr>
              <w:b/>
              <w:bCs/>
              <w:noProof/>
            </w:rPr>
            <w:fldChar w:fldCharType="end"/>
          </w:r>
        </w:p>
      </w:sdtContent>
    </w:sdt>
    <w:p w:rsidR="00651E97" w:rsidRDefault="00651E97" w:rsidP="00651E97">
      <w:pPr>
        <w:pStyle w:val="InstructionText"/>
        <w:spacing w:before="0" w:after="0"/>
      </w:pPr>
      <w:r>
        <w:br w:type="page"/>
      </w:r>
    </w:p>
    <w:p w:rsidR="00651E97" w:rsidRDefault="00651E97" w:rsidP="00651E97">
      <w:pPr>
        <w:pStyle w:val="Heading1"/>
        <w:spacing w:before="0" w:after="0"/>
      </w:pPr>
      <w:bookmarkStart w:id="2" w:name="_Toc531606763"/>
      <w:r>
        <w:lastRenderedPageBreak/>
        <w:t>List of Acronyms and Abbreviations</w:t>
      </w:r>
      <w:bookmarkEnd w:id="2"/>
    </w:p>
    <w:p w:rsidR="00651E97" w:rsidRPr="005C1600" w:rsidRDefault="00651E97" w:rsidP="00651E97">
      <w:pPr>
        <w:spacing w:before="0" w:after="0"/>
      </w:pPr>
    </w:p>
    <w:p w:rsidR="00651E97" w:rsidRDefault="00651E97" w:rsidP="00651E97">
      <w:pPr>
        <w:spacing w:before="0" w:after="0" w:line="360" w:lineRule="auto"/>
      </w:pPr>
      <w:r>
        <w:rPr>
          <w:b/>
        </w:rPr>
        <w:t>AQF</w:t>
      </w:r>
      <w:r>
        <w:rPr>
          <w:b/>
        </w:rPr>
        <w:tab/>
      </w:r>
      <w:r>
        <w:rPr>
          <w:b/>
        </w:rPr>
        <w:tab/>
      </w:r>
      <w:r>
        <w:rPr>
          <w:b/>
        </w:rPr>
        <w:tab/>
      </w:r>
      <w:r w:rsidRPr="00125379">
        <w:t>Australian Qualifications Framework</w:t>
      </w:r>
    </w:p>
    <w:p w:rsidR="00651E97" w:rsidRDefault="00651E97" w:rsidP="00651E97">
      <w:pPr>
        <w:spacing w:before="0" w:after="0" w:line="360" w:lineRule="auto"/>
      </w:pPr>
      <w:r w:rsidRPr="00125379">
        <w:rPr>
          <w:b/>
        </w:rPr>
        <w:t>Bradley Review</w:t>
      </w:r>
      <w:r w:rsidRPr="00125379">
        <w:rPr>
          <w:b/>
        </w:rPr>
        <w:tab/>
      </w:r>
      <w:r w:rsidRPr="00125379">
        <w:rPr>
          <w:b/>
        </w:rPr>
        <w:tab/>
      </w:r>
      <w:r w:rsidRPr="00125379">
        <w:t>Review of Australian Higher Education</w:t>
      </w:r>
      <w:r w:rsidR="007F5CA0">
        <w:t xml:space="preserve"> 2008</w:t>
      </w:r>
    </w:p>
    <w:p w:rsidR="00CC0FE9" w:rsidRPr="00125379" w:rsidRDefault="00CC0FE9" w:rsidP="00651E97">
      <w:pPr>
        <w:spacing w:before="0" w:after="0" w:line="360" w:lineRule="auto"/>
        <w:rPr>
          <w:b/>
        </w:rPr>
      </w:pPr>
      <w:r w:rsidRPr="007F5CA0">
        <w:rPr>
          <w:b/>
        </w:rPr>
        <w:t>CSP</w:t>
      </w:r>
      <w:r w:rsidR="001B53C1">
        <w:tab/>
      </w:r>
      <w:r w:rsidR="001B53C1">
        <w:tab/>
      </w:r>
      <w:r w:rsidR="001B53C1">
        <w:tab/>
        <w:t>Commonwealth Supported P</w:t>
      </w:r>
      <w:r>
        <w:t>lace</w:t>
      </w:r>
    </w:p>
    <w:p w:rsidR="00651E97" w:rsidRPr="00BA5DFB" w:rsidRDefault="00651E97" w:rsidP="00651E97">
      <w:pPr>
        <w:spacing w:before="0" w:after="0" w:line="360" w:lineRule="auto"/>
        <w:rPr>
          <w:rFonts w:cstheme="minorHAnsi"/>
        </w:rPr>
      </w:pPr>
      <w:r w:rsidRPr="00BA5DFB">
        <w:rPr>
          <w:b/>
        </w:rPr>
        <w:t>CGS</w:t>
      </w:r>
      <w:r w:rsidRPr="00BA5DFB">
        <w:rPr>
          <w:b/>
        </w:rPr>
        <w:tab/>
      </w:r>
      <w:r w:rsidRPr="00BA5DFB">
        <w:tab/>
      </w:r>
      <w:r w:rsidRPr="00BA5DFB">
        <w:tab/>
      </w:r>
      <w:r w:rsidRPr="00BA5DFB">
        <w:rPr>
          <w:rFonts w:cstheme="minorHAnsi"/>
        </w:rPr>
        <w:t>Commonwealth Grant Scheme</w:t>
      </w:r>
    </w:p>
    <w:p w:rsidR="00651E97" w:rsidRPr="00BA5DFB" w:rsidRDefault="00651E97" w:rsidP="00651E97">
      <w:pPr>
        <w:spacing w:before="0" w:after="0" w:line="360" w:lineRule="auto"/>
        <w:rPr>
          <w:rFonts w:cstheme="minorHAnsi"/>
        </w:rPr>
      </w:pPr>
      <w:r w:rsidRPr="00BA5DFB">
        <w:rPr>
          <w:rFonts w:cstheme="minorHAnsi"/>
          <w:b/>
        </w:rPr>
        <w:t xml:space="preserve">HELP </w:t>
      </w:r>
      <w:r w:rsidRPr="00BA5DFB">
        <w:rPr>
          <w:rFonts w:cstheme="minorHAnsi"/>
        </w:rPr>
        <w:tab/>
      </w:r>
      <w:r w:rsidRPr="00BA5DFB">
        <w:rPr>
          <w:rFonts w:cstheme="minorHAnsi"/>
        </w:rPr>
        <w:tab/>
      </w:r>
      <w:r w:rsidRPr="00BA5DFB">
        <w:rPr>
          <w:rFonts w:cstheme="minorHAnsi"/>
        </w:rPr>
        <w:tab/>
        <w:t>Higher Education Loan Program</w:t>
      </w:r>
    </w:p>
    <w:p w:rsidR="00651E97" w:rsidRPr="00BA5DFB" w:rsidRDefault="00651E97" w:rsidP="00651E97">
      <w:pPr>
        <w:spacing w:before="0" w:after="0" w:line="360" w:lineRule="auto"/>
        <w:rPr>
          <w:rFonts w:cstheme="minorHAnsi"/>
        </w:rPr>
      </w:pPr>
      <w:r w:rsidRPr="00BA5DFB">
        <w:rPr>
          <w:rFonts w:cstheme="minorHAnsi"/>
          <w:b/>
        </w:rPr>
        <w:t xml:space="preserve">HESA </w:t>
      </w:r>
      <w:r w:rsidRPr="00BA5DFB">
        <w:rPr>
          <w:rFonts w:cstheme="minorHAnsi"/>
          <w:b/>
        </w:rPr>
        <w:tab/>
      </w:r>
      <w:r w:rsidRPr="00BA5DFB">
        <w:rPr>
          <w:rFonts w:cstheme="minorHAnsi"/>
        </w:rPr>
        <w:tab/>
      </w:r>
      <w:r w:rsidRPr="00BA5DFB">
        <w:rPr>
          <w:rFonts w:cstheme="minorHAnsi"/>
        </w:rPr>
        <w:tab/>
        <w:t>Higher Education Support Act 2003</w:t>
      </w:r>
    </w:p>
    <w:p w:rsidR="00651E97" w:rsidRPr="00BA5DFB" w:rsidRDefault="00651E97" w:rsidP="00651E97">
      <w:pPr>
        <w:spacing w:before="0" w:after="0" w:line="360" w:lineRule="auto"/>
      </w:pPr>
      <w:r w:rsidRPr="00BA5DFB">
        <w:rPr>
          <w:b/>
        </w:rPr>
        <w:t xml:space="preserve">HESP </w:t>
      </w:r>
      <w:r w:rsidRPr="00BA5DFB">
        <w:rPr>
          <w:b/>
        </w:rPr>
        <w:tab/>
      </w:r>
      <w:r w:rsidRPr="00BA5DFB">
        <w:tab/>
      </w:r>
      <w:r w:rsidRPr="00BA5DFB">
        <w:tab/>
        <w:t>Higher Education Standards Panel</w:t>
      </w:r>
    </w:p>
    <w:p w:rsidR="00651E97" w:rsidRPr="00BA5DFB" w:rsidRDefault="00651E97" w:rsidP="00651E97">
      <w:pPr>
        <w:spacing w:before="0" w:after="0" w:line="360" w:lineRule="auto"/>
      </w:pPr>
      <w:r w:rsidRPr="00BA5DFB">
        <w:rPr>
          <w:b/>
        </w:rPr>
        <w:t>National Protocols</w:t>
      </w:r>
      <w:r w:rsidRPr="00BA5DFB">
        <w:tab/>
        <w:t>National Protocols for Higher Education Approval Processes</w:t>
      </w:r>
    </w:p>
    <w:p w:rsidR="00651E97" w:rsidRPr="00BA5DFB" w:rsidRDefault="00651E97" w:rsidP="00651E97">
      <w:pPr>
        <w:spacing w:before="0" w:after="0" w:line="360" w:lineRule="auto"/>
      </w:pPr>
      <w:r w:rsidRPr="00BA5DFB">
        <w:rPr>
          <w:b/>
        </w:rPr>
        <w:t xml:space="preserve">PCS </w:t>
      </w:r>
      <w:r w:rsidRPr="00BA5DFB">
        <w:tab/>
      </w:r>
      <w:r w:rsidRPr="00BA5DFB">
        <w:tab/>
      </w:r>
      <w:r w:rsidRPr="00BA5DFB">
        <w:tab/>
      </w:r>
      <w:r>
        <w:t xml:space="preserve">Higher Education </w:t>
      </w:r>
      <w:r w:rsidRPr="00BA5DFB">
        <w:t>Provider Category Standards</w:t>
      </w:r>
    </w:p>
    <w:p w:rsidR="00651E97" w:rsidRPr="00BA5DFB" w:rsidRDefault="00651E97" w:rsidP="00651E97">
      <w:pPr>
        <w:spacing w:before="0" w:after="0" w:line="360" w:lineRule="auto"/>
      </w:pPr>
      <w:r w:rsidRPr="00BA5DFB">
        <w:rPr>
          <w:b/>
        </w:rPr>
        <w:t xml:space="preserve">SAA </w:t>
      </w:r>
      <w:r w:rsidRPr="00BA5DFB">
        <w:tab/>
      </w:r>
      <w:r w:rsidRPr="00BA5DFB">
        <w:tab/>
      </w:r>
      <w:r w:rsidRPr="00BA5DFB">
        <w:tab/>
        <w:t>Self-Accrediting Authority</w:t>
      </w:r>
    </w:p>
    <w:p w:rsidR="00651E97" w:rsidRPr="00BA5DFB" w:rsidRDefault="00651E97" w:rsidP="00651E97">
      <w:pPr>
        <w:spacing w:before="0" w:after="0" w:line="360" w:lineRule="auto"/>
      </w:pPr>
      <w:r w:rsidRPr="00BA5DFB">
        <w:rPr>
          <w:b/>
        </w:rPr>
        <w:t>TEQSA</w:t>
      </w:r>
      <w:r w:rsidRPr="00BA5DFB">
        <w:rPr>
          <w:b/>
        </w:rPr>
        <w:tab/>
      </w:r>
      <w:r w:rsidRPr="00BA5DFB">
        <w:tab/>
      </w:r>
      <w:r w:rsidRPr="00BA5DFB">
        <w:tab/>
        <w:t>Tertiary Education Quality and Standards Agency</w:t>
      </w:r>
    </w:p>
    <w:p w:rsidR="00651E97" w:rsidRPr="00BA5DFB" w:rsidRDefault="00651E97" w:rsidP="00651E97">
      <w:pPr>
        <w:spacing w:before="0" w:after="0" w:line="360" w:lineRule="auto"/>
      </w:pPr>
      <w:r w:rsidRPr="00BA5DFB">
        <w:rPr>
          <w:b/>
        </w:rPr>
        <w:t>Threshold Standards</w:t>
      </w:r>
      <w:r w:rsidRPr="00BA5DFB">
        <w:rPr>
          <w:b/>
        </w:rPr>
        <w:tab/>
      </w:r>
      <w:r w:rsidRPr="00BA5DFB">
        <w:t>Higher Education Standards Framework (Threshold Standards) 2015</w:t>
      </w:r>
    </w:p>
    <w:p w:rsidR="00651E97" w:rsidRPr="00D95220" w:rsidRDefault="00651E97" w:rsidP="00651E97">
      <w:pPr>
        <w:spacing w:before="0" w:after="0" w:line="360" w:lineRule="auto"/>
      </w:pPr>
      <w:r w:rsidRPr="00BA5DFB">
        <w:rPr>
          <w:b/>
        </w:rPr>
        <w:t>VET</w:t>
      </w:r>
      <w:r w:rsidRPr="00BA5DFB">
        <w:rPr>
          <w:b/>
        </w:rPr>
        <w:tab/>
      </w:r>
      <w:r w:rsidRPr="00BA5DFB">
        <w:tab/>
      </w:r>
      <w:r w:rsidRPr="00BA5DFB">
        <w:tab/>
        <w:t>Vocational Education and Training</w:t>
      </w:r>
    </w:p>
    <w:p w:rsidR="001B53C1" w:rsidRDefault="00651E97" w:rsidP="00651E97">
      <w:pPr>
        <w:pStyle w:val="InstructionText"/>
        <w:spacing w:before="0" w:after="0"/>
      </w:pPr>
      <w:r>
        <w:br w:type="page"/>
      </w:r>
    </w:p>
    <w:p w:rsidR="00651E97" w:rsidRPr="00473845" w:rsidRDefault="00651E97" w:rsidP="00651E97">
      <w:pPr>
        <w:pStyle w:val="Heading1"/>
        <w:spacing w:before="0" w:after="0"/>
        <w:rPr>
          <w:rFonts w:asciiTheme="minorHAnsi" w:eastAsiaTheme="minorHAnsi" w:hAnsiTheme="minorHAnsi" w:cstheme="minorBidi"/>
          <w:color w:val="auto"/>
        </w:rPr>
      </w:pPr>
      <w:bookmarkStart w:id="3" w:name="_Toc527354295"/>
      <w:bookmarkStart w:id="4" w:name="_Toc531606764"/>
      <w:r w:rsidRPr="00C24AE6">
        <w:lastRenderedPageBreak/>
        <w:t>Purpose</w:t>
      </w:r>
      <w:bookmarkEnd w:id="3"/>
      <w:bookmarkEnd w:id="4"/>
    </w:p>
    <w:p w:rsidR="00651E97" w:rsidRDefault="00651E97" w:rsidP="00651E97">
      <w:pPr>
        <w:spacing w:before="0" w:after="0"/>
      </w:pPr>
      <w:r w:rsidRPr="00D23E2D">
        <w:rPr>
          <w:lang w:eastAsia="en-AU"/>
        </w:rPr>
        <w:t xml:space="preserve">The 2017‒18 </w:t>
      </w:r>
      <w:r>
        <w:rPr>
          <w:lang w:eastAsia="en-AU"/>
        </w:rPr>
        <w:t xml:space="preserve">Commonwealth </w:t>
      </w:r>
      <w:r w:rsidRPr="00D23E2D">
        <w:rPr>
          <w:lang w:eastAsia="en-AU"/>
        </w:rPr>
        <w:t xml:space="preserve">Budget included a measure for the Higher Education Standards Panel (HESP) to </w:t>
      </w:r>
      <w:r>
        <w:rPr>
          <w:lang w:eastAsia="en-AU"/>
        </w:rPr>
        <w:t>oversee</w:t>
      </w:r>
      <w:r w:rsidRPr="00D23E2D">
        <w:rPr>
          <w:lang w:eastAsia="en-AU"/>
        </w:rPr>
        <w:t xml:space="preserve"> a review of the Higher Education Provider Category Standards (PCS). </w:t>
      </w:r>
      <w:r>
        <w:rPr>
          <w:rFonts w:cstheme="minorHAnsi"/>
        </w:rPr>
        <w:t>On 17 </w:t>
      </w:r>
      <w:r w:rsidRPr="00D81CF5">
        <w:rPr>
          <w:rFonts w:cstheme="minorHAnsi"/>
        </w:rPr>
        <w:t>October 2018,</w:t>
      </w:r>
      <w:r w:rsidRPr="00CD3344">
        <w:rPr>
          <w:rFonts w:cstheme="minorHAnsi"/>
        </w:rPr>
        <w:t xml:space="preserve"> the Hon Dan Tehan MP, Minister for Education, announced</w:t>
      </w:r>
      <w:r>
        <w:t xml:space="preserve"> the </w:t>
      </w:r>
      <w:r w:rsidRPr="00CD3344">
        <w:t>appointment of Emeritus Professor Peter Coaldrake AO to undertake this review</w:t>
      </w:r>
      <w:r>
        <w:t xml:space="preserve"> with oversight from the HESP.</w:t>
      </w:r>
    </w:p>
    <w:p w:rsidR="00651E97" w:rsidRDefault="00651E97" w:rsidP="00651E97">
      <w:pPr>
        <w:spacing w:before="0" w:after="0"/>
      </w:pPr>
    </w:p>
    <w:p w:rsidR="00651E97" w:rsidRDefault="00651E97" w:rsidP="00651E97">
      <w:pPr>
        <w:keepNext/>
        <w:spacing w:before="0" w:after="0"/>
        <w:rPr>
          <w:lang w:eastAsia="en-AU"/>
        </w:rPr>
      </w:pPr>
      <w:r w:rsidRPr="00D23E2D">
        <w:rPr>
          <w:lang w:eastAsia="en-AU"/>
        </w:rPr>
        <w:t xml:space="preserve">The PCS </w:t>
      </w:r>
      <w:r>
        <w:rPr>
          <w:lang w:eastAsia="en-AU"/>
        </w:rPr>
        <w:t>describe</w:t>
      </w:r>
      <w:r w:rsidRPr="00D23E2D">
        <w:rPr>
          <w:lang w:eastAsia="en-AU"/>
        </w:rPr>
        <w:t xml:space="preserve"> different categories of higher education providers, and requirements expected of them, for registration by the Tertiary Education Quality and Standards Agency (TEQSA). The PCS</w:t>
      </w:r>
      <w:r>
        <w:rPr>
          <w:lang w:eastAsia="en-AU"/>
        </w:rPr>
        <w:t xml:space="preserve"> are part of the </w:t>
      </w:r>
      <w:r w:rsidRPr="00D81CF5">
        <w:rPr>
          <w:i/>
          <w:lang w:eastAsia="en-AU"/>
        </w:rPr>
        <w:t xml:space="preserve">Higher Education Standards Framework </w:t>
      </w:r>
      <w:r w:rsidRPr="00D81CF5">
        <w:rPr>
          <w:i/>
        </w:rPr>
        <w:t>(Threshold Standards) 2015</w:t>
      </w:r>
      <w:r w:rsidRPr="00D23E2D">
        <w:rPr>
          <w:lang w:eastAsia="en-AU"/>
        </w:rPr>
        <w:t xml:space="preserve"> </w:t>
      </w:r>
      <w:r>
        <w:rPr>
          <w:lang w:eastAsia="en-AU"/>
        </w:rPr>
        <w:t xml:space="preserve">which </w:t>
      </w:r>
      <w:r w:rsidRPr="00D23E2D">
        <w:rPr>
          <w:lang w:eastAsia="en-AU"/>
        </w:rPr>
        <w:t>set</w:t>
      </w:r>
      <w:r w:rsidR="0045489A">
        <w:rPr>
          <w:lang w:eastAsia="en-AU"/>
        </w:rPr>
        <w:t>s</w:t>
      </w:r>
      <w:r w:rsidRPr="00D23E2D">
        <w:rPr>
          <w:lang w:eastAsia="en-AU"/>
        </w:rPr>
        <w:t xml:space="preserve"> the high standards required to operate as a </w:t>
      </w:r>
      <w:r>
        <w:rPr>
          <w:lang w:eastAsia="en-AU"/>
        </w:rPr>
        <w:t>‘</w:t>
      </w:r>
      <w:r w:rsidRPr="00D23E2D">
        <w:rPr>
          <w:lang w:eastAsia="en-AU"/>
        </w:rPr>
        <w:t>higher education provider</w:t>
      </w:r>
      <w:r>
        <w:rPr>
          <w:lang w:eastAsia="en-AU"/>
        </w:rPr>
        <w:t>’</w:t>
      </w:r>
      <w:r w:rsidRPr="00D23E2D">
        <w:rPr>
          <w:lang w:eastAsia="en-AU"/>
        </w:rPr>
        <w:t xml:space="preserve"> or </w:t>
      </w:r>
      <w:r>
        <w:rPr>
          <w:lang w:eastAsia="en-AU"/>
        </w:rPr>
        <w:t>‘</w:t>
      </w:r>
      <w:r w:rsidRPr="00D23E2D">
        <w:rPr>
          <w:lang w:eastAsia="en-AU"/>
        </w:rPr>
        <w:t>university</w:t>
      </w:r>
      <w:r>
        <w:rPr>
          <w:lang w:eastAsia="en-AU"/>
        </w:rPr>
        <w:t>’</w:t>
      </w:r>
      <w:r w:rsidRPr="00D23E2D">
        <w:rPr>
          <w:lang w:eastAsia="en-AU"/>
        </w:rPr>
        <w:t xml:space="preserve"> in Australia.</w:t>
      </w:r>
      <w:r w:rsidR="00E60CD2" w:rsidRPr="00125379">
        <w:rPr>
          <w:vertAlign w:val="superscript"/>
        </w:rPr>
        <w:footnoteReference w:id="1"/>
      </w:r>
      <w:r>
        <w:rPr>
          <w:lang w:eastAsia="en-AU"/>
        </w:rPr>
        <w:t xml:space="preserve"> The PCS fulfil a range of functions.</w:t>
      </w:r>
    </w:p>
    <w:p w:rsidR="00651E97" w:rsidRDefault="00736E57" w:rsidP="00736E57">
      <w:pPr>
        <w:keepNext/>
        <w:spacing w:before="0" w:after="0"/>
        <w:jc w:val="center"/>
        <w:rPr>
          <w:lang w:eastAsia="en-AU"/>
        </w:rPr>
      </w:pPr>
      <w:r>
        <w:rPr>
          <w:noProof/>
          <w:lang w:eastAsia="en-AU"/>
        </w:rPr>
        <w:drawing>
          <wp:inline distT="0" distB="0" distL="0" distR="0" wp14:anchorId="0F2121C5" wp14:editId="051928EF">
            <wp:extent cx="3535045" cy="3420110"/>
            <wp:effectExtent l="0" t="0" r="8255" b="8890"/>
            <wp:docPr id="4" name="Picture 4" descr="Functions of the Higher Education Provider Category Standards&#10;- Part of the Higher Education Standards Framework&#10;- Define key characteristics of a higher education provider&#10;- Define a university &#10;- Set course offering and research scope needed for each category &#10;- Protect the title 'university'&#10;- Set criteria for authority to self-accredit courses &#10;- Set requirements for overseas universities to operate in Australia &#10;- Part of TEQSA registrati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d"/>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535045" cy="3420110"/>
                    </a:xfrm>
                    <a:prstGeom prst="rect">
                      <a:avLst/>
                    </a:prstGeom>
                    <a:noFill/>
                    <a:ln>
                      <a:noFill/>
                    </a:ln>
                  </pic:spPr>
                </pic:pic>
              </a:graphicData>
            </a:graphic>
          </wp:inline>
        </w:drawing>
      </w:r>
      <w:r w:rsidR="001F3997">
        <w:rPr>
          <w:lang w:eastAsia="en-AU"/>
        </w:rPr>
        <w:br w:type="textWrapping" w:clear="all"/>
      </w:r>
    </w:p>
    <w:p w:rsidR="00651E97" w:rsidRDefault="00651E97" w:rsidP="00651E97">
      <w:pPr>
        <w:spacing w:before="0" w:after="0"/>
      </w:pPr>
      <w:r>
        <w:t>Australia’s model for categorisation of higher education has remained fundamentally unchanged for almost</w:t>
      </w:r>
      <w:r w:rsidRPr="00C24AE6">
        <w:t xml:space="preserve"> </w:t>
      </w:r>
      <w:r>
        <w:t>twenty</w:t>
      </w:r>
      <w:r w:rsidRPr="00C24AE6">
        <w:t xml:space="preserve"> years. </w:t>
      </w:r>
      <w:r>
        <w:t>Over this period</w:t>
      </w:r>
      <w:r w:rsidRPr="00C24AE6">
        <w:t>, the higher education s</w:t>
      </w:r>
      <w:r>
        <w:t>ystem</w:t>
      </w:r>
      <w:r w:rsidR="0045489A">
        <w:t xml:space="preserve"> itself</w:t>
      </w:r>
      <w:r w:rsidRPr="00C24AE6">
        <w:t xml:space="preserve"> has </w:t>
      </w:r>
      <w:r>
        <w:t xml:space="preserve">experienced </w:t>
      </w:r>
      <w:r w:rsidRPr="00C24AE6">
        <w:t xml:space="preserve">significant </w:t>
      </w:r>
      <w:r>
        <w:t>transformation</w:t>
      </w:r>
      <w:r w:rsidRPr="00C24AE6">
        <w:t xml:space="preserve">. </w:t>
      </w:r>
    </w:p>
    <w:p w:rsidR="00651E97" w:rsidRDefault="00651E97" w:rsidP="00651E97">
      <w:pPr>
        <w:spacing w:before="0" w:after="0"/>
      </w:pPr>
    </w:p>
    <w:p w:rsidR="00651E97" w:rsidRDefault="00651E97" w:rsidP="00651E97">
      <w:pPr>
        <w:spacing w:before="0" w:after="0"/>
      </w:pPr>
      <w:r w:rsidRPr="00EB5FA8">
        <w:t>Demand for higher education</w:t>
      </w:r>
      <w:r>
        <w:t xml:space="preserve"> has dramatically increased as Australia and other countries across the world </w:t>
      </w:r>
      <w:r w:rsidRPr="00C24AE6">
        <w:t>transition from industrial to knowledge-based economies</w:t>
      </w:r>
      <w:r>
        <w:t xml:space="preserve">. </w:t>
      </w:r>
      <w:r w:rsidRPr="00EB5FA8">
        <w:t>Access and participation</w:t>
      </w:r>
      <w:r>
        <w:t xml:space="preserve"> in higher education has rapidly expanded through developments in technology, innovative approaches to delivery, and globally mobile and connected students, academics and researchers. Student cohorts are more diverse with different learning backgrounds and needs, motivations and aspirations for learning, and </w:t>
      </w:r>
      <w:r w:rsidRPr="00C24AE6">
        <w:t>expectatio</w:t>
      </w:r>
      <w:r>
        <w:t>ns o</w:t>
      </w:r>
      <w:r w:rsidR="0045489A">
        <w:t>f</w:t>
      </w:r>
      <w:r w:rsidRPr="00C24AE6">
        <w:t xml:space="preserve"> </w:t>
      </w:r>
      <w:r>
        <w:t>higher</w:t>
      </w:r>
      <w:r w:rsidRPr="00C24AE6">
        <w:t xml:space="preserve"> education providers.</w:t>
      </w:r>
      <w:r>
        <w:t xml:space="preserve"> New</w:t>
      </w:r>
      <w:r w:rsidRPr="00C24AE6">
        <w:t xml:space="preserve"> types of higher education providers</w:t>
      </w:r>
      <w:r>
        <w:t xml:space="preserve"> and institutional partnerships have also emerged, such as </w:t>
      </w:r>
      <w:r w:rsidR="00A27386">
        <w:t>those</w:t>
      </w:r>
      <w:r>
        <w:t xml:space="preserve"> primarily offering </w:t>
      </w:r>
      <w:r w:rsidRPr="00C24AE6">
        <w:t>pathway</w:t>
      </w:r>
      <w:r>
        <w:t>s</w:t>
      </w:r>
      <w:r w:rsidRPr="00C24AE6">
        <w:t xml:space="preserve"> </w:t>
      </w:r>
      <w:r>
        <w:t>to second or later year entry to university</w:t>
      </w:r>
      <w:r w:rsidR="007B5B89">
        <w:t>, dual sector institutions</w:t>
      </w:r>
      <w:r w:rsidR="00355FE4">
        <w:t>,</w:t>
      </w:r>
      <w:r>
        <w:t xml:space="preserve"> and</w:t>
      </w:r>
      <w:r w:rsidRPr="00C24AE6">
        <w:t xml:space="preserve"> </w:t>
      </w:r>
      <w:r>
        <w:t xml:space="preserve">providers with a significant focus on </w:t>
      </w:r>
      <w:r w:rsidRPr="00C24AE6">
        <w:t>online</w:t>
      </w:r>
      <w:r>
        <w:t xml:space="preserve"> delivery. Indeed, Australia’s higher education sector is reflective of the complex world around it – a world increasingly looking to it for solutions.</w:t>
      </w:r>
    </w:p>
    <w:p w:rsidR="00E60CD2" w:rsidRDefault="00E60CD2" w:rsidP="00651E97">
      <w:pPr>
        <w:spacing w:before="0" w:after="0"/>
      </w:pPr>
    </w:p>
    <w:p w:rsidR="00651E97" w:rsidRDefault="00651E97" w:rsidP="00651E97">
      <w:pPr>
        <w:spacing w:before="0" w:after="0"/>
      </w:pPr>
      <w:r>
        <w:t>Australia’s higher education sector has established a reputation as an education leader globally. International education has become Australia’s third largest export and largest service export, now estimated to be worth more than $32 billion</w:t>
      </w:r>
      <w:r w:rsidR="0045489A">
        <w:t xml:space="preserve"> annually</w:t>
      </w:r>
      <w:r>
        <w:t xml:space="preserve"> to the Australian economy and supporting more than 240,000 jobs across Australia. The most recent International Student Survey (2016) indicated 94 per cent of international students selected Australia as a study destination because of the reputation of Australia’s strong education system and the reputation of its courses.</w:t>
      </w:r>
      <w:r>
        <w:rPr>
          <w:rStyle w:val="FootnoteReference"/>
          <w:rFonts w:cstheme="minorHAnsi"/>
        </w:rPr>
        <w:footnoteReference w:id="2"/>
      </w:r>
    </w:p>
    <w:p w:rsidR="00355FE4" w:rsidRDefault="00355FE4" w:rsidP="00651E97">
      <w:pPr>
        <w:spacing w:before="0" w:after="0"/>
      </w:pPr>
    </w:p>
    <w:p w:rsidR="00651E97" w:rsidRDefault="0033742F" w:rsidP="00651E97">
      <w:pPr>
        <w:spacing w:before="0" w:after="0"/>
      </w:pPr>
      <w:r>
        <w:t>The</w:t>
      </w:r>
      <w:r w:rsidR="00D225C2">
        <w:t xml:space="preserve"> </w:t>
      </w:r>
      <w:r w:rsidR="00651E97" w:rsidDel="00E436D9">
        <w:t xml:space="preserve">higher education sector will need to continue to innovate </w:t>
      </w:r>
      <w:r w:rsidR="0045489A">
        <w:t xml:space="preserve">in order </w:t>
      </w:r>
      <w:r w:rsidR="00CC0FE9">
        <w:t>to</w:t>
      </w:r>
      <w:r w:rsidR="00651E97" w:rsidDel="00E436D9">
        <w:t xml:space="preserve"> respond to emerging needs and challenges brought about by globalisation, international mobility, technological advancements, demographic shifts, the changing nature of work, continued massification of higher education</w:t>
      </w:r>
      <w:r w:rsidR="009D5189">
        <w:t>,</w:t>
      </w:r>
      <w:r w:rsidR="00651E97" w:rsidDel="00E436D9">
        <w:t xml:space="preserve"> and increasing competition in international education.  </w:t>
      </w:r>
    </w:p>
    <w:p w:rsidR="00787707" w:rsidRDefault="00787707" w:rsidP="00651E97">
      <w:pPr>
        <w:spacing w:before="0" w:after="0"/>
      </w:pPr>
    </w:p>
    <w:p w:rsidR="0048504F" w:rsidRDefault="0033742F" w:rsidP="0048504F">
      <w:pPr>
        <w:spacing w:before="0" w:after="0"/>
      </w:pPr>
      <w:r>
        <w:t xml:space="preserve">Australia </w:t>
      </w:r>
      <w:r w:rsidR="007F5CA0">
        <w:t xml:space="preserve">is </w:t>
      </w:r>
      <w:r w:rsidR="00787707">
        <w:t xml:space="preserve">positioned </w:t>
      </w:r>
      <w:r w:rsidR="007F5CA0">
        <w:t xml:space="preserve">well </w:t>
      </w:r>
      <w:r>
        <w:t>by a</w:t>
      </w:r>
      <w:r w:rsidR="00787707">
        <w:t xml:space="preserve"> strong</w:t>
      </w:r>
      <w:r>
        <w:t xml:space="preserve"> and dynamic</w:t>
      </w:r>
      <w:r w:rsidR="00787707">
        <w:t xml:space="preserve"> higher education system. The PCS, as part of the Threshold Standards, ha</w:t>
      </w:r>
      <w:r w:rsidR="009D5189">
        <w:t>ve</w:t>
      </w:r>
      <w:r w:rsidR="00787707">
        <w:t xml:space="preserve"> help</w:t>
      </w:r>
      <w:r w:rsidR="00CC0FE9">
        <w:t>ed</w:t>
      </w:r>
      <w:r w:rsidR="00787707">
        <w:t xml:space="preserve"> </w:t>
      </w:r>
      <w:r>
        <w:t>set</w:t>
      </w:r>
      <w:r w:rsidR="00787707">
        <w:t xml:space="preserve"> requirements for the quality higher education system </w:t>
      </w:r>
      <w:r w:rsidR="009D5189">
        <w:t>that exists</w:t>
      </w:r>
      <w:r w:rsidR="00787707">
        <w:t xml:space="preserve"> today. Australia could continue to operate </w:t>
      </w:r>
      <w:r w:rsidR="006A0067">
        <w:t xml:space="preserve">under the existing PCS. </w:t>
      </w:r>
      <w:r>
        <w:t xml:space="preserve">However, </w:t>
      </w:r>
      <w:r w:rsidR="006A0067">
        <w:t>the secto</w:t>
      </w:r>
      <w:r w:rsidR="00FC2F61">
        <w:t xml:space="preserve">r is not </w:t>
      </w:r>
      <w:r w:rsidR="00FC2F61" w:rsidRPr="00A27386">
        <w:t>static</w:t>
      </w:r>
      <w:r w:rsidR="00FC2F61">
        <w:t xml:space="preserve"> and nor</w:t>
      </w:r>
      <w:r w:rsidR="00B71FE9">
        <w:t xml:space="preserve"> therefore</w:t>
      </w:r>
      <w:r w:rsidR="00FC2F61">
        <w:t xml:space="preserve"> should</w:t>
      </w:r>
      <w:r w:rsidR="003A2D79">
        <w:t xml:space="preserve"> be</w:t>
      </w:r>
      <w:r w:rsidR="00FC2F61">
        <w:t xml:space="preserve"> </w:t>
      </w:r>
      <w:r w:rsidR="006A0067">
        <w:t xml:space="preserve">its PCS. It is </w:t>
      </w:r>
      <w:r>
        <w:t xml:space="preserve">important </w:t>
      </w:r>
      <w:r w:rsidR="009650E6">
        <w:t>that Australia consider</w:t>
      </w:r>
      <w:r w:rsidR="006A0067">
        <w:t xml:space="preserve"> how it wants the PCS to </w:t>
      </w:r>
      <w:r>
        <w:t xml:space="preserve">support a </w:t>
      </w:r>
      <w:r w:rsidR="006A0067">
        <w:t xml:space="preserve">quality higher education sector </w:t>
      </w:r>
      <w:r w:rsidR="00CC0FE9">
        <w:t>for the future</w:t>
      </w:r>
      <w:r w:rsidR="00FC2F61">
        <w:t xml:space="preserve">. </w:t>
      </w:r>
      <w:r w:rsidR="00B71FE9">
        <w:t>This review provides an opportunity</w:t>
      </w:r>
      <w:r w:rsidR="006A0067">
        <w:t xml:space="preserve"> to reflect </w:t>
      </w:r>
      <w:r w:rsidR="006A0067" w:rsidRPr="00924677">
        <w:t xml:space="preserve">on </w:t>
      </w:r>
      <w:r w:rsidR="003A2D79" w:rsidRPr="00924677">
        <w:t>the</w:t>
      </w:r>
      <w:r w:rsidR="00924677" w:rsidRPr="00924677">
        <w:t xml:space="preserve"> current usage</w:t>
      </w:r>
      <w:r w:rsidR="003A2D79" w:rsidRPr="00924677">
        <w:t xml:space="preserve"> of the PCS </w:t>
      </w:r>
      <w:r w:rsidR="006A0067" w:rsidRPr="00924677">
        <w:t>and pivot</w:t>
      </w:r>
      <w:r>
        <w:t>, if required,</w:t>
      </w:r>
      <w:r w:rsidR="006A0067">
        <w:t xml:space="preserve"> to </w:t>
      </w:r>
      <w:r w:rsidR="0048504F">
        <w:t xml:space="preserve">best capitalise on </w:t>
      </w:r>
      <w:r>
        <w:t>the strengths of an evolving sector</w:t>
      </w:r>
      <w:r w:rsidR="0048504F">
        <w:t xml:space="preserve">. </w:t>
      </w:r>
      <w:r w:rsidR="00FC2F61">
        <w:t>As such, t</w:t>
      </w:r>
      <w:r w:rsidR="00651E97" w:rsidRPr="00CD3344">
        <w:t>his is a</w:t>
      </w:r>
      <w:r w:rsidR="00651E97">
        <w:t xml:space="preserve">n opportunity to consider the </w:t>
      </w:r>
      <w:r w:rsidR="00651E97" w:rsidRPr="00CD3344">
        <w:t xml:space="preserve">PCS through a </w:t>
      </w:r>
      <w:r w:rsidR="00651E97">
        <w:t>contemporary and critical</w:t>
      </w:r>
      <w:r w:rsidR="00651E97" w:rsidRPr="00CD3344">
        <w:t xml:space="preserve"> lens</w:t>
      </w:r>
      <w:r w:rsidR="00651E97">
        <w:t xml:space="preserve">, to ensure they </w:t>
      </w:r>
      <w:r w:rsidR="0048504F">
        <w:t xml:space="preserve">are fit for purpose </w:t>
      </w:r>
      <w:r w:rsidR="00651E97">
        <w:t>against Australia’s changing higher education landscape</w:t>
      </w:r>
      <w:r w:rsidR="00FC2F61">
        <w:t>,</w:t>
      </w:r>
      <w:r w:rsidR="00651E97">
        <w:t xml:space="preserve"> </w:t>
      </w:r>
      <w:r w:rsidR="00534937">
        <w:t>comparable to international benchmarks</w:t>
      </w:r>
      <w:r w:rsidR="009D5189">
        <w:t>,</w:t>
      </w:r>
      <w:r w:rsidR="00534937">
        <w:t xml:space="preserve"> and </w:t>
      </w:r>
      <w:r w:rsidR="0048504F">
        <w:t>accommodating to</w:t>
      </w:r>
      <w:r w:rsidR="00534937">
        <w:t xml:space="preserve"> innovati</w:t>
      </w:r>
      <w:r w:rsidR="00D77119">
        <w:t>ve</w:t>
      </w:r>
      <w:r w:rsidR="00534937">
        <w:t xml:space="preserve"> and changing practice. </w:t>
      </w:r>
    </w:p>
    <w:p w:rsidR="0048504F" w:rsidRDefault="0048504F" w:rsidP="0048504F">
      <w:pPr>
        <w:spacing w:before="0" w:after="0"/>
      </w:pPr>
    </w:p>
    <w:p w:rsidR="00504F8E" w:rsidRDefault="00651E97" w:rsidP="0048504F">
      <w:pPr>
        <w:spacing w:before="0" w:after="0"/>
      </w:pPr>
      <w:r>
        <w:t xml:space="preserve">There are some big considerations to explore, </w:t>
      </w:r>
      <w:r w:rsidR="00D77119">
        <w:t>some of which are set out in this discussion paper. Th</w:t>
      </w:r>
      <w:r w:rsidR="00CC0FE9">
        <w:t>ese</w:t>
      </w:r>
      <w:r w:rsidR="00D77119">
        <w:t xml:space="preserve"> </w:t>
      </w:r>
      <w:r w:rsidR="00355FE4">
        <w:t>include</w:t>
      </w:r>
      <w:r>
        <w:t xml:space="preserve"> the way in which Australia continues to define its higher education providers and universities, signals differentiation across the sector, and optimises the PCS to best meet student, industry, regulator and government need. </w:t>
      </w:r>
    </w:p>
    <w:p w:rsidR="00504F8E" w:rsidRDefault="00504F8E" w:rsidP="00E436D9">
      <w:pPr>
        <w:spacing w:before="0" w:after="0"/>
      </w:pPr>
    </w:p>
    <w:p w:rsidR="00D14E1B" w:rsidRPr="00034582" w:rsidRDefault="00534937" w:rsidP="00736E57">
      <w:pPr>
        <w:spacing w:before="0" w:after="0"/>
      </w:pPr>
      <w:r>
        <w:t xml:space="preserve">It is important to note that </w:t>
      </w:r>
      <w:r w:rsidRPr="00A27386">
        <w:t>this review</w:t>
      </w:r>
      <w:r>
        <w:t xml:space="preserve"> will not seek to reframe the </w:t>
      </w:r>
      <w:r w:rsidR="00504F8E">
        <w:t>Australian tertiary system</w:t>
      </w:r>
      <w:r w:rsidR="003A2D79">
        <w:t xml:space="preserve"> and </w:t>
      </w:r>
      <w:r w:rsidR="00924677">
        <w:t xml:space="preserve">its </w:t>
      </w:r>
      <w:r w:rsidR="003A2D79">
        <w:t>broader policy and regulation</w:t>
      </w:r>
      <w:r w:rsidR="00504F8E">
        <w:t xml:space="preserve">. Rather, </w:t>
      </w:r>
      <w:r>
        <w:t xml:space="preserve">it will examine a </w:t>
      </w:r>
      <w:r w:rsidR="00504F8E">
        <w:t>discrete and important part of the Threshold</w:t>
      </w:r>
      <w:r w:rsidR="007978C0">
        <w:t> </w:t>
      </w:r>
      <w:r w:rsidR="00504F8E">
        <w:t>Standards</w:t>
      </w:r>
      <w:r>
        <w:t xml:space="preserve"> – Part B – to ensure that the PCS remain an effective framework for higher education delivery</w:t>
      </w:r>
      <w:r w:rsidRPr="00EA70E6" w:rsidDel="00504F8E">
        <w:t xml:space="preserve"> </w:t>
      </w:r>
      <w:r>
        <w:t>in Australia</w:t>
      </w:r>
      <w:r w:rsidR="00355FE4">
        <w:t>.</w:t>
      </w:r>
      <w:r w:rsidR="00D77119" w:rsidRPr="00993A3D">
        <w:rPr>
          <w:rStyle w:val="FootnoteReference"/>
          <w:rFonts w:cstheme="minorHAnsi"/>
        </w:rPr>
        <w:footnoteReference w:id="3"/>
      </w:r>
      <w:r>
        <w:t xml:space="preserve"> </w:t>
      </w:r>
      <w:r w:rsidR="00034582">
        <w:t xml:space="preserve">Importantly, </w:t>
      </w:r>
      <w:r w:rsidR="00D14E1B">
        <w:t xml:space="preserve">Part B also sets out criteria for providers seeking authority from TEQSA for self-accreditation of </w:t>
      </w:r>
      <w:r w:rsidR="00D14E1B" w:rsidRPr="00993A3D">
        <w:t>some or all of their courses of study. Th</w:t>
      </w:r>
      <w:r w:rsidR="00B71FE9" w:rsidRPr="00993A3D">
        <w:t>ese</w:t>
      </w:r>
      <w:r w:rsidR="00D14E1B" w:rsidRPr="00736E57">
        <w:t xml:space="preserve"> links to the PCS will be examined as part of this review. </w:t>
      </w:r>
    </w:p>
    <w:p w:rsidR="00651E97" w:rsidRDefault="00651E97" w:rsidP="00651E97">
      <w:pPr>
        <w:spacing w:before="0" w:after="0"/>
      </w:pPr>
    </w:p>
    <w:p w:rsidR="007F5CA0" w:rsidRDefault="00D14E1B" w:rsidP="004C2E45">
      <w:pPr>
        <w:spacing w:before="0" w:after="0"/>
      </w:pPr>
      <w:r>
        <w:t xml:space="preserve">This </w:t>
      </w:r>
      <w:r w:rsidR="00651E97" w:rsidRPr="003678AF">
        <w:t>PCS review is being conducted alongside a</w:t>
      </w:r>
      <w:r w:rsidR="00355FE4">
        <w:t xml:space="preserve"> </w:t>
      </w:r>
      <w:r w:rsidR="00651E97" w:rsidRPr="003678AF">
        <w:t>review of the Australian Qualifications Framework</w:t>
      </w:r>
      <w:r w:rsidR="00034582">
        <w:t> </w:t>
      </w:r>
      <w:r w:rsidR="00651E97" w:rsidRPr="003678AF">
        <w:t>(AQF)</w:t>
      </w:r>
      <w:r w:rsidR="006B59C9">
        <w:t xml:space="preserve">, led by </w:t>
      </w:r>
      <w:r w:rsidR="006B59C9" w:rsidRPr="006B59C9">
        <w:t>Professor Peter Noonan</w:t>
      </w:r>
      <w:r w:rsidR="00355FE4">
        <w:t>.</w:t>
      </w:r>
      <w:r w:rsidR="00D7060D">
        <w:rPr>
          <w:rStyle w:val="FootnoteReference"/>
        </w:rPr>
        <w:footnoteReference w:id="4"/>
      </w:r>
      <w:r w:rsidR="00651E97" w:rsidRPr="003678AF">
        <w:t xml:space="preserve"> The AQF i</w:t>
      </w:r>
      <w:r w:rsidR="00651E97">
        <w:t xml:space="preserve">dentifies criteria for </w:t>
      </w:r>
      <w:r w:rsidR="00CC0FE9">
        <w:t xml:space="preserve">senior secondary </w:t>
      </w:r>
      <w:r w:rsidR="00651E97">
        <w:t>school, vocational education and t</w:t>
      </w:r>
      <w:r w:rsidR="00651E97" w:rsidRPr="003678AF">
        <w:t>raining (VET) and higher education qualifications across a nationally recognised structure</w:t>
      </w:r>
      <w:r w:rsidR="00B71FE9">
        <w:t xml:space="preserve"> comprising ten levels</w:t>
      </w:r>
      <w:r w:rsidR="00E436D9">
        <w:t>.</w:t>
      </w:r>
      <w:r w:rsidR="00651E97" w:rsidRPr="003678AF">
        <w:t xml:space="preserve"> </w:t>
      </w:r>
      <w:r w:rsidR="00C63813">
        <w:t xml:space="preserve">The AQF review aims to position the AQF for the future as a flexible and responsive instrument describing Australian </w:t>
      </w:r>
      <w:r w:rsidR="00C63813" w:rsidRPr="00C63813">
        <w:t xml:space="preserve">qualifications </w:t>
      </w:r>
      <w:r w:rsidR="00C63813" w:rsidRPr="007A0D41">
        <w:t>and reflecting international best practice</w:t>
      </w:r>
      <w:r w:rsidR="00C63813">
        <w:t>. Th</w:t>
      </w:r>
      <w:r w:rsidR="00B71FE9">
        <w:t>at</w:t>
      </w:r>
      <w:r w:rsidR="00C63813">
        <w:t xml:space="preserve"> review will consider how to incorporate new and emerging qualification types such as micro-credentials into the AQF, whether and how </w:t>
      </w:r>
      <w:r w:rsidR="00152866">
        <w:t xml:space="preserve">to incorporate ‘future’ skills </w:t>
      </w:r>
      <w:r w:rsidR="00C63813">
        <w:t xml:space="preserve">into the AQF, and how to better facilitate pathways for students between VET and higher education. </w:t>
      </w:r>
    </w:p>
    <w:p w:rsidR="007F5CA0" w:rsidRDefault="007F5CA0" w:rsidP="004C2E45">
      <w:pPr>
        <w:spacing w:before="0" w:after="0"/>
      </w:pPr>
    </w:p>
    <w:p w:rsidR="004C2E45" w:rsidRDefault="00830954" w:rsidP="004C2E45">
      <w:pPr>
        <w:spacing w:before="0" w:after="0"/>
      </w:pPr>
      <w:r>
        <w:t xml:space="preserve">With </w:t>
      </w:r>
      <w:r w:rsidR="00034582">
        <w:t xml:space="preserve">higher education </w:t>
      </w:r>
      <w:r>
        <w:t xml:space="preserve">providers under the PCS </w:t>
      </w:r>
      <w:r w:rsidR="0038053E">
        <w:t>offer</w:t>
      </w:r>
      <w:r>
        <w:t>ing</w:t>
      </w:r>
      <w:r w:rsidR="0038053E">
        <w:t xml:space="preserve"> q</w:t>
      </w:r>
      <w:r w:rsidR="0038053E" w:rsidRPr="006B59C9">
        <w:t xml:space="preserve">ualifications from Level 5 (Diploma) </w:t>
      </w:r>
      <w:r>
        <w:t xml:space="preserve">through </w:t>
      </w:r>
      <w:r w:rsidR="0038053E" w:rsidRPr="006B59C9">
        <w:t>to Level 10 (Doctoral Degree)</w:t>
      </w:r>
      <w:r>
        <w:t xml:space="preserve">, </w:t>
      </w:r>
      <w:r w:rsidR="00034582">
        <w:t xml:space="preserve">there is appreciation of provider interests </w:t>
      </w:r>
      <w:r w:rsidR="00DD6C0C">
        <w:t xml:space="preserve">and potential synergies between </w:t>
      </w:r>
      <w:r w:rsidR="007F5CA0">
        <w:t>the PCS and AQF</w:t>
      </w:r>
      <w:r w:rsidR="00DD6C0C">
        <w:t xml:space="preserve"> reviews. The lead reviewers are therefore conscious of ensuring coordination and alignment of the </w:t>
      </w:r>
      <w:r w:rsidR="00B71FE9">
        <w:t xml:space="preserve">two </w:t>
      </w:r>
      <w:r w:rsidR="00DD6C0C">
        <w:t xml:space="preserve">reviews. </w:t>
      </w:r>
    </w:p>
    <w:p w:rsidR="00847DCF" w:rsidRDefault="00847DCF" w:rsidP="004C2E45">
      <w:pPr>
        <w:spacing w:before="0" w:after="0"/>
      </w:pPr>
    </w:p>
    <w:p w:rsidR="00651E97" w:rsidRDefault="00651E97" w:rsidP="004C2E45">
      <w:pPr>
        <w:spacing w:before="0" w:after="0"/>
      </w:pPr>
      <w:r w:rsidRPr="004C2E45">
        <w:t xml:space="preserve">The final </w:t>
      </w:r>
      <w:r w:rsidR="00DD6C0C">
        <w:t xml:space="preserve">PCS </w:t>
      </w:r>
      <w:r w:rsidRPr="004C2E45">
        <w:t xml:space="preserve">review report is expected to be submitted to the Australian </w:t>
      </w:r>
      <w:r w:rsidRPr="00CD3344">
        <w:t xml:space="preserve">Government </w:t>
      </w:r>
      <w:r>
        <w:t>in the second half of 2019.</w:t>
      </w:r>
    </w:p>
    <w:p w:rsidR="00651E97" w:rsidRDefault="00651E97" w:rsidP="00651E97">
      <w:pPr>
        <w:spacing w:before="0" w:after="0"/>
      </w:pPr>
    </w:p>
    <w:p w:rsidR="00651E97" w:rsidRPr="00BB7151" w:rsidRDefault="00651E97" w:rsidP="00651E97">
      <w:pPr>
        <w:pStyle w:val="Heading2"/>
        <w:spacing w:before="0" w:after="0"/>
      </w:pPr>
      <w:bookmarkStart w:id="5" w:name="_Toc531606765"/>
      <w:r w:rsidRPr="00BB7151">
        <w:t>Terms of Reference</w:t>
      </w:r>
      <w:bookmarkEnd w:id="5"/>
    </w:p>
    <w:p w:rsidR="00651E97" w:rsidRDefault="00651E97" w:rsidP="00651E97">
      <w:r>
        <w:t>The review of the PCS will:</w:t>
      </w:r>
    </w:p>
    <w:p w:rsidR="00651E97" w:rsidRDefault="00651E97" w:rsidP="00651E97">
      <w:pPr>
        <w:pStyle w:val="ListParagraph"/>
        <w:numPr>
          <w:ilvl w:val="0"/>
          <w:numId w:val="14"/>
        </w:numPr>
        <w:spacing w:before="0" w:after="200" w:line="276" w:lineRule="auto"/>
      </w:pPr>
      <w:r>
        <w:t>Assess the effectiveness of the current PCS as a framework for higher education delivery</w:t>
      </w:r>
    </w:p>
    <w:p w:rsidR="00651E97" w:rsidRDefault="00651E97" w:rsidP="00651E97">
      <w:pPr>
        <w:pStyle w:val="ListParagraph"/>
        <w:numPr>
          <w:ilvl w:val="0"/>
          <w:numId w:val="14"/>
        </w:numPr>
        <w:spacing w:before="0" w:after="200" w:line="276" w:lineRule="auto"/>
      </w:pPr>
      <w:r>
        <w:t xml:space="preserve">Identify any technical or other relatively minor changes that should be made in the short-term to improve the operation or effectiveness of </w:t>
      </w:r>
      <w:r w:rsidR="00993A3D">
        <w:t xml:space="preserve">the </w:t>
      </w:r>
      <w:r>
        <w:t>current PCS</w:t>
      </w:r>
    </w:p>
    <w:p w:rsidR="00651E97" w:rsidRDefault="00651E97" w:rsidP="00651E97">
      <w:pPr>
        <w:pStyle w:val="ListParagraph"/>
        <w:numPr>
          <w:ilvl w:val="0"/>
          <w:numId w:val="14"/>
        </w:numPr>
        <w:spacing w:before="0" w:after="200" w:line="276" w:lineRule="auto"/>
      </w:pPr>
      <w:r>
        <w:t>Analyse a range of possible different systems for the categorisation of higher education institutions, drawing on international experience and recent critical analysis including:</w:t>
      </w:r>
    </w:p>
    <w:p w:rsidR="00651E97" w:rsidRDefault="009C14AF" w:rsidP="00651E97">
      <w:pPr>
        <w:pStyle w:val="ListParagraph"/>
        <w:numPr>
          <w:ilvl w:val="1"/>
          <w:numId w:val="14"/>
        </w:numPr>
        <w:spacing w:before="0" w:after="200" w:line="276" w:lineRule="auto"/>
      </w:pPr>
      <w:r>
        <w:t>t</w:t>
      </w:r>
      <w:r w:rsidR="00651E97">
        <w:t>he key characteristics that are or would be relevant to defining the various categories of provider within each categorisation framework canvassed</w:t>
      </w:r>
    </w:p>
    <w:p w:rsidR="00651E97" w:rsidRDefault="009C14AF" w:rsidP="00651E97">
      <w:pPr>
        <w:pStyle w:val="ListParagraph"/>
        <w:numPr>
          <w:ilvl w:val="1"/>
          <w:numId w:val="14"/>
        </w:numPr>
        <w:spacing w:before="0" w:after="200" w:line="276" w:lineRule="auto"/>
      </w:pPr>
      <w:r>
        <w:t>t</w:t>
      </w:r>
      <w:r w:rsidR="00651E97">
        <w:t>he benefits and drawbacks of each approach for students, for higher education providers, other tertiary education providers, regulators, governments and the broader economy</w:t>
      </w:r>
    </w:p>
    <w:p w:rsidR="00651E97" w:rsidRDefault="009C14AF" w:rsidP="00651E97">
      <w:pPr>
        <w:pStyle w:val="ListParagraph"/>
        <w:numPr>
          <w:ilvl w:val="1"/>
          <w:numId w:val="14"/>
        </w:numPr>
        <w:spacing w:before="0" w:after="200" w:line="276" w:lineRule="auto"/>
      </w:pPr>
      <w:r>
        <w:t>t</w:t>
      </w:r>
      <w:r w:rsidR="00651E97">
        <w:t>he impact of adopting different in</w:t>
      </w:r>
      <w:r w:rsidR="00B01A31">
        <w:t>s</w:t>
      </w:r>
      <w:r w:rsidR="00651E97">
        <w:t>t</w:t>
      </w:r>
      <w:r w:rsidR="00022896">
        <w:t xml:space="preserve">itutional </w:t>
      </w:r>
      <w:r w:rsidR="00651E97">
        <w:t>categories, for example:</w:t>
      </w:r>
    </w:p>
    <w:p w:rsidR="00651E97" w:rsidRDefault="00651E97" w:rsidP="001C0FFF">
      <w:pPr>
        <w:pStyle w:val="ListParagraph"/>
        <w:numPr>
          <w:ilvl w:val="2"/>
          <w:numId w:val="14"/>
        </w:numPr>
        <w:spacing w:before="0" w:after="200" w:line="276" w:lineRule="auto"/>
        <w:ind w:left="1560" w:hanging="284"/>
      </w:pPr>
      <w:r>
        <w:t>The potential for diversity of providers and student populations in each system</w:t>
      </w:r>
    </w:p>
    <w:p w:rsidR="00651E97" w:rsidRDefault="00651E97" w:rsidP="001C0FFF">
      <w:pPr>
        <w:pStyle w:val="ListParagraph"/>
        <w:numPr>
          <w:ilvl w:val="2"/>
          <w:numId w:val="14"/>
        </w:numPr>
        <w:spacing w:before="0" w:after="200" w:line="276" w:lineRule="auto"/>
        <w:ind w:left="1560" w:hanging="284"/>
      </w:pPr>
      <w:r>
        <w:t>Appropriate barriers to and facilitation of new provider entry</w:t>
      </w:r>
    </w:p>
    <w:p w:rsidR="00651E97" w:rsidRDefault="00651E97" w:rsidP="001C0FFF">
      <w:pPr>
        <w:pStyle w:val="ListParagraph"/>
        <w:numPr>
          <w:ilvl w:val="2"/>
          <w:numId w:val="14"/>
        </w:numPr>
        <w:spacing w:before="0" w:after="200" w:line="276" w:lineRule="auto"/>
        <w:ind w:left="1560" w:hanging="284"/>
      </w:pPr>
      <w:r>
        <w:t>Change management and transitional issues that would need to be taken into account in moving to a new approach</w:t>
      </w:r>
    </w:p>
    <w:p w:rsidR="00651E97" w:rsidRDefault="00651E97" w:rsidP="00651E97">
      <w:pPr>
        <w:pStyle w:val="ListParagraph"/>
        <w:numPr>
          <w:ilvl w:val="0"/>
          <w:numId w:val="14"/>
        </w:numPr>
        <w:spacing w:before="0" w:after="200" w:line="276" w:lineRule="auto"/>
      </w:pPr>
      <w:r>
        <w:t>Outline realistic and practical options that could be considered for adoption if a revised approach to categorising higher education providers in the Australian context were deemed to be warranted</w:t>
      </w:r>
    </w:p>
    <w:p w:rsidR="00651E97" w:rsidRDefault="00651E97" w:rsidP="00651E97">
      <w:pPr>
        <w:pStyle w:val="ListParagraph"/>
        <w:numPr>
          <w:ilvl w:val="0"/>
          <w:numId w:val="14"/>
        </w:numPr>
        <w:spacing w:before="0" w:after="200" w:line="276" w:lineRule="auto"/>
      </w:pPr>
      <w:r>
        <w:t>Make recommendations as to:</w:t>
      </w:r>
    </w:p>
    <w:p w:rsidR="00651E97" w:rsidRDefault="00651E97" w:rsidP="00651E97">
      <w:pPr>
        <w:pStyle w:val="ListParagraph"/>
        <w:numPr>
          <w:ilvl w:val="1"/>
          <w:numId w:val="14"/>
        </w:numPr>
        <w:spacing w:before="0" w:after="200" w:line="276" w:lineRule="auto"/>
      </w:pPr>
      <w:r>
        <w:t>the most appropriate categorisation system for Australian higher education delivery and</w:t>
      </w:r>
    </w:p>
    <w:p w:rsidR="00651E97" w:rsidRDefault="00651E97" w:rsidP="00651E97">
      <w:pPr>
        <w:pStyle w:val="ListParagraph"/>
        <w:numPr>
          <w:ilvl w:val="1"/>
          <w:numId w:val="14"/>
        </w:numPr>
        <w:spacing w:before="0" w:after="200" w:line="276" w:lineRule="auto"/>
      </w:pPr>
      <w:r>
        <w:t>criteria settings within each of the recommended provider categories.</w:t>
      </w:r>
    </w:p>
    <w:p w:rsidR="00651E97" w:rsidRDefault="00651E97" w:rsidP="00651E97">
      <w:r>
        <w:t xml:space="preserve">Stakeholders will be consulted as part of the review. </w:t>
      </w:r>
    </w:p>
    <w:p w:rsidR="007F5CA0" w:rsidRDefault="007F5CA0">
      <w:pPr>
        <w:spacing w:before="0" w:after="160"/>
        <w:rPr>
          <w:rFonts w:ascii="Calibri" w:eastAsiaTheme="majorEastAsia" w:hAnsi="Calibri" w:cstheme="majorBidi"/>
          <w:color w:val="2763AC"/>
          <w:sz w:val="52"/>
          <w:szCs w:val="32"/>
        </w:rPr>
      </w:pPr>
      <w:bookmarkStart w:id="6" w:name="_Toc527354296"/>
      <w:r>
        <w:br w:type="page"/>
      </w:r>
    </w:p>
    <w:p w:rsidR="00651E97" w:rsidRDefault="00651E97" w:rsidP="00651E97">
      <w:pPr>
        <w:pStyle w:val="Heading1"/>
        <w:spacing w:before="0" w:after="0"/>
      </w:pPr>
      <w:bookmarkStart w:id="7" w:name="_Toc531606766"/>
      <w:r>
        <w:lastRenderedPageBreak/>
        <w:t>Context</w:t>
      </w:r>
      <w:bookmarkEnd w:id="6"/>
      <w:bookmarkEnd w:id="7"/>
    </w:p>
    <w:p w:rsidR="00651E97" w:rsidRPr="00C24AE6" w:rsidRDefault="00651E97" w:rsidP="00651E97">
      <w:pPr>
        <w:pStyle w:val="Heading2"/>
        <w:spacing w:before="0" w:after="0"/>
      </w:pPr>
      <w:bookmarkStart w:id="8" w:name="_Toc527354297"/>
      <w:bookmarkStart w:id="9" w:name="_Toc531606767"/>
      <w:r w:rsidRPr="00C24AE6">
        <w:t>What are the PCS?</w:t>
      </w:r>
      <w:bookmarkEnd w:id="8"/>
      <w:bookmarkEnd w:id="9"/>
    </w:p>
    <w:p w:rsidR="00651E97" w:rsidRDefault="00651E97" w:rsidP="00651E97">
      <w:pPr>
        <w:pStyle w:val="Normal-AfterTableFigure"/>
        <w:spacing w:before="0" w:after="0"/>
      </w:pPr>
      <w:r w:rsidRPr="00CD3344">
        <w:t>The PCS are part of Australia’s national quality assurance framework</w:t>
      </w:r>
      <w:r>
        <w:t xml:space="preserve"> and are set out in </w:t>
      </w:r>
      <w:r w:rsidR="00CC0FE9">
        <w:br/>
      </w:r>
      <w:r w:rsidRPr="00CC0FE9">
        <w:rPr>
          <w:i/>
        </w:rPr>
        <w:t>Part B</w:t>
      </w:r>
      <w:r w:rsidR="00CC0FE9" w:rsidRPr="00CC0FE9">
        <w:rPr>
          <w:i/>
        </w:rPr>
        <w:t>:</w:t>
      </w:r>
      <w:r>
        <w:t xml:space="preserve"> </w:t>
      </w:r>
      <w:r w:rsidRPr="00E62569">
        <w:rPr>
          <w:i/>
        </w:rPr>
        <w:t>Criteria for Higher Education Providers</w:t>
      </w:r>
      <w:r>
        <w:t xml:space="preserve"> of the Threshold Standards. They classify the types of education providers that can be registered by the national higher education regulator TEQSA to deliver higher education in Australia</w:t>
      </w:r>
      <w:r w:rsidRPr="00CD3344">
        <w:t>.</w:t>
      </w:r>
      <w:r>
        <w:t xml:space="preserve"> </w:t>
      </w:r>
    </w:p>
    <w:p w:rsidR="00651E97" w:rsidRDefault="00651E97" w:rsidP="00651E97">
      <w:pPr>
        <w:spacing w:before="0" w:after="0"/>
      </w:pPr>
    </w:p>
    <w:p w:rsidR="00651E97" w:rsidRDefault="00651E97" w:rsidP="00651E97">
      <w:pPr>
        <w:pStyle w:val="Normal-AfterTableFigure"/>
        <w:spacing w:before="0" w:after="0"/>
      </w:pPr>
      <w:r>
        <w:t>The PCS reflect and formalise key elements of di</w:t>
      </w:r>
      <w:r w:rsidR="00AA7A1A">
        <w:t>fferentiation</w:t>
      </w:r>
      <w:r>
        <w:t xml:space="preserve"> in Australia’s higher education sector, particularly the distinctions between providers that may label themselves as a ‘</w:t>
      </w:r>
      <w:r w:rsidR="009D5189">
        <w:t>U</w:t>
      </w:r>
      <w:r>
        <w:t>niversity’ or non-university ‘</w:t>
      </w:r>
      <w:r w:rsidR="009D5189">
        <w:t>H</w:t>
      </w:r>
      <w:r>
        <w:t xml:space="preserve">igher </w:t>
      </w:r>
      <w:r w:rsidR="009D5189">
        <w:t>E</w:t>
      </w:r>
      <w:r>
        <w:t xml:space="preserve">ducation </w:t>
      </w:r>
      <w:r w:rsidR="009D5189">
        <w:t>P</w:t>
      </w:r>
      <w:r>
        <w:t>rovider’.</w:t>
      </w:r>
    </w:p>
    <w:p w:rsidR="00651E97" w:rsidRDefault="00651E97" w:rsidP="00651E97">
      <w:pPr>
        <w:pStyle w:val="Normal-AfterTableFigure"/>
        <w:spacing w:before="0" w:after="0"/>
      </w:pPr>
    </w:p>
    <w:p w:rsidR="00651E97" w:rsidRDefault="00651E97" w:rsidP="00651E97">
      <w:pPr>
        <w:pStyle w:val="Normal-AfterTableFigure"/>
        <w:spacing w:before="0" w:after="0"/>
      </w:pPr>
      <w:r>
        <w:t>All providers of higher education that gain registration by TEQSA through meeting the Threshold Standards become a ‘Higher Education Provider’. This title signals to the public that they are a provider of quality higher education in Australia. Those that meet additional criteria in research, scholarship and community engagement may seek approval from TEQSA to be registered in one of the university categories.</w:t>
      </w:r>
    </w:p>
    <w:p w:rsidR="00651E97" w:rsidRDefault="00651E97" w:rsidP="00651E97">
      <w:pPr>
        <w:pStyle w:val="Normal-AfterTableFigure"/>
        <w:spacing w:before="0" w:after="0"/>
      </w:pPr>
    </w:p>
    <w:p w:rsidR="00651E97" w:rsidRDefault="00651E97" w:rsidP="00651E97">
      <w:pPr>
        <w:pStyle w:val="Normal-AfterTableFigure"/>
        <w:spacing w:before="0" w:line="240" w:lineRule="auto"/>
      </w:pPr>
      <w:r>
        <w:t>There are six categories under the PCS, which define the expectations by provider type.</w:t>
      </w:r>
    </w:p>
    <w:tbl>
      <w:tblPr>
        <w:tblStyle w:val="TableGrid"/>
        <w:tblW w:w="0" w:type="auto"/>
        <w:tblLook w:val="04A0" w:firstRow="1" w:lastRow="0" w:firstColumn="1" w:lastColumn="0" w:noHBand="0" w:noVBand="1"/>
        <w:tblCaption w:val="Categories of the Higher Education Provider Category Standards with descriptions. "/>
        <w:tblDescription w:val="- Higher Education Provider: Must be an institution (Australian or overseas) offering at least one accredited higher education qualification course in Australia. These institutions are generally not self-accrediting and do not need to be engaged in research within their fields of teaching. They can apply for authority to self-accredit some or all of their courses. &#10;- Australian University: Must meet the requirements of the 'Higher Education Provider' category, be self-accrediting and deliver undergraduate and postgraduate courses of study that meet the Higher Education Standards Framework across a range of broad fields of study, including Masters Degrees (Research) and Doctoral Degrees (Research) in at least three of the broad fields of study it offers. &#10;- Australian University College: A provisional category for institutions with realistic plans to meet the criteria for an 'Australian University' or 'Australian University of Specialisation' within five years. &#10;- Australian University of Specialisation: Must fulfil the same requirements as an 'Australian University', but are only required to offer qualifications and conduct research within one or two broad fields. &#10;- Overseas University: Must be recognised as a univeristy by its home country and meet criteria equivalent to the 'Australian University' category. &#10;- Overseas University of Specialisation: Must be recognised as a university by its home country and meet criteria equivalent to the 'Australian University of Specialisation' category. &#10;"/>
      </w:tblPr>
      <w:tblGrid>
        <w:gridCol w:w="2263"/>
        <w:gridCol w:w="6797"/>
      </w:tblGrid>
      <w:tr w:rsidR="00651E97" w:rsidTr="004C2E45">
        <w:trPr>
          <w:cnfStyle w:val="100000000000" w:firstRow="1" w:lastRow="0" w:firstColumn="0" w:lastColumn="0" w:oddVBand="0" w:evenVBand="0" w:oddHBand="0" w:evenHBand="0" w:firstRowFirstColumn="0" w:firstRowLastColumn="0" w:lastRowFirstColumn="0" w:lastRowLastColumn="0"/>
          <w:trHeight w:val="430"/>
        </w:trPr>
        <w:tc>
          <w:tcPr>
            <w:tcW w:w="2263" w:type="dxa"/>
          </w:tcPr>
          <w:p w:rsidR="00651E97" w:rsidRDefault="00651E97" w:rsidP="004C2E45">
            <w:pPr>
              <w:spacing w:before="0" w:after="0"/>
            </w:pPr>
            <w:r>
              <w:t>Provider category</w:t>
            </w:r>
          </w:p>
        </w:tc>
        <w:tc>
          <w:tcPr>
            <w:tcW w:w="6797" w:type="dxa"/>
          </w:tcPr>
          <w:p w:rsidR="00651E97" w:rsidRDefault="00651E97" w:rsidP="004C2E45">
            <w:pPr>
              <w:spacing w:before="0" w:after="0"/>
            </w:pPr>
            <w:r>
              <w:t>Criteria overview</w:t>
            </w:r>
          </w:p>
        </w:tc>
      </w:tr>
      <w:tr w:rsidR="00651E97" w:rsidTr="004C2E45">
        <w:tc>
          <w:tcPr>
            <w:tcW w:w="2263" w:type="dxa"/>
          </w:tcPr>
          <w:p w:rsidR="00651E97" w:rsidRPr="005C1600" w:rsidRDefault="00651E97" w:rsidP="004C2E45">
            <w:pPr>
              <w:spacing w:before="0" w:after="0"/>
              <w:rPr>
                <w:b/>
              </w:rPr>
            </w:pPr>
            <w:r w:rsidRPr="005C1600">
              <w:rPr>
                <w:b/>
              </w:rPr>
              <w:t>Higher Education Provider</w:t>
            </w:r>
          </w:p>
        </w:tc>
        <w:tc>
          <w:tcPr>
            <w:tcW w:w="6797" w:type="dxa"/>
          </w:tcPr>
          <w:p w:rsidR="00651E97" w:rsidRDefault="00651E97" w:rsidP="006418A2">
            <w:pPr>
              <w:spacing w:before="80" w:after="80"/>
            </w:pPr>
            <w:r>
              <w:t xml:space="preserve">Must be an </w:t>
            </w:r>
            <w:r w:rsidRPr="00CD3344">
              <w:t xml:space="preserve">institution (Australian or overseas) offering at least one accredited higher education </w:t>
            </w:r>
            <w:r>
              <w:t>qualification</w:t>
            </w:r>
            <w:r w:rsidRPr="00CD3344">
              <w:t xml:space="preserve"> </w:t>
            </w:r>
            <w:r>
              <w:t>course</w:t>
            </w:r>
            <w:r w:rsidRPr="00CD3344">
              <w:t xml:space="preserve"> in Australia. These inst</w:t>
            </w:r>
            <w:r>
              <w:t>itutions are generally not self</w:t>
            </w:r>
            <w:r>
              <w:noBreakHyphen/>
            </w:r>
            <w:r w:rsidRPr="00CD3344">
              <w:t>accrediting and do not need to be engaged in research w</w:t>
            </w:r>
            <w:r>
              <w:t>ithin their fields of teaching. They can apply for authority to self-accredit some or all of their courses.</w:t>
            </w:r>
          </w:p>
        </w:tc>
      </w:tr>
      <w:tr w:rsidR="00651E97" w:rsidTr="006418A2">
        <w:tc>
          <w:tcPr>
            <w:tcW w:w="2263" w:type="dxa"/>
            <w:shd w:val="clear" w:color="auto" w:fill="DEEAF6" w:themeFill="accent1" w:themeFillTint="33"/>
          </w:tcPr>
          <w:p w:rsidR="00651E97" w:rsidRPr="005C1600" w:rsidRDefault="00651E97" w:rsidP="004C2E45">
            <w:pPr>
              <w:spacing w:before="0" w:after="0"/>
              <w:rPr>
                <w:b/>
              </w:rPr>
            </w:pPr>
            <w:r w:rsidRPr="005C1600">
              <w:rPr>
                <w:b/>
              </w:rPr>
              <w:t>Australian University</w:t>
            </w:r>
          </w:p>
        </w:tc>
        <w:tc>
          <w:tcPr>
            <w:tcW w:w="6797" w:type="dxa"/>
            <w:shd w:val="clear" w:color="auto" w:fill="DEEAF6" w:themeFill="accent1" w:themeFillTint="33"/>
          </w:tcPr>
          <w:p w:rsidR="00651E97" w:rsidRDefault="00651E97" w:rsidP="006418A2">
            <w:pPr>
              <w:spacing w:before="80" w:after="80"/>
            </w:pPr>
            <w:r>
              <w:t>Must meet the requirements of the ‘Higher Education Provider’ category, be self</w:t>
            </w:r>
            <w:r>
              <w:noBreakHyphen/>
              <w:t>accrediting and deliver</w:t>
            </w:r>
            <w:r w:rsidRPr="0029459C">
              <w:t xml:space="preserve"> undergraduate and postgraduate courses of study that meet the Higher Education Standards Framework across a</w:t>
            </w:r>
            <w:r>
              <w:t xml:space="preserve"> range of broad fields of study, </w:t>
            </w:r>
            <w:r w:rsidRPr="0029459C">
              <w:t>including Masters Degrees (Research) and Doctoral Degrees (Research) in at least three of the b</w:t>
            </w:r>
            <w:r>
              <w:t>road fields of study it offers.</w:t>
            </w:r>
          </w:p>
        </w:tc>
      </w:tr>
      <w:tr w:rsidR="00651E97" w:rsidTr="004C2E45">
        <w:tc>
          <w:tcPr>
            <w:tcW w:w="2263" w:type="dxa"/>
          </w:tcPr>
          <w:p w:rsidR="00651E97" w:rsidRPr="005C1600" w:rsidRDefault="00651E97" w:rsidP="004C2E45">
            <w:pPr>
              <w:spacing w:before="0" w:after="0"/>
              <w:rPr>
                <w:b/>
              </w:rPr>
            </w:pPr>
            <w:r w:rsidRPr="005C1600">
              <w:rPr>
                <w:b/>
              </w:rPr>
              <w:t>Australian University College</w:t>
            </w:r>
          </w:p>
        </w:tc>
        <w:tc>
          <w:tcPr>
            <w:tcW w:w="6797" w:type="dxa"/>
          </w:tcPr>
          <w:p w:rsidR="00651E97" w:rsidRDefault="00651E97" w:rsidP="006418A2">
            <w:pPr>
              <w:spacing w:before="80" w:after="80"/>
            </w:pPr>
            <w:r>
              <w:t>A</w:t>
            </w:r>
            <w:r w:rsidRPr="00CD3344">
              <w:t xml:space="preserve"> provisional category for institutions with realistic p</w:t>
            </w:r>
            <w:r>
              <w:t>lans to meet the criteria for an</w:t>
            </w:r>
            <w:r w:rsidRPr="00CD3344">
              <w:t xml:space="preserve"> ‘Australian University’ or ‘Australian University of Specialisation’ within five years.</w:t>
            </w:r>
          </w:p>
        </w:tc>
      </w:tr>
      <w:tr w:rsidR="00651E97" w:rsidTr="006418A2">
        <w:tc>
          <w:tcPr>
            <w:tcW w:w="2263" w:type="dxa"/>
            <w:shd w:val="clear" w:color="auto" w:fill="DEEAF6" w:themeFill="accent1" w:themeFillTint="33"/>
          </w:tcPr>
          <w:p w:rsidR="00651E97" w:rsidRPr="005C1600" w:rsidRDefault="00651E97" w:rsidP="004C2E45">
            <w:pPr>
              <w:spacing w:before="0" w:after="0"/>
              <w:rPr>
                <w:b/>
              </w:rPr>
            </w:pPr>
            <w:r w:rsidRPr="005C1600">
              <w:rPr>
                <w:b/>
              </w:rPr>
              <w:t>Australian University of Specialisation</w:t>
            </w:r>
          </w:p>
        </w:tc>
        <w:tc>
          <w:tcPr>
            <w:tcW w:w="6797" w:type="dxa"/>
            <w:shd w:val="clear" w:color="auto" w:fill="DEEAF6" w:themeFill="accent1" w:themeFillTint="33"/>
          </w:tcPr>
          <w:p w:rsidR="00651E97" w:rsidRDefault="00651E97" w:rsidP="006418A2">
            <w:pPr>
              <w:spacing w:before="80" w:after="80"/>
            </w:pPr>
            <w:r>
              <w:t>M</w:t>
            </w:r>
            <w:r w:rsidRPr="00CD3344">
              <w:t>ust fulfil the same requirements as</w:t>
            </w:r>
            <w:r>
              <w:t xml:space="preserve"> an ‘Australian University’</w:t>
            </w:r>
            <w:r w:rsidRPr="00CD3344">
              <w:t xml:space="preserve">, but </w:t>
            </w:r>
            <w:r w:rsidR="009D5189">
              <w:t xml:space="preserve">are </w:t>
            </w:r>
            <w:r w:rsidRPr="00CD3344">
              <w:t xml:space="preserve">only </w:t>
            </w:r>
            <w:r>
              <w:t>required</w:t>
            </w:r>
            <w:r w:rsidRPr="00CD3344">
              <w:t xml:space="preserve"> to offer </w:t>
            </w:r>
            <w:r>
              <w:t>qualifications</w:t>
            </w:r>
            <w:r w:rsidRPr="00CD3344">
              <w:t xml:space="preserve"> and conduct research within one or two broad fields.</w:t>
            </w:r>
          </w:p>
        </w:tc>
      </w:tr>
      <w:tr w:rsidR="00651E97" w:rsidTr="004C2E45">
        <w:tc>
          <w:tcPr>
            <w:tcW w:w="2263" w:type="dxa"/>
          </w:tcPr>
          <w:p w:rsidR="00651E97" w:rsidRPr="005C1600" w:rsidRDefault="00651E97" w:rsidP="004C2E45">
            <w:pPr>
              <w:spacing w:before="0" w:after="0"/>
              <w:rPr>
                <w:b/>
              </w:rPr>
            </w:pPr>
            <w:r w:rsidRPr="005C1600">
              <w:rPr>
                <w:b/>
              </w:rPr>
              <w:t>Overseas University</w:t>
            </w:r>
          </w:p>
        </w:tc>
        <w:tc>
          <w:tcPr>
            <w:tcW w:w="6797" w:type="dxa"/>
          </w:tcPr>
          <w:p w:rsidR="00651E97" w:rsidRDefault="00651E97" w:rsidP="005850F8">
            <w:pPr>
              <w:spacing w:before="80" w:after="80"/>
            </w:pPr>
            <w:r>
              <w:t>Must be</w:t>
            </w:r>
            <w:r w:rsidRPr="0029459C">
              <w:t xml:space="preserve"> recognised as a university by i</w:t>
            </w:r>
            <w:r>
              <w:t xml:space="preserve">ts home country </w:t>
            </w:r>
            <w:r w:rsidR="001C0FFF">
              <w:t xml:space="preserve">and meet criteria equivalent </w:t>
            </w:r>
            <w:r w:rsidR="005850F8">
              <w:t xml:space="preserve">to </w:t>
            </w:r>
            <w:r>
              <w:t>the ‘Australian University’ category.</w:t>
            </w:r>
          </w:p>
        </w:tc>
      </w:tr>
      <w:tr w:rsidR="00651E97" w:rsidTr="006418A2">
        <w:tc>
          <w:tcPr>
            <w:tcW w:w="2263" w:type="dxa"/>
            <w:shd w:val="clear" w:color="auto" w:fill="DEEAF6" w:themeFill="accent1" w:themeFillTint="33"/>
          </w:tcPr>
          <w:p w:rsidR="00651E97" w:rsidRPr="005C1600" w:rsidRDefault="00651E97" w:rsidP="004C2E45">
            <w:pPr>
              <w:spacing w:before="0" w:after="0"/>
              <w:rPr>
                <w:b/>
              </w:rPr>
            </w:pPr>
            <w:r w:rsidRPr="005C1600">
              <w:rPr>
                <w:b/>
              </w:rPr>
              <w:t>Overseas University of Specialisation</w:t>
            </w:r>
          </w:p>
        </w:tc>
        <w:tc>
          <w:tcPr>
            <w:tcW w:w="6797" w:type="dxa"/>
            <w:shd w:val="clear" w:color="auto" w:fill="DEEAF6" w:themeFill="accent1" w:themeFillTint="33"/>
          </w:tcPr>
          <w:p w:rsidR="00651E97" w:rsidRDefault="00651E97" w:rsidP="005850F8">
            <w:pPr>
              <w:spacing w:before="80" w:after="80"/>
            </w:pPr>
            <w:r>
              <w:t>Must be</w:t>
            </w:r>
            <w:r w:rsidRPr="0029459C">
              <w:t xml:space="preserve"> recognised as a university by i</w:t>
            </w:r>
            <w:r>
              <w:t xml:space="preserve">ts home country </w:t>
            </w:r>
            <w:r w:rsidR="001C0FFF">
              <w:t xml:space="preserve">and meet criteria equivalent </w:t>
            </w:r>
            <w:r w:rsidR="005850F8">
              <w:t xml:space="preserve">to </w:t>
            </w:r>
            <w:r>
              <w:t>the ‘Australian University of Specialisation’ category.</w:t>
            </w:r>
          </w:p>
        </w:tc>
      </w:tr>
    </w:tbl>
    <w:p w:rsidR="00651E97" w:rsidRDefault="00651E97" w:rsidP="00651E97">
      <w:pPr>
        <w:autoSpaceDE w:val="0"/>
        <w:autoSpaceDN w:val="0"/>
        <w:adjustRightInd w:val="0"/>
        <w:spacing w:before="0" w:after="0" w:line="240" w:lineRule="auto"/>
        <w:rPr>
          <w:rFonts w:cs="Calibri"/>
        </w:rPr>
      </w:pPr>
    </w:p>
    <w:p w:rsidR="00651E97" w:rsidRDefault="00651E97" w:rsidP="00651E97">
      <w:pPr>
        <w:autoSpaceDE w:val="0"/>
        <w:autoSpaceDN w:val="0"/>
        <w:adjustRightInd w:val="0"/>
        <w:spacing w:before="0" w:after="0" w:line="240" w:lineRule="auto"/>
      </w:pPr>
      <w:bookmarkStart w:id="10" w:name="_Toc527354298"/>
    </w:p>
    <w:p w:rsidR="006418A2" w:rsidRDefault="006418A2">
      <w:pPr>
        <w:spacing w:before="0" w:after="160"/>
        <w:rPr>
          <w:rFonts w:ascii="Calibri" w:eastAsiaTheme="majorEastAsia" w:hAnsi="Calibri" w:cstheme="majorBidi"/>
          <w:b/>
          <w:color w:val="2763AC"/>
          <w:sz w:val="28"/>
          <w:szCs w:val="26"/>
        </w:rPr>
      </w:pPr>
      <w:r>
        <w:br w:type="page"/>
      </w:r>
    </w:p>
    <w:p w:rsidR="00651E97" w:rsidRDefault="00651E97" w:rsidP="00651E97">
      <w:pPr>
        <w:pStyle w:val="Heading2"/>
        <w:spacing w:before="0" w:after="0"/>
      </w:pPr>
      <w:bookmarkStart w:id="11" w:name="_Toc531606768"/>
      <w:r>
        <w:lastRenderedPageBreak/>
        <w:t>Historical context</w:t>
      </w:r>
      <w:bookmarkEnd w:id="10"/>
      <w:bookmarkEnd w:id="11"/>
    </w:p>
    <w:p w:rsidR="00651E97" w:rsidRDefault="00651E97" w:rsidP="00651E97">
      <w:pPr>
        <w:pStyle w:val="Normal-AfterTableFigure"/>
        <w:spacing w:before="0" w:after="0"/>
      </w:pPr>
      <w:r w:rsidRPr="00CD3344">
        <w:t xml:space="preserve">The PCS are based on the </w:t>
      </w:r>
      <w:r w:rsidRPr="00CD3344">
        <w:rPr>
          <w:i/>
        </w:rPr>
        <w:t xml:space="preserve">National Protocols for Higher Education Approval Processes </w:t>
      </w:r>
      <w:r w:rsidRPr="00CD3344">
        <w:t xml:space="preserve">(National Protocols) which were first adopted by State and Territory governments in </w:t>
      </w:r>
      <w:r>
        <w:t>2000</w:t>
      </w:r>
      <w:r w:rsidRPr="00CD3344">
        <w:t xml:space="preserve">, and updated in 2007. The National Protocols were used by States and Territories for the regulation and accreditation of higher education </w:t>
      </w:r>
      <w:r>
        <w:t>up until</w:t>
      </w:r>
      <w:r w:rsidRPr="00CD3344">
        <w:t xml:space="preserve"> the establishment of TEQSA in 2011. </w:t>
      </w:r>
    </w:p>
    <w:p w:rsidR="00651E97" w:rsidRPr="00CD3344" w:rsidRDefault="00651E97" w:rsidP="00651E97">
      <w:pPr>
        <w:pStyle w:val="Normal-AfterTableFigure"/>
        <w:spacing w:before="0" w:after="0"/>
      </w:pPr>
    </w:p>
    <w:p w:rsidR="00651E97" w:rsidRDefault="00651E97" w:rsidP="00651E97">
      <w:pPr>
        <w:pStyle w:val="Normal-AfterTableFigure"/>
        <w:spacing w:before="0" w:after="0"/>
      </w:pPr>
      <w:r w:rsidRPr="00CD3344">
        <w:t xml:space="preserve">The </w:t>
      </w:r>
      <w:r w:rsidRPr="00CD3344">
        <w:rPr>
          <w:noProof/>
        </w:rPr>
        <w:t>development</w:t>
      </w:r>
      <w:r w:rsidRPr="00CD3344">
        <w:t xml:space="preserve"> of the National Protocols followed the attempt by </w:t>
      </w:r>
      <w:r>
        <w:t>new entrants of uncertain quality</w:t>
      </w:r>
      <w:r w:rsidRPr="00CD3344">
        <w:t xml:space="preserve"> to operate in Australia</w:t>
      </w:r>
      <w:r>
        <w:t>, and the interest in protecting the reputation of Australian higher education and its established public universities</w:t>
      </w:r>
      <w:r w:rsidRPr="00CD3344">
        <w:t xml:space="preserve">. </w:t>
      </w:r>
      <w:r>
        <w:t>In particular, t</w:t>
      </w:r>
      <w:r w:rsidRPr="00CD3344">
        <w:t xml:space="preserve">he </w:t>
      </w:r>
      <w:r>
        <w:t>short-lived</w:t>
      </w:r>
      <w:r w:rsidRPr="00CD3344">
        <w:t xml:space="preserve"> </w:t>
      </w:r>
      <w:r>
        <w:t xml:space="preserve">and controversial establishment of Greenwich University as a distance educator in Norfolk Island in the late 1990s </w:t>
      </w:r>
      <w:r w:rsidRPr="00CD3344">
        <w:t>highlighted the absence of an agreed national approach to higher education approvals</w:t>
      </w:r>
      <w:r>
        <w:t xml:space="preserve"> and protection of the term ‘university’</w:t>
      </w:r>
      <w:r w:rsidRPr="00CD3344">
        <w:t>. The National Protocols were designed to ensure consistent criteria and standards across Australia for the recognition of new universities, the operation of overseas higher education institutions in Australia</w:t>
      </w:r>
      <w:r w:rsidR="009D5189">
        <w:t>,</w:t>
      </w:r>
      <w:r w:rsidRPr="00CD3344">
        <w:t xml:space="preserve"> and the accreditation of higher education courses to be offered by non self-accrediting providers. </w:t>
      </w:r>
      <w:r w:rsidRPr="00F061D2">
        <w:t xml:space="preserve">Around the same time, the Government amended the </w:t>
      </w:r>
      <w:r w:rsidRPr="00F061D2">
        <w:rPr>
          <w:i/>
        </w:rPr>
        <w:t>Corporations Regulations 2001</w:t>
      </w:r>
      <w:r w:rsidRPr="00F061D2">
        <w:t xml:space="preserve"> to protect the title ‘university’ in Australia.</w:t>
      </w:r>
    </w:p>
    <w:p w:rsidR="00651E97" w:rsidRDefault="00651E97" w:rsidP="00651E97">
      <w:pPr>
        <w:pStyle w:val="Normal-AfterTableFigure"/>
        <w:spacing w:before="0" w:after="0"/>
      </w:pPr>
    </w:p>
    <w:p w:rsidR="00651E97" w:rsidRDefault="00651E97" w:rsidP="00651E97">
      <w:pPr>
        <w:pStyle w:val="Normal-AfterTableFigure"/>
        <w:spacing w:before="0" w:after="0"/>
      </w:pPr>
      <w:r>
        <w:t>In 2008, the Australian Government initiated a Review of Australian Higher Education (Bradley Review) to consider the future direction of the higher education sector. A key recommendation was a focus on ensuring the quality of the higher education sector and the education it delivers. It noted that in a period of expansion, when higher education providers are attracting students who have not traditionally considered going to university and student pathways are linked to funding, higher education providers will be required to demonstrate that their graduates have the capabilities that are required for successful engagement in today‘s complex world. It also identified that Australia must enhance its capacity to demonstrate outcomes and appropriate standards in higher education if it is to remain internationally competitive. It called for the development of clear and strong standards which can be applied across the sector in order to establish objective and comparative benchmarks of quality and performance.</w:t>
      </w:r>
      <w:r>
        <w:rPr>
          <w:rStyle w:val="FootnoteReference"/>
        </w:rPr>
        <w:footnoteReference w:id="5"/>
      </w:r>
      <w:r>
        <w:t xml:space="preserve"> </w:t>
      </w:r>
    </w:p>
    <w:p w:rsidR="00651E97" w:rsidRDefault="00651E97" w:rsidP="00651E97">
      <w:pPr>
        <w:spacing w:before="0" w:after="0"/>
      </w:pPr>
    </w:p>
    <w:p w:rsidR="00651E97" w:rsidRDefault="00651E97" w:rsidP="00651E97">
      <w:pPr>
        <w:spacing w:before="0" w:after="0"/>
      </w:pPr>
      <w:r>
        <w:t xml:space="preserve">Consequently, the Bradley Review recommended the establishment of a national quality assurance and regulatory agency which would be supported by the adoption of a new framework for higher education accreditation, quality assurance and regulation. In 2009, the Government announced the establishment of TEQSA as a single national regulatory and quality assurance agency for </w:t>
      </w:r>
      <w:r w:rsidR="00EB140C">
        <w:t>higher</w:t>
      </w:r>
      <w:r w:rsidR="00B71FE9">
        <w:t xml:space="preserve"> </w:t>
      </w:r>
      <w:r>
        <w:t>education.</w:t>
      </w:r>
    </w:p>
    <w:p w:rsidR="00651E97" w:rsidRDefault="00651E97" w:rsidP="00651E97">
      <w:pPr>
        <w:spacing w:before="0" w:after="0"/>
      </w:pPr>
    </w:p>
    <w:p w:rsidR="00651E97" w:rsidRPr="00CD3344" w:rsidRDefault="00651E97" w:rsidP="00651E97">
      <w:pPr>
        <w:spacing w:before="0" w:after="0"/>
      </w:pPr>
      <w:r w:rsidRPr="00CD3344">
        <w:t xml:space="preserve">With the establishment of TEQSA came </w:t>
      </w:r>
      <w:r>
        <w:t>new Threshold Standards that were</w:t>
      </w:r>
      <w:r w:rsidRPr="00CD3344">
        <w:t xml:space="preserve"> tabled in Parliament in</w:t>
      </w:r>
      <w:r>
        <w:t> </w:t>
      </w:r>
      <w:r w:rsidRPr="00CD3344">
        <w:t>2011. The</w:t>
      </w:r>
      <w:r>
        <w:t>se</w:t>
      </w:r>
      <w:r w:rsidRPr="00CD3344">
        <w:t xml:space="preserve"> </w:t>
      </w:r>
      <w:r>
        <w:t xml:space="preserve">initial Threshold </w:t>
      </w:r>
      <w:r w:rsidRPr="00CD3344">
        <w:t xml:space="preserve">Standards </w:t>
      </w:r>
      <w:r>
        <w:t>were largely based on the National Protocols that were already in existence at the time and</w:t>
      </w:r>
      <w:r w:rsidRPr="00CD3344">
        <w:t xml:space="preserve"> included the PCS we know today</w:t>
      </w:r>
      <w:r>
        <w:t>.</w:t>
      </w:r>
      <w:r w:rsidRPr="00CD3344">
        <w:t xml:space="preserve"> The</w:t>
      </w:r>
      <w:r>
        <w:t xml:space="preserve"> </w:t>
      </w:r>
      <w:r w:rsidRPr="00125379">
        <w:rPr>
          <w:i/>
        </w:rPr>
        <w:t>Tertiary Education Quality and Standards Agency Act 2011</w:t>
      </w:r>
      <w:r w:rsidRPr="00CD3344">
        <w:t xml:space="preserve"> also established the </w:t>
      </w:r>
      <w:r>
        <w:t xml:space="preserve">HESP </w:t>
      </w:r>
      <w:r w:rsidRPr="00CD3344">
        <w:t>to advise and make recommendations to the Min</w:t>
      </w:r>
      <w:r>
        <w:t>ister for Education</w:t>
      </w:r>
      <w:r w:rsidRPr="00CD3344">
        <w:t xml:space="preserve"> on making and varying the </w:t>
      </w:r>
      <w:r>
        <w:t xml:space="preserve">Threshold </w:t>
      </w:r>
      <w:r w:rsidRPr="00CD3344">
        <w:t>Standards.</w:t>
      </w:r>
      <w:r>
        <w:t xml:space="preserve"> The HESP’s first task, as set out in the legislation, was to undertake a thorough review of the Threshold Standards to ensure they were fit for purpose.</w:t>
      </w:r>
    </w:p>
    <w:p w:rsidR="00651E97" w:rsidRPr="00CD3344" w:rsidRDefault="00651E97" w:rsidP="00651E97">
      <w:pPr>
        <w:spacing w:before="0" w:after="0"/>
      </w:pPr>
    </w:p>
    <w:p w:rsidR="006418A2" w:rsidRDefault="006418A2">
      <w:pPr>
        <w:spacing w:before="0" w:after="160"/>
      </w:pPr>
      <w:r>
        <w:br w:type="page"/>
      </w:r>
    </w:p>
    <w:p w:rsidR="00651E97" w:rsidRDefault="00651E97" w:rsidP="00651E97">
      <w:pPr>
        <w:spacing w:before="0" w:after="0"/>
      </w:pPr>
      <w:r>
        <w:lastRenderedPageBreak/>
        <w:t>Between 2012 and 2014, the HESP reviewed the Threshold Standards and a revised legislative instrument was tabled in Parliament in October 2015. The new standards took effect f</w:t>
      </w:r>
      <w:r w:rsidRPr="00CD3344">
        <w:t>r</w:t>
      </w:r>
      <w:r>
        <w:t>o</w:t>
      </w:r>
      <w:r w:rsidRPr="00CD3344">
        <w:t>m 1</w:t>
      </w:r>
      <w:r>
        <w:t> </w:t>
      </w:r>
      <w:r w:rsidRPr="00CD3344">
        <w:t>January</w:t>
      </w:r>
      <w:r>
        <w:t> </w:t>
      </w:r>
      <w:r w:rsidRPr="00CD3344">
        <w:t xml:space="preserve">2017. It is important to note that the PCS element of the </w:t>
      </w:r>
      <w:r>
        <w:t xml:space="preserve">Threshold </w:t>
      </w:r>
      <w:r w:rsidRPr="00CD3344">
        <w:t xml:space="preserve">Standards were </w:t>
      </w:r>
      <w:r>
        <w:t>not included in this review. T</w:t>
      </w:r>
      <w:r w:rsidRPr="00CD3344">
        <w:t xml:space="preserve">he </w:t>
      </w:r>
      <w:r>
        <w:t>HESP</w:t>
      </w:r>
      <w:r w:rsidRPr="00CD3344">
        <w:t xml:space="preserve"> concluded that</w:t>
      </w:r>
      <w:r>
        <w:t xml:space="preserve"> provider categorisation is as much a matter of public policy as it is of standards for higher education and</w:t>
      </w:r>
      <w:r w:rsidR="00B71FE9">
        <w:t>, as such,</w:t>
      </w:r>
      <w:r>
        <w:t xml:space="preserve"> necessitated </w:t>
      </w:r>
      <w:r w:rsidRPr="00CD3344">
        <w:t xml:space="preserve">a separate </w:t>
      </w:r>
      <w:bookmarkStart w:id="12" w:name="_Toc527354299"/>
      <w:r>
        <w:t>piece of work. That examination is the focus of this PCS review.</w:t>
      </w:r>
    </w:p>
    <w:bookmarkEnd w:id="12"/>
    <w:p w:rsidR="00651E97" w:rsidRDefault="00651E97" w:rsidP="00651E97">
      <w:pPr>
        <w:spacing w:before="0" w:after="0" w:line="240" w:lineRule="auto"/>
      </w:pPr>
    </w:p>
    <w:p w:rsidR="00651E97" w:rsidRPr="00614F39" w:rsidRDefault="00651E97" w:rsidP="00651E97">
      <w:pPr>
        <w:pStyle w:val="Heading2"/>
        <w:spacing w:before="0" w:after="0"/>
      </w:pPr>
      <w:bookmarkStart w:id="13" w:name="_Toc527621654"/>
      <w:bookmarkStart w:id="14" w:name="_Toc531606769"/>
      <w:r w:rsidRPr="00614F39">
        <w:t>Shape of the current system</w:t>
      </w:r>
      <w:bookmarkEnd w:id="13"/>
      <w:bookmarkEnd w:id="14"/>
    </w:p>
    <w:p w:rsidR="00651E97" w:rsidRDefault="00651E97" w:rsidP="00651E97">
      <w:pPr>
        <w:pStyle w:val="Normal-AfterTableFigure"/>
        <w:spacing w:before="0" w:line="240" w:lineRule="auto"/>
        <w:rPr>
          <w:noProof/>
        </w:rPr>
      </w:pPr>
      <w:r w:rsidRPr="00CD3344">
        <w:rPr>
          <w:noProof/>
        </w:rPr>
        <w:t xml:space="preserve">Australia’s higher </w:t>
      </w:r>
      <w:r w:rsidRPr="00CD3344">
        <w:t>education</w:t>
      </w:r>
      <w:r w:rsidRPr="00CD3344">
        <w:rPr>
          <w:noProof/>
        </w:rPr>
        <w:t xml:space="preserve"> sector currently </w:t>
      </w:r>
      <w:r>
        <w:rPr>
          <w:noProof/>
        </w:rPr>
        <w:t>comprises 170 TEQSA registered providers.</w:t>
      </w:r>
    </w:p>
    <w:tbl>
      <w:tblPr>
        <w:tblStyle w:val="TableGrid"/>
        <w:tblW w:w="9640" w:type="dxa"/>
        <w:tblInd w:w="-289" w:type="dxa"/>
        <w:tblBorders>
          <w:left w:val="single" w:sz="4" w:space="0" w:color="auto"/>
        </w:tblBorders>
        <w:tblLook w:val="04A0" w:firstRow="1" w:lastRow="0" w:firstColumn="1" w:lastColumn="0" w:noHBand="0" w:noVBand="1"/>
        <w:tblCaption w:val="Numbers of students and providers under each category of the PCS. "/>
      </w:tblPr>
      <w:tblGrid>
        <w:gridCol w:w="3738"/>
        <w:gridCol w:w="989"/>
        <w:gridCol w:w="1113"/>
        <w:gridCol w:w="1674"/>
        <w:gridCol w:w="2126"/>
      </w:tblGrid>
      <w:tr w:rsidR="00651E97" w:rsidRPr="007D4A06" w:rsidTr="004C2E45">
        <w:trPr>
          <w:cnfStyle w:val="100000000000" w:firstRow="1" w:lastRow="0" w:firstColumn="0" w:lastColumn="0" w:oddVBand="0" w:evenVBand="0" w:oddHBand="0" w:evenHBand="0" w:firstRowFirstColumn="0" w:firstRowLastColumn="0" w:lastRowFirstColumn="0" w:lastRowLastColumn="0"/>
          <w:trHeight w:val="335"/>
        </w:trPr>
        <w:tc>
          <w:tcPr>
            <w:tcW w:w="3738" w:type="dxa"/>
          </w:tcPr>
          <w:p w:rsidR="00651E97" w:rsidRPr="007D4A06" w:rsidRDefault="00651E97" w:rsidP="004C2E45">
            <w:pPr>
              <w:spacing w:before="0" w:after="0"/>
              <w:rPr>
                <w:sz w:val="22"/>
              </w:rPr>
            </w:pPr>
            <w:r w:rsidRPr="007D4A06">
              <w:rPr>
                <w:sz w:val="22"/>
              </w:rPr>
              <w:t>Provider category</w:t>
            </w:r>
          </w:p>
        </w:tc>
        <w:tc>
          <w:tcPr>
            <w:tcW w:w="989" w:type="dxa"/>
          </w:tcPr>
          <w:p w:rsidR="00651E97" w:rsidRPr="007D4A06" w:rsidRDefault="00651E97" w:rsidP="004C2E45">
            <w:pPr>
              <w:spacing w:before="0" w:after="0"/>
              <w:rPr>
                <w:sz w:val="22"/>
              </w:rPr>
            </w:pPr>
            <w:r w:rsidRPr="007D4A06">
              <w:rPr>
                <w:sz w:val="22"/>
              </w:rPr>
              <w:t>SAA*</w:t>
            </w:r>
          </w:p>
        </w:tc>
        <w:tc>
          <w:tcPr>
            <w:tcW w:w="1113" w:type="dxa"/>
          </w:tcPr>
          <w:p w:rsidR="00651E97" w:rsidRPr="007D4A06" w:rsidRDefault="00651E97" w:rsidP="004C2E45">
            <w:pPr>
              <w:spacing w:before="0" w:after="0"/>
              <w:rPr>
                <w:sz w:val="22"/>
              </w:rPr>
            </w:pPr>
            <w:r w:rsidRPr="007D4A06">
              <w:rPr>
                <w:sz w:val="22"/>
              </w:rPr>
              <w:t>Non-SAA</w:t>
            </w:r>
          </w:p>
        </w:tc>
        <w:tc>
          <w:tcPr>
            <w:tcW w:w="1674" w:type="dxa"/>
          </w:tcPr>
          <w:p w:rsidR="00651E97" w:rsidRPr="00C502F6" w:rsidRDefault="00651E97" w:rsidP="004C2E45">
            <w:pPr>
              <w:spacing w:before="0" w:after="0"/>
              <w:rPr>
                <w:sz w:val="22"/>
              </w:rPr>
            </w:pPr>
            <w:r w:rsidRPr="00C502F6">
              <w:rPr>
                <w:sz w:val="22"/>
              </w:rPr>
              <w:t>Total providers</w:t>
            </w:r>
          </w:p>
        </w:tc>
        <w:tc>
          <w:tcPr>
            <w:tcW w:w="2126" w:type="dxa"/>
          </w:tcPr>
          <w:p w:rsidR="00651E97" w:rsidRPr="007D4A06" w:rsidRDefault="00651E97" w:rsidP="004C2E45">
            <w:pPr>
              <w:spacing w:before="0" w:after="0"/>
              <w:rPr>
                <w:sz w:val="22"/>
              </w:rPr>
            </w:pPr>
            <w:r w:rsidRPr="007D4A06">
              <w:rPr>
                <w:sz w:val="22"/>
              </w:rPr>
              <w:t>Student numbers</w:t>
            </w:r>
          </w:p>
        </w:tc>
      </w:tr>
      <w:tr w:rsidR="00651E97" w:rsidRPr="007D4A06" w:rsidTr="004C2E45">
        <w:trPr>
          <w:trHeight w:val="325"/>
        </w:trPr>
        <w:tc>
          <w:tcPr>
            <w:tcW w:w="3738" w:type="dxa"/>
          </w:tcPr>
          <w:p w:rsidR="00651E97" w:rsidRPr="007D4A06" w:rsidRDefault="00651E97" w:rsidP="004C2E45">
            <w:pPr>
              <w:spacing w:before="0" w:after="0"/>
            </w:pPr>
            <w:r w:rsidRPr="007D4A06">
              <w:t>Higher Education Provider</w:t>
            </w:r>
          </w:p>
        </w:tc>
        <w:tc>
          <w:tcPr>
            <w:tcW w:w="989" w:type="dxa"/>
          </w:tcPr>
          <w:p w:rsidR="00651E97" w:rsidRPr="007D4A06" w:rsidRDefault="00651E97" w:rsidP="006418A2">
            <w:pPr>
              <w:spacing w:before="0" w:after="0"/>
              <w:jc w:val="right"/>
            </w:pPr>
            <w:r>
              <w:t>12</w:t>
            </w:r>
          </w:p>
        </w:tc>
        <w:tc>
          <w:tcPr>
            <w:tcW w:w="1113" w:type="dxa"/>
          </w:tcPr>
          <w:p w:rsidR="00651E97" w:rsidRPr="007D4A06" w:rsidRDefault="00651E97" w:rsidP="006418A2">
            <w:pPr>
              <w:spacing w:before="0" w:after="0"/>
              <w:jc w:val="right"/>
            </w:pPr>
            <w:r>
              <w:t>115</w:t>
            </w:r>
          </w:p>
        </w:tc>
        <w:tc>
          <w:tcPr>
            <w:tcW w:w="1674" w:type="dxa"/>
          </w:tcPr>
          <w:p w:rsidR="00651E97" w:rsidRPr="00C502F6" w:rsidRDefault="00651E97" w:rsidP="006418A2">
            <w:pPr>
              <w:spacing w:before="0" w:after="0"/>
              <w:jc w:val="right"/>
            </w:pPr>
            <w:r w:rsidRPr="00C502F6">
              <w:t>127</w:t>
            </w:r>
          </w:p>
        </w:tc>
        <w:tc>
          <w:tcPr>
            <w:tcW w:w="2126" w:type="dxa"/>
            <w:tcBorders>
              <w:right w:val="single" w:sz="4" w:space="0" w:color="auto"/>
            </w:tcBorders>
          </w:tcPr>
          <w:p w:rsidR="00651E97" w:rsidRPr="007D4A06" w:rsidRDefault="00651E97" w:rsidP="006418A2">
            <w:pPr>
              <w:spacing w:before="0" w:after="0"/>
              <w:jc w:val="right"/>
            </w:pPr>
            <w:r>
              <w:t>132,951^</w:t>
            </w:r>
          </w:p>
        </w:tc>
      </w:tr>
      <w:tr w:rsidR="00651E97" w:rsidRPr="007D4A06" w:rsidTr="004C2E45">
        <w:trPr>
          <w:trHeight w:val="307"/>
        </w:trPr>
        <w:tc>
          <w:tcPr>
            <w:tcW w:w="3738" w:type="dxa"/>
            <w:shd w:val="clear" w:color="auto" w:fill="DEEAF6" w:themeFill="accent1" w:themeFillTint="33"/>
          </w:tcPr>
          <w:p w:rsidR="00651E97" w:rsidRPr="007D4A06" w:rsidRDefault="00651E97" w:rsidP="004C2E45">
            <w:pPr>
              <w:spacing w:before="0" w:after="0"/>
            </w:pPr>
            <w:r w:rsidRPr="007D4A06">
              <w:t>Australian University</w:t>
            </w:r>
          </w:p>
        </w:tc>
        <w:tc>
          <w:tcPr>
            <w:tcW w:w="989" w:type="dxa"/>
            <w:shd w:val="clear" w:color="auto" w:fill="DEEAF6" w:themeFill="accent1" w:themeFillTint="33"/>
          </w:tcPr>
          <w:p w:rsidR="00651E97" w:rsidRPr="007D4A06" w:rsidRDefault="00651E97" w:rsidP="006418A2">
            <w:pPr>
              <w:spacing w:before="0" w:after="0"/>
              <w:jc w:val="right"/>
            </w:pPr>
            <w:r>
              <w:t>40</w:t>
            </w:r>
          </w:p>
        </w:tc>
        <w:tc>
          <w:tcPr>
            <w:tcW w:w="1113" w:type="dxa"/>
            <w:shd w:val="clear" w:color="auto" w:fill="DEEAF6" w:themeFill="accent1" w:themeFillTint="33"/>
          </w:tcPr>
          <w:p w:rsidR="00651E97" w:rsidRPr="007D4A06" w:rsidRDefault="00651E97" w:rsidP="006418A2">
            <w:pPr>
              <w:spacing w:before="0" w:after="0"/>
              <w:jc w:val="right"/>
            </w:pPr>
            <w:r>
              <w:t>0</w:t>
            </w:r>
          </w:p>
        </w:tc>
        <w:tc>
          <w:tcPr>
            <w:tcW w:w="1674" w:type="dxa"/>
            <w:shd w:val="clear" w:color="auto" w:fill="DEEAF6" w:themeFill="accent1" w:themeFillTint="33"/>
          </w:tcPr>
          <w:p w:rsidR="00651E97" w:rsidRPr="00C502F6" w:rsidRDefault="00651E97" w:rsidP="006418A2">
            <w:pPr>
              <w:spacing w:before="0" w:after="0"/>
              <w:jc w:val="right"/>
            </w:pPr>
            <w:r w:rsidRPr="00C502F6">
              <w:t>40</w:t>
            </w:r>
          </w:p>
        </w:tc>
        <w:tc>
          <w:tcPr>
            <w:tcW w:w="2126" w:type="dxa"/>
            <w:shd w:val="clear" w:color="auto" w:fill="DEEAF6" w:themeFill="accent1" w:themeFillTint="33"/>
          </w:tcPr>
          <w:p w:rsidR="00651E97" w:rsidRPr="007D4A06" w:rsidRDefault="00651E97" w:rsidP="006418A2">
            <w:pPr>
              <w:spacing w:before="0" w:after="0"/>
              <w:jc w:val="right"/>
            </w:pPr>
            <w:r>
              <w:t>1,206,415</w:t>
            </w:r>
            <w:r w:rsidRPr="007D4A06">
              <w:t>**</w:t>
            </w:r>
          </w:p>
        </w:tc>
      </w:tr>
      <w:tr w:rsidR="00651E97" w:rsidRPr="007D4A06" w:rsidTr="004C2E45">
        <w:trPr>
          <w:trHeight w:val="325"/>
        </w:trPr>
        <w:tc>
          <w:tcPr>
            <w:tcW w:w="3738" w:type="dxa"/>
          </w:tcPr>
          <w:p w:rsidR="00651E97" w:rsidRPr="007D4A06" w:rsidRDefault="00651E97" w:rsidP="004C2E45">
            <w:pPr>
              <w:spacing w:before="0" w:after="0"/>
            </w:pPr>
            <w:r w:rsidRPr="007D4A06">
              <w:t>Australian University College</w:t>
            </w:r>
          </w:p>
        </w:tc>
        <w:tc>
          <w:tcPr>
            <w:tcW w:w="989" w:type="dxa"/>
          </w:tcPr>
          <w:p w:rsidR="00651E97" w:rsidRPr="007D4A06" w:rsidRDefault="00651E97" w:rsidP="006418A2">
            <w:pPr>
              <w:keepNext/>
              <w:spacing w:before="0" w:after="0"/>
              <w:jc w:val="right"/>
            </w:pPr>
            <w:r>
              <w:t>0</w:t>
            </w:r>
          </w:p>
        </w:tc>
        <w:tc>
          <w:tcPr>
            <w:tcW w:w="1113" w:type="dxa"/>
          </w:tcPr>
          <w:p w:rsidR="00651E97" w:rsidRPr="007D4A06" w:rsidRDefault="00651E97" w:rsidP="006418A2">
            <w:pPr>
              <w:keepNext/>
              <w:spacing w:before="0" w:after="0"/>
              <w:jc w:val="right"/>
            </w:pPr>
            <w:r>
              <w:t>0</w:t>
            </w:r>
          </w:p>
        </w:tc>
        <w:tc>
          <w:tcPr>
            <w:tcW w:w="1674" w:type="dxa"/>
          </w:tcPr>
          <w:p w:rsidR="00651E97" w:rsidRPr="00C502F6" w:rsidRDefault="00651E97" w:rsidP="006418A2">
            <w:pPr>
              <w:keepNext/>
              <w:spacing w:before="0" w:after="0"/>
              <w:jc w:val="right"/>
            </w:pPr>
            <w:r w:rsidRPr="00C502F6">
              <w:t>0</w:t>
            </w:r>
          </w:p>
        </w:tc>
        <w:tc>
          <w:tcPr>
            <w:tcW w:w="2126" w:type="dxa"/>
          </w:tcPr>
          <w:p w:rsidR="00651E97" w:rsidRPr="007D4A06" w:rsidRDefault="00651E97" w:rsidP="006418A2">
            <w:pPr>
              <w:keepNext/>
              <w:spacing w:before="0" w:after="0"/>
              <w:jc w:val="right"/>
            </w:pPr>
            <w:r>
              <w:t>0</w:t>
            </w:r>
          </w:p>
        </w:tc>
      </w:tr>
      <w:tr w:rsidR="00651E97" w:rsidRPr="007D4A06" w:rsidTr="004C2E45">
        <w:trPr>
          <w:trHeight w:val="325"/>
        </w:trPr>
        <w:tc>
          <w:tcPr>
            <w:tcW w:w="3738" w:type="dxa"/>
            <w:shd w:val="clear" w:color="auto" w:fill="DEEAF6" w:themeFill="accent1" w:themeFillTint="33"/>
          </w:tcPr>
          <w:p w:rsidR="00651E97" w:rsidRPr="007D4A06" w:rsidRDefault="00651E97" w:rsidP="004C2E45">
            <w:pPr>
              <w:spacing w:before="0" w:after="0"/>
            </w:pPr>
            <w:r w:rsidRPr="007D4A06">
              <w:t>Australian University of Specialisation</w:t>
            </w:r>
          </w:p>
        </w:tc>
        <w:tc>
          <w:tcPr>
            <w:tcW w:w="989" w:type="dxa"/>
            <w:shd w:val="clear" w:color="auto" w:fill="DEEAF6" w:themeFill="accent1" w:themeFillTint="33"/>
          </w:tcPr>
          <w:p w:rsidR="00651E97" w:rsidRPr="007D4A06" w:rsidRDefault="00651E97" w:rsidP="006418A2">
            <w:pPr>
              <w:keepNext/>
              <w:spacing w:before="0" w:after="0"/>
              <w:jc w:val="right"/>
            </w:pPr>
            <w:r>
              <w:t>1</w:t>
            </w:r>
          </w:p>
        </w:tc>
        <w:tc>
          <w:tcPr>
            <w:tcW w:w="1113" w:type="dxa"/>
            <w:shd w:val="clear" w:color="auto" w:fill="DEEAF6" w:themeFill="accent1" w:themeFillTint="33"/>
          </w:tcPr>
          <w:p w:rsidR="00651E97" w:rsidRPr="007D4A06" w:rsidRDefault="00651E97" w:rsidP="006418A2">
            <w:pPr>
              <w:keepNext/>
              <w:spacing w:before="0" w:after="0"/>
              <w:jc w:val="right"/>
            </w:pPr>
            <w:r>
              <w:t>0</w:t>
            </w:r>
          </w:p>
        </w:tc>
        <w:tc>
          <w:tcPr>
            <w:tcW w:w="1674" w:type="dxa"/>
            <w:shd w:val="clear" w:color="auto" w:fill="DEEAF6" w:themeFill="accent1" w:themeFillTint="33"/>
          </w:tcPr>
          <w:p w:rsidR="00651E97" w:rsidRPr="00C502F6" w:rsidRDefault="00651E97" w:rsidP="006418A2">
            <w:pPr>
              <w:keepNext/>
              <w:spacing w:before="0" w:after="0"/>
              <w:jc w:val="right"/>
            </w:pPr>
            <w:r w:rsidRPr="00C502F6">
              <w:t>1</w:t>
            </w:r>
          </w:p>
        </w:tc>
        <w:tc>
          <w:tcPr>
            <w:tcW w:w="2126" w:type="dxa"/>
            <w:shd w:val="clear" w:color="auto" w:fill="DEEAF6" w:themeFill="accent1" w:themeFillTint="33"/>
          </w:tcPr>
          <w:p w:rsidR="00651E97" w:rsidRPr="007D4A06" w:rsidRDefault="00651E97" w:rsidP="006418A2">
            <w:pPr>
              <w:keepNext/>
              <w:spacing w:before="0" w:after="0"/>
              <w:jc w:val="right"/>
            </w:pPr>
            <w:r>
              <w:t>1,279</w:t>
            </w:r>
            <w:r w:rsidRPr="007D4A06">
              <w:t>**</w:t>
            </w:r>
          </w:p>
        </w:tc>
      </w:tr>
      <w:tr w:rsidR="00651E97" w:rsidRPr="007D4A06" w:rsidTr="004C2E45">
        <w:trPr>
          <w:trHeight w:val="307"/>
        </w:trPr>
        <w:tc>
          <w:tcPr>
            <w:tcW w:w="3738" w:type="dxa"/>
          </w:tcPr>
          <w:p w:rsidR="00651E97" w:rsidRPr="007D4A06" w:rsidRDefault="00651E97" w:rsidP="004C2E45">
            <w:pPr>
              <w:spacing w:before="0" w:after="0"/>
            </w:pPr>
            <w:r w:rsidRPr="007D4A06">
              <w:t>Overseas University</w:t>
            </w:r>
          </w:p>
        </w:tc>
        <w:tc>
          <w:tcPr>
            <w:tcW w:w="989" w:type="dxa"/>
          </w:tcPr>
          <w:p w:rsidR="00651E97" w:rsidRPr="007D4A06" w:rsidRDefault="00651E97" w:rsidP="006418A2">
            <w:pPr>
              <w:keepNext/>
              <w:spacing w:before="0" w:after="0"/>
              <w:jc w:val="right"/>
            </w:pPr>
            <w:r>
              <w:t>2</w:t>
            </w:r>
          </w:p>
        </w:tc>
        <w:tc>
          <w:tcPr>
            <w:tcW w:w="1113" w:type="dxa"/>
          </w:tcPr>
          <w:p w:rsidR="00651E97" w:rsidRPr="007D4A06" w:rsidRDefault="00651E97" w:rsidP="006418A2">
            <w:pPr>
              <w:keepNext/>
              <w:spacing w:before="0" w:after="0"/>
              <w:jc w:val="right"/>
            </w:pPr>
            <w:r>
              <w:t>0</w:t>
            </w:r>
          </w:p>
        </w:tc>
        <w:tc>
          <w:tcPr>
            <w:tcW w:w="1674" w:type="dxa"/>
          </w:tcPr>
          <w:p w:rsidR="00651E97" w:rsidRPr="00C502F6" w:rsidRDefault="00651E97" w:rsidP="006418A2">
            <w:pPr>
              <w:keepNext/>
              <w:spacing w:before="0" w:after="0"/>
              <w:jc w:val="right"/>
            </w:pPr>
            <w:r w:rsidRPr="00C502F6">
              <w:t>2</w:t>
            </w:r>
          </w:p>
        </w:tc>
        <w:tc>
          <w:tcPr>
            <w:tcW w:w="2126" w:type="dxa"/>
          </w:tcPr>
          <w:p w:rsidR="00651E97" w:rsidRPr="007D4A06" w:rsidRDefault="00651E97" w:rsidP="006418A2">
            <w:pPr>
              <w:keepNext/>
              <w:spacing w:before="0" w:after="0"/>
              <w:jc w:val="right"/>
            </w:pPr>
            <w:r>
              <w:t>183</w:t>
            </w:r>
            <w:r w:rsidRPr="007D4A06">
              <w:t>**</w:t>
            </w:r>
          </w:p>
        </w:tc>
      </w:tr>
      <w:tr w:rsidR="00651E97" w:rsidRPr="007D4A06" w:rsidTr="004C2E45">
        <w:trPr>
          <w:trHeight w:val="325"/>
        </w:trPr>
        <w:tc>
          <w:tcPr>
            <w:tcW w:w="3738" w:type="dxa"/>
            <w:shd w:val="clear" w:color="auto" w:fill="DEEAF6" w:themeFill="accent1" w:themeFillTint="33"/>
          </w:tcPr>
          <w:p w:rsidR="00651E97" w:rsidRPr="007D4A06" w:rsidRDefault="00651E97" w:rsidP="004C2E45">
            <w:pPr>
              <w:spacing w:before="0" w:after="0"/>
            </w:pPr>
            <w:r w:rsidRPr="007D4A06">
              <w:t>Overseas University of Specialisation</w:t>
            </w:r>
          </w:p>
        </w:tc>
        <w:tc>
          <w:tcPr>
            <w:tcW w:w="989" w:type="dxa"/>
            <w:shd w:val="clear" w:color="auto" w:fill="DEEAF6" w:themeFill="accent1" w:themeFillTint="33"/>
          </w:tcPr>
          <w:p w:rsidR="00651E97" w:rsidRPr="007D4A06" w:rsidRDefault="00651E97" w:rsidP="006418A2">
            <w:pPr>
              <w:keepNext/>
              <w:spacing w:before="0" w:after="0"/>
              <w:jc w:val="right"/>
            </w:pPr>
            <w:r>
              <w:t>0</w:t>
            </w:r>
          </w:p>
        </w:tc>
        <w:tc>
          <w:tcPr>
            <w:tcW w:w="1113" w:type="dxa"/>
            <w:shd w:val="clear" w:color="auto" w:fill="DEEAF6" w:themeFill="accent1" w:themeFillTint="33"/>
          </w:tcPr>
          <w:p w:rsidR="00651E97" w:rsidRPr="007D4A06" w:rsidRDefault="00651E97" w:rsidP="006418A2">
            <w:pPr>
              <w:keepNext/>
              <w:spacing w:before="0" w:after="0"/>
              <w:jc w:val="right"/>
            </w:pPr>
            <w:r>
              <w:t>0</w:t>
            </w:r>
          </w:p>
        </w:tc>
        <w:tc>
          <w:tcPr>
            <w:tcW w:w="1674" w:type="dxa"/>
            <w:shd w:val="clear" w:color="auto" w:fill="DEEAF6" w:themeFill="accent1" w:themeFillTint="33"/>
          </w:tcPr>
          <w:p w:rsidR="00651E97" w:rsidRPr="00C502F6" w:rsidRDefault="00651E97" w:rsidP="006418A2">
            <w:pPr>
              <w:keepNext/>
              <w:spacing w:before="0" w:after="0"/>
              <w:jc w:val="right"/>
            </w:pPr>
            <w:r w:rsidRPr="00C502F6">
              <w:t>0</w:t>
            </w:r>
          </w:p>
        </w:tc>
        <w:tc>
          <w:tcPr>
            <w:tcW w:w="2126" w:type="dxa"/>
            <w:shd w:val="clear" w:color="auto" w:fill="DEEAF6" w:themeFill="accent1" w:themeFillTint="33"/>
          </w:tcPr>
          <w:p w:rsidR="00651E97" w:rsidRPr="007D4A06" w:rsidRDefault="00651E97" w:rsidP="006418A2">
            <w:pPr>
              <w:keepNext/>
              <w:spacing w:before="0" w:after="0"/>
              <w:jc w:val="right"/>
            </w:pPr>
            <w:r>
              <w:t>0</w:t>
            </w:r>
          </w:p>
        </w:tc>
      </w:tr>
      <w:tr w:rsidR="00651E97" w:rsidRPr="007D4A06" w:rsidTr="004C2E45">
        <w:trPr>
          <w:trHeight w:val="307"/>
        </w:trPr>
        <w:tc>
          <w:tcPr>
            <w:tcW w:w="3738" w:type="dxa"/>
          </w:tcPr>
          <w:p w:rsidR="00651E97" w:rsidRPr="007D4A06" w:rsidRDefault="00651E97" w:rsidP="004C2E45">
            <w:pPr>
              <w:spacing w:before="0" w:after="0"/>
              <w:jc w:val="right"/>
              <w:rPr>
                <w:b/>
              </w:rPr>
            </w:pPr>
            <w:r w:rsidRPr="007D4A06">
              <w:rPr>
                <w:b/>
              </w:rPr>
              <w:t>Total</w:t>
            </w:r>
          </w:p>
        </w:tc>
        <w:tc>
          <w:tcPr>
            <w:tcW w:w="989" w:type="dxa"/>
          </w:tcPr>
          <w:p w:rsidR="00651E97" w:rsidRPr="00EE6D10" w:rsidRDefault="00651E97" w:rsidP="006418A2">
            <w:pPr>
              <w:keepNext/>
              <w:spacing w:before="0" w:after="0"/>
              <w:jc w:val="right"/>
              <w:rPr>
                <w:b/>
              </w:rPr>
            </w:pPr>
            <w:r w:rsidRPr="00EE6D10">
              <w:rPr>
                <w:b/>
              </w:rPr>
              <w:t>55</w:t>
            </w:r>
          </w:p>
        </w:tc>
        <w:tc>
          <w:tcPr>
            <w:tcW w:w="1113" w:type="dxa"/>
          </w:tcPr>
          <w:p w:rsidR="00651E97" w:rsidRPr="00EE6D10" w:rsidRDefault="00651E97" w:rsidP="006418A2">
            <w:pPr>
              <w:keepNext/>
              <w:spacing w:before="0" w:after="0"/>
              <w:jc w:val="right"/>
              <w:rPr>
                <w:b/>
              </w:rPr>
            </w:pPr>
            <w:r w:rsidRPr="00EE6D10">
              <w:rPr>
                <w:b/>
              </w:rPr>
              <w:t>115</w:t>
            </w:r>
          </w:p>
        </w:tc>
        <w:tc>
          <w:tcPr>
            <w:tcW w:w="1674" w:type="dxa"/>
          </w:tcPr>
          <w:p w:rsidR="00651E97" w:rsidRPr="00EE6D10" w:rsidRDefault="00651E97" w:rsidP="006418A2">
            <w:pPr>
              <w:keepNext/>
              <w:spacing w:before="0" w:after="0"/>
              <w:jc w:val="right"/>
              <w:rPr>
                <w:b/>
              </w:rPr>
            </w:pPr>
            <w:r w:rsidRPr="00EE6D10">
              <w:rPr>
                <w:b/>
              </w:rPr>
              <w:t>170</w:t>
            </w:r>
          </w:p>
        </w:tc>
        <w:tc>
          <w:tcPr>
            <w:tcW w:w="2126" w:type="dxa"/>
          </w:tcPr>
          <w:p w:rsidR="00651E97" w:rsidRPr="00EE6D10" w:rsidRDefault="00651E97" w:rsidP="006418A2">
            <w:pPr>
              <w:keepNext/>
              <w:spacing w:before="0" w:after="0"/>
              <w:jc w:val="right"/>
              <w:rPr>
                <w:b/>
              </w:rPr>
            </w:pPr>
            <w:r w:rsidRPr="00EE6D10">
              <w:rPr>
                <w:b/>
              </w:rPr>
              <w:t>1,340,828</w:t>
            </w:r>
          </w:p>
        </w:tc>
      </w:tr>
    </w:tbl>
    <w:p w:rsidR="00651E97" w:rsidRPr="006418A2" w:rsidRDefault="00651E97" w:rsidP="006418A2">
      <w:pPr>
        <w:spacing w:before="40" w:after="0" w:line="240" w:lineRule="auto"/>
        <w:ind w:left="-284" w:right="-142"/>
        <w:rPr>
          <w:sz w:val="18"/>
          <w:szCs w:val="18"/>
        </w:rPr>
      </w:pPr>
      <w:r w:rsidRPr="006140E3">
        <w:rPr>
          <w:i/>
          <w:sz w:val="18"/>
          <w:szCs w:val="18"/>
        </w:rPr>
        <w:t>Source</w:t>
      </w:r>
      <w:r w:rsidRPr="006418A2">
        <w:rPr>
          <w:sz w:val="18"/>
          <w:szCs w:val="18"/>
        </w:rPr>
        <w:t>: TEQSA National Re</w:t>
      </w:r>
      <w:r w:rsidR="00C27A2E">
        <w:rPr>
          <w:sz w:val="18"/>
          <w:szCs w:val="18"/>
        </w:rPr>
        <w:t xml:space="preserve">gister summary table (accessed </w:t>
      </w:r>
      <w:r w:rsidR="008A2D92">
        <w:rPr>
          <w:sz w:val="18"/>
          <w:szCs w:val="18"/>
        </w:rPr>
        <w:t>03/12</w:t>
      </w:r>
      <w:r w:rsidRPr="006418A2">
        <w:rPr>
          <w:sz w:val="18"/>
          <w:szCs w:val="18"/>
        </w:rPr>
        <w:t xml:space="preserve">/2018 from </w:t>
      </w:r>
      <w:hyperlink r:id="rId22" w:history="1">
        <w:r w:rsidRPr="006418A2">
          <w:rPr>
            <w:rStyle w:val="Hyperlink"/>
            <w:sz w:val="18"/>
            <w:szCs w:val="18"/>
          </w:rPr>
          <w:t>www.teqsa.gov.au/national-register</w:t>
        </w:r>
      </w:hyperlink>
      <w:r w:rsidRPr="006418A2">
        <w:rPr>
          <w:sz w:val="18"/>
          <w:szCs w:val="18"/>
        </w:rPr>
        <w:t xml:space="preserve">) </w:t>
      </w:r>
    </w:p>
    <w:p w:rsidR="00651E97" w:rsidRPr="006418A2" w:rsidRDefault="00651E97" w:rsidP="00651E97">
      <w:pPr>
        <w:spacing w:before="0" w:after="0" w:line="240" w:lineRule="auto"/>
        <w:ind w:left="-284" w:right="-144"/>
        <w:rPr>
          <w:sz w:val="18"/>
          <w:szCs w:val="18"/>
        </w:rPr>
      </w:pPr>
      <w:r w:rsidRPr="006418A2">
        <w:rPr>
          <w:sz w:val="18"/>
          <w:szCs w:val="18"/>
        </w:rPr>
        <w:t>*SAA = Self-Accrediting Authority (a provider can self-accredit some or all of its courses)</w:t>
      </w:r>
    </w:p>
    <w:p w:rsidR="00651E97" w:rsidRPr="006418A2" w:rsidRDefault="00651E97" w:rsidP="00651E97">
      <w:pPr>
        <w:spacing w:before="0" w:after="0" w:line="240" w:lineRule="auto"/>
        <w:ind w:left="-284" w:right="-144"/>
        <w:rPr>
          <w:sz w:val="18"/>
          <w:szCs w:val="18"/>
        </w:rPr>
      </w:pPr>
      <w:r w:rsidRPr="006418A2">
        <w:rPr>
          <w:sz w:val="18"/>
          <w:szCs w:val="18"/>
        </w:rPr>
        <w:t>**Student numbers equates to a headcount of all students, 2017 reference year (</w:t>
      </w:r>
      <w:r w:rsidRPr="006418A2">
        <w:rPr>
          <w:i/>
          <w:sz w:val="18"/>
          <w:szCs w:val="18"/>
        </w:rPr>
        <w:t>Source:</w:t>
      </w:r>
      <w:r w:rsidRPr="006418A2">
        <w:rPr>
          <w:sz w:val="18"/>
          <w:szCs w:val="18"/>
        </w:rPr>
        <w:t xml:space="preserve"> Department of Education and Training Higher Education Statistics 2017)</w:t>
      </w:r>
    </w:p>
    <w:p w:rsidR="00651E97" w:rsidRPr="006418A2" w:rsidRDefault="00651E97" w:rsidP="00651E97">
      <w:pPr>
        <w:spacing w:before="0" w:after="0" w:line="240" w:lineRule="auto"/>
        <w:ind w:left="-284" w:right="-144"/>
        <w:rPr>
          <w:sz w:val="18"/>
          <w:szCs w:val="18"/>
        </w:rPr>
      </w:pPr>
      <w:r w:rsidRPr="006418A2">
        <w:rPr>
          <w:sz w:val="18"/>
          <w:szCs w:val="18"/>
        </w:rPr>
        <w:t>^ As of 2018, there are 127 providers registered by TEQSA in the ‘Higher Education Provider’ category, however, the student numbers for this category are based on latest available data from the 133 providers active in 2016 (</w:t>
      </w:r>
      <w:r w:rsidRPr="00736E57">
        <w:rPr>
          <w:i/>
          <w:sz w:val="18"/>
          <w:szCs w:val="18"/>
        </w:rPr>
        <w:t>Source:</w:t>
      </w:r>
      <w:r w:rsidRPr="006418A2">
        <w:rPr>
          <w:sz w:val="18"/>
          <w:szCs w:val="18"/>
        </w:rPr>
        <w:t xml:space="preserve"> TEQSA (2018) </w:t>
      </w:r>
      <w:r w:rsidRPr="006418A2">
        <w:rPr>
          <w:i/>
          <w:sz w:val="18"/>
          <w:szCs w:val="18"/>
        </w:rPr>
        <w:t>Statistics Report on TEQSA Registered Higher Education Providers</w:t>
      </w:r>
      <w:r w:rsidRPr="006140E3">
        <w:rPr>
          <w:sz w:val="18"/>
          <w:szCs w:val="18"/>
        </w:rPr>
        <w:t>).</w:t>
      </w:r>
    </w:p>
    <w:p w:rsidR="00651E97" w:rsidRPr="00CD3344" w:rsidRDefault="00651E97" w:rsidP="006418A2">
      <w:pPr>
        <w:spacing w:after="0"/>
      </w:pPr>
      <w:r>
        <w:t>‘University’ category providers include</w:t>
      </w:r>
      <w:r w:rsidRPr="00CD3344">
        <w:t>:</w:t>
      </w:r>
    </w:p>
    <w:p w:rsidR="00651E97" w:rsidRPr="00CD3344" w:rsidRDefault="00651E97" w:rsidP="00651E97">
      <w:pPr>
        <w:pStyle w:val="ListParagraph"/>
        <w:numPr>
          <w:ilvl w:val="0"/>
          <w:numId w:val="18"/>
        </w:numPr>
        <w:spacing w:before="0" w:after="0" w:line="276" w:lineRule="auto"/>
      </w:pPr>
      <w:r w:rsidRPr="00CD3344">
        <w:t>37 public universities</w:t>
      </w:r>
    </w:p>
    <w:p w:rsidR="00651E97" w:rsidRPr="00CD3344" w:rsidRDefault="00651E97" w:rsidP="00651E97">
      <w:pPr>
        <w:pStyle w:val="ListParagraph"/>
        <w:numPr>
          <w:ilvl w:val="0"/>
          <w:numId w:val="17"/>
        </w:numPr>
        <w:spacing w:before="0" w:after="0" w:line="276" w:lineRule="auto"/>
      </w:pPr>
      <w:r w:rsidRPr="00CD3344">
        <w:t>2 private not-for-profit universities (Bond University and University of Notre Dame</w:t>
      </w:r>
      <w:r>
        <w:t xml:space="preserve"> Australia</w:t>
      </w:r>
      <w:r w:rsidRPr="00CD3344">
        <w:t>)</w:t>
      </w:r>
    </w:p>
    <w:p w:rsidR="00651E97" w:rsidRPr="00CD3344" w:rsidRDefault="00651E97" w:rsidP="00651E97">
      <w:pPr>
        <w:pStyle w:val="ListParagraph"/>
        <w:numPr>
          <w:ilvl w:val="0"/>
          <w:numId w:val="17"/>
        </w:numPr>
        <w:spacing w:before="0" w:after="0" w:line="276" w:lineRule="auto"/>
      </w:pPr>
      <w:r w:rsidRPr="00CD3344">
        <w:t>1 for-profit university (Torrens University)</w:t>
      </w:r>
    </w:p>
    <w:p w:rsidR="00651E97" w:rsidRPr="00CD3344" w:rsidRDefault="00651E97" w:rsidP="00651E97">
      <w:pPr>
        <w:pStyle w:val="ListParagraph"/>
        <w:numPr>
          <w:ilvl w:val="0"/>
          <w:numId w:val="17"/>
        </w:numPr>
        <w:spacing w:before="0" w:after="0" w:line="276" w:lineRule="auto"/>
      </w:pPr>
      <w:r w:rsidRPr="00CD3344">
        <w:t>1 registered as an ‘Australian University of Specialisation’ (University of Divinity)</w:t>
      </w:r>
    </w:p>
    <w:p w:rsidR="00651E97" w:rsidRDefault="00651E97" w:rsidP="00651E97">
      <w:pPr>
        <w:pStyle w:val="ListParagraph"/>
        <w:numPr>
          <w:ilvl w:val="0"/>
          <w:numId w:val="17"/>
        </w:numPr>
        <w:spacing w:before="0" w:after="0" w:line="276" w:lineRule="auto"/>
      </w:pPr>
      <w:r w:rsidRPr="00CD3344">
        <w:t>2 registered as an ‘Overseas University’ (Carnegie Mellon University and University College London, although the latter no longer has a dedicated campus</w:t>
      </w:r>
      <w:r>
        <w:t xml:space="preserve"> nor offers courses</w:t>
      </w:r>
      <w:r w:rsidRPr="00CD3344">
        <w:t xml:space="preserve"> in Au</w:t>
      </w:r>
      <w:r>
        <w:t>stralia)</w:t>
      </w:r>
    </w:p>
    <w:p w:rsidR="00651E97" w:rsidRPr="00CD3344" w:rsidRDefault="00651E97" w:rsidP="00651E97">
      <w:pPr>
        <w:pStyle w:val="ListParagraph"/>
        <w:numPr>
          <w:ilvl w:val="0"/>
          <w:numId w:val="17"/>
        </w:numPr>
        <w:spacing w:before="0" w:after="0" w:line="276" w:lineRule="auto"/>
      </w:pPr>
      <w:r>
        <w:t>no</w:t>
      </w:r>
      <w:r w:rsidRPr="00CD3344">
        <w:t xml:space="preserve"> institutions registered under the ‘Australian University College’ and the ‘Overseas University of Specialisation’ categories.</w:t>
      </w:r>
    </w:p>
    <w:p w:rsidR="00651E97" w:rsidRPr="00CD3344" w:rsidRDefault="00651E97" w:rsidP="006418A2">
      <w:pPr>
        <w:spacing w:after="0"/>
      </w:pPr>
      <w:r>
        <w:t>Non-university ‘Higher Education Providers’ include:</w:t>
      </w:r>
    </w:p>
    <w:p w:rsidR="00651E97" w:rsidRPr="00CD3344" w:rsidRDefault="00651E97" w:rsidP="00651E97">
      <w:pPr>
        <w:pStyle w:val="ListParagraph"/>
        <w:numPr>
          <w:ilvl w:val="0"/>
          <w:numId w:val="19"/>
        </w:numPr>
        <w:spacing w:before="0" w:after="0" w:line="276" w:lineRule="auto"/>
      </w:pPr>
      <w:r>
        <w:t>not-for-profit providers including some Government semi-autonomous bodies</w:t>
      </w:r>
    </w:p>
    <w:p w:rsidR="00651E97" w:rsidRPr="00CD3344" w:rsidRDefault="00651E97" w:rsidP="00651E97">
      <w:pPr>
        <w:pStyle w:val="ListParagraph"/>
        <w:numPr>
          <w:ilvl w:val="0"/>
          <w:numId w:val="19"/>
        </w:numPr>
        <w:spacing w:before="0" w:after="0" w:line="276" w:lineRule="auto"/>
      </w:pPr>
      <w:r w:rsidRPr="00CD3344">
        <w:t>for</w:t>
      </w:r>
      <w:r>
        <w:t>-</w:t>
      </w:r>
      <w:r w:rsidRPr="00CD3344">
        <w:t>profit stand-alone proprietary limited companies, sometimes with related VET provider companies, or that provide VET programs from the same (dual sector) company</w:t>
      </w:r>
    </w:p>
    <w:p w:rsidR="00651E97" w:rsidRDefault="00651E97" w:rsidP="00651E97">
      <w:pPr>
        <w:pStyle w:val="ListParagraph"/>
        <w:numPr>
          <w:ilvl w:val="0"/>
          <w:numId w:val="19"/>
        </w:numPr>
        <w:spacing w:before="0" w:after="0" w:line="276" w:lineRule="auto"/>
      </w:pPr>
      <w:r w:rsidRPr="00CD3344">
        <w:t>for-profit proprietary companies that are subsidiaries of a wider corporate group</w:t>
      </w:r>
      <w:r>
        <w:t xml:space="preserve"> (either Australian or overseas</w:t>
      </w:r>
      <w:r>
        <w:noBreakHyphen/>
      </w:r>
      <w:r w:rsidRPr="00CD3344">
        <w:t>owned)</w:t>
      </w:r>
    </w:p>
    <w:p w:rsidR="00651E97" w:rsidRPr="00CD3344" w:rsidRDefault="00651E97" w:rsidP="00651E97">
      <w:pPr>
        <w:pStyle w:val="ListParagraph"/>
        <w:numPr>
          <w:ilvl w:val="0"/>
          <w:numId w:val="19"/>
        </w:numPr>
        <w:spacing w:before="0" w:after="0" w:line="276" w:lineRule="auto"/>
      </w:pPr>
      <w:r w:rsidRPr="00CD3344">
        <w:t>faith-based colleges, some of which are standalone and others affiliated in a consortium</w:t>
      </w:r>
    </w:p>
    <w:p w:rsidR="00651E97" w:rsidRPr="00CD3344" w:rsidRDefault="00651E97" w:rsidP="00651E97">
      <w:pPr>
        <w:pStyle w:val="ListParagraph"/>
        <w:numPr>
          <w:ilvl w:val="0"/>
          <w:numId w:val="19"/>
        </w:numPr>
        <w:spacing w:before="0" w:after="0" w:line="276" w:lineRule="auto"/>
      </w:pPr>
      <w:r w:rsidRPr="00CD3344">
        <w:t>online-only providers</w:t>
      </w:r>
    </w:p>
    <w:p w:rsidR="00651E97" w:rsidRDefault="00651E97" w:rsidP="00651E97">
      <w:pPr>
        <w:pStyle w:val="ListParagraph"/>
        <w:numPr>
          <w:ilvl w:val="0"/>
          <w:numId w:val="19"/>
        </w:numPr>
        <w:spacing w:before="0" w:after="0" w:line="276" w:lineRule="auto"/>
      </w:pPr>
      <w:r w:rsidRPr="00CD3344">
        <w:t>providers that specialise in one or more fields of education and providers that have multiple fields of education</w:t>
      </w:r>
    </w:p>
    <w:p w:rsidR="00651E97" w:rsidRDefault="00651E97" w:rsidP="00651E97">
      <w:pPr>
        <w:pStyle w:val="ListParagraph"/>
        <w:numPr>
          <w:ilvl w:val="0"/>
          <w:numId w:val="19"/>
        </w:numPr>
        <w:spacing w:before="0" w:after="0" w:line="276" w:lineRule="auto"/>
      </w:pPr>
      <w:r>
        <w:t xml:space="preserve">providers that offer established diploma or foundational course </w:t>
      </w:r>
      <w:r w:rsidRPr="00CD3344">
        <w:t>pathway</w:t>
      </w:r>
      <w:r>
        <w:t>s</w:t>
      </w:r>
      <w:r w:rsidRPr="00CD3344">
        <w:t xml:space="preserve"> into degrees at a single university, or multiple universities.</w:t>
      </w:r>
    </w:p>
    <w:p w:rsidR="00490D5C" w:rsidRDefault="00885B8B" w:rsidP="00885B8B">
      <w:r>
        <w:lastRenderedPageBreak/>
        <w:t>Australia’s higher education sector has experienced significant growth since the inception of the National Protocols in 2000</w:t>
      </w:r>
      <w:r w:rsidR="00260D77">
        <w:t>, driven by increased demand for higher educati</w:t>
      </w:r>
      <w:r w:rsidR="006C776B">
        <w:t>on by domestic and overseas</w:t>
      </w:r>
      <w:r w:rsidR="00260D77">
        <w:t xml:space="preserve"> students.</w:t>
      </w:r>
      <w:r w:rsidR="006C776B">
        <w:t xml:space="preserve"> </w:t>
      </w:r>
    </w:p>
    <w:p w:rsidR="006F122D" w:rsidRDefault="00D17E45" w:rsidP="009C14AF">
      <w:pPr>
        <w:ind w:hanging="426"/>
        <w:jc w:val="center"/>
        <w:rPr>
          <w:b/>
        </w:rPr>
      </w:pPr>
      <w:r>
        <w:rPr>
          <w:noProof/>
          <w:lang w:eastAsia="en-A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Graph depicting student numbers by provider type from 2001-2017." style="width:492.3pt;height:293pt">
            <v:imagedata r:id="rId23" o:title="Captsdfure"/>
          </v:shape>
        </w:pict>
      </w:r>
    </w:p>
    <w:p w:rsidR="006F122D" w:rsidRPr="006C776B" w:rsidRDefault="006C776B" w:rsidP="006F122D">
      <w:pPr>
        <w:rPr>
          <w:sz w:val="18"/>
          <w:szCs w:val="18"/>
        </w:rPr>
      </w:pPr>
      <w:r>
        <w:rPr>
          <w:sz w:val="18"/>
          <w:szCs w:val="18"/>
        </w:rPr>
        <w:t>* Includes</w:t>
      </w:r>
      <w:r w:rsidR="006F122D" w:rsidRPr="006C776B">
        <w:rPr>
          <w:sz w:val="18"/>
          <w:szCs w:val="18"/>
        </w:rPr>
        <w:t xml:space="preserve"> </w:t>
      </w:r>
      <w:r w:rsidR="00976C89">
        <w:rPr>
          <w:sz w:val="18"/>
          <w:szCs w:val="18"/>
        </w:rPr>
        <w:t>Table A, B and C providers under HESA (refer Funding section below)</w:t>
      </w:r>
      <w:r>
        <w:rPr>
          <w:sz w:val="18"/>
          <w:szCs w:val="18"/>
        </w:rPr>
        <w:t>.</w:t>
      </w:r>
    </w:p>
    <w:p w:rsidR="00490D5C" w:rsidRDefault="00490D5C" w:rsidP="00651E97">
      <w:pPr>
        <w:pStyle w:val="Heading2"/>
        <w:spacing w:before="0" w:after="0"/>
      </w:pPr>
    </w:p>
    <w:p w:rsidR="00651E97" w:rsidRPr="00614F39" w:rsidRDefault="00651E97" w:rsidP="00651E97">
      <w:pPr>
        <w:pStyle w:val="Heading2"/>
        <w:spacing w:before="0" w:after="0"/>
      </w:pPr>
      <w:bookmarkStart w:id="15" w:name="_Toc531606770"/>
      <w:r>
        <w:t>Funding</w:t>
      </w:r>
      <w:bookmarkEnd w:id="15"/>
    </w:p>
    <w:p w:rsidR="00651E97" w:rsidRDefault="00651E97" w:rsidP="00651E97">
      <w:pPr>
        <w:spacing w:before="0" w:after="0"/>
      </w:pPr>
      <w:r>
        <w:t xml:space="preserve">The </w:t>
      </w:r>
      <w:r w:rsidRPr="00856B27">
        <w:rPr>
          <w:rFonts w:eastAsiaTheme="minorEastAsia"/>
        </w:rPr>
        <w:t>majority</w:t>
      </w:r>
      <w:r>
        <w:t xml:space="preserve"> of higher education funding is administered under the </w:t>
      </w:r>
      <w:r w:rsidRPr="00820AF8">
        <w:rPr>
          <w:i/>
        </w:rPr>
        <w:t xml:space="preserve">Higher Education Support Act 2003 </w:t>
      </w:r>
      <w:r w:rsidRPr="004C2E45">
        <w:t>(HESA).</w:t>
      </w:r>
      <w:r w:rsidRPr="00ED70A7">
        <w:t xml:space="preserve"> </w:t>
      </w:r>
      <w:r>
        <w:t>Under HESA, providers are listed under Tables A, B and C:</w:t>
      </w:r>
    </w:p>
    <w:p w:rsidR="00651E97" w:rsidRDefault="00651E97" w:rsidP="00651E97">
      <w:pPr>
        <w:pStyle w:val="Default"/>
        <w:numPr>
          <w:ilvl w:val="0"/>
          <w:numId w:val="23"/>
        </w:numPr>
        <w:rPr>
          <w:rFonts w:asciiTheme="minorHAnsi" w:hAnsiTheme="minorHAnsi" w:cstheme="minorHAnsi"/>
          <w:sz w:val="22"/>
          <w:szCs w:val="22"/>
        </w:rPr>
      </w:pPr>
      <w:r>
        <w:rPr>
          <w:rFonts w:asciiTheme="minorHAnsi" w:hAnsiTheme="minorHAnsi" w:cstheme="minorHAnsi"/>
          <w:sz w:val="22"/>
          <w:szCs w:val="22"/>
        </w:rPr>
        <w:t>Table A –</w:t>
      </w:r>
      <w:r w:rsidR="00B34616">
        <w:rPr>
          <w:rFonts w:asciiTheme="minorHAnsi" w:hAnsiTheme="minorHAnsi" w:cstheme="minorHAnsi"/>
          <w:sz w:val="22"/>
          <w:szCs w:val="22"/>
        </w:rPr>
        <w:t xml:space="preserve"> </w:t>
      </w:r>
      <w:r>
        <w:rPr>
          <w:rFonts w:asciiTheme="minorHAnsi" w:hAnsiTheme="minorHAnsi" w:cstheme="minorHAnsi"/>
          <w:sz w:val="22"/>
          <w:szCs w:val="22"/>
        </w:rPr>
        <w:t xml:space="preserve">Australian </w:t>
      </w:r>
      <w:r w:rsidR="00976C89">
        <w:rPr>
          <w:rFonts w:asciiTheme="minorHAnsi" w:hAnsiTheme="minorHAnsi" w:cstheme="minorHAnsi"/>
          <w:sz w:val="22"/>
          <w:szCs w:val="22"/>
        </w:rPr>
        <w:t xml:space="preserve">public </w:t>
      </w:r>
      <w:r>
        <w:rPr>
          <w:rFonts w:asciiTheme="minorHAnsi" w:hAnsiTheme="minorHAnsi" w:cstheme="minorHAnsi"/>
          <w:sz w:val="22"/>
          <w:szCs w:val="22"/>
        </w:rPr>
        <w:t>universities and Batchelor Institute of Indigenous Tertiary Education</w:t>
      </w:r>
    </w:p>
    <w:p w:rsidR="00651E97" w:rsidRDefault="00651E97" w:rsidP="00651E97">
      <w:pPr>
        <w:pStyle w:val="Default"/>
        <w:numPr>
          <w:ilvl w:val="0"/>
          <w:numId w:val="23"/>
        </w:numPr>
        <w:rPr>
          <w:rFonts w:asciiTheme="minorHAnsi" w:hAnsiTheme="minorHAnsi" w:cstheme="minorHAnsi"/>
          <w:sz w:val="22"/>
          <w:szCs w:val="22"/>
        </w:rPr>
      </w:pPr>
      <w:r>
        <w:rPr>
          <w:rFonts w:asciiTheme="minorHAnsi" w:hAnsiTheme="minorHAnsi" w:cstheme="minorHAnsi"/>
          <w:sz w:val="22"/>
          <w:szCs w:val="22"/>
        </w:rPr>
        <w:t>Table B – four Australian private universities (Bond University, University of Notre Dame Australia, MCD University of Divinity, and Torrens University)</w:t>
      </w:r>
    </w:p>
    <w:p w:rsidR="00651E97" w:rsidRDefault="00651E97" w:rsidP="00651E97">
      <w:pPr>
        <w:pStyle w:val="Default"/>
        <w:numPr>
          <w:ilvl w:val="0"/>
          <w:numId w:val="23"/>
        </w:numPr>
        <w:rPr>
          <w:rFonts w:asciiTheme="minorHAnsi" w:hAnsiTheme="minorHAnsi" w:cstheme="minorHAnsi"/>
          <w:sz w:val="22"/>
          <w:szCs w:val="22"/>
        </w:rPr>
      </w:pPr>
      <w:r>
        <w:rPr>
          <w:rFonts w:asciiTheme="minorHAnsi" w:hAnsiTheme="minorHAnsi" w:cstheme="minorHAnsi"/>
          <w:sz w:val="22"/>
          <w:szCs w:val="22"/>
        </w:rPr>
        <w:t xml:space="preserve">Table C – Carnegie Mellon University and University College London (registered by TEQSA in the </w:t>
      </w:r>
      <w:r w:rsidR="00CC0FE9">
        <w:rPr>
          <w:rFonts w:asciiTheme="minorHAnsi" w:hAnsiTheme="minorHAnsi" w:cstheme="minorHAnsi"/>
          <w:sz w:val="22"/>
          <w:szCs w:val="22"/>
        </w:rPr>
        <w:t>‘</w:t>
      </w:r>
      <w:r>
        <w:rPr>
          <w:rFonts w:asciiTheme="minorHAnsi" w:hAnsiTheme="minorHAnsi" w:cstheme="minorHAnsi"/>
          <w:sz w:val="22"/>
          <w:szCs w:val="22"/>
        </w:rPr>
        <w:t>Overseas University</w:t>
      </w:r>
      <w:r w:rsidR="00CC0FE9">
        <w:rPr>
          <w:rFonts w:asciiTheme="minorHAnsi" w:hAnsiTheme="minorHAnsi" w:cstheme="minorHAnsi"/>
          <w:sz w:val="22"/>
          <w:szCs w:val="22"/>
        </w:rPr>
        <w:t>’</w:t>
      </w:r>
      <w:r>
        <w:rPr>
          <w:rFonts w:asciiTheme="minorHAnsi" w:hAnsiTheme="minorHAnsi" w:cstheme="minorHAnsi"/>
          <w:sz w:val="22"/>
          <w:szCs w:val="22"/>
        </w:rPr>
        <w:t xml:space="preserve"> category).</w:t>
      </w:r>
    </w:p>
    <w:p w:rsidR="00651E97" w:rsidRDefault="00651E97" w:rsidP="00651E97">
      <w:pPr>
        <w:spacing w:before="0" w:after="0"/>
      </w:pPr>
    </w:p>
    <w:p w:rsidR="00490D5C" w:rsidRDefault="00490D5C">
      <w:pPr>
        <w:spacing w:before="0" w:after="160"/>
      </w:pPr>
      <w:r>
        <w:br w:type="page"/>
      </w:r>
    </w:p>
    <w:p w:rsidR="00E60CD2" w:rsidRDefault="00651E97">
      <w:pPr>
        <w:spacing w:before="0" w:after="0"/>
      </w:pPr>
      <w:r>
        <w:lastRenderedPageBreak/>
        <w:t>Funding set out under HESA includes:</w:t>
      </w:r>
      <w:r w:rsidR="00E60CD2">
        <w:t xml:space="preserve"> </w:t>
      </w:r>
    </w:p>
    <w:p w:rsidR="00651E97" w:rsidRDefault="00651E97" w:rsidP="00B85694">
      <w:pPr>
        <w:pStyle w:val="ListParagraph"/>
        <w:numPr>
          <w:ilvl w:val="0"/>
          <w:numId w:val="24"/>
        </w:numPr>
        <w:spacing w:before="0" w:after="0"/>
        <w:ind w:left="714" w:hanging="357"/>
      </w:pPr>
      <w:r>
        <w:t>the Commonwealth Grant Scheme (CGS)</w:t>
      </w:r>
      <w:r w:rsidR="00976C89">
        <w:t xml:space="preserve"> – through </w:t>
      </w:r>
      <w:r>
        <w:t>which</w:t>
      </w:r>
      <w:r w:rsidR="00C63813">
        <w:t xml:space="preserve"> the Australian Government subsidises tuition costs for domestic higher education students</w:t>
      </w:r>
      <w:r w:rsidR="00976C89">
        <w:t xml:space="preserve"> via</w:t>
      </w:r>
      <w:r w:rsidR="00CC0FE9">
        <w:t xml:space="preserve"> Commonwealth supported places (CSPs).</w:t>
      </w:r>
      <w:r w:rsidR="003455C6">
        <w:t xml:space="preserve"> Table A</w:t>
      </w:r>
      <w:r>
        <w:t xml:space="preserve"> universities are able to enrol as many domestic students in bachelor-level </w:t>
      </w:r>
      <w:r w:rsidR="00C63813">
        <w:t>CSPs</w:t>
      </w:r>
      <w:r>
        <w:t xml:space="preserve"> as they wish</w:t>
      </w:r>
      <w:r w:rsidR="00DE4BF0">
        <w:t xml:space="preserve">, </w:t>
      </w:r>
      <w:r w:rsidR="00DE4BF0" w:rsidRPr="00ED4DBD">
        <w:t>except for medicine</w:t>
      </w:r>
      <w:r w:rsidR="00DE4BF0" w:rsidRPr="00ED4DBD">
        <w:rPr>
          <w:color w:val="1F497D"/>
        </w:rPr>
        <w:t xml:space="preserve"> </w:t>
      </w:r>
      <w:r w:rsidR="00DE4BF0" w:rsidRPr="00ED4DBD">
        <w:t>courses</w:t>
      </w:r>
      <w:r>
        <w:t>. Under current policy, CG</w:t>
      </w:r>
      <w:r w:rsidR="00490D5C">
        <w:t xml:space="preserve">S funding for these students is </w:t>
      </w:r>
      <w:r>
        <w:t xml:space="preserve">capped, but it was previously demand-driven. </w:t>
      </w:r>
      <w:r w:rsidR="00C63813">
        <w:t xml:space="preserve">Universities continue to receive student contributions for every Commonwealth supported student enrolled. </w:t>
      </w:r>
      <w:r>
        <w:t xml:space="preserve">Table A universities are also allocated a certain number of postgraduate and sub-bachelor CSPs. </w:t>
      </w:r>
      <w:r w:rsidR="00C63813">
        <w:t>Non</w:t>
      </w:r>
      <w:r w:rsidR="00B71FE9">
        <w:t>-</w:t>
      </w:r>
      <w:r w:rsidR="00C63813">
        <w:t>Table A</w:t>
      </w:r>
      <w:r>
        <w:t xml:space="preserve"> providers are funded for CSPs based on allocations by the Australian Government.</w:t>
      </w:r>
      <w:r w:rsidR="00C63813">
        <w:t xml:space="preserve"> While funding is provided primarily to support the teaching of students, the Government does not prescribe how CGS funding must be spent by universities. </w:t>
      </w:r>
    </w:p>
    <w:p w:rsidR="00651E97" w:rsidRDefault="00651E97" w:rsidP="00CC0FE9">
      <w:pPr>
        <w:pStyle w:val="ListParagraph"/>
        <w:numPr>
          <w:ilvl w:val="0"/>
          <w:numId w:val="20"/>
        </w:numPr>
        <w:spacing w:before="0" w:after="0" w:line="276" w:lineRule="auto"/>
        <w:contextualSpacing w:val="0"/>
      </w:pPr>
      <w:r>
        <w:t>the Higher Education Loan Program (HELP)</w:t>
      </w:r>
      <w:r w:rsidR="00976C89">
        <w:t xml:space="preserve"> – </w:t>
      </w:r>
      <w:r>
        <w:t>which provide</w:t>
      </w:r>
      <w:r w:rsidR="00B71FE9">
        <w:t>s</w:t>
      </w:r>
      <w:r>
        <w:t xml:space="preserve"> income contingent loans to help students meet their study costs</w:t>
      </w:r>
      <w:r w:rsidR="003455C6">
        <w:t xml:space="preserve"> through </w:t>
      </w:r>
      <w:r w:rsidR="005603EE">
        <w:t>higher e</w:t>
      </w:r>
      <w:r w:rsidR="003455C6">
        <w:t xml:space="preserve">ducation </w:t>
      </w:r>
      <w:r w:rsidR="005603EE">
        <w:t>p</w:t>
      </w:r>
      <w:r w:rsidR="003455C6">
        <w:t>rovider</w:t>
      </w:r>
      <w:r w:rsidR="00E60CD2">
        <w:t>s</w:t>
      </w:r>
      <w:r w:rsidR="005603EE">
        <w:t xml:space="preserve"> approved under HESA</w:t>
      </w:r>
      <w:r w:rsidR="00CC0FE9">
        <w:t>, such as FEE-HELP</w:t>
      </w:r>
      <w:r>
        <w:t>.</w:t>
      </w:r>
    </w:p>
    <w:p w:rsidR="00651E97" w:rsidRDefault="00651E97" w:rsidP="00651E97">
      <w:pPr>
        <w:pStyle w:val="ListParagraph"/>
        <w:numPr>
          <w:ilvl w:val="0"/>
          <w:numId w:val="20"/>
        </w:numPr>
        <w:spacing w:before="0" w:after="0" w:line="276" w:lineRule="auto"/>
        <w:contextualSpacing w:val="0"/>
      </w:pPr>
      <w:r>
        <w:t>Research block grants</w:t>
      </w:r>
      <w:r w:rsidR="00976C89">
        <w:t xml:space="preserve"> – </w:t>
      </w:r>
      <w:r>
        <w:t>which provide block funding to eligible Australian higher education providers for research and research training</w:t>
      </w:r>
      <w:r w:rsidR="00E60CD2">
        <w:t>.</w:t>
      </w:r>
      <w:r w:rsidR="003455C6">
        <w:t xml:space="preserve"> </w:t>
      </w:r>
      <w:r>
        <w:t>Table A and B providers are eligible for research block grants</w:t>
      </w:r>
      <w:r w:rsidR="003455C6">
        <w:t xml:space="preserve"> </w:t>
      </w:r>
      <w:r>
        <w:t>on a calendar year basis using program-specific formulae that reward the performance of providers in attracting research income and the successful completion of higher degree</w:t>
      </w:r>
      <w:r w:rsidR="00E377B0">
        <w:t>s</w:t>
      </w:r>
      <w:r>
        <w:t xml:space="preserve"> by research.</w:t>
      </w:r>
    </w:p>
    <w:p w:rsidR="00651E97" w:rsidRPr="00F44EBE" w:rsidRDefault="00651E97" w:rsidP="00B85694">
      <w:pPr>
        <w:tabs>
          <w:tab w:val="left" w:pos="6432"/>
        </w:tabs>
        <w:spacing w:before="0" w:after="0" w:line="276" w:lineRule="auto"/>
      </w:pPr>
    </w:p>
    <w:tbl>
      <w:tblPr>
        <w:tblStyle w:val="TableGrid"/>
        <w:tblW w:w="9349" w:type="dxa"/>
        <w:tblInd w:w="-289" w:type="dxa"/>
        <w:tblBorders>
          <w:left w:val="single" w:sz="4" w:space="0" w:color="auto"/>
        </w:tblBorders>
        <w:tblLook w:val="04A0" w:firstRow="1" w:lastRow="0" w:firstColumn="1" w:lastColumn="0" w:noHBand="0" w:noVBand="1"/>
        <w:tblDescription w:val="Types of funding by provider type under the PCS (table). "/>
      </w:tblPr>
      <w:tblGrid>
        <w:gridCol w:w="3130"/>
        <w:gridCol w:w="1465"/>
        <w:gridCol w:w="1542"/>
        <w:gridCol w:w="1568"/>
        <w:gridCol w:w="1644"/>
      </w:tblGrid>
      <w:tr w:rsidR="00651E97" w:rsidRPr="007D4A06" w:rsidTr="004C2E45">
        <w:trPr>
          <w:cnfStyle w:val="100000000000" w:firstRow="1" w:lastRow="0" w:firstColumn="0" w:lastColumn="0" w:oddVBand="0" w:evenVBand="0" w:oddHBand="0" w:evenHBand="0" w:firstRowFirstColumn="0" w:firstRowLastColumn="0" w:lastRowFirstColumn="0" w:lastRowLastColumn="0"/>
          <w:trHeight w:val="377"/>
        </w:trPr>
        <w:tc>
          <w:tcPr>
            <w:tcW w:w="3130" w:type="dxa"/>
          </w:tcPr>
          <w:p w:rsidR="00651E97" w:rsidRPr="007D4A06" w:rsidRDefault="00651E97" w:rsidP="004C2E45">
            <w:pPr>
              <w:spacing w:before="0" w:after="0"/>
              <w:rPr>
                <w:sz w:val="22"/>
              </w:rPr>
            </w:pPr>
            <w:r w:rsidRPr="007D4A06">
              <w:rPr>
                <w:sz w:val="22"/>
              </w:rPr>
              <w:t>Provider category</w:t>
            </w:r>
          </w:p>
        </w:tc>
        <w:tc>
          <w:tcPr>
            <w:tcW w:w="1465" w:type="dxa"/>
            <w:vAlign w:val="top"/>
          </w:tcPr>
          <w:p w:rsidR="00651E97" w:rsidRDefault="00651E97" w:rsidP="004C2E45">
            <w:pPr>
              <w:spacing w:before="0" w:after="0"/>
            </w:pPr>
            <w:r w:rsidRPr="00583B06">
              <w:rPr>
                <w:sz w:val="22"/>
              </w:rPr>
              <w:t>Total number of providers in provider category</w:t>
            </w:r>
            <w:r w:rsidR="00E60CD2">
              <w:rPr>
                <w:sz w:val="22"/>
              </w:rPr>
              <w:t>^</w:t>
            </w:r>
          </w:p>
        </w:tc>
        <w:tc>
          <w:tcPr>
            <w:tcW w:w="1542" w:type="dxa"/>
            <w:vAlign w:val="top"/>
          </w:tcPr>
          <w:p w:rsidR="00651E97" w:rsidRPr="007D4A06" w:rsidRDefault="00651E97" w:rsidP="004C2E45">
            <w:pPr>
              <w:spacing w:before="0" w:after="0"/>
              <w:rPr>
                <w:sz w:val="22"/>
              </w:rPr>
            </w:pPr>
            <w:r>
              <w:rPr>
                <w:sz w:val="22"/>
              </w:rPr>
              <w:t xml:space="preserve">Number of providers that currently access CGS* </w:t>
            </w:r>
          </w:p>
        </w:tc>
        <w:tc>
          <w:tcPr>
            <w:tcW w:w="1568" w:type="dxa"/>
            <w:vAlign w:val="top"/>
          </w:tcPr>
          <w:p w:rsidR="00651E97" w:rsidRPr="007D4A06" w:rsidRDefault="00651E97" w:rsidP="004C2E45">
            <w:pPr>
              <w:spacing w:before="0" w:after="0"/>
              <w:rPr>
                <w:sz w:val="22"/>
              </w:rPr>
            </w:pPr>
            <w:r>
              <w:rPr>
                <w:sz w:val="22"/>
              </w:rPr>
              <w:t>Number of providers that currently access FEE-HELP^</w:t>
            </w:r>
            <w:r w:rsidR="00E60CD2">
              <w:rPr>
                <w:sz w:val="22"/>
              </w:rPr>
              <w:t>^</w:t>
            </w:r>
            <w:r>
              <w:rPr>
                <w:sz w:val="22"/>
              </w:rPr>
              <w:t xml:space="preserve"> </w:t>
            </w:r>
          </w:p>
        </w:tc>
        <w:tc>
          <w:tcPr>
            <w:tcW w:w="1644" w:type="dxa"/>
            <w:vAlign w:val="top"/>
          </w:tcPr>
          <w:p w:rsidR="00651E97" w:rsidRPr="00C502F6" w:rsidRDefault="00651E97" w:rsidP="004C2E45">
            <w:pPr>
              <w:spacing w:before="0" w:after="0"/>
              <w:rPr>
                <w:sz w:val="22"/>
              </w:rPr>
            </w:pPr>
            <w:r>
              <w:rPr>
                <w:sz w:val="22"/>
              </w:rPr>
              <w:t xml:space="preserve">Number of providers that currently access research block grants** </w:t>
            </w:r>
          </w:p>
        </w:tc>
      </w:tr>
      <w:tr w:rsidR="00651E97" w:rsidRPr="007D4A06" w:rsidTr="004C2E45">
        <w:trPr>
          <w:trHeight w:val="366"/>
        </w:trPr>
        <w:tc>
          <w:tcPr>
            <w:tcW w:w="3130" w:type="dxa"/>
          </w:tcPr>
          <w:p w:rsidR="00651E97" w:rsidRPr="007D4A06" w:rsidRDefault="00651E97" w:rsidP="004C2E45">
            <w:pPr>
              <w:spacing w:before="0" w:after="0"/>
            </w:pPr>
            <w:r w:rsidRPr="007D4A06">
              <w:t>Higher Education Provider</w:t>
            </w:r>
          </w:p>
        </w:tc>
        <w:tc>
          <w:tcPr>
            <w:tcW w:w="1465" w:type="dxa"/>
          </w:tcPr>
          <w:p w:rsidR="00651E97" w:rsidRDefault="00651E97" w:rsidP="004C2E45">
            <w:pPr>
              <w:spacing w:before="0" w:after="0"/>
            </w:pPr>
            <w:r>
              <w:t>127</w:t>
            </w:r>
          </w:p>
        </w:tc>
        <w:tc>
          <w:tcPr>
            <w:tcW w:w="1542" w:type="dxa"/>
          </w:tcPr>
          <w:p w:rsidR="00651E97" w:rsidRPr="007D4A06" w:rsidRDefault="00651E97" w:rsidP="004C2E45">
            <w:pPr>
              <w:spacing w:before="0" w:after="0"/>
            </w:pPr>
            <w:r>
              <w:t>6</w:t>
            </w:r>
          </w:p>
        </w:tc>
        <w:tc>
          <w:tcPr>
            <w:tcW w:w="1568" w:type="dxa"/>
          </w:tcPr>
          <w:p w:rsidR="00651E97" w:rsidRPr="007D4A06" w:rsidRDefault="00651E97" w:rsidP="004C2E45">
            <w:pPr>
              <w:spacing w:before="0" w:after="0"/>
            </w:pPr>
            <w:r>
              <w:t>94</w:t>
            </w:r>
          </w:p>
        </w:tc>
        <w:tc>
          <w:tcPr>
            <w:tcW w:w="1644" w:type="dxa"/>
          </w:tcPr>
          <w:p w:rsidR="00651E97" w:rsidRPr="00C502F6" w:rsidRDefault="00651E97" w:rsidP="004C2E45">
            <w:pPr>
              <w:spacing w:before="0" w:after="0"/>
            </w:pPr>
            <w:r>
              <w:t>1</w:t>
            </w:r>
          </w:p>
        </w:tc>
      </w:tr>
      <w:tr w:rsidR="00651E97" w:rsidRPr="007D4A06" w:rsidTr="004C2E45">
        <w:trPr>
          <w:trHeight w:val="346"/>
        </w:trPr>
        <w:tc>
          <w:tcPr>
            <w:tcW w:w="3130" w:type="dxa"/>
            <w:shd w:val="clear" w:color="auto" w:fill="DEEAF6" w:themeFill="accent1" w:themeFillTint="33"/>
          </w:tcPr>
          <w:p w:rsidR="00651E97" w:rsidRPr="007D4A06" w:rsidRDefault="00651E97" w:rsidP="004C2E45">
            <w:pPr>
              <w:spacing w:before="0" w:after="0"/>
            </w:pPr>
            <w:r w:rsidRPr="007D4A06">
              <w:t>Australian University</w:t>
            </w:r>
          </w:p>
        </w:tc>
        <w:tc>
          <w:tcPr>
            <w:tcW w:w="1465" w:type="dxa"/>
            <w:shd w:val="clear" w:color="auto" w:fill="DEEAF6" w:themeFill="accent1" w:themeFillTint="33"/>
          </w:tcPr>
          <w:p w:rsidR="00651E97" w:rsidRPr="00C502F6" w:rsidRDefault="00651E97" w:rsidP="004C2E45">
            <w:pPr>
              <w:spacing w:before="0" w:after="0"/>
            </w:pPr>
            <w:r>
              <w:t>40</w:t>
            </w:r>
          </w:p>
        </w:tc>
        <w:tc>
          <w:tcPr>
            <w:tcW w:w="1542" w:type="dxa"/>
            <w:shd w:val="clear" w:color="auto" w:fill="DEEAF6" w:themeFill="accent1" w:themeFillTint="33"/>
          </w:tcPr>
          <w:p w:rsidR="00651E97" w:rsidRPr="007D4A06" w:rsidRDefault="00651E97" w:rsidP="004C2E45">
            <w:pPr>
              <w:spacing w:before="0" w:after="0"/>
            </w:pPr>
            <w:r>
              <w:t>38</w:t>
            </w:r>
          </w:p>
        </w:tc>
        <w:tc>
          <w:tcPr>
            <w:tcW w:w="1568" w:type="dxa"/>
            <w:shd w:val="clear" w:color="auto" w:fill="DEEAF6" w:themeFill="accent1" w:themeFillTint="33"/>
          </w:tcPr>
          <w:p w:rsidR="00651E97" w:rsidRPr="007D4A06" w:rsidRDefault="00651E97" w:rsidP="004C2E45">
            <w:pPr>
              <w:spacing w:before="0" w:after="0"/>
            </w:pPr>
            <w:r>
              <w:t>40</w:t>
            </w:r>
          </w:p>
        </w:tc>
        <w:tc>
          <w:tcPr>
            <w:tcW w:w="1644" w:type="dxa"/>
            <w:shd w:val="clear" w:color="auto" w:fill="DEEAF6" w:themeFill="accent1" w:themeFillTint="33"/>
          </w:tcPr>
          <w:p w:rsidR="00651E97" w:rsidRPr="00C502F6" w:rsidRDefault="00651E97" w:rsidP="004C2E45">
            <w:pPr>
              <w:spacing w:before="0" w:after="0"/>
            </w:pPr>
            <w:r w:rsidRPr="00C502F6">
              <w:t>40</w:t>
            </w:r>
          </w:p>
        </w:tc>
      </w:tr>
      <w:tr w:rsidR="00651E97" w:rsidRPr="007D4A06" w:rsidTr="004C2E45">
        <w:trPr>
          <w:trHeight w:val="366"/>
        </w:trPr>
        <w:tc>
          <w:tcPr>
            <w:tcW w:w="3130" w:type="dxa"/>
          </w:tcPr>
          <w:p w:rsidR="00651E97" w:rsidRPr="007D4A06" w:rsidRDefault="00651E97" w:rsidP="004C2E45">
            <w:pPr>
              <w:spacing w:before="0" w:after="0"/>
            </w:pPr>
            <w:r w:rsidRPr="007D4A06">
              <w:t>Australian University College</w:t>
            </w:r>
          </w:p>
        </w:tc>
        <w:tc>
          <w:tcPr>
            <w:tcW w:w="1465" w:type="dxa"/>
          </w:tcPr>
          <w:p w:rsidR="00651E97" w:rsidRDefault="00651E97" w:rsidP="004C2E45">
            <w:pPr>
              <w:keepNext/>
              <w:spacing w:before="0" w:after="0"/>
            </w:pPr>
            <w:r>
              <w:t>0</w:t>
            </w:r>
          </w:p>
        </w:tc>
        <w:tc>
          <w:tcPr>
            <w:tcW w:w="1542" w:type="dxa"/>
          </w:tcPr>
          <w:p w:rsidR="00651E97" w:rsidRPr="007D4A06" w:rsidRDefault="00651E97" w:rsidP="004C2E45">
            <w:pPr>
              <w:keepNext/>
              <w:spacing w:before="0" w:after="0"/>
            </w:pPr>
            <w:r>
              <w:t>0</w:t>
            </w:r>
          </w:p>
        </w:tc>
        <w:tc>
          <w:tcPr>
            <w:tcW w:w="1568" w:type="dxa"/>
          </w:tcPr>
          <w:p w:rsidR="00651E97" w:rsidRPr="007D4A06" w:rsidRDefault="00651E97" w:rsidP="004C2E45">
            <w:pPr>
              <w:keepNext/>
              <w:spacing w:before="0" w:after="0"/>
            </w:pPr>
            <w:r>
              <w:t>0</w:t>
            </w:r>
          </w:p>
        </w:tc>
        <w:tc>
          <w:tcPr>
            <w:tcW w:w="1644" w:type="dxa"/>
          </w:tcPr>
          <w:p w:rsidR="00651E97" w:rsidRPr="00C502F6" w:rsidRDefault="00651E97" w:rsidP="004C2E45">
            <w:pPr>
              <w:keepNext/>
              <w:spacing w:before="0" w:after="0"/>
            </w:pPr>
            <w:r>
              <w:t>0</w:t>
            </w:r>
          </w:p>
        </w:tc>
      </w:tr>
      <w:tr w:rsidR="00651E97" w:rsidRPr="007D4A06" w:rsidTr="004C2E45">
        <w:trPr>
          <w:trHeight w:val="366"/>
        </w:trPr>
        <w:tc>
          <w:tcPr>
            <w:tcW w:w="3130" w:type="dxa"/>
            <w:shd w:val="clear" w:color="auto" w:fill="DEEAF6" w:themeFill="accent1" w:themeFillTint="33"/>
          </w:tcPr>
          <w:p w:rsidR="00651E97" w:rsidRPr="007D4A06" w:rsidRDefault="00651E97" w:rsidP="004C2E45">
            <w:pPr>
              <w:spacing w:before="0" w:after="0"/>
            </w:pPr>
            <w:r w:rsidRPr="007D4A06">
              <w:t>Australian University of Specialisation</w:t>
            </w:r>
          </w:p>
        </w:tc>
        <w:tc>
          <w:tcPr>
            <w:tcW w:w="1465" w:type="dxa"/>
            <w:shd w:val="clear" w:color="auto" w:fill="DEEAF6" w:themeFill="accent1" w:themeFillTint="33"/>
          </w:tcPr>
          <w:p w:rsidR="00651E97" w:rsidRDefault="00651E97" w:rsidP="004C2E45">
            <w:pPr>
              <w:keepNext/>
              <w:spacing w:before="0" w:after="0"/>
            </w:pPr>
            <w:r>
              <w:t>1</w:t>
            </w:r>
          </w:p>
        </w:tc>
        <w:tc>
          <w:tcPr>
            <w:tcW w:w="1542" w:type="dxa"/>
            <w:shd w:val="clear" w:color="auto" w:fill="DEEAF6" w:themeFill="accent1" w:themeFillTint="33"/>
          </w:tcPr>
          <w:p w:rsidR="00651E97" w:rsidRPr="007D4A06" w:rsidRDefault="00651E97" w:rsidP="004C2E45">
            <w:pPr>
              <w:keepNext/>
              <w:spacing w:before="0" w:after="0"/>
            </w:pPr>
            <w:r>
              <w:t>0</w:t>
            </w:r>
          </w:p>
        </w:tc>
        <w:tc>
          <w:tcPr>
            <w:tcW w:w="1568" w:type="dxa"/>
            <w:shd w:val="clear" w:color="auto" w:fill="DEEAF6" w:themeFill="accent1" w:themeFillTint="33"/>
          </w:tcPr>
          <w:p w:rsidR="00651E97" w:rsidRPr="007D4A06" w:rsidRDefault="00651E97" w:rsidP="004C2E45">
            <w:pPr>
              <w:keepNext/>
              <w:spacing w:before="0" w:after="0"/>
            </w:pPr>
            <w:r>
              <w:t>1</w:t>
            </w:r>
          </w:p>
        </w:tc>
        <w:tc>
          <w:tcPr>
            <w:tcW w:w="1644" w:type="dxa"/>
            <w:shd w:val="clear" w:color="auto" w:fill="DEEAF6" w:themeFill="accent1" w:themeFillTint="33"/>
          </w:tcPr>
          <w:p w:rsidR="00651E97" w:rsidRPr="00C502F6" w:rsidRDefault="00651E97" w:rsidP="004C2E45">
            <w:pPr>
              <w:keepNext/>
              <w:spacing w:before="0" w:after="0"/>
            </w:pPr>
            <w:r>
              <w:t>1</w:t>
            </w:r>
          </w:p>
        </w:tc>
      </w:tr>
      <w:tr w:rsidR="00651E97" w:rsidRPr="007D4A06" w:rsidTr="004C2E45">
        <w:trPr>
          <w:trHeight w:val="346"/>
        </w:trPr>
        <w:tc>
          <w:tcPr>
            <w:tcW w:w="3130" w:type="dxa"/>
          </w:tcPr>
          <w:p w:rsidR="00651E97" w:rsidRPr="007D4A06" w:rsidRDefault="00651E97" w:rsidP="004C2E45">
            <w:pPr>
              <w:spacing w:before="0" w:after="0"/>
            </w:pPr>
            <w:r w:rsidRPr="007D4A06">
              <w:t>Overseas University</w:t>
            </w:r>
          </w:p>
        </w:tc>
        <w:tc>
          <w:tcPr>
            <w:tcW w:w="1465" w:type="dxa"/>
          </w:tcPr>
          <w:p w:rsidR="00651E97" w:rsidRDefault="00651E97" w:rsidP="004C2E45">
            <w:pPr>
              <w:keepNext/>
              <w:spacing w:before="0" w:after="0"/>
            </w:pPr>
            <w:r>
              <w:t>2</w:t>
            </w:r>
          </w:p>
        </w:tc>
        <w:tc>
          <w:tcPr>
            <w:tcW w:w="1542" w:type="dxa"/>
          </w:tcPr>
          <w:p w:rsidR="00651E97" w:rsidRPr="007D4A06" w:rsidRDefault="00651E97" w:rsidP="004C2E45">
            <w:pPr>
              <w:keepNext/>
              <w:spacing w:before="0" w:after="0"/>
            </w:pPr>
            <w:r>
              <w:t>0</w:t>
            </w:r>
          </w:p>
        </w:tc>
        <w:tc>
          <w:tcPr>
            <w:tcW w:w="1568" w:type="dxa"/>
          </w:tcPr>
          <w:p w:rsidR="00651E97" w:rsidRPr="007D4A06" w:rsidRDefault="00651E97" w:rsidP="004C2E45">
            <w:pPr>
              <w:keepNext/>
              <w:spacing w:before="0" w:after="0"/>
            </w:pPr>
            <w:r>
              <w:t>2</w:t>
            </w:r>
          </w:p>
        </w:tc>
        <w:tc>
          <w:tcPr>
            <w:tcW w:w="1644" w:type="dxa"/>
          </w:tcPr>
          <w:p w:rsidR="00651E97" w:rsidRPr="00C502F6" w:rsidRDefault="00651E97" w:rsidP="004C2E45">
            <w:pPr>
              <w:keepNext/>
              <w:spacing w:before="0" w:after="0"/>
            </w:pPr>
            <w:r>
              <w:t>0</w:t>
            </w:r>
          </w:p>
        </w:tc>
      </w:tr>
      <w:tr w:rsidR="00651E97" w:rsidRPr="007D4A06" w:rsidTr="004C2E45">
        <w:trPr>
          <w:trHeight w:val="366"/>
        </w:trPr>
        <w:tc>
          <w:tcPr>
            <w:tcW w:w="3130" w:type="dxa"/>
            <w:shd w:val="clear" w:color="auto" w:fill="DEEAF6" w:themeFill="accent1" w:themeFillTint="33"/>
          </w:tcPr>
          <w:p w:rsidR="00651E97" w:rsidRPr="007D4A06" w:rsidRDefault="00651E97" w:rsidP="004C2E45">
            <w:pPr>
              <w:spacing w:before="0" w:after="0"/>
            </w:pPr>
            <w:r w:rsidRPr="007D4A06">
              <w:t>Overseas University of Specialisation</w:t>
            </w:r>
          </w:p>
        </w:tc>
        <w:tc>
          <w:tcPr>
            <w:tcW w:w="1465" w:type="dxa"/>
            <w:shd w:val="clear" w:color="auto" w:fill="DEEAF6" w:themeFill="accent1" w:themeFillTint="33"/>
          </w:tcPr>
          <w:p w:rsidR="00651E97" w:rsidRDefault="00651E97" w:rsidP="004C2E45">
            <w:pPr>
              <w:keepNext/>
              <w:spacing w:before="0" w:after="0"/>
            </w:pPr>
            <w:r>
              <w:t>0</w:t>
            </w:r>
          </w:p>
        </w:tc>
        <w:tc>
          <w:tcPr>
            <w:tcW w:w="1542" w:type="dxa"/>
            <w:shd w:val="clear" w:color="auto" w:fill="DEEAF6" w:themeFill="accent1" w:themeFillTint="33"/>
          </w:tcPr>
          <w:p w:rsidR="00651E97" w:rsidRPr="007D4A06" w:rsidRDefault="00651E97" w:rsidP="004C2E45">
            <w:pPr>
              <w:keepNext/>
              <w:spacing w:before="0" w:after="0"/>
            </w:pPr>
            <w:r>
              <w:t>0</w:t>
            </w:r>
          </w:p>
        </w:tc>
        <w:tc>
          <w:tcPr>
            <w:tcW w:w="1568" w:type="dxa"/>
            <w:shd w:val="clear" w:color="auto" w:fill="DEEAF6" w:themeFill="accent1" w:themeFillTint="33"/>
          </w:tcPr>
          <w:p w:rsidR="00651E97" w:rsidRPr="007D4A06" w:rsidRDefault="00651E97" w:rsidP="004C2E45">
            <w:pPr>
              <w:keepNext/>
              <w:spacing w:before="0" w:after="0"/>
            </w:pPr>
            <w:r>
              <w:t>0</w:t>
            </w:r>
          </w:p>
        </w:tc>
        <w:tc>
          <w:tcPr>
            <w:tcW w:w="1644" w:type="dxa"/>
            <w:shd w:val="clear" w:color="auto" w:fill="DEEAF6" w:themeFill="accent1" w:themeFillTint="33"/>
          </w:tcPr>
          <w:p w:rsidR="00651E97" w:rsidRPr="00C502F6" w:rsidRDefault="00651E97" w:rsidP="004C2E45">
            <w:pPr>
              <w:keepNext/>
              <w:spacing w:before="0" w:after="0"/>
            </w:pPr>
            <w:r>
              <w:t>0</w:t>
            </w:r>
          </w:p>
        </w:tc>
      </w:tr>
    </w:tbl>
    <w:p w:rsidR="00651E97" w:rsidRPr="00490D5C" w:rsidRDefault="00E60CD2" w:rsidP="00651E97">
      <w:pPr>
        <w:autoSpaceDE w:val="0"/>
        <w:autoSpaceDN w:val="0"/>
        <w:spacing w:after="0" w:line="240" w:lineRule="auto"/>
        <w:rPr>
          <w:sz w:val="18"/>
          <w:szCs w:val="18"/>
        </w:rPr>
      </w:pPr>
      <w:r w:rsidRPr="00490D5C">
        <w:rPr>
          <w:sz w:val="18"/>
          <w:szCs w:val="18"/>
        </w:rPr>
        <w:t xml:space="preserve">^ </w:t>
      </w:r>
      <w:r w:rsidRPr="00490D5C">
        <w:rPr>
          <w:i/>
          <w:sz w:val="18"/>
          <w:szCs w:val="18"/>
        </w:rPr>
        <w:t>Source:</w:t>
      </w:r>
      <w:r w:rsidRPr="00490D5C">
        <w:rPr>
          <w:sz w:val="18"/>
          <w:szCs w:val="18"/>
        </w:rPr>
        <w:t xml:space="preserve"> TEQSA National Re</w:t>
      </w:r>
      <w:r w:rsidR="00C27A2E">
        <w:rPr>
          <w:sz w:val="18"/>
          <w:szCs w:val="18"/>
        </w:rPr>
        <w:t xml:space="preserve">gister summary table (accessed </w:t>
      </w:r>
      <w:r w:rsidR="008A2D92">
        <w:rPr>
          <w:sz w:val="18"/>
          <w:szCs w:val="18"/>
        </w:rPr>
        <w:t>03/12</w:t>
      </w:r>
      <w:r w:rsidRPr="00490D5C">
        <w:rPr>
          <w:sz w:val="18"/>
          <w:szCs w:val="18"/>
        </w:rPr>
        <w:t xml:space="preserve">/2018 from </w:t>
      </w:r>
      <w:hyperlink r:id="rId24" w:history="1">
        <w:r w:rsidRPr="00490D5C">
          <w:rPr>
            <w:rStyle w:val="Hyperlink"/>
            <w:sz w:val="18"/>
            <w:szCs w:val="18"/>
          </w:rPr>
          <w:t>www.teqsa.gov.au/national-register</w:t>
        </w:r>
      </w:hyperlink>
      <w:r w:rsidRPr="00490D5C">
        <w:rPr>
          <w:sz w:val="18"/>
          <w:szCs w:val="18"/>
        </w:rPr>
        <w:t>)</w:t>
      </w:r>
      <w:r w:rsidR="009650E6">
        <w:rPr>
          <w:sz w:val="18"/>
          <w:szCs w:val="18"/>
        </w:rPr>
        <w:t>.</w:t>
      </w:r>
      <w:r w:rsidRPr="00490D5C">
        <w:rPr>
          <w:sz w:val="18"/>
          <w:szCs w:val="18"/>
        </w:rPr>
        <w:t xml:space="preserve"> </w:t>
      </w:r>
      <w:r w:rsidRPr="00490D5C">
        <w:rPr>
          <w:sz w:val="18"/>
          <w:szCs w:val="18"/>
        </w:rPr>
        <w:br/>
      </w:r>
      <w:r w:rsidR="00651E97" w:rsidRPr="00490D5C">
        <w:rPr>
          <w:sz w:val="18"/>
          <w:szCs w:val="18"/>
        </w:rPr>
        <w:t xml:space="preserve">* </w:t>
      </w:r>
      <w:r w:rsidR="00651E97" w:rsidRPr="00490D5C">
        <w:rPr>
          <w:i/>
          <w:sz w:val="18"/>
          <w:szCs w:val="18"/>
        </w:rPr>
        <w:t>Sources: Higher Education Support Act 2003</w:t>
      </w:r>
      <w:r w:rsidR="00651E97" w:rsidRPr="00490D5C">
        <w:rPr>
          <w:sz w:val="18"/>
          <w:szCs w:val="18"/>
        </w:rPr>
        <w:t xml:space="preserve">, </w:t>
      </w:r>
      <w:r w:rsidR="00651E97" w:rsidRPr="00490D5C">
        <w:rPr>
          <w:i/>
          <w:sz w:val="18"/>
          <w:szCs w:val="18"/>
        </w:rPr>
        <w:t>Commonwealth Grant Scheme guidelines</w:t>
      </w:r>
      <w:r w:rsidR="00651E97" w:rsidRPr="00490D5C">
        <w:rPr>
          <w:sz w:val="18"/>
          <w:szCs w:val="18"/>
        </w:rPr>
        <w:t xml:space="preserve"> 2012 and Department of Education and Training</w:t>
      </w:r>
      <w:r w:rsidR="009650E6">
        <w:rPr>
          <w:sz w:val="18"/>
          <w:szCs w:val="18"/>
        </w:rPr>
        <w:t>.</w:t>
      </w:r>
      <w:r w:rsidR="00651E97" w:rsidRPr="00490D5C">
        <w:rPr>
          <w:sz w:val="18"/>
          <w:szCs w:val="18"/>
        </w:rPr>
        <w:br/>
        <w:t>^</w:t>
      </w:r>
      <w:r w:rsidRPr="00490D5C">
        <w:rPr>
          <w:sz w:val="18"/>
          <w:szCs w:val="18"/>
        </w:rPr>
        <w:t>^</w:t>
      </w:r>
      <w:r w:rsidR="00651E97" w:rsidRPr="00490D5C">
        <w:rPr>
          <w:sz w:val="18"/>
          <w:szCs w:val="18"/>
        </w:rPr>
        <w:t xml:space="preserve"> </w:t>
      </w:r>
      <w:r w:rsidR="00651E97" w:rsidRPr="00490D5C">
        <w:rPr>
          <w:i/>
          <w:sz w:val="18"/>
          <w:szCs w:val="18"/>
        </w:rPr>
        <w:t>Sources</w:t>
      </w:r>
      <w:r w:rsidR="00651E97" w:rsidRPr="00490D5C">
        <w:rPr>
          <w:sz w:val="18"/>
          <w:szCs w:val="18"/>
        </w:rPr>
        <w:t xml:space="preserve">: </w:t>
      </w:r>
      <w:r w:rsidR="00651E97" w:rsidRPr="00490D5C">
        <w:rPr>
          <w:i/>
          <w:sz w:val="18"/>
          <w:szCs w:val="18"/>
        </w:rPr>
        <w:t>Higher Education Support Act 2003</w:t>
      </w:r>
      <w:r w:rsidR="00651E97" w:rsidRPr="00490D5C">
        <w:rPr>
          <w:sz w:val="18"/>
          <w:szCs w:val="18"/>
        </w:rPr>
        <w:t xml:space="preserve"> and Depar</w:t>
      </w:r>
      <w:r w:rsidR="009650E6">
        <w:rPr>
          <w:sz w:val="18"/>
          <w:szCs w:val="18"/>
        </w:rPr>
        <w:t>tment of Education and Training.</w:t>
      </w:r>
      <w:r w:rsidR="00651E97" w:rsidRPr="00490D5C">
        <w:rPr>
          <w:sz w:val="18"/>
          <w:szCs w:val="18"/>
        </w:rPr>
        <w:br/>
        <w:t xml:space="preserve">** </w:t>
      </w:r>
      <w:r w:rsidR="00651E97" w:rsidRPr="00490D5C">
        <w:rPr>
          <w:i/>
          <w:sz w:val="18"/>
          <w:szCs w:val="18"/>
        </w:rPr>
        <w:t>Source</w:t>
      </w:r>
      <w:r w:rsidR="00B34616">
        <w:rPr>
          <w:i/>
          <w:sz w:val="18"/>
          <w:szCs w:val="18"/>
        </w:rPr>
        <w:t>s</w:t>
      </w:r>
      <w:r w:rsidR="00651E97" w:rsidRPr="00490D5C">
        <w:rPr>
          <w:sz w:val="18"/>
          <w:szCs w:val="18"/>
        </w:rPr>
        <w:t xml:space="preserve">: </w:t>
      </w:r>
      <w:r w:rsidR="00651E97" w:rsidRPr="00490D5C">
        <w:rPr>
          <w:i/>
          <w:sz w:val="18"/>
          <w:szCs w:val="18"/>
        </w:rPr>
        <w:t>Higher Education Support Act 2003, Other Grants Guidelines (Research) 2017, Commonwealth Scholarships Guidelines (Research) 2017</w:t>
      </w:r>
      <w:r w:rsidR="00651E97" w:rsidRPr="00490D5C">
        <w:rPr>
          <w:rFonts w:ascii="Segoe UI" w:hAnsi="Segoe UI" w:cs="Segoe UI"/>
          <w:color w:val="000000"/>
          <w:sz w:val="18"/>
          <w:szCs w:val="18"/>
        </w:rPr>
        <w:t xml:space="preserve"> </w:t>
      </w:r>
      <w:r w:rsidR="00651E97" w:rsidRPr="00490D5C">
        <w:rPr>
          <w:sz w:val="18"/>
          <w:szCs w:val="18"/>
        </w:rPr>
        <w:t>and Depar</w:t>
      </w:r>
      <w:r w:rsidR="009650E6">
        <w:rPr>
          <w:sz w:val="18"/>
          <w:szCs w:val="18"/>
        </w:rPr>
        <w:t>tment of Education and Training.</w:t>
      </w:r>
    </w:p>
    <w:p w:rsidR="00885B8B" w:rsidRDefault="00885B8B" w:rsidP="00885B8B">
      <w:pPr>
        <w:spacing w:before="0" w:after="0"/>
      </w:pPr>
    </w:p>
    <w:p w:rsidR="00651E97" w:rsidRDefault="00885B8B" w:rsidP="00490D5C">
      <w:pPr>
        <w:rPr>
          <w:rFonts w:ascii="Calibri" w:eastAsiaTheme="majorEastAsia" w:hAnsi="Calibri" w:cstheme="majorBidi"/>
          <w:color w:val="2763AC"/>
          <w:sz w:val="52"/>
          <w:szCs w:val="32"/>
        </w:rPr>
      </w:pPr>
      <w:r>
        <w:t>While the PCS have no direct relationship to Commonwealth Government funding for teaching and research, and funding considerations are not within the scope of this review,</w:t>
      </w:r>
      <w:r w:rsidDel="002E4F5A">
        <w:t xml:space="preserve"> </w:t>
      </w:r>
      <w:r>
        <w:t>there is an appreciation that any changes to the PCS need to consider potential funding implications. For example, any new entrants to the university categories</w:t>
      </w:r>
      <w:r w:rsidRPr="00856B27">
        <w:t xml:space="preserve"> </w:t>
      </w:r>
      <w:r>
        <w:t xml:space="preserve">could </w:t>
      </w:r>
      <w:r w:rsidR="00CC0FE9">
        <w:t>conceivably</w:t>
      </w:r>
      <w:r>
        <w:t xml:space="preserve"> gain </w:t>
      </w:r>
      <w:r w:rsidRPr="00856B27">
        <w:t xml:space="preserve">access to public funds currently </w:t>
      </w:r>
      <w:r w:rsidR="00CC0FE9">
        <w:t>open to</w:t>
      </w:r>
      <w:r w:rsidRPr="00856B27">
        <w:t xml:space="preserve"> existing universities.</w:t>
      </w:r>
      <w:r w:rsidR="00651E97">
        <w:br w:type="page"/>
      </w:r>
    </w:p>
    <w:p w:rsidR="00651E97" w:rsidRPr="00DF285D" w:rsidRDefault="00651E97" w:rsidP="00651E97">
      <w:pPr>
        <w:pStyle w:val="Heading1"/>
        <w:spacing w:before="0" w:after="0"/>
      </w:pPr>
      <w:bookmarkStart w:id="16" w:name="_Toc531606771"/>
      <w:r>
        <w:lastRenderedPageBreak/>
        <w:t>Considerations</w:t>
      </w:r>
      <w:bookmarkEnd w:id="16"/>
    </w:p>
    <w:p w:rsidR="00651E97" w:rsidRDefault="00651E97" w:rsidP="00651E97">
      <w:pPr>
        <w:spacing w:before="0" w:after="0"/>
        <w:rPr>
          <w:noProof/>
        </w:rPr>
      </w:pPr>
      <w:r>
        <w:t xml:space="preserve">A number of considerations are relevant to current discussions of the PCS. These are highlighted to help stimulate discussion for this review. </w:t>
      </w:r>
      <w:r>
        <w:rPr>
          <w:noProof/>
        </w:rPr>
        <w:t>It should be noted</w:t>
      </w:r>
      <w:r w:rsidRPr="00CD3344">
        <w:rPr>
          <w:noProof/>
        </w:rPr>
        <w:t xml:space="preserve"> that the review is not limited to these</w:t>
      </w:r>
      <w:r>
        <w:rPr>
          <w:noProof/>
        </w:rPr>
        <w:t xml:space="preserve"> considerations</w:t>
      </w:r>
      <w:r w:rsidRPr="00CD3344">
        <w:rPr>
          <w:noProof/>
        </w:rPr>
        <w:t xml:space="preserve"> </w:t>
      </w:r>
      <w:r>
        <w:rPr>
          <w:noProof/>
        </w:rPr>
        <w:t xml:space="preserve">alone </w:t>
      </w:r>
      <w:r w:rsidRPr="00CD3344">
        <w:rPr>
          <w:noProof/>
        </w:rPr>
        <w:t xml:space="preserve">and interested parties </w:t>
      </w:r>
      <w:r>
        <w:rPr>
          <w:noProof/>
        </w:rPr>
        <w:t xml:space="preserve">are encouraged to share their perspectives on these or any other matters they consider relevant to this review. </w:t>
      </w:r>
    </w:p>
    <w:p w:rsidR="00651E97" w:rsidRDefault="00651E97" w:rsidP="00651E97">
      <w:pPr>
        <w:pStyle w:val="Heading2"/>
      </w:pPr>
      <w:bookmarkStart w:id="17" w:name="_Toc531606772"/>
      <w:bookmarkStart w:id="18" w:name="_Toc523319076"/>
      <w:bookmarkStart w:id="19" w:name="_Toc523323008"/>
      <w:bookmarkStart w:id="20" w:name="_Toc527354302"/>
      <w:r>
        <w:t>Australia’s conceptualisation of a ‘university’</w:t>
      </w:r>
      <w:bookmarkEnd w:id="17"/>
    </w:p>
    <w:p w:rsidR="00651E97" w:rsidRDefault="00651E97" w:rsidP="00651E97">
      <w:pPr>
        <w:spacing w:before="0" w:after="0"/>
      </w:pPr>
      <w:r>
        <w:t xml:space="preserve">The established norm of what it means to be a university in Australia is embedded in the PCS, with the undertaking of research and scholarship (to inform teaching) a clear delineating requirement for the university categories. </w:t>
      </w:r>
    </w:p>
    <w:p w:rsidR="00651E97" w:rsidRDefault="00651E97" w:rsidP="00651E97">
      <w:pPr>
        <w:spacing w:before="0" w:after="0"/>
      </w:pPr>
    </w:p>
    <w:p w:rsidR="00651E97" w:rsidRDefault="00651E97" w:rsidP="00651E97">
      <w:pPr>
        <w:spacing w:before="0" w:after="0"/>
      </w:pPr>
      <w:r w:rsidRPr="00EA6D35">
        <w:t xml:space="preserve">To be a </w:t>
      </w:r>
      <w:r>
        <w:t>‘</w:t>
      </w:r>
      <w:r w:rsidRPr="00EA6D35">
        <w:t>university</w:t>
      </w:r>
      <w:r>
        <w:t>’</w:t>
      </w:r>
      <w:r w:rsidRPr="00EA6D35">
        <w:t xml:space="preserve"> under the </w:t>
      </w:r>
      <w:r>
        <w:t xml:space="preserve">PCS, an institution </w:t>
      </w:r>
      <w:r w:rsidRPr="00A35D27">
        <w:t>must undertake research that leads to the creation of new knowledge and original creative endeavour</w:t>
      </w:r>
      <w:r>
        <w:t>,</w:t>
      </w:r>
      <w:r w:rsidRPr="00A35D27">
        <w:t xml:space="preserve"> and demonstrate sustained scholarship that informs teaching and learning</w:t>
      </w:r>
      <w:r>
        <w:t>.</w:t>
      </w:r>
      <w:r w:rsidRPr="00A35D27">
        <w:rPr>
          <w:rStyle w:val="FootnoteReference"/>
          <w:rFonts w:cstheme="minorHAnsi"/>
        </w:rPr>
        <w:footnoteReference w:id="6"/>
      </w:r>
      <w:r w:rsidRPr="00A35D27">
        <w:t xml:space="preserve"> </w:t>
      </w:r>
      <w:r w:rsidRPr="00CD3344">
        <w:t xml:space="preserve">The </w:t>
      </w:r>
      <w:r>
        <w:t>‘Higher Education P</w:t>
      </w:r>
      <w:r w:rsidRPr="00CD3344">
        <w:t>rovider</w:t>
      </w:r>
      <w:r>
        <w:t>’</w:t>
      </w:r>
      <w:r w:rsidRPr="00CD3344">
        <w:t xml:space="preserve"> category requires</w:t>
      </w:r>
      <w:r>
        <w:t xml:space="preserve"> providers to be active in research only when engaged in research student supervision and requires</w:t>
      </w:r>
      <w:r w:rsidRPr="00CD3344">
        <w:t xml:space="preserve"> academic staff to </w:t>
      </w:r>
      <w:r w:rsidRPr="00A35D27">
        <w:t>be active in scholarsh</w:t>
      </w:r>
      <w:r>
        <w:t>ip that informs their teaching.</w:t>
      </w:r>
      <w:r w:rsidRPr="00A35D27">
        <w:rPr>
          <w:rStyle w:val="FootnoteReference"/>
          <w:rFonts w:cstheme="minorHAnsi"/>
        </w:rPr>
        <w:footnoteReference w:id="7"/>
      </w:r>
      <w:r>
        <w:t xml:space="preserve"> </w:t>
      </w:r>
    </w:p>
    <w:p w:rsidR="00651E97" w:rsidRDefault="00651E97" w:rsidP="00651E97">
      <w:pPr>
        <w:spacing w:before="0" w:after="0"/>
      </w:pPr>
    </w:p>
    <w:p w:rsidR="00651E97" w:rsidRDefault="00651E97" w:rsidP="00651E97">
      <w:pPr>
        <w:spacing w:before="0" w:after="0"/>
      </w:pPr>
      <w:r>
        <w:t xml:space="preserve">Australia has come to conceptualise universities as places for both teaching and research. These two fundamental features have become synonymous with the title ‘university’ and have contributed to the good reputation of Australia’s universities internationally for high quality teaching and research.  </w:t>
      </w:r>
    </w:p>
    <w:p w:rsidR="00651E97" w:rsidRPr="00023A01" w:rsidRDefault="00651E97" w:rsidP="00651E97">
      <w:pPr>
        <w:pStyle w:val="Heading3"/>
      </w:pPr>
      <w:bookmarkStart w:id="21" w:name="_Toc531606773"/>
      <w:r w:rsidRPr="00023A01">
        <w:t>International comparison</w:t>
      </w:r>
      <w:bookmarkEnd w:id="21"/>
    </w:p>
    <w:p w:rsidR="00651E97" w:rsidRDefault="00651E97" w:rsidP="00651E97">
      <w:pPr>
        <w:spacing w:before="0" w:after="0"/>
      </w:pPr>
      <w:r>
        <w:t xml:space="preserve">The </w:t>
      </w:r>
      <w:r w:rsidRPr="00023A01">
        <w:t>expectation tha</w:t>
      </w:r>
      <w:r>
        <w:t>t universities are distinguishable</w:t>
      </w:r>
      <w:r w:rsidRPr="00023A01">
        <w:t xml:space="preserve"> from other types of higher education provider by combining teaching with research activity </w:t>
      </w:r>
      <w:r>
        <w:t>is</w:t>
      </w:r>
      <w:r w:rsidRPr="00023A01">
        <w:t xml:space="preserve"> widely held </w:t>
      </w:r>
      <w:r>
        <w:t>internationally</w:t>
      </w:r>
      <w:r w:rsidRPr="00023A01">
        <w:t xml:space="preserve">. </w:t>
      </w:r>
      <w:r>
        <w:t xml:space="preserve">However, </w:t>
      </w:r>
      <w:r w:rsidRPr="00023A01">
        <w:t xml:space="preserve">Australia </w:t>
      </w:r>
      <w:r w:rsidR="00B71FE9">
        <w:t xml:space="preserve">is somewhat unusual </w:t>
      </w:r>
      <w:r w:rsidRPr="00023A01">
        <w:t xml:space="preserve">in codifying the </w:t>
      </w:r>
      <w:r>
        <w:t xml:space="preserve">types or scale of </w:t>
      </w:r>
      <w:r w:rsidRPr="00023A01">
        <w:t xml:space="preserve">research activity necessary to be classified as a </w:t>
      </w:r>
      <w:r>
        <w:t>‘</w:t>
      </w:r>
      <w:r w:rsidRPr="00023A01">
        <w:t>university</w:t>
      </w:r>
      <w:r>
        <w:t>’</w:t>
      </w:r>
      <w:r w:rsidRPr="00023A01">
        <w:t xml:space="preserve"> – that is, original research being undertaken </w:t>
      </w:r>
      <w:r w:rsidR="00B71FE9">
        <w:t xml:space="preserve">in </w:t>
      </w:r>
      <w:r w:rsidRPr="00023A01">
        <w:t xml:space="preserve">at least </w:t>
      </w:r>
      <w:r w:rsidR="00E60CD2">
        <w:t xml:space="preserve">three </w:t>
      </w:r>
      <w:r w:rsidRPr="00023A01">
        <w:t>broad fields of study in which higher degrees by research are awarded. This does not preclude other non-university providers undertaking research</w:t>
      </w:r>
      <w:r w:rsidR="00B71FE9">
        <w:t>;</w:t>
      </w:r>
      <w:r w:rsidRPr="00023A01">
        <w:t xml:space="preserve"> indeed, there is a trend towards increasing research activity in these providers as the amount and ambition of non-university higher education provision increases globally.</w:t>
      </w:r>
    </w:p>
    <w:p w:rsidR="00651E97" w:rsidRDefault="00651E97" w:rsidP="00651E97">
      <w:pPr>
        <w:spacing w:before="0" w:after="0"/>
      </w:pPr>
    </w:p>
    <w:p w:rsidR="00651E97" w:rsidRDefault="00651E97" w:rsidP="00651E97">
      <w:pPr>
        <w:spacing w:before="0" w:after="0"/>
      </w:pPr>
      <w:r>
        <w:t>The ‘university’ title is used in different countries in similar but often distinct ways. The prominence of research in universities varies, with some well-known international universities having relatively modest research programs, with</w:t>
      </w:r>
      <w:r w:rsidR="00B71FE9">
        <w:t xml:space="preserve"> many</w:t>
      </w:r>
      <w:r>
        <w:t xml:space="preserve"> others </w:t>
      </w:r>
      <w:r w:rsidR="00B71FE9">
        <w:t xml:space="preserve">highly </w:t>
      </w:r>
      <w:r>
        <w:t>research intensive. In certain national systems the leading research institutes are very distinct from universities. Also, in some countries</w:t>
      </w:r>
      <w:r w:rsidR="0075308C">
        <w:t>,</w:t>
      </w:r>
      <w:r w:rsidR="00490D5C">
        <w:t xml:space="preserve"> such as New </w:t>
      </w:r>
      <w:r>
        <w:t>Zealand</w:t>
      </w:r>
      <w:r w:rsidR="0075308C">
        <w:t>,</w:t>
      </w:r>
      <w:r>
        <w:t xml:space="preserve"> universities must meet international standards of research. Elsewhere, for example </w:t>
      </w:r>
      <w:r w:rsidR="00B71FE9">
        <w:t xml:space="preserve">in </w:t>
      </w:r>
      <w:r>
        <w:t xml:space="preserve">the United States, the ‘university’ title is self-asserted by the institution in the absence of regulatory authority. While </w:t>
      </w:r>
      <w:r w:rsidR="00B71FE9">
        <w:t xml:space="preserve">by no means </w:t>
      </w:r>
      <w:r>
        <w:t>universal, the most common international feature is that the ‘university’ title is granted by an education regulator or ministry of education as part of the process of classifying institutions and that universities are granted greater autonomy than other types of institutions.</w:t>
      </w:r>
    </w:p>
    <w:p w:rsidR="00651E97" w:rsidRDefault="00651E97" w:rsidP="00651E97">
      <w:pPr>
        <w:spacing w:before="0" w:after="0"/>
      </w:pPr>
    </w:p>
    <w:p w:rsidR="00651E97" w:rsidRDefault="00651E97" w:rsidP="00651E97">
      <w:pPr>
        <w:spacing w:before="0" w:after="0"/>
      </w:pPr>
    </w:p>
    <w:p w:rsidR="00651E97" w:rsidRDefault="00651E97" w:rsidP="00651E97">
      <w:pPr>
        <w:spacing w:before="0" w:after="0"/>
      </w:pPr>
    </w:p>
    <w:p w:rsidR="00651E97" w:rsidRPr="005625B2" w:rsidRDefault="00651E97" w:rsidP="00651E97">
      <w:pPr>
        <w:pStyle w:val="Heading3"/>
      </w:pPr>
      <w:bookmarkStart w:id="22" w:name="_Toc528240959"/>
      <w:bookmarkStart w:id="23" w:name="_Toc531606774"/>
      <w:r>
        <w:lastRenderedPageBreak/>
        <w:t>Teaching-research nexus</w:t>
      </w:r>
      <w:bookmarkEnd w:id="22"/>
      <w:r>
        <w:t xml:space="preserve"> and rethinking the research requirement</w:t>
      </w:r>
      <w:bookmarkEnd w:id="23"/>
    </w:p>
    <w:p w:rsidR="00651E97" w:rsidRPr="00CD3344" w:rsidRDefault="00651E97" w:rsidP="00651E97">
      <w:pPr>
        <w:spacing w:before="0" w:after="0"/>
      </w:pPr>
    </w:p>
    <w:tbl>
      <w:tblPr>
        <w:tblStyle w:val="PullOutBox1"/>
        <w:tblW w:w="0" w:type="auto"/>
        <w:tblInd w:w="426" w:type="dxa"/>
        <w:shd w:val="clear" w:color="auto" w:fill="D3E2F5"/>
        <w:tblLook w:val="04A0" w:firstRow="1" w:lastRow="0" w:firstColumn="1" w:lastColumn="0" w:noHBand="0" w:noVBand="1"/>
      </w:tblPr>
      <w:tblGrid>
        <w:gridCol w:w="7938"/>
      </w:tblGrid>
      <w:tr w:rsidR="00651E97" w:rsidTr="004C2E45">
        <w:trPr>
          <w:tblHeader/>
        </w:trPr>
        <w:tc>
          <w:tcPr>
            <w:tcW w:w="7938" w:type="dxa"/>
            <w:shd w:val="clear" w:color="auto" w:fill="D3E2F5"/>
          </w:tcPr>
          <w:p w:rsidR="00651E97" w:rsidRPr="003E314D" w:rsidRDefault="00651E97" w:rsidP="004C2E45">
            <w:pPr>
              <w:spacing w:before="0" w:after="0"/>
              <w:rPr>
                <w:i/>
                <w:sz w:val="16"/>
                <w:szCs w:val="16"/>
              </w:rPr>
            </w:pPr>
          </w:p>
          <w:p w:rsidR="00651E97" w:rsidRDefault="00651E97" w:rsidP="004C2E45">
            <w:pPr>
              <w:spacing w:before="0" w:after="0"/>
              <w:jc w:val="both"/>
            </w:pPr>
            <w:r w:rsidRPr="006C1FF8">
              <w:rPr>
                <w:i/>
              </w:rPr>
              <w:t>“Part of the rationale for universities undertaking both research and teaching functions is the ‘teaching</w:t>
            </w:r>
            <w:r w:rsidRPr="006C1FF8">
              <w:rPr>
                <w:i/>
              </w:rPr>
              <w:noBreakHyphen/>
              <w:t>research nexus’ — the theory that close proximity to world</w:t>
            </w:r>
            <w:r w:rsidRPr="006C1FF8">
              <w:rPr>
                <w:i/>
              </w:rPr>
              <w:noBreakHyphen/>
              <w:t>class researchers makes students more engaged, develops their critical thinking, aids their research skills and keeps them up to date wit</w:t>
            </w:r>
            <w:r>
              <w:rPr>
                <w:i/>
              </w:rPr>
              <w:t>h the latest research findings”</w:t>
            </w:r>
            <w:r w:rsidRPr="00C57F35">
              <w:t>.</w:t>
            </w:r>
            <w:r>
              <w:t xml:space="preserve"> </w:t>
            </w:r>
          </w:p>
          <w:p w:rsidR="00651E97" w:rsidRDefault="00651E97" w:rsidP="004C2E45">
            <w:pPr>
              <w:spacing w:before="0" w:after="0"/>
              <w:jc w:val="right"/>
              <w:rPr>
                <w:b/>
                <w:sz w:val="20"/>
                <w:szCs w:val="20"/>
              </w:rPr>
            </w:pPr>
          </w:p>
          <w:p w:rsidR="00651E97" w:rsidRDefault="00651E97" w:rsidP="004C2E45">
            <w:pPr>
              <w:spacing w:before="0" w:after="0"/>
              <w:jc w:val="right"/>
              <w:rPr>
                <w:i/>
              </w:rPr>
            </w:pPr>
            <w:r w:rsidRPr="00A51B30">
              <w:rPr>
                <w:b/>
                <w:sz w:val="20"/>
                <w:szCs w:val="20"/>
              </w:rPr>
              <w:t xml:space="preserve">Productivity Commission (2017) </w:t>
            </w:r>
            <w:r w:rsidRPr="00A51B30">
              <w:rPr>
                <w:b/>
                <w:i/>
                <w:sz w:val="20"/>
                <w:szCs w:val="20"/>
              </w:rPr>
              <w:t>Shifting the Dial: 5 Year Productivity Review</w:t>
            </w:r>
            <w:r w:rsidRPr="00C57F35">
              <w:rPr>
                <w:rStyle w:val="FootnoteReference"/>
              </w:rPr>
              <w:footnoteReference w:id="8"/>
            </w:r>
          </w:p>
          <w:p w:rsidR="00651E97" w:rsidRPr="003E314D" w:rsidRDefault="00651E97" w:rsidP="004C2E45">
            <w:pPr>
              <w:spacing w:before="0" w:after="0"/>
              <w:rPr>
                <w:b/>
                <w:i/>
                <w:sz w:val="16"/>
                <w:szCs w:val="16"/>
              </w:rPr>
            </w:pPr>
          </w:p>
        </w:tc>
      </w:tr>
    </w:tbl>
    <w:p w:rsidR="00651E97" w:rsidRDefault="00651E97" w:rsidP="00651E97">
      <w:pPr>
        <w:spacing w:before="0" w:after="0"/>
      </w:pPr>
    </w:p>
    <w:p w:rsidR="00651E97" w:rsidRDefault="00651E97" w:rsidP="00651E97">
      <w:pPr>
        <w:spacing w:before="0" w:after="0"/>
      </w:pPr>
      <w:r>
        <w:t>The Bradley Review supported these defining characteristics of what it means to be a university in Australia, advocating that “the link between teaching and research is a common feature of respected universities internationally” and “while it is difficult to find compelling research evidence which unequivocally supports the argument that graduates with degrees from such institutions are demonstrably better than those from teaching-only institutions, it would not be in Australia’s best interests to ignore the weight of international opinion and practice on this issue”.</w:t>
      </w:r>
      <w:r>
        <w:rPr>
          <w:rStyle w:val="FootnoteReference"/>
        </w:rPr>
        <w:footnoteReference w:id="9"/>
      </w:r>
      <w:r>
        <w:t xml:space="preserve"> </w:t>
      </w:r>
      <w:r w:rsidR="009650E6">
        <w:t>The Bradley Review proposed</w:t>
      </w:r>
      <w:r>
        <w:t xml:space="preserve"> </w:t>
      </w:r>
      <w:r w:rsidR="009650E6">
        <w:t xml:space="preserve">that </w:t>
      </w:r>
      <w:r>
        <w:t>“there is an important difference between institutions which disseminate existing knowledge and those which also create new knowledge through research in various forms, which should be reflected in the title of the institution”.</w:t>
      </w:r>
      <w:r>
        <w:rPr>
          <w:rStyle w:val="FootnoteReference"/>
        </w:rPr>
        <w:footnoteReference w:id="10"/>
      </w:r>
      <w:r>
        <w:t xml:space="preserve"> </w:t>
      </w:r>
    </w:p>
    <w:p w:rsidR="00651E97" w:rsidRDefault="00651E97" w:rsidP="00651E97">
      <w:pPr>
        <w:spacing w:before="0" w:after="0"/>
      </w:pPr>
    </w:p>
    <w:tbl>
      <w:tblPr>
        <w:tblStyle w:val="PullOutBox1"/>
        <w:tblW w:w="7938" w:type="dxa"/>
        <w:tblInd w:w="426" w:type="dxa"/>
        <w:shd w:val="clear" w:color="auto" w:fill="D3E2F5"/>
        <w:tblLook w:val="04A0" w:firstRow="1" w:lastRow="0" w:firstColumn="1" w:lastColumn="0" w:noHBand="0" w:noVBand="1"/>
      </w:tblPr>
      <w:tblGrid>
        <w:gridCol w:w="7938"/>
      </w:tblGrid>
      <w:tr w:rsidR="00651E97" w:rsidTr="004C2E45">
        <w:trPr>
          <w:tblHeader/>
        </w:trPr>
        <w:tc>
          <w:tcPr>
            <w:tcW w:w="7938" w:type="dxa"/>
            <w:shd w:val="clear" w:color="auto" w:fill="D3E2F5"/>
          </w:tcPr>
          <w:p w:rsidR="00651E97" w:rsidRPr="003E314D" w:rsidRDefault="00651E97" w:rsidP="004C2E45">
            <w:pPr>
              <w:spacing w:before="0" w:after="0"/>
              <w:rPr>
                <w:b/>
                <w:i/>
                <w:sz w:val="16"/>
                <w:szCs w:val="16"/>
              </w:rPr>
            </w:pPr>
          </w:p>
          <w:p w:rsidR="00651E97" w:rsidRDefault="00651E97" w:rsidP="004C2E45">
            <w:pPr>
              <w:spacing w:before="0" w:after="0"/>
              <w:jc w:val="both"/>
            </w:pPr>
            <w:r>
              <w:rPr>
                <w:i/>
              </w:rPr>
              <w:t>“I</w:t>
            </w:r>
            <w:r w:rsidRPr="002A010F">
              <w:rPr>
                <w:i/>
              </w:rPr>
              <w:t xml:space="preserve">nstitutions with a strong culture of research are better placed to ensure that students receive maximum benefit from research-informed teaching which assists them to acquire a sophisticated understanding of their subjects and to recognise the importance of continuing to update their knowledge and skills”. </w:t>
            </w:r>
          </w:p>
          <w:p w:rsidR="00651E97" w:rsidRDefault="00651E97" w:rsidP="004C2E45">
            <w:pPr>
              <w:spacing w:before="0" w:after="0"/>
              <w:jc w:val="right"/>
              <w:rPr>
                <w:b/>
                <w:sz w:val="20"/>
                <w:szCs w:val="20"/>
              </w:rPr>
            </w:pPr>
          </w:p>
          <w:p w:rsidR="00651E97" w:rsidRPr="00EA15AB" w:rsidRDefault="00651E97" w:rsidP="004C2E45">
            <w:pPr>
              <w:spacing w:before="0" w:after="0"/>
              <w:jc w:val="right"/>
              <w:rPr>
                <w:i/>
              </w:rPr>
            </w:pPr>
            <w:r>
              <w:rPr>
                <w:b/>
                <w:sz w:val="20"/>
                <w:szCs w:val="20"/>
              </w:rPr>
              <w:t>Bradley, D. (</w:t>
            </w:r>
            <w:r w:rsidRPr="005F6E21">
              <w:rPr>
                <w:b/>
                <w:sz w:val="20"/>
                <w:szCs w:val="20"/>
              </w:rPr>
              <w:t>2008</w:t>
            </w:r>
            <w:r>
              <w:rPr>
                <w:b/>
                <w:sz w:val="20"/>
                <w:szCs w:val="20"/>
              </w:rPr>
              <w:t>)</w:t>
            </w:r>
            <w:r w:rsidRPr="005F6E21">
              <w:rPr>
                <w:b/>
                <w:sz w:val="20"/>
                <w:szCs w:val="20"/>
              </w:rPr>
              <w:t xml:space="preserve"> </w:t>
            </w:r>
            <w:r w:rsidRPr="005F6E21">
              <w:rPr>
                <w:b/>
                <w:i/>
                <w:sz w:val="20"/>
                <w:szCs w:val="20"/>
              </w:rPr>
              <w:t>Review of Australian Higher Education</w:t>
            </w:r>
            <w:r w:rsidRPr="00C57F35">
              <w:rPr>
                <w:rStyle w:val="FootnoteReference"/>
              </w:rPr>
              <w:footnoteReference w:id="11"/>
            </w:r>
          </w:p>
          <w:p w:rsidR="00651E97" w:rsidRPr="003E314D" w:rsidRDefault="00651E97" w:rsidP="004C2E45">
            <w:pPr>
              <w:spacing w:before="0" w:after="0"/>
              <w:rPr>
                <w:b/>
                <w:sz w:val="16"/>
                <w:szCs w:val="16"/>
              </w:rPr>
            </w:pPr>
          </w:p>
        </w:tc>
      </w:tr>
    </w:tbl>
    <w:p w:rsidR="00651E97" w:rsidRDefault="00651E97" w:rsidP="00651E97">
      <w:pPr>
        <w:spacing w:before="0" w:after="0"/>
      </w:pPr>
    </w:p>
    <w:p w:rsidR="006F17EE" w:rsidRDefault="00651E97" w:rsidP="00651E97">
      <w:pPr>
        <w:spacing w:before="0" w:after="0"/>
      </w:pPr>
      <w:r>
        <w:t xml:space="preserve">The requirement for universities in Australia to undertake research </w:t>
      </w:r>
      <w:r w:rsidR="00252CF3">
        <w:t>remains</w:t>
      </w:r>
      <w:r>
        <w:t xml:space="preserve"> one of continuing interest. Sometimes the matter is viewed through the lens of differential funding possibilities</w:t>
      </w:r>
      <w:r w:rsidR="00682BB4">
        <w:t xml:space="preserve">. Related to this are the current </w:t>
      </w:r>
      <w:r w:rsidR="006F17EE">
        <w:t xml:space="preserve">incentives </w:t>
      </w:r>
      <w:r w:rsidR="00D97FAE">
        <w:t>for univer</w:t>
      </w:r>
      <w:r w:rsidR="006F17EE">
        <w:t xml:space="preserve">sities to support </w:t>
      </w:r>
      <w:r w:rsidR="00D97FAE">
        <w:t>research through teaching revenue</w:t>
      </w:r>
      <w:r w:rsidR="006F17EE">
        <w:t>, particularly</w:t>
      </w:r>
      <w:r w:rsidR="00D97FAE">
        <w:t xml:space="preserve"> from internat</w:t>
      </w:r>
      <w:r w:rsidR="00682BB4">
        <w:t>ional students</w:t>
      </w:r>
      <w:r w:rsidR="00D97FAE">
        <w:t xml:space="preserve">. </w:t>
      </w:r>
      <w:r w:rsidR="001B5A71">
        <w:t>Another factor is t</w:t>
      </w:r>
      <w:r w:rsidR="00D97FAE">
        <w:t xml:space="preserve">he inextricable link between research and university standing, particularly where </w:t>
      </w:r>
      <w:r w:rsidR="006F17EE" w:rsidRPr="006D2800">
        <w:t>interna</w:t>
      </w:r>
      <w:r w:rsidR="006F17EE">
        <w:t xml:space="preserve">tional university rankings </w:t>
      </w:r>
      <w:r w:rsidR="007E1639">
        <w:t>are weighted</w:t>
      </w:r>
      <w:r w:rsidR="00252CF3">
        <w:t xml:space="preserve"> significantly</w:t>
      </w:r>
      <w:r w:rsidR="007E1639">
        <w:t xml:space="preserve"> by</w:t>
      </w:r>
      <w:r w:rsidR="00682BB4">
        <w:t xml:space="preserve"> </w:t>
      </w:r>
      <w:r w:rsidR="007E1639">
        <w:t>research performance</w:t>
      </w:r>
      <w:r w:rsidR="001B5A71">
        <w:t xml:space="preserve">. </w:t>
      </w:r>
      <w:r>
        <w:t>There is also contention about the strength of the teaching-research nexus in practice</w:t>
      </w:r>
      <w:r w:rsidR="00D97FAE">
        <w:t xml:space="preserve">, with </w:t>
      </w:r>
      <w:r w:rsidR="00252CF3">
        <w:t>commentators</w:t>
      </w:r>
      <w:r w:rsidR="001B5A71">
        <w:t xml:space="preserve"> often pointing to </w:t>
      </w:r>
      <w:r w:rsidR="006F17EE">
        <w:t xml:space="preserve">a </w:t>
      </w:r>
      <w:r>
        <w:t>lack of evidence support</w:t>
      </w:r>
      <w:r w:rsidR="001B5A71">
        <w:t>ing</w:t>
      </w:r>
      <w:r w:rsidR="006F17EE">
        <w:t xml:space="preserve"> </w:t>
      </w:r>
      <w:r>
        <w:t>the relationship between research and teaching quality, student experience or employment outcomes.</w:t>
      </w:r>
    </w:p>
    <w:p w:rsidR="006F17EE" w:rsidRDefault="006F17EE" w:rsidP="00651E97">
      <w:pPr>
        <w:spacing w:before="0" w:after="0"/>
      </w:pPr>
    </w:p>
    <w:p w:rsidR="00EF697A" w:rsidRDefault="00252CF3" w:rsidP="00EF697A">
      <w:pPr>
        <w:spacing w:before="0" w:after="0"/>
      </w:pPr>
      <w:r>
        <w:t>A</w:t>
      </w:r>
      <w:r w:rsidRPr="00CD3344">
        <w:t xml:space="preserve"> </w:t>
      </w:r>
      <w:r w:rsidR="00651E97" w:rsidRPr="00CD3344">
        <w:t xml:space="preserve">2017 </w:t>
      </w:r>
      <w:r w:rsidR="00651E97" w:rsidRPr="00CC0FE9">
        <w:t>Productivity Commission Review</w:t>
      </w:r>
      <w:r w:rsidR="00651E97">
        <w:t xml:space="preserve"> </w:t>
      </w:r>
      <w:r w:rsidR="00EF697A">
        <w:t xml:space="preserve">explored a range of issues associated with the </w:t>
      </w:r>
      <w:r w:rsidR="001268D9">
        <w:t>teaching-research nexus</w:t>
      </w:r>
      <w:r w:rsidR="00651E97">
        <w:t>.</w:t>
      </w:r>
      <w:r w:rsidR="00EB1FAF">
        <w:t xml:space="preserve"> </w:t>
      </w:r>
      <w:r w:rsidR="00EF697A">
        <w:t xml:space="preserve">This included </w:t>
      </w:r>
      <w:r w:rsidR="001268D9">
        <w:t>factors such as</w:t>
      </w:r>
      <w:r w:rsidR="00866D2F">
        <w:t>:</w:t>
      </w:r>
      <w:r w:rsidR="007B5B89">
        <w:t xml:space="preserve"> the </w:t>
      </w:r>
      <w:r w:rsidR="00A13132">
        <w:t xml:space="preserve">eminence and </w:t>
      </w:r>
      <w:r w:rsidR="007B5B89">
        <w:t xml:space="preserve">prestige research brings to </w:t>
      </w:r>
      <w:r w:rsidR="00A13132">
        <w:t>universities</w:t>
      </w:r>
      <w:r w:rsidR="00866D2F">
        <w:t xml:space="preserve">; </w:t>
      </w:r>
      <w:r w:rsidR="001268D9">
        <w:t xml:space="preserve">the potential barrier to new entrants becoming universities due to </w:t>
      </w:r>
      <w:r w:rsidR="00866D2F">
        <w:t>the expense of conducting research</w:t>
      </w:r>
      <w:r w:rsidR="00372981">
        <w:t xml:space="preserve">; </w:t>
      </w:r>
      <w:r w:rsidR="00A13132">
        <w:t xml:space="preserve">the </w:t>
      </w:r>
      <w:r w:rsidR="00866D2F">
        <w:t xml:space="preserve">competitive advantage </w:t>
      </w:r>
      <w:r w:rsidR="00372981">
        <w:t>research</w:t>
      </w:r>
      <w:r w:rsidR="00866D2F">
        <w:t xml:space="preserve"> affords </w:t>
      </w:r>
      <w:r w:rsidR="00372981">
        <w:t xml:space="preserve">to </w:t>
      </w:r>
      <w:r w:rsidR="00866D2F">
        <w:t>existing institutions in Australia’s university-centric market;</w:t>
      </w:r>
      <w:r w:rsidR="007B5B89">
        <w:t xml:space="preserve"> </w:t>
      </w:r>
      <w:r w:rsidR="00E714C5">
        <w:t xml:space="preserve">and </w:t>
      </w:r>
      <w:r w:rsidR="007B5B89">
        <w:t>the impression that teaching quality is</w:t>
      </w:r>
      <w:r w:rsidR="00372981">
        <w:t xml:space="preserve"> not </w:t>
      </w:r>
      <w:r w:rsidR="007B5B89">
        <w:t>rewarded</w:t>
      </w:r>
      <w:r w:rsidR="002971CB">
        <w:t>, with</w:t>
      </w:r>
      <w:r w:rsidR="000A4229">
        <w:t xml:space="preserve"> the career development of academics depend</w:t>
      </w:r>
      <w:r w:rsidR="002971CB">
        <w:t>ing “</w:t>
      </w:r>
      <w:r w:rsidR="00E714C5">
        <w:t xml:space="preserve">more </w:t>
      </w:r>
      <w:r w:rsidR="000A4229">
        <w:t xml:space="preserve">on their research results and publication numbers than </w:t>
      </w:r>
      <w:r w:rsidR="000A4229">
        <w:lastRenderedPageBreak/>
        <w:t>on their teaching ability”.</w:t>
      </w:r>
      <w:r w:rsidR="00866D2F">
        <w:rPr>
          <w:rStyle w:val="FootnoteReference"/>
        </w:rPr>
        <w:footnoteReference w:id="12"/>
      </w:r>
      <w:r w:rsidR="00EB1FAF">
        <w:t xml:space="preserve"> </w:t>
      </w:r>
      <w:r w:rsidR="00372981">
        <w:t>Indeed, t</w:t>
      </w:r>
      <w:r w:rsidR="00E714C5">
        <w:t>he</w:t>
      </w:r>
      <w:r w:rsidR="00CC0FE9">
        <w:t xml:space="preserve"> Productivity Commission</w:t>
      </w:r>
      <w:r w:rsidR="00E714C5">
        <w:t xml:space="preserve"> review </w:t>
      </w:r>
      <w:r w:rsidR="00EF697A">
        <w:t>found “little empirical evidence that a positive teaching</w:t>
      </w:r>
      <w:r w:rsidR="00EF697A">
        <w:noBreakHyphen/>
        <w:t>research nexus exists (particularly at the undergraduate level)” and “</w:t>
      </w:r>
      <w:r w:rsidR="00EF697A" w:rsidRPr="006D2800">
        <w:t>no compelling policy rationale for requiring high</w:t>
      </w:r>
      <w:r w:rsidR="00EF697A" w:rsidRPr="006D2800">
        <w:noBreakHyphen/>
        <w:t>quality providers to conduct research in order to be able to la</w:t>
      </w:r>
      <w:r w:rsidR="00EF697A">
        <w:t>be</w:t>
      </w:r>
      <w:r w:rsidR="007E1639">
        <w:t>l themselves as a ‘university’”</w:t>
      </w:r>
      <w:r w:rsidR="00083F0B" w:rsidRPr="005C1EA9">
        <w:t>.</w:t>
      </w:r>
      <w:r w:rsidR="00866D2F">
        <w:rPr>
          <w:rStyle w:val="FootnoteReference"/>
        </w:rPr>
        <w:footnoteReference w:id="13"/>
      </w:r>
      <w:r w:rsidR="00EF697A">
        <w:t xml:space="preserve"> </w:t>
      </w:r>
    </w:p>
    <w:p w:rsidR="00651E97" w:rsidRDefault="00651E97" w:rsidP="00651E97">
      <w:pPr>
        <w:spacing w:before="0" w:after="0"/>
      </w:pPr>
    </w:p>
    <w:tbl>
      <w:tblPr>
        <w:tblStyle w:val="PullOutBox1"/>
        <w:tblW w:w="7938" w:type="dxa"/>
        <w:tblInd w:w="426" w:type="dxa"/>
        <w:shd w:val="clear" w:color="auto" w:fill="D3E2F5"/>
        <w:tblLook w:val="04A0" w:firstRow="1" w:lastRow="0" w:firstColumn="1" w:lastColumn="0" w:noHBand="0" w:noVBand="1"/>
      </w:tblPr>
      <w:tblGrid>
        <w:gridCol w:w="7938"/>
      </w:tblGrid>
      <w:tr w:rsidR="00651E97" w:rsidTr="004C2E45">
        <w:trPr>
          <w:tblHeader/>
        </w:trPr>
        <w:tc>
          <w:tcPr>
            <w:tcW w:w="7938" w:type="dxa"/>
            <w:shd w:val="clear" w:color="auto" w:fill="D3E2F5"/>
          </w:tcPr>
          <w:p w:rsidR="000A4229" w:rsidRDefault="000A4229" w:rsidP="004C2E45">
            <w:pPr>
              <w:spacing w:before="0" w:after="0"/>
              <w:rPr>
                <w:b/>
                <w:i/>
                <w:sz w:val="16"/>
                <w:szCs w:val="16"/>
              </w:rPr>
            </w:pPr>
          </w:p>
          <w:p w:rsidR="000A4229" w:rsidRDefault="000A4229" w:rsidP="004C2E45">
            <w:pPr>
              <w:spacing w:before="0" w:after="0"/>
              <w:rPr>
                <w:i/>
              </w:rPr>
            </w:pPr>
            <w:r w:rsidRPr="002971CB">
              <w:rPr>
                <w:i/>
              </w:rPr>
              <w:t>“T</w:t>
            </w:r>
            <w:r>
              <w:rPr>
                <w:i/>
              </w:rPr>
              <w:t>hat</w:t>
            </w:r>
            <w:r w:rsidR="00D97FAE" w:rsidRPr="00EF697A">
              <w:rPr>
                <w:i/>
              </w:rPr>
              <w:t xml:space="preserve"> universities must foster excellence in research is unquestioned. However, universities are in the unique position of not just generating ideas that push out the boundaries of knowledge, but in also transferring that knowledge to students — a diffusion role that is not subject to the same level of status as research.</w:t>
            </w:r>
            <w:r>
              <w:rPr>
                <w:i/>
              </w:rPr>
              <w:t>”</w:t>
            </w:r>
          </w:p>
          <w:p w:rsidR="000A4229" w:rsidRDefault="000A4229" w:rsidP="004C2E45">
            <w:pPr>
              <w:spacing w:before="0" w:after="0"/>
              <w:rPr>
                <w:i/>
              </w:rPr>
            </w:pPr>
          </w:p>
          <w:p w:rsidR="000A4229" w:rsidRDefault="00D97FAE" w:rsidP="002971CB">
            <w:pPr>
              <w:spacing w:before="0" w:after="0"/>
              <w:jc w:val="right"/>
              <w:rPr>
                <w:b/>
                <w:i/>
                <w:sz w:val="20"/>
                <w:szCs w:val="20"/>
              </w:rPr>
            </w:pPr>
            <w:r w:rsidRPr="00EA15AB" w:rsidDel="004D2B5D">
              <w:rPr>
                <w:i/>
              </w:rPr>
              <w:t xml:space="preserve"> </w:t>
            </w:r>
            <w:r w:rsidR="00EF697A" w:rsidRPr="00A51B30">
              <w:rPr>
                <w:b/>
                <w:sz w:val="20"/>
                <w:szCs w:val="20"/>
              </w:rPr>
              <w:t xml:space="preserve">Productivity Commission (2017) </w:t>
            </w:r>
            <w:r w:rsidR="00EF697A" w:rsidRPr="00A51B30">
              <w:rPr>
                <w:b/>
                <w:i/>
                <w:sz w:val="20"/>
                <w:szCs w:val="20"/>
              </w:rPr>
              <w:t>Shifting the Dial: 5 Year Productivity Review</w:t>
            </w:r>
            <w:r w:rsidR="00EB1FAF" w:rsidRPr="0075308C">
              <w:rPr>
                <w:rStyle w:val="FootnoteReference"/>
                <w:sz w:val="20"/>
                <w:szCs w:val="20"/>
              </w:rPr>
              <w:footnoteReference w:id="14"/>
            </w:r>
          </w:p>
          <w:p w:rsidR="00651E97" w:rsidRPr="003E314D" w:rsidRDefault="00651E97" w:rsidP="002971CB">
            <w:pPr>
              <w:spacing w:before="0" w:after="0"/>
              <w:jc w:val="right"/>
              <w:rPr>
                <w:b/>
                <w:sz w:val="16"/>
                <w:szCs w:val="16"/>
              </w:rPr>
            </w:pPr>
          </w:p>
        </w:tc>
      </w:tr>
    </w:tbl>
    <w:p w:rsidR="00651E97" w:rsidRDefault="00651E97" w:rsidP="00651E97">
      <w:pPr>
        <w:spacing w:before="0" w:after="0"/>
      </w:pPr>
    </w:p>
    <w:p w:rsidR="00651E97" w:rsidRDefault="00651E97" w:rsidP="00651E97">
      <w:pPr>
        <w:spacing w:before="0" w:after="0"/>
      </w:pPr>
      <w:r>
        <w:t xml:space="preserve">Public discourse on the current requirements on universities under the PCS also present other considerations. For example, should the </w:t>
      </w:r>
      <w:r w:rsidRPr="006C296E">
        <w:t>requirement for universities to offer both undergraduate and postgraduate courses</w:t>
      </w:r>
      <w:r>
        <w:t xml:space="preserve"> be relaxed</w:t>
      </w:r>
      <w:r w:rsidRPr="006C296E">
        <w:t xml:space="preserve">, allowing freedom for </w:t>
      </w:r>
      <w:r>
        <w:t xml:space="preserve">a university </w:t>
      </w:r>
      <w:r w:rsidRPr="006C296E">
        <w:t xml:space="preserve">to specialise in </w:t>
      </w:r>
      <w:r>
        <w:t xml:space="preserve">only undergraduate or only postgraduate courses, with or without research, as appropriate? Should </w:t>
      </w:r>
      <w:r w:rsidRPr="006C296E">
        <w:t xml:space="preserve">specialised research </w:t>
      </w:r>
      <w:r>
        <w:t xml:space="preserve">institutes with a proven record become eligible </w:t>
      </w:r>
      <w:r w:rsidRPr="006C296E">
        <w:t xml:space="preserve">to </w:t>
      </w:r>
      <w:r>
        <w:t>use the ‘university’ title and even offer postgraduate research-based qualifications?</w:t>
      </w:r>
      <w:r w:rsidDel="00AE74B6">
        <w:t xml:space="preserve"> </w:t>
      </w:r>
      <w:r>
        <w:t xml:space="preserve">While this review presents an opportunity to explore all possible options, the implications of any change must be carefully weighed, particularly where change may have consequences for reputation and outcomes. </w:t>
      </w:r>
    </w:p>
    <w:p w:rsidR="00651E97" w:rsidRPr="003E314D" w:rsidRDefault="00651E97" w:rsidP="00651E97">
      <w:pPr>
        <w:spacing w:before="0" w:after="0"/>
      </w:pPr>
    </w:p>
    <w:tbl>
      <w:tblPr>
        <w:tblStyle w:val="TableGrid"/>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018"/>
      </w:tblGrid>
      <w:tr w:rsidR="00651E97" w:rsidTr="004C2E45">
        <w:trPr>
          <w:cnfStyle w:val="100000000000" w:firstRow="1" w:lastRow="0" w:firstColumn="0" w:lastColumn="0" w:oddVBand="0" w:evenVBand="0" w:oddHBand="0" w:evenHBand="0" w:firstRowFirstColumn="0" w:firstRowLastColumn="0" w:lastRowFirstColumn="0" w:lastRowLastColumn="0"/>
          <w:trHeight w:val="416"/>
        </w:trPr>
        <w:tc>
          <w:tcPr>
            <w:tcW w:w="9018" w:type="dxa"/>
            <w:tcBorders>
              <w:bottom w:val="single" w:sz="4" w:space="0" w:color="2763AC"/>
            </w:tcBorders>
          </w:tcPr>
          <w:p w:rsidR="00651E97" w:rsidRDefault="00651E97" w:rsidP="004C2E45">
            <w:r>
              <w:t>DISCUSSION QUESTIONS</w:t>
            </w:r>
          </w:p>
        </w:tc>
      </w:tr>
      <w:tr w:rsidR="00651E97" w:rsidTr="004C2E45">
        <w:trPr>
          <w:trHeight w:val="466"/>
        </w:trPr>
        <w:tc>
          <w:tcPr>
            <w:tcW w:w="9018" w:type="dxa"/>
            <w:tcBorders>
              <w:top w:val="single" w:sz="4" w:space="0" w:color="2763AC"/>
              <w:left w:val="nil"/>
              <w:bottom w:val="single" w:sz="4" w:space="0" w:color="auto"/>
              <w:right w:val="nil"/>
            </w:tcBorders>
          </w:tcPr>
          <w:p w:rsidR="00E377B0" w:rsidRPr="00E377B0" w:rsidRDefault="00651E97" w:rsidP="0075308C">
            <w:pPr>
              <w:pStyle w:val="ListParagraph"/>
              <w:numPr>
                <w:ilvl w:val="0"/>
                <w:numId w:val="25"/>
              </w:numPr>
              <w:ind w:left="741" w:hanging="425"/>
              <w:rPr>
                <w:b/>
              </w:rPr>
            </w:pPr>
            <w:r w:rsidRPr="00162DB3">
              <w:rPr>
                <w:rFonts w:cstheme="minorHAnsi"/>
                <w:b/>
              </w:rPr>
              <w:t>What characteristics should define a</w:t>
            </w:r>
            <w:r w:rsidR="00E377B0">
              <w:rPr>
                <w:rFonts w:cstheme="minorHAnsi"/>
                <w:b/>
              </w:rPr>
              <w:t xml:space="preserve"> ‘higher education provider’ and a</w:t>
            </w:r>
            <w:r>
              <w:rPr>
                <w:rFonts w:cstheme="minorHAnsi"/>
                <w:b/>
              </w:rPr>
              <w:t xml:space="preserve"> ‘u</w:t>
            </w:r>
            <w:r w:rsidRPr="00162DB3">
              <w:rPr>
                <w:rFonts w:cstheme="minorHAnsi"/>
                <w:b/>
              </w:rPr>
              <w:t>niversity</w:t>
            </w:r>
            <w:r>
              <w:rPr>
                <w:rFonts w:cstheme="minorHAnsi"/>
                <w:b/>
              </w:rPr>
              <w:t>’</w:t>
            </w:r>
            <w:r w:rsidRPr="00162DB3">
              <w:rPr>
                <w:rFonts w:cstheme="minorHAnsi"/>
                <w:b/>
              </w:rPr>
              <w:t xml:space="preserve"> in the PCS?</w:t>
            </w:r>
          </w:p>
          <w:p w:rsidR="00651E97" w:rsidRPr="00162DB3" w:rsidRDefault="00651E97" w:rsidP="0075308C">
            <w:pPr>
              <w:pStyle w:val="ListParagraph"/>
              <w:numPr>
                <w:ilvl w:val="0"/>
                <w:numId w:val="25"/>
              </w:numPr>
              <w:ind w:left="741" w:hanging="425"/>
              <w:rPr>
                <w:b/>
              </w:rPr>
            </w:pPr>
            <w:r>
              <w:rPr>
                <w:rFonts w:cstheme="minorHAnsi"/>
                <w:b/>
              </w:rPr>
              <w:t>Are the PCS fit for purpose in terms of current and emerging needs?</w:t>
            </w:r>
            <w:r w:rsidR="00F40F13">
              <w:rPr>
                <w:rFonts w:cstheme="minorHAnsi"/>
                <w:b/>
              </w:rPr>
              <w:t xml:space="preserve"> Why?</w:t>
            </w:r>
          </w:p>
        </w:tc>
      </w:tr>
    </w:tbl>
    <w:bookmarkEnd w:id="18"/>
    <w:bookmarkEnd w:id="19"/>
    <w:bookmarkEnd w:id="20"/>
    <w:p w:rsidR="00651E97" w:rsidRDefault="00651E97" w:rsidP="00F355E6">
      <w:pPr>
        <w:spacing w:before="0" w:after="0"/>
        <w:rPr>
          <w:rFonts w:ascii="Calibri" w:eastAsiaTheme="majorEastAsia" w:hAnsi="Calibri" w:cstheme="majorBidi"/>
          <w:b/>
          <w:color w:val="2763AC"/>
          <w:sz w:val="28"/>
          <w:szCs w:val="26"/>
        </w:rPr>
      </w:pPr>
      <w:r>
        <w:t xml:space="preserve"> </w:t>
      </w:r>
      <w:bookmarkStart w:id="24" w:name="_Toc523319070"/>
      <w:bookmarkStart w:id="25" w:name="_Toc523323002"/>
    </w:p>
    <w:p w:rsidR="00651E97" w:rsidRDefault="00651E97" w:rsidP="00651E97">
      <w:pPr>
        <w:pStyle w:val="Heading2"/>
        <w:spacing w:before="0" w:after="0"/>
      </w:pPr>
      <w:bookmarkStart w:id="26" w:name="_Toc531606775"/>
      <w:r>
        <w:t>Signalling differentiation</w:t>
      </w:r>
      <w:bookmarkEnd w:id="26"/>
    </w:p>
    <w:p w:rsidR="00651E97" w:rsidRDefault="00651E97" w:rsidP="00651E97">
      <w:pPr>
        <w:spacing w:before="0" w:after="0"/>
        <w:rPr>
          <w:highlight w:val="yellow"/>
        </w:rPr>
      </w:pPr>
      <w:r>
        <w:t xml:space="preserve">Australia’s higher education sector continues to evolve as providers seek to meet the needs of students, industries and communities </w:t>
      </w:r>
      <w:r w:rsidRPr="00CD3344">
        <w:t>– locally, nationally and internationally.</w:t>
      </w:r>
      <w:r>
        <w:t xml:space="preserve"> </w:t>
      </w:r>
      <w:r w:rsidRPr="00CD3344">
        <w:t xml:space="preserve">Ensuring </w:t>
      </w:r>
      <w:r>
        <w:t xml:space="preserve">the highest </w:t>
      </w:r>
      <w:r w:rsidRPr="00F16B0B">
        <w:t xml:space="preserve">quality across an increasingly diverse higher education system is a challenge for the nation – but one that has far-reaching consequences if not upheld. The PCS act as a market signal for provider activity and quality. Australia’s robust quality assurance arrangements, including strict requirements to use the </w:t>
      </w:r>
      <w:r>
        <w:t>‘</w:t>
      </w:r>
      <w:r w:rsidRPr="00F16B0B">
        <w:t>university</w:t>
      </w:r>
      <w:r>
        <w:t>’</w:t>
      </w:r>
      <w:r w:rsidRPr="00F16B0B">
        <w:t xml:space="preserve"> title, help to assure Australia’s reputation globally for high quality higher education </w:t>
      </w:r>
      <w:r w:rsidR="00AE3AB9">
        <w:t xml:space="preserve">provision and </w:t>
      </w:r>
      <w:r w:rsidRPr="00F16B0B">
        <w:t xml:space="preserve">delivery, safeguarding </w:t>
      </w:r>
      <w:r w:rsidR="002A4BF7">
        <w:t>its</w:t>
      </w:r>
      <w:r w:rsidRPr="00F16B0B">
        <w:t xml:space="preserve"> s</w:t>
      </w:r>
      <w:r>
        <w:t>trong</w:t>
      </w:r>
      <w:r w:rsidRPr="00F16B0B">
        <w:t xml:space="preserve"> reputation and international standing.</w:t>
      </w:r>
    </w:p>
    <w:p w:rsidR="00651E97" w:rsidRDefault="00651E97" w:rsidP="00651E97">
      <w:pPr>
        <w:spacing w:before="0" w:after="0"/>
      </w:pPr>
    </w:p>
    <w:p w:rsidR="00490D5C" w:rsidRDefault="00490D5C">
      <w:pPr>
        <w:spacing w:before="0" w:after="160"/>
      </w:pPr>
      <w:r>
        <w:br w:type="page"/>
      </w:r>
    </w:p>
    <w:p w:rsidR="00651E97" w:rsidRDefault="00651E97" w:rsidP="00651E97">
      <w:pPr>
        <w:spacing w:before="0" w:after="0"/>
      </w:pPr>
      <w:r>
        <w:lastRenderedPageBreak/>
        <w:t xml:space="preserve">However, the </w:t>
      </w:r>
      <w:r w:rsidR="00354AFF">
        <w:t xml:space="preserve">real </w:t>
      </w:r>
      <w:r>
        <w:t>di</w:t>
      </w:r>
      <w:r w:rsidR="00AA7A1A">
        <w:t>fferentiation</w:t>
      </w:r>
      <w:r>
        <w:t xml:space="preserve"> of Australia’s higher education sector might not be reflected in the PCS. </w:t>
      </w:r>
      <w:r w:rsidR="00B34616">
        <w:t>Currently</w:t>
      </w:r>
      <w:r>
        <w:t xml:space="preserve"> a </w:t>
      </w:r>
      <w:r w:rsidRPr="00322EF1">
        <w:t>single ‘</w:t>
      </w:r>
      <w:r>
        <w:t>Higher Education P</w:t>
      </w:r>
      <w:r w:rsidRPr="00322EF1">
        <w:t>ro</w:t>
      </w:r>
      <w:r>
        <w:t xml:space="preserve">vider’ category </w:t>
      </w:r>
      <w:r w:rsidR="0098260E">
        <w:t>covers</w:t>
      </w:r>
      <w:r>
        <w:t xml:space="preserve"> 127</w:t>
      </w:r>
      <w:r w:rsidRPr="00322EF1">
        <w:t xml:space="preserve"> different higher education providers.</w:t>
      </w:r>
      <w:r w:rsidR="002B24C4">
        <w:rPr>
          <w:rStyle w:val="FootnoteReference"/>
        </w:rPr>
        <w:footnoteReference w:id="15"/>
      </w:r>
      <w:r w:rsidRPr="00322EF1">
        <w:t xml:space="preserve"> </w:t>
      </w:r>
      <w:r>
        <w:t xml:space="preserve">Consequently, the opportunity for </w:t>
      </w:r>
      <w:r w:rsidR="0045489A">
        <w:t xml:space="preserve">higher education </w:t>
      </w:r>
      <w:r>
        <w:t xml:space="preserve">providers to demarcate their </w:t>
      </w:r>
      <w:r w:rsidR="0045489A">
        <w:t xml:space="preserve">position </w:t>
      </w:r>
      <w:r>
        <w:t>through the PCS and signal their point of difference, specialisation</w:t>
      </w:r>
      <w:r w:rsidR="00EB1FAF">
        <w:t>,</w:t>
      </w:r>
      <w:r>
        <w:t xml:space="preserve"> or excellence against other higher education providers may not be possible. By</w:t>
      </w:r>
      <w:r w:rsidR="0098260E">
        <w:t> </w:t>
      </w:r>
      <w:r>
        <w:t>categorising all higher education providers together, broad minimum requirements become the focus</w:t>
      </w:r>
      <w:r w:rsidR="0045489A">
        <w:t>. This is</w:t>
      </w:r>
      <w:r>
        <w:t xml:space="preserve"> as opposed to the possibility of additional requirements to distinguish and incentivise differentiation and excellence. </w:t>
      </w:r>
    </w:p>
    <w:p w:rsidR="00651E97" w:rsidRDefault="00651E97" w:rsidP="00651E97">
      <w:pPr>
        <w:spacing w:before="0" w:after="0"/>
      </w:pPr>
    </w:p>
    <w:p w:rsidR="00651E97" w:rsidRDefault="00651E97" w:rsidP="00651E97">
      <w:pPr>
        <w:spacing w:before="0" w:after="0"/>
      </w:pPr>
      <w:r>
        <w:t xml:space="preserve">For example, could pathway colleges linked to a </w:t>
      </w:r>
      <w:r w:rsidR="00EB1FAF">
        <w:t>‘</w:t>
      </w:r>
      <w:r>
        <w:t>university</w:t>
      </w:r>
      <w:r w:rsidR="00EB1FAF">
        <w:t>’</w:t>
      </w:r>
      <w:r>
        <w:t xml:space="preserve"> and offering AQF Level 5</w:t>
      </w:r>
      <w:r w:rsidR="009F3E9D">
        <w:t>-6 courses</w:t>
      </w:r>
      <w:r w:rsidRPr="002540CA">
        <w:t xml:space="preserve"> </w:t>
      </w:r>
      <w:r>
        <w:t>be classified as a standalone category of higher education provider? Additionally, should higher education providers that have reached the highest levels of confidence by TEQSA in their self</w:t>
      </w:r>
      <w:r w:rsidR="007978C0">
        <w:noBreakHyphen/>
      </w:r>
      <w:r>
        <w:t xml:space="preserve">assurance and self-assessment capability be eligible for a new category (and title) which allows unlimited self-accrediting authority? </w:t>
      </w:r>
    </w:p>
    <w:p w:rsidR="00651E97" w:rsidRDefault="00651E97" w:rsidP="00651E97">
      <w:pPr>
        <w:spacing w:before="0" w:after="0"/>
      </w:pPr>
    </w:p>
    <w:p w:rsidR="00651E97" w:rsidRDefault="00651E97" w:rsidP="00651E97">
      <w:pPr>
        <w:spacing w:before="0" w:after="0"/>
      </w:pPr>
      <w:r>
        <w:rPr>
          <w:noProof/>
        </w:rPr>
        <w:t xml:space="preserve">Another consideration is whether the PCS need to take account of varying activity and quality of a single provider. </w:t>
      </w:r>
      <w:r>
        <w:t xml:space="preserve">For example, the learning </w:t>
      </w:r>
      <w:r w:rsidRPr="00CD3344">
        <w:t xml:space="preserve">experience </w:t>
      </w:r>
      <w:r>
        <w:t xml:space="preserve">of a student at a main </w:t>
      </w:r>
      <w:r w:rsidRPr="00CD3344">
        <w:t>university campus</w:t>
      </w:r>
      <w:r>
        <w:t xml:space="preserve"> may be very different to </w:t>
      </w:r>
      <w:r w:rsidRPr="00CD3344">
        <w:t xml:space="preserve">a </w:t>
      </w:r>
      <w:r>
        <w:t xml:space="preserve">smaller </w:t>
      </w:r>
      <w:r w:rsidR="0045489A">
        <w:t>‘</w:t>
      </w:r>
      <w:r w:rsidRPr="00CD3344">
        <w:t>city building block</w:t>
      </w:r>
      <w:r w:rsidR="0045489A">
        <w:t>’</w:t>
      </w:r>
      <w:r w:rsidRPr="00CD3344">
        <w:t xml:space="preserve"> campus</w:t>
      </w:r>
      <w:r>
        <w:t xml:space="preserve"> of the same institution. Is it acceptable to advertise this as a ‘university’ experience? With approximately 1.5 million higher education students enrolled in Australia, and around 90 per cent of those enrolled in universities, </w:t>
      </w:r>
      <w:r w:rsidR="0098260E" w:rsidRPr="004974DB">
        <w:t>the sector</w:t>
      </w:r>
      <w:r w:rsidR="0045489A" w:rsidRPr="004974DB">
        <w:t xml:space="preserve"> should be aware of the </w:t>
      </w:r>
      <w:r w:rsidR="0098260E" w:rsidRPr="004974DB">
        <w:t>len</w:t>
      </w:r>
      <w:r w:rsidR="004974DB" w:rsidRPr="004974DB">
        <w:t>s</w:t>
      </w:r>
      <w:r w:rsidR="0045489A">
        <w:t xml:space="preserve"> through which students view institutions. </w:t>
      </w:r>
    </w:p>
    <w:p w:rsidR="00651E97" w:rsidRDefault="00651E97" w:rsidP="00651E97">
      <w:pPr>
        <w:spacing w:before="0" w:after="0" w:line="276" w:lineRule="auto"/>
        <w:rPr>
          <w:rFonts w:eastAsiaTheme="minorEastAsia"/>
        </w:rPr>
      </w:pPr>
    </w:p>
    <w:tbl>
      <w:tblPr>
        <w:tblStyle w:val="TableGrid"/>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018"/>
      </w:tblGrid>
      <w:tr w:rsidR="00651E97" w:rsidTr="004C2E45">
        <w:trPr>
          <w:cnfStyle w:val="100000000000" w:firstRow="1" w:lastRow="0" w:firstColumn="0" w:lastColumn="0" w:oddVBand="0" w:evenVBand="0" w:oddHBand="0" w:evenHBand="0" w:firstRowFirstColumn="0" w:firstRowLastColumn="0" w:lastRowFirstColumn="0" w:lastRowLastColumn="0"/>
          <w:trHeight w:val="416"/>
        </w:trPr>
        <w:tc>
          <w:tcPr>
            <w:tcW w:w="9018" w:type="dxa"/>
            <w:tcBorders>
              <w:bottom w:val="single" w:sz="4" w:space="0" w:color="2763AC"/>
            </w:tcBorders>
          </w:tcPr>
          <w:p w:rsidR="00651E97" w:rsidRDefault="00651E97" w:rsidP="004C2E45">
            <w:r>
              <w:t>DISCUSSION QUESTIONS</w:t>
            </w:r>
          </w:p>
        </w:tc>
      </w:tr>
      <w:tr w:rsidR="00651E97" w:rsidTr="004C2E45">
        <w:trPr>
          <w:trHeight w:val="466"/>
        </w:trPr>
        <w:tc>
          <w:tcPr>
            <w:tcW w:w="9018" w:type="dxa"/>
            <w:tcBorders>
              <w:top w:val="single" w:sz="4" w:space="0" w:color="2763AC"/>
              <w:left w:val="nil"/>
              <w:bottom w:val="single" w:sz="4" w:space="0" w:color="auto"/>
              <w:right w:val="nil"/>
            </w:tcBorders>
          </w:tcPr>
          <w:p w:rsidR="00651E97" w:rsidRPr="00194022" w:rsidRDefault="00651E97" w:rsidP="0075308C">
            <w:pPr>
              <w:pStyle w:val="ListParagraph"/>
              <w:numPr>
                <w:ilvl w:val="0"/>
                <w:numId w:val="25"/>
              </w:numPr>
              <w:ind w:left="741" w:hanging="425"/>
              <w:rPr>
                <w:b/>
              </w:rPr>
            </w:pPr>
            <w:r>
              <w:rPr>
                <w:b/>
              </w:rPr>
              <w:t xml:space="preserve">Should some categories be eliminated or new categories be introduced? What </w:t>
            </w:r>
            <w:r w:rsidR="009759ED">
              <w:rPr>
                <w:b/>
              </w:rPr>
              <w:t>sh</w:t>
            </w:r>
            <w:r>
              <w:rPr>
                <w:b/>
              </w:rPr>
              <w:t xml:space="preserve">ould be </w:t>
            </w:r>
            <w:r w:rsidR="00E61B52">
              <w:rPr>
                <w:b/>
              </w:rPr>
              <w:t xml:space="preserve">the </w:t>
            </w:r>
            <w:r>
              <w:rPr>
                <w:b/>
              </w:rPr>
              <w:t>features of any new categories?</w:t>
            </w:r>
          </w:p>
        </w:tc>
      </w:tr>
    </w:tbl>
    <w:p w:rsidR="00651E97" w:rsidRPr="00CD3344" w:rsidRDefault="00651E97" w:rsidP="00651E97">
      <w:pPr>
        <w:spacing w:before="0" w:after="0" w:line="240" w:lineRule="auto"/>
        <w:rPr>
          <w:noProof/>
        </w:rPr>
      </w:pPr>
    </w:p>
    <w:p w:rsidR="00651E97" w:rsidRDefault="00651E97" w:rsidP="00651E97">
      <w:pPr>
        <w:pStyle w:val="Heading2"/>
        <w:spacing w:before="0" w:after="0"/>
      </w:pPr>
      <w:bookmarkStart w:id="27" w:name="_Toc531606776"/>
      <w:bookmarkEnd w:id="24"/>
      <w:bookmarkEnd w:id="25"/>
      <w:r>
        <w:t>Optimising the PCS</w:t>
      </w:r>
      <w:bookmarkEnd w:id="27"/>
    </w:p>
    <w:p w:rsidR="00651E97" w:rsidRDefault="00651E97" w:rsidP="00651E97">
      <w:pPr>
        <w:spacing w:before="0" w:after="0"/>
      </w:pPr>
      <w:r>
        <w:t xml:space="preserve">The PCS currently comprise six categories, including five university categories and one category for non-university </w:t>
      </w:r>
      <w:r w:rsidR="00B34616">
        <w:t>providers. However, in practice</w:t>
      </w:r>
      <w:r>
        <w:t xml:space="preserve"> two of the six categories </w:t>
      </w:r>
      <w:r w:rsidR="0045489A">
        <w:t>predominate</w:t>
      </w:r>
      <w:r>
        <w:t xml:space="preserve"> – </w:t>
      </w:r>
      <w:r w:rsidR="00EB1FAF">
        <w:t xml:space="preserve">the </w:t>
      </w:r>
      <w:r>
        <w:t xml:space="preserve">‘Australian University’ category and </w:t>
      </w:r>
      <w:r w:rsidR="00EB1FAF">
        <w:t xml:space="preserve">the </w:t>
      </w:r>
      <w:r>
        <w:t>‘Higher Education Provider’ category. There is one ‘Australian University of Specialisation’ and</w:t>
      </w:r>
      <w:r w:rsidR="0045489A">
        <w:t xml:space="preserve"> there are</w:t>
      </w:r>
      <w:r>
        <w:t xml:space="preserve"> currently two providers in the ‘Overseas University’ category. Little to no take-up of the other university categories raises questions as to their utility, or even whether they should remain. </w:t>
      </w:r>
    </w:p>
    <w:p w:rsidR="00651E97" w:rsidRPr="00B379F3" w:rsidRDefault="00651E97" w:rsidP="00651E97">
      <w:pPr>
        <w:pStyle w:val="Heading3"/>
      </w:pPr>
      <w:bookmarkStart w:id="28" w:name="_Toc531606777"/>
      <w:r>
        <w:t>Progression categories</w:t>
      </w:r>
      <w:bookmarkEnd w:id="28"/>
    </w:p>
    <w:p w:rsidR="000466E3" w:rsidRDefault="00651E97" w:rsidP="00651E97">
      <w:pPr>
        <w:spacing w:before="0" w:after="0"/>
        <w:rPr>
          <w:rFonts w:eastAsiaTheme="minorEastAsia"/>
        </w:rPr>
      </w:pPr>
      <w:r>
        <w:rPr>
          <w:rFonts w:eastAsiaTheme="minorEastAsia"/>
        </w:rPr>
        <w:t>Under the PCS there have been no successful applications to date in the ‘Australian University College’ category. This</w:t>
      </w:r>
      <w:r w:rsidRPr="00086E0F">
        <w:rPr>
          <w:rFonts w:eastAsiaTheme="minorEastAsia"/>
        </w:rPr>
        <w:t xml:space="preserve"> category was established to provide a transitional category for </w:t>
      </w:r>
      <w:r>
        <w:rPr>
          <w:rFonts w:eastAsiaTheme="minorEastAsia"/>
        </w:rPr>
        <w:t xml:space="preserve">a higher education provider with realistic and achievable plans </w:t>
      </w:r>
      <w:r w:rsidRPr="00086E0F">
        <w:rPr>
          <w:rFonts w:eastAsiaTheme="minorEastAsia"/>
        </w:rPr>
        <w:t>to become an ‘Australian University’</w:t>
      </w:r>
      <w:r>
        <w:rPr>
          <w:rFonts w:eastAsiaTheme="minorEastAsia"/>
        </w:rPr>
        <w:t xml:space="preserve"> within five years</w:t>
      </w:r>
      <w:r w:rsidRPr="00086E0F">
        <w:rPr>
          <w:rFonts w:eastAsiaTheme="minorEastAsia"/>
        </w:rPr>
        <w:t xml:space="preserve">. </w:t>
      </w:r>
      <w:r>
        <w:rPr>
          <w:rFonts w:eastAsiaTheme="minorEastAsia"/>
        </w:rPr>
        <w:t xml:space="preserve">Reasons for lack of utilisation of this category need to be understood. </w:t>
      </w:r>
    </w:p>
    <w:p w:rsidR="000466E3" w:rsidRDefault="000466E3" w:rsidP="00651E97">
      <w:pPr>
        <w:spacing w:before="0" w:after="0"/>
        <w:rPr>
          <w:rFonts w:eastAsiaTheme="minorEastAsia"/>
        </w:rPr>
      </w:pPr>
    </w:p>
    <w:p w:rsidR="00651E97" w:rsidRPr="007978C0" w:rsidRDefault="00651E97" w:rsidP="00651E97">
      <w:pPr>
        <w:spacing w:before="0" w:after="0"/>
        <w:rPr>
          <w:rFonts w:eastAsiaTheme="minorEastAsia"/>
        </w:rPr>
      </w:pPr>
      <w:r>
        <w:rPr>
          <w:rFonts w:eastAsiaTheme="minorEastAsia"/>
        </w:rPr>
        <w:t xml:space="preserve">One issue may be that there </w:t>
      </w:r>
      <w:r>
        <w:rPr>
          <w:rFonts w:cstheme="minorHAnsi"/>
        </w:rPr>
        <w:t xml:space="preserve">is a potential </w:t>
      </w:r>
      <w:r w:rsidRPr="00CD3344">
        <w:rPr>
          <w:rFonts w:cstheme="minorHAnsi"/>
        </w:rPr>
        <w:t xml:space="preserve">mismatch </w:t>
      </w:r>
      <w:r w:rsidR="0045489A">
        <w:rPr>
          <w:rFonts w:cstheme="minorHAnsi"/>
        </w:rPr>
        <w:t>of requirements involved. On the one hand,</w:t>
      </w:r>
      <w:r w:rsidR="0045489A" w:rsidRPr="00CD3344">
        <w:rPr>
          <w:rFonts w:cstheme="minorHAnsi"/>
        </w:rPr>
        <w:t xml:space="preserve"> </w:t>
      </w:r>
      <w:r w:rsidRPr="00CD3344">
        <w:rPr>
          <w:rFonts w:cstheme="minorHAnsi"/>
        </w:rPr>
        <w:t xml:space="preserve">the </w:t>
      </w:r>
      <w:r>
        <w:rPr>
          <w:rFonts w:cstheme="minorHAnsi"/>
        </w:rPr>
        <w:t>‘</w:t>
      </w:r>
      <w:r w:rsidRPr="00CD3344">
        <w:rPr>
          <w:rFonts w:cstheme="minorHAnsi"/>
        </w:rPr>
        <w:t>Australian University College</w:t>
      </w:r>
      <w:r>
        <w:rPr>
          <w:rFonts w:cstheme="minorHAnsi"/>
        </w:rPr>
        <w:t>’</w:t>
      </w:r>
      <w:r w:rsidRPr="00CD3344">
        <w:rPr>
          <w:rFonts w:cstheme="minorHAnsi"/>
        </w:rPr>
        <w:t xml:space="preserve"> category</w:t>
      </w:r>
      <w:r w:rsidR="0045489A">
        <w:rPr>
          <w:rFonts w:cstheme="minorHAnsi"/>
        </w:rPr>
        <w:t xml:space="preserve"> has a</w:t>
      </w:r>
      <w:r w:rsidRPr="00CD3344">
        <w:rPr>
          <w:rFonts w:cstheme="minorHAnsi"/>
        </w:rPr>
        <w:t xml:space="preserve"> requirement to self</w:t>
      </w:r>
      <w:r>
        <w:rPr>
          <w:rFonts w:cstheme="minorHAnsi"/>
        </w:rPr>
        <w:noBreakHyphen/>
      </w:r>
      <w:r w:rsidRPr="00CD3344">
        <w:rPr>
          <w:rFonts w:cstheme="minorHAnsi"/>
        </w:rPr>
        <w:t xml:space="preserve">accredit and deliver Masters Degrees (Research) and Doctoral Degrees (Research) in at least </w:t>
      </w:r>
      <w:r w:rsidRPr="00CD3344">
        <w:rPr>
          <w:rFonts w:cstheme="minorHAnsi"/>
          <w:u w:val="single"/>
        </w:rPr>
        <w:t>one</w:t>
      </w:r>
      <w:r w:rsidRPr="00CD3344">
        <w:rPr>
          <w:rFonts w:cstheme="minorHAnsi"/>
        </w:rPr>
        <w:t xml:space="preserve"> broad field of study</w:t>
      </w:r>
      <w:r w:rsidR="0045489A">
        <w:rPr>
          <w:rFonts w:cstheme="minorHAnsi"/>
        </w:rPr>
        <w:t>. On the other</w:t>
      </w:r>
      <w:r w:rsidR="00993A3D">
        <w:rPr>
          <w:rFonts w:cstheme="minorHAnsi"/>
        </w:rPr>
        <w:t xml:space="preserve"> hand</w:t>
      </w:r>
      <w:r w:rsidR="00B34616">
        <w:rPr>
          <w:rFonts w:cstheme="minorHAnsi"/>
        </w:rPr>
        <w:t xml:space="preserve">, </w:t>
      </w:r>
      <w:r w:rsidRPr="00CD3344">
        <w:rPr>
          <w:rFonts w:cstheme="minorHAnsi"/>
        </w:rPr>
        <w:t xml:space="preserve">the </w:t>
      </w:r>
      <w:r>
        <w:rPr>
          <w:rFonts w:cstheme="minorHAnsi"/>
        </w:rPr>
        <w:t>‘</w:t>
      </w:r>
      <w:r w:rsidRPr="00CD3344">
        <w:rPr>
          <w:rFonts w:cstheme="minorHAnsi"/>
        </w:rPr>
        <w:t>Australian University</w:t>
      </w:r>
      <w:r>
        <w:rPr>
          <w:rFonts w:cstheme="minorHAnsi"/>
        </w:rPr>
        <w:t>’</w:t>
      </w:r>
      <w:r w:rsidRPr="00CD3344">
        <w:rPr>
          <w:rFonts w:cstheme="minorHAnsi"/>
        </w:rPr>
        <w:t xml:space="preserve"> category requires providers to have been authorised for at least five years to self-accredit </w:t>
      </w:r>
      <w:r>
        <w:rPr>
          <w:rFonts w:cstheme="minorHAnsi"/>
        </w:rPr>
        <w:t xml:space="preserve">85 per cent of their courses, including </w:t>
      </w:r>
      <w:r w:rsidRPr="00CD3344">
        <w:rPr>
          <w:rFonts w:cstheme="minorHAnsi"/>
        </w:rPr>
        <w:t xml:space="preserve">research degrees in at least </w:t>
      </w:r>
      <w:r w:rsidRPr="00CD3344">
        <w:rPr>
          <w:rFonts w:cstheme="minorHAnsi"/>
          <w:u w:val="single"/>
        </w:rPr>
        <w:lastRenderedPageBreak/>
        <w:t>three</w:t>
      </w:r>
      <w:r w:rsidRPr="00CD3344">
        <w:rPr>
          <w:rFonts w:cstheme="minorHAnsi"/>
        </w:rPr>
        <w:t xml:space="preserve"> broad fields of study.</w:t>
      </w:r>
      <w:r>
        <w:rPr>
          <w:rFonts w:cstheme="minorHAnsi"/>
        </w:rPr>
        <w:t xml:space="preserve"> </w:t>
      </w:r>
      <w:r w:rsidR="00B34616">
        <w:rPr>
          <w:rFonts w:cstheme="minorHAnsi"/>
        </w:rPr>
        <w:t>In other words, this aspect</w:t>
      </w:r>
      <w:r>
        <w:rPr>
          <w:rFonts w:cstheme="minorHAnsi"/>
        </w:rPr>
        <w:t xml:space="preserve"> in the ‘Australian University College’ category is potentially </w:t>
      </w:r>
      <w:r w:rsidRPr="00C00908">
        <w:rPr>
          <w:rFonts w:cstheme="minorHAnsi"/>
        </w:rPr>
        <w:t>misleading</w:t>
      </w:r>
      <w:r>
        <w:rPr>
          <w:rFonts w:cstheme="minorHAnsi"/>
        </w:rPr>
        <w:t xml:space="preserve"> if the purpose of the category is to facilitate transition to the ‘Australian University’ category. </w:t>
      </w:r>
    </w:p>
    <w:p w:rsidR="00651E97" w:rsidRDefault="00651E97" w:rsidP="00651E97">
      <w:pPr>
        <w:spacing w:before="0" w:after="0"/>
        <w:rPr>
          <w:rFonts w:cstheme="minorHAnsi"/>
        </w:rPr>
      </w:pPr>
    </w:p>
    <w:p w:rsidR="00651E97" w:rsidRDefault="00651E97" w:rsidP="00651E97">
      <w:pPr>
        <w:spacing w:before="0" w:after="0"/>
      </w:pPr>
      <w:r>
        <w:t>Another consideration is how the PCS could support higher education providers to follow their path of development through a logical progression of stages, and to remain at each stage for as long as they need to</w:t>
      </w:r>
      <w:r w:rsidR="00354AFF">
        <w:t xml:space="preserve"> be</w:t>
      </w:r>
      <w:r>
        <w:t xml:space="preserve"> without having to move to the next stage unless they are ready. For most providers, </w:t>
      </w:r>
      <w:r w:rsidR="00354AFF">
        <w:t>there is likely to be</w:t>
      </w:r>
      <w:r>
        <w:t xml:space="preserve"> a very large leap between </w:t>
      </w:r>
      <w:r w:rsidRPr="004974DB">
        <w:t>the stage</w:t>
      </w:r>
      <w:r>
        <w:t xml:space="preserve"> where they are registered in the ‘Higher Education Provider’ category and have limited self-accrediting authority, to th</w:t>
      </w:r>
      <w:r w:rsidR="004974DB">
        <w:t>at</w:t>
      </w:r>
      <w:r>
        <w:t xml:space="preserve"> where they have to meet all the research, community service and student services requirements of an ‘Australian University’. The intersection with public funding frameworks makes this leap even more difficult for most.</w:t>
      </w:r>
    </w:p>
    <w:p w:rsidR="00651E97" w:rsidRDefault="00354AFF" w:rsidP="00651E97">
      <w:pPr>
        <w:pStyle w:val="Heading3"/>
      </w:pPr>
      <w:bookmarkStart w:id="29" w:name="_Toc531606778"/>
      <w:r>
        <w:t>‘</w:t>
      </w:r>
      <w:r w:rsidR="00651E97">
        <w:t>Greenfield</w:t>
      </w:r>
      <w:r>
        <w:t>’</w:t>
      </w:r>
      <w:r w:rsidR="00651E97">
        <w:t xml:space="preserve"> universities</w:t>
      </w:r>
      <w:bookmarkEnd w:id="29"/>
    </w:p>
    <w:p w:rsidR="00651E97" w:rsidRDefault="00651E97" w:rsidP="00651E97">
      <w:pPr>
        <w:spacing w:before="0" w:after="0"/>
      </w:pPr>
      <w:r>
        <w:t xml:space="preserve">The PCS currently contain no provision for </w:t>
      </w:r>
      <w:r w:rsidR="00354AFF">
        <w:t>‘</w:t>
      </w:r>
      <w:r>
        <w:t>greenfield</w:t>
      </w:r>
      <w:r w:rsidR="00354AFF">
        <w:t>’</w:t>
      </w:r>
      <w:r>
        <w:t xml:space="preserve"> universities. The term ‘greenfield’ in this context would refer to an entity which has not been registered by TEQSA as a higher education provider and seeks to apply directly for university status. For example,</w:t>
      </w:r>
      <w:r w:rsidR="00354AFF">
        <w:t xml:space="preserve"> this could include</w:t>
      </w:r>
      <w:r>
        <w:t xml:space="preserve"> an overseas university seeking to be recognised under the ‘Australian University’ category or a new university established by</w:t>
      </w:r>
      <w:r w:rsidR="00354AFF">
        <w:t xml:space="preserve"> a</w:t>
      </w:r>
      <w:r>
        <w:t xml:space="preserve"> state</w:t>
      </w:r>
      <w:r w:rsidR="00354AFF">
        <w:t xml:space="preserve"> or</w:t>
      </w:r>
      <w:r>
        <w:t xml:space="preserve"> territory government. </w:t>
      </w:r>
      <w:r w:rsidR="00354AFF">
        <w:t>In this regard t</w:t>
      </w:r>
      <w:r>
        <w:t>here could be significant challenges within the PCS</w:t>
      </w:r>
      <w:r w:rsidR="00354AFF">
        <w:t>,</w:t>
      </w:r>
      <w:r>
        <w:t xml:space="preserve"> which</w:t>
      </w:r>
      <w:r w:rsidR="00354AFF">
        <w:t xml:space="preserve"> currently</w:t>
      </w:r>
      <w:r>
        <w:t xml:space="preserve"> limit the feasibility of such an application. </w:t>
      </w:r>
    </w:p>
    <w:p w:rsidR="00651E97" w:rsidRDefault="00651E97" w:rsidP="00651E97">
      <w:pPr>
        <w:spacing w:before="0" w:after="0"/>
      </w:pPr>
    </w:p>
    <w:p w:rsidR="00651E97" w:rsidRDefault="00651E97" w:rsidP="00651E97">
      <w:pPr>
        <w:spacing w:before="0" w:after="0"/>
      </w:pPr>
      <w:r w:rsidRPr="00C00908">
        <w:t>While the</w:t>
      </w:r>
      <w:r w:rsidR="00354AFF" w:rsidRPr="00C00908">
        <w:t xml:space="preserve"> earlier</w:t>
      </w:r>
      <w:r w:rsidRPr="00C00908">
        <w:t xml:space="preserve"> National Protocols allowed </w:t>
      </w:r>
      <w:r w:rsidR="005850F8">
        <w:t>‘greenfield’ universities</w:t>
      </w:r>
      <w:r w:rsidR="005850F8" w:rsidRPr="00C00908">
        <w:t xml:space="preserve"> </w:t>
      </w:r>
      <w:r w:rsidRPr="00C00908">
        <w:t>to operate on a provisional basis for up to five years, this</w:t>
      </w:r>
      <w:r w:rsidR="00354AFF" w:rsidRPr="00C00908">
        <w:t xml:space="preserve"> option</w:t>
      </w:r>
      <w:r w:rsidRPr="00C00908">
        <w:t xml:space="preserve"> does not exist in the</w:t>
      </w:r>
      <w:r w:rsidR="00354AFF" w:rsidRPr="00C00908">
        <w:t xml:space="preserve"> current</w:t>
      </w:r>
      <w:r w:rsidRPr="00C00908">
        <w:t xml:space="preserve"> PCS. It</w:t>
      </w:r>
      <w:r>
        <w:t xml:space="preserve"> might prove difficult within the current framework for a provider that only ‘</w:t>
      </w:r>
      <w:r w:rsidRPr="0075308C">
        <w:t>plan</w:t>
      </w:r>
      <w:r>
        <w:t xml:space="preserve">s’ to meet standards (rather than </w:t>
      </w:r>
      <w:r w:rsidR="00354AFF">
        <w:t xml:space="preserve">is </w:t>
      </w:r>
      <w:r>
        <w:t xml:space="preserve">already meeting them) to be registered with TEQSA. </w:t>
      </w:r>
      <w:r w:rsidR="005850F8">
        <w:t xml:space="preserve">’Greenfield’ universities </w:t>
      </w:r>
      <w:r>
        <w:t>are required to have the capacity, financial resources</w:t>
      </w:r>
      <w:r w:rsidR="00EB1FAF">
        <w:t>,</w:t>
      </w:r>
      <w:r>
        <w:t xml:space="preserve"> and staff numbers to prove that they meet the minimum criteria for entry into the sector including being active in research and scholarship</w:t>
      </w:r>
      <w:r w:rsidR="00354AFF">
        <w:t xml:space="preserve">. This set of requirements </w:t>
      </w:r>
      <w:r w:rsidR="0035179E">
        <w:t xml:space="preserve">may </w:t>
      </w:r>
      <w:r>
        <w:t xml:space="preserve">present problems for a </w:t>
      </w:r>
      <w:r w:rsidR="00354AFF">
        <w:t>‘</w:t>
      </w:r>
      <w:r>
        <w:t>greenfield</w:t>
      </w:r>
      <w:r w:rsidR="00354AFF">
        <w:t>’</w:t>
      </w:r>
      <w:r>
        <w:t xml:space="preserve"> universi</w:t>
      </w:r>
      <w:r w:rsidR="007978C0">
        <w:t>ty not already in operation. To </w:t>
      </w:r>
      <w:r w:rsidR="00354AFF">
        <w:t xml:space="preserve">address </w:t>
      </w:r>
      <w:r>
        <w:t>this</w:t>
      </w:r>
      <w:r w:rsidR="00354AFF">
        <w:t xml:space="preserve"> situation</w:t>
      </w:r>
      <w:r>
        <w:t xml:space="preserve">, should consideration be </w:t>
      </w:r>
      <w:r w:rsidR="001B53C1">
        <w:t xml:space="preserve">given </w:t>
      </w:r>
      <w:r w:rsidR="005850F8">
        <w:t xml:space="preserve">to allow </w:t>
      </w:r>
      <w:r>
        <w:t xml:space="preserve">newly-approved </w:t>
      </w:r>
      <w:r w:rsidR="005850F8">
        <w:t xml:space="preserve">‘greenfield’ universities </w:t>
      </w:r>
      <w:r>
        <w:t>to operate in compliance with a sub-set of requirements as they scale up to full operation?</w:t>
      </w:r>
    </w:p>
    <w:p w:rsidR="00651E97" w:rsidRDefault="00651E97" w:rsidP="00651E97">
      <w:pPr>
        <w:pStyle w:val="Heading3"/>
      </w:pPr>
      <w:bookmarkStart w:id="30" w:name="_Toc531606779"/>
      <w:r>
        <w:t>Overseas universities</w:t>
      </w:r>
      <w:bookmarkEnd w:id="30"/>
    </w:p>
    <w:p w:rsidR="00651E97" w:rsidRDefault="00651E97" w:rsidP="00651E97">
      <w:pPr>
        <w:spacing w:before="0" w:after="0"/>
      </w:pPr>
      <w:r>
        <w:t>A distinct</w:t>
      </w:r>
      <w:r w:rsidR="00354AFF">
        <w:t>ive</w:t>
      </w:r>
      <w:r>
        <w:t xml:space="preserve"> feature of the </w:t>
      </w:r>
      <w:r w:rsidRPr="002F5A9D">
        <w:t xml:space="preserve">PCS </w:t>
      </w:r>
      <w:r>
        <w:t>is that they include</w:t>
      </w:r>
      <w:r w:rsidRPr="002F5A9D">
        <w:t xml:space="preserve"> discrete categories for overseas universities</w:t>
      </w:r>
      <w:r>
        <w:t>,</w:t>
      </w:r>
      <w:r w:rsidRPr="002F5A9D">
        <w:t xml:space="preserve"> providing opportunity for reputable institutions that can meet Australia’s robust quality standards to operate on </w:t>
      </w:r>
      <w:r>
        <w:t>our</w:t>
      </w:r>
      <w:r w:rsidRPr="002F5A9D">
        <w:t xml:space="preserve"> shores. </w:t>
      </w:r>
      <w:r>
        <w:t>This</w:t>
      </w:r>
      <w:r w:rsidRPr="002F5A9D">
        <w:t> </w:t>
      </w:r>
      <w:r w:rsidR="00E0536D">
        <w:t xml:space="preserve">provision </w:t>
      </w:r>
      <w:r>
        <w:t>projects</w:t>
      </w:r>
      <w:r w:rsidRPr="002F5A9D">
        <w:t xml:space="preserve"> an important signal to the world – that Australia is willing and confident to open its doors and work alongside (and in competition with) the best in the world. However, Australia’s success in both attracting and retaining high quality overseas universities to operate campuses in Australia has been limited. Examining factors that may be viewed by reputable overseas universities as challenges, barriers, disincentives and risks to such investment in Australia is </w:t>
      </w:r>
      <w:r w:rsidR="00354AFF">
        <w:t xml:space="preserve">thus a relevant matter </w:t>
      </w:r>
      <w:r>
        <w:t>if the PCS are</w:t>
      </w:r>
      <w:r w:rsidRPr="002F5A9D">
        <w:t xml:space="preserve"> to retain categories designed to cater to such institutions.</w:t>
      </w:r>
    </w:p>
    <w:p w:rsidR="00651E97" w:rsidRDefault="00651E97" w:rsidP="00651E97">
      <w:pPr>
        <w:pStyle w:val="Heading3"/>
      </w:pPr>
      <w:bookmarkStart w:id="31" w:name="_Toc531606780"/>
      <w:r>
        <w:t>Criteria for self-accreditation</w:t>
      </w:r>
      <w:bookmarkEnd w:id="31"/>
    </w:p>
    <w:p w:rsidR="007978C0" w:rsidRDefault="00651E97" w:rsidP="0076278B">
      <w:pPr>
        <w:spacing w:before="0" w:after="0"/>
        <w:rPr>
          <w:rFonts w:ascii="Calibri" w:hAnsi="Calibri" w:cs="Calibri"/>
        </w:rPr>
      </w:pPr>
      <w:r>
        <w:t xml:space="preserve">Higher education providers may seek approval from TEQSA for authority to self-accredit some or all of their courses of study. The ability to self-accredit courses either on a ‘limited’ (confined to specific fields or levels) or ‘unlimited’ (applying to all current and future courses in any field or level) basis is a possibility for all higher education providers under the PCS and compulsory for all providers in the university categories. </w:t>
      </w:r>
      <w:r w:rsidR="007978C0">
        <w:rPr>
          <w:rFonts w:ascii="Calibri" w:hAnsi="Calibri" w:cs="Calibri"/>
        </w:rPr>
        <w:br w:type="page"/>
      </w:r>
    </w:p>
    <w:p w:rsidR="00651E97" w:rsidRDefault="00651E97" w:rsidP="00651E97">
      <w:pPr>
        <w:spacing w:before="0" w:after="0"/>
        <w:rPr>
          <w:rFonts w:ascii="Calibri" w:hAnsi="Calibri" w:cs="Calibri"/>
          <w:color w:val="000000"/>
        </w:rPr>
      </w:pPr>
      <w:r>
        <w:rPr>
          <w:rFonts w:ascii="Calibri" w:hAnsi="Calibri" w:cs="Calibri"/>
        </w:rPr>
        <w:lastRenderedPageBreak/>
        <w:t xml:space="preserve">The </w:t>
      </w:r>
      <w:r w:rsidRPr="00206928">
        <w:t>limited</w:t>
      </w:r>
      <w:r w:rsidR="00CC0FE9">
        <w:rPr>
          <w:rFonts w:ascii="Calibri" w:hAnsi="Calibri" w:cs="Calibri"/>
        </w:rPr>
        <w:t xml:space="preserve"> self-accreditation authority</w:t>
      </w:r>
      <w:r>
        <w:rPr>
          <w:rFonts w:ascii="Calibri" w:hAnsi="Calibri" w:cs="Calibri"/>
        </w:rPr>
        <w:t xml:space="preserve"> criteria largely amount to demonstrating a reliable history of course approvals, combined with meeting a select group of standards. The criteria for unlimited </w:t>
      </w:r>
      <w:r w:rsidR="00F80F1A">
        <w:rPr>
          <w:rFonts w:ascii="Calibri" w:hAnsi="Calibri" w:cs="Calibri"/>
        </w:rPr>
        <w:t>self</w:t>
      </w:r>
      <w:r w:rsidR="007978C0">
        <w:rPr>
          <w:rFonts w:ascii="Calibri" w:hAnsi="Calibri" w:cs="Calibri"/>
        </w:rPr>
        <w:noBreakHyphen/>
      </w:r>
      <w:r w:rsidR="00F80F1A">
        <w:rPr>
          <w:rFonts w:ascii="Calibri" w:hAnsi="Calibri" w:cs="Calibri"/>
        </w:rPr>
        <w:t>accreditation authority</w:t>
      </w:r>
      <w:r>
        <w:rPr>
          <w:rFonts w:ascii="Calibri" w:hAnsi="Calibri" w:cs="Calibri"/>
        </w:rPr>
        <w:t xml:space="preserve"> include more demanding requirements to </w:t>
      </w:r>
      <w:r w:rsidR="00D12760">
        <w:rPr>
          <w:rFonts w:ascii="Calibri" w:hAnsi="Calibri" w:cs="Calibri"/>
        </w:rPr>
        <w:t xml:space="preserve">be </w:t>
      </w:r>
      <w:r>
        <w:rPr>
          <w:rFonts w:ascii="Calibri" w:hAnsi="Calibri" w:cs="Calibri"/>
        </w:rPr>
        <w:t>demonstrate</w:t>
      </w:r>
      <w:r w:rsidR="00D12760">
        <w:rPr>
          <w:rFonts w:ascii="Calibri" w:hAnsi="Calibri" w:cs="Calibri"/>
        </w:rPr>
        <w:t>d</w:t>
      </w:r>
      <w:r>
        <w:rPr>
          <w:rFonts w:ascii="Calibri" w:hAnsi="Calibri" w:cs="Calibri"/>
        </w:rPr>
        <w:t xml:space="preserve">: </w:t>
      </w:r>
    </w:p>
    <w:p w:rsidR="00651E97" w:rsidRDefault="00651E97" w:rsidP="00651E97">
      <w:pPr>
        <w:pStyle w:val="Default"/>
        <w:numPr>
          <w:ilvl w:val="0"/>
          <w:numId w:val="22"/>
        </w:numPr>
        <w:adjustRightInd/>
        <w:rPr>
          <w:sz w:val="22"/>
          <w:szCs w:val="22"/>
        </w:rPr>
      </w:pPr>
      <w:r>
        <w:rPr>
          <w:sz w:val="22"/>
          <w:szCs w:val="22"/>
        </w:rPr>
        <w:t xml:space="preserve">capability to plan, establish and accredit courses in new broad fields </w:t>
      </w:r>
    </w:p>
    <w:p w:rsidR="00651E97" w:rsidRDefault="00651E97" w:rsidP="00651E97">
      <w:pPr>
        <w:pStyle w:val="Default"/>
        <w:numPr>
          <w:ilvl w:val="0"/>
          <w:numId w:val="22"/>
        </w:numPr>
        <w:adjustRightInd/>
        <w:rPr>
          <w:sz w:val="22"/>
          <w:szCs w:val="22"/>
        </w:rPr>
      </w:pPr>
      <w:r>
        <w:rPr>
          <w:sz w:val="22"/>
          <w:szCs w:val="22"/>
        </w:rPr>
        <w:t xml:space="preserve">capacity for competent academic governance oversight and scrutiny of the accreditation of courses in new broad fields </w:t>
      </w:r>
    </w:p>
    <w:p w:rsidR="00651E97" w:rsidRDefault="00651E97" w:rsidP="00651E97">
      <w:pPr>
        <w:pStyle w:val="Default"/>
        <w:numPr>
          <w:ilvl w:val="0"/>
          <w:numId w:val="22"/>
        </w:numPr>
        <w:adjustRightInd/>
        <w:rPr>
          <w:sz w:val="22"/>
          <w:szCs w:val="22"/>
        </w:rPr>
      </w:pPr>
      <w:r>
        <w:rPr>
          <w:sz w:val="22"/>
          <w:szCs w:val="22"/>
        </w:rPr>
        <w:t xml:space="preserve">breadth and depth of academic leadership, scholarship and expertise to guide entry into and sustainable delivery in new broad fields. </w:t>
      </w:r>
    </w:p>
    <w:p w:rsidR="00651E97" w:rsidRDefault="00651E97" w:rsidP="00651E97">
      <w:pPr>
        <w:spacing w:before="0" w:after="0"/>
        <w:rPr>
          <w:rFonts w:ascii="Calibri" w:hAnsi="Calibri" w:cs="Calibri"/>
        </w:rPr>
      </w:pPr>
    </w:p>
    <w:p w:rsidR="00651E97" w:rsidRDefault="00651E97" w:rsidP="00651E97">
      <w:pPr>
        <w:spacing w:before="0" w:after="0"/>
        <w:rPr>
          <w:rFonts w:ascii="Calibri" w:hAnsi="Calibri" w:cs="Calibri"/>
        </w:rPr>
      </w:pPr>
      <w:r>
        <w:rPr>
          <w:rFonts w:ascii="Calibri" w:hAnsi="Calibri" w:cs="Calibri"/>
        </w:rPr>
        <w:t xml:space="preserve">The </w:t>
      </w:r>
      <w:r w:rsidRPr="00206928">
        <w:t>criteria</w:t>
      </w:r>
      <w:r>
        <w:rPr>
          <w:rFonts w:ascii="Calibri" w:hAnsi="Calibri" w:cs="Calibri"/>
        </w:rPr>
        <w:t xml:space="preserve"> for unlimited </w:t>
      </w:r>
      <w:r w:rsidR="00CC0FE9">
        <w:rPr>
          <w:rFonts w:ascii="Calibri" w:hAnsi="Calibri" w:cs="Calibri"/>
        </w:rPr>
        <w:t>self-accreditation authority</w:t>
      </w:r>
      <w:r>
        <w:rPr>
          <w:rFonts w:ascii="Calibri" w:hAnsi="Calibri" w:cs="Calibri"/>
        </w:rPr>
        <w:t xml:space="preserve"> can present difficulties from a regulatory perspective, in that </w:t>
      </w:r>
      <w:r w:rsidR="00D12760">
        <w:rPr>
          <w:rFonts w:ascii="Calibri" w:hAnsi="Calibri" w:cs="Calibri"/>
        </w:rPr>
        <w:t xml:space="preserve">the </w:t>
      </w:r>
      <w:r>
        <w:rPr>
          <w:rFonts w:ascii="Calibri" w:hAnsi="Calibri" w:cs="Calibri"/>
        </w:rPr>
        <w:t>criteria are designed in such a way that TEQSA is required to assess a provider’s capacity to undertake future events, rather than demonstrating a history of capability.  </w:t>
      </w:r>
    </w:p>
    <w:p w:rsidR="00651E97" w:rsidRPr="00DB5C1B" w:rsidRDefault="00651E97" w:rsidP="00651E97">
      <w:pPr>
        <w:pStyle w:val="Heading3"/>
      </w:pPr>
      <w:bookmarkStart w:id="32" w:name="_Toc531606781"/>
      <w:r w:rsidRPr="00DB5C1B">
        <w:t>Quantity and quality of research</w:t>
      </w:r>
      <w:bookmarkEnd w:id="32"/>
    </w:p>
    <w:p w:rsidR="00651E97" w:rsidRDefault="00651E97" w:rsidP="00651E97">
      <w:pPr>
        <w:spacing w:before="0" w:after="0"/>
      </w:pPr>
      <w:r>
        <w:t xml:space="preserve">The </w:t>
      </w:r>
      <w:r w:rsidRPr="00CD3344">
        <w:t xml:space="preserve">PCS do not </w:t>
      </w:r>
      <w:r>
        <w:t xml:space="preserve">currently </w:t>
      </w:r>
      <w:r w:rsidRPr="00CD3344">
        <w:t xml:space="preserve">define the </w:t>
      </w:r>
      <w:r>
        <w:t>quantity</w:t>
      </w:r>
      <w:r w:rsidRPr="00CD3344">
        <w:t xml:space="preserve"> or quality of research required</w:t>
      </w:r>
      <w:r>
        <w:t xml:space="preserve"> within each broad field of study to justify ‘university’ status</w:t>
      </w:r>
      <w:r w:rsidRPr="00CD3344">
        <w:t xml:space="preserve">. </w:t>
      </w:r>
      <w:r>
        <w:t>On</w:t>
      </w:r>
      <w:r w:rsidRPr="00CD3344">
        <w:t xml:space="preserve"> the narrowest interpretation</w:t>
      </w:r>
      <w:r>
        <w:t>,</w:t>
      </w:r>
      <w:r w:rsidRPr="00CD3344">
        <w:t xml:space="preserve"> </w:t>
      </w:r>
      <w:r>
        <w:t xml:space="preserve">to achieve ‘Australian University’ status </w:t>
      </w:r>
      <w:r w:rsidRPr="00CD3344">
        <w:t>a provider could demonstrate the requirements by providing a</w:t>
      </w:r>
      <w:r>
        <w:t xml:space="preserve"> single</w:t>
      </w:r>
      <w:r w:rsidRPr="00CD3344">
        <w:t xml:space="preserve"> </w:t>
      </w:r>
      <w:r>
        <w:t xml:space="preserve">undergraduate and postgraduate </w:t>
      </w:r>
      <w:r w:rsidRPr="00CD3344">
        <w:t>course and undertaking a</w:t>
      </w:r>
      <w:r>
        <w:t xml:space="preserve"> single</w:t>
      </w:r>
      <w:r w:rsidRPr="00CD3344">
        <w:t xml:space="preserve"> research project in each of the three required fields in a given year, and </w:t>
      </w:r>
      <w:r>
        <w:t xml:space="preserve">publication of at least one paper from each project </w:t>
      </w:r>
      <w:r w:rsidRPr="00CD3344">
        <w:t>in any form</w:t>
      </w:r>
      <w:r>
        <w:t>, and at any level of quality.</w:t>
      </w:r>
      <w:r w:rsidR="00B34616">
        <w:t xml:space="preserve"> </w:t>
      </w:r>
      <w:r w:rsidR="00D12760">
        <w:t>T</w:t>
      </w:r>
      <w:r w:rsidRPr="00CD3344">
        <w:t>his</w:t>
      </w:r>
      <w:r w:rsidR="00D12760">
        <w:t xml:space="preserve"> scenario</w:t>
      </w:r>
      <w:r w:rsidRPr="00CD3344">
        <w:t xml:space="preserve"> </w:t>
      </w:r>
      <w:r>
        <w:t>may</w:t>
      </w:r>
      <w:r w:rsidRPr="00CD3344">
        <w:t xml:space="preserve"> not meet community expectations of what a university should deliver,</w:t>
      </w:r>
      <w:r w:rsidR="00D12760">
        <w:t xml:space="preserve"> </w:t>
      </w:r>
      <w:r w:rsidR="00D12760" w:rsidRPr="00C03452">
        <w:t>but</w:t>
      </w:r>
      <w:r w:rsidRPr="00CD3344">
        <w:t xml:space="preserve"> it is plausible that </w:t>
      </w:r>
      <w:r w:rsidR="00D12760">
        <w:t xml:space="preserve">a provider so </w:t>
      </w:r>
      <w:r w:rsidR="00D12760" w:rsidRPr="00C03452">
        <w:t>d</w:t>
      </w:r>
      <w:r w:rsidR="00C03452" w:rsidRPr="00C03452">
        <w:t>escribed</w:t>
      </w:r>
      <w:r w:rsidRPr="00CD3344">
        <w:t xml:space="preserve"> would satisfy the current PCS requirements.</w:t>
      </w:r>
      <w:r>
        <w:t xml:space="preserve"> Additionally, the PCS do not define scholarship and what constitutes</w:t>
      </w:r>
      <w:r w:rsidR="007978C0">
        <w:t xml:space="preserve"> ‘sustained’ scholarship. There </w:t>
      </w:r>
      <w:r>
        <w:t>are many forms in which scholarship can take place, including the scholarship of discovery of new knowledge, integration, application, and teaching.</w:t>
      </w:r>
      <w:r>
        <w:rPr>
          <w:rStyle w:val="FootnoteReference"/>
        </w:rPr>
        <w:footnoteReference w:id="16"/>
      </w:r>
      <w:r>
        <w:t xml:space="preserve"> </w:t>
      </w:r>
    </w:p>
    <w:p w:rsidR="00651E97" w:rsidRDefault="00651E97" w:rsidP="00651E97">
      <w:pPr>
        <w:spacing w:before="0" w:after="0"/>
      </w:pPr>
    </w:p>
    <w:p w:rsidR="00651E97" w:rsidRDefault="00651E97" w:rsidP="00651E97">
      <w:pPr>
        <w:spacing w:before="0" w:after="0"/>
      </w:pPr>
      <w:r>
        <w:t xml:space="preserve">Through this review, interested parties are invited to identify existing strengths </w:t>
      </w:r>
      <w:r w:rsidR="009759ED">
        <w:t xml:space="preserve">and deficiencies </w:t>
      </w:r>
      <w:r>
        <w:t xml:space="preserve">of the PCS and propose detailed suggestions </w:t>
      </w:r>
      <w:r w:rsidR="00D12760">
        <w:t>as to</w:t>
      </w:r>
      <w:r>
        <w:t xml:space="preserve"> how it may be optimised in the context of these and other issues.</w:t>
      </w:r>
    </w:p>
    <w:p w:rsidR="00651E97" w:rsidRDefault="00651E97" w:rsidP="00651E97">
      <w:pPr>
        <w:spacing w:before="0" w:after="0"/>
      </w:pPr>
    </w:p>
    <w:tbl>
      <w:tblPr>
        <w:tblStyle w:val="TableGrid"/>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018"/>
      </w:tblGrid>
      <w:tr w:rsidR="00651E97" w:rsidTr="004C2E45">
        <w:trPr>
          <w:cnfStyle w:val="100000000000" w:firstRow="1" w:lastRow="0" w:firstColumn="0" w:lastColumn="0" w:oddVBand="0" w:evenVBand="0" w:oddHBand="0" w:evenHBand="0" w:firstRowFirstColumn="0" w:firstRowLastColumn="0" w:lastRowFirstColumn="0" w:lastRowLastColumn="0"/>
          <w:trHeight w:val="416"/>
        </w:trPr>
        <w:tc>
          <w:tcPr>
            <w:tcW w:w="9018" w:type="dxa"/>
            <w:tcBorders>
              <w:bottom w:val="single" w:sz="4" w:space="0" w:color="2763AC"/>
            </w:tcBorders>
          </w:tcPr>
          <w:p w:rsidR="00651E97" w:rsidRDefault="00651E97" w:rsidP="004C2E45">
            <w:r>
              <w:t>DISCUSSION QUESTIONS</w:t>
            </w:r>
          </w:p>
        </w:tc>
      </w:tr>
      <w:tr w:rsidR="00651E97" w:rsidTr="004C2E45">
        <w:trPr>
          <w:trHeight w:val="466"/>
        </w:trPr>
        <w:tc>
          <w:tcPr>
            <w:tcW w:w="9018" w:type="dxa"/>
            <w:tcBorders>
              <w:top w:val="single" w:sz="4" w:space="0" w:color="2763AC"/>
              <w:left w:val="nil"/>
              <w:bottom w:val="single" w:sz="4" w:space="0" w:color="auto"/>
              <w:right w:val="nil"/>
            </w:tcBorders>
          </w:tcPr>
          <w:p w:rsidR="00651E97" w:rsidRDefault="00651E97" w:rsidP="0075308C">
            <w:pPr>
              <w:pStyle w:val="ListParagraph"/>
              <w:numPr>
                <w:ilvl w:val="0"/>
                <w:numId w:val="25"/>
              </w:numPr>
              <w:ind w:left="741" w:hanging="425"/>
              <w:rPr>
                <w:b/>
              </w:rPr>
            </w:pPr>
            <w:r>
              <w:rPr>
                <w:rFonts w:cstheme="minorHAnsi"/>
                <w:b/>
              </w:rPr>
              <w:t>Do specific categories need to be revised</w:t>
            </w:r>
            <w:r w:rsidR="00F40F13">
              <w:rPr>
                <w:rFonts w:cstheme="minorHAnsi"/>
                <w:b/>
              </w:rPr>
              <w:t>? How?</w:t>
            </w:r>
          </w:p>
          <w:p w:rsidR="00651E97" w:rsidRPr="00194022" w:rsidRDefault="00651E97" w:rsidP="003539CD">
            <w:pPr>
              <w:pStyle w:val="ListParagraph"/>
              <w:numPr>
                <w:ilvl w:val="0"/>
                <w:numId w:val="25"/>
              </w:numPr>
              <w:ind w:left="741" w:hanging="425"/>
              <w:rPr>
                <w:b/>
              </w:rPr>
            </w:pPr>
            <w:r>
              <w:rPr>
                <w:b/>
              </w:rPr>
              <w:t xml:space="preserve">How would the </w:t>
            </w:r>
            <w:r w:rsidR="008200DE">
              <w:rPr>
                <w:b/>
              </w:rPr>
              <w:t xml:space="preserve">needs </w:t>
            </w:r>
            <w:r w:rsidR="000221C8">
              <w:rPr>
                <w:b/>
              </w:rPr>
              <w:t xml:space="preserve">of </w:t>
            </w:r>
            <w:r w:rsidR="007978C0">
              <w:rPr>
                <w:b/>
              </w:rPr>
              <w:t xml:space="preserve">providers, </w:t>
            </w:r>
            <w:r w:rsidR="000221C8">
              <w:rPr>
                <w:b/>
              </w:rPr>
              <w:t>students</w:t>
            </w:r>
            <w:r w:rsidR="000221C8" w:rsidRPr="00CC0FE9">
              <w:rPr>
                <w:b/>
              </w:rPr>
              <w:t xml:space="preserve">, industry, regulator and </w:t>
            </w:r>
            <w:r w:rsidR="003539CD">
              <w:rPr>
                <w:b/>
              </w:rPr>
              <w:t>broader public interest</w:t>
            </w:r>
            <w:r w:rsidR="003539CD" w:rsidRPr="00CC0FE9">
              <w:rPr>
                <w:b/>
              </w:rPr>
              <w:t xml:space="preserve"> </w:t>
            </w:r>
            <w:r w:rsidRPr="00CC0FE9">
              <w:rPr>
                <w:b/>
              </w:rPr>
              <w:t>be served by your suggested changes to the PCS?</w:t>
            </w:r>
          </w:p>
        </w:tc>
      </w:tr>
    </w:tbl>
    <w:p w:rsidR="00651E97" w:rsidRDefault="00651E97" w:rsidP="00651E97">
      <w:pPr>
        <w:spacing w:before="0" w:after="0"/>
      </w:pPr>
    </w:p>
    <w:p w:rsidR="007978C0" w:rsidRDefault="007978C0">
      <w:pPr>
        <w:spacing w:before="0" w:after="160"/>
        <w:rPr>
          <w:rFonts w:ascii="Calibri" w:eastAsiaTheme="majorEastAsia" w:hAnsi="Calibri" w:cstheme="majorBidi"/>
          <w:color w:val="2763AC"/>
          <w:sz w:val="52"/>
          <w:szCs w:val="32"/>
        </w:rPr>
      </w:pPr>
      <w:r>
        <w:br w:type="page"/>
      </w:r>
    </w:p>
    <w:p w:rsidR="00651E97" w:rsidRPr="00B8740C" w:rsidRDefault="00651E97" w:rsidP="00651E97">
      <w:pPr>
        <w:pStyle w:val="Heading1"/>
        <w:spacing w:before="0" w:after="0"/>
      </w:pPr>
      <w:bookmarkStart w:id="33" w:name="_Toc531606782"/>
      <w:r w:rsidRPr="00B8740C">
        <w:lastRenderedPageBreak/>
        <w:t>Submissions</w:t>
      </w:r>
      <w:bookmarkEnd w:id="33"/>
    </w:p>
    <w:p w:rsidR="00651E97" w:rsidRPr="00CD3344" w:rsidRDefault="00651E97" w:rsidP="00651E97">
      <w:pPr>
        <w:spacing w:before="0" w:after="0"/>
      </w:pPr>
      <w:r w:rsidRPr="00CD3344">
        <w:t xml:space="preserve">Written submissions for this review </w:t>
      </w:r>
      <w:r>
        <w:t>are open to</w:t>
      </w:r>
      <w:r w:rsidRPr="00CD3344">
        <w:t xml:space="preserve"> all interested parties. The reviewer invites you to put </w:t>
      </w:r>
      <w:r w:rsidRPr="00CD3344">
        <w:rPr>
          <w:rFonts w:cstheme="minorHAnsi"/>
        </w:rPr>
        <w:t>forward</w:t>
      </w:r>
      <w:r w:rsidRPr="00CD3344">
        <w:t xml:space="preserve"> your ideas</w:t>
      </w:r>
      <w:r>
        <w:t>,</w:t>
      </w:r>
      <w:r w:rsidRPr="00CD3344">
        <w:t xml:space="preserve"> </w:t>
      </w:r>
      <w:r>
        <w:t>as pithily as possible,</w:t>
      </w:r>
      <w:r w:rsidRPr="00CD3344">
        <w:t xml:space="preserve"> </w:t>
      </w:r>
      <w:r>
        <w:t xml:space="preserve">and </w:t>
      </w:r>
      <w:r w:rsidRPr="00CD3344">
        <w:t xml:space="preserve">provide the evidence and insights that underpin them. </w:t>
      </w:r>
    </w:p>
    <w:p w:rsidR="00651E97" w:rsidRDefault="00651E97" w:rsidP="00651E97">
      <w:pPr>
        <w:spacing w:before="0" w:after="0"/>
      </w:pPr>
    </w:p>
    <w:p w:rsidR="00651E97" w:rsidRDefault="00651E97" w:rsidP="00651E97">
      <w:pPr>
        <w:spacing w:before="0" w:after="0"/>
      </w:pPr>
      <w:r>
        <w:t xml:space="preserve">This </w:t>
      </w:r>
      <w:r w:rsidRPr="00CD3344">
        <w:t xml:space="preserve">paper proposes </w:t>
      </w:r>
      <w:r w:rsidR="003539CD">
        <w:t xml:space="preserve">five </w:t>
      </w:r>
      <w:r>
        <w:t xml:space="preserve">discussion </w:t>
      </w:r>
      <w:r w:rsidRPr="00CD3344">
        <w:t>questions</w:t>
      </w:r>
      <w:r>
        <w:t xml:space="preserve"> to help guide responses</w:t>
      </w:r>
      <w:r w:rsidRPr="00CD3344">
        <w:t xml:space="preserve">. Submissions are not </w:t>
      </w:r>
      <w:r>
        <w:t>limited to these discussion questions</w:t>
      </w:r>
      <w:r w:rsidRPr="00CD3344">
        <w:t xml:space="preserve"> and may address any issue </w:t>
      </w:r>
      <w:r w:rsidR="003539CD">
        <w:t xml:space="preserve">and suggested alternatives </w:t>
      </w:r>
      <w:r w:rsidRPr="00CD3344">
        <w:t xml:space="preserve">relating to the current PCS. </w:t>
      </w:r>
    </w:p>
    <w:p w:rsidR="00651E97" w:rsidRPr="00CD3344" w:rsidRDefault="00651E97" w:rsidP="00651E97">
      <w:pPr>
        <w:spacing w:before="0" w:after="0"/>
      </w:pPr>
    </w:p>
    <w:p w:rsidR="00651E97" w:rsidRDefault="00651E97" w:rsidP="00651E97">
      <w:pPr>
        <w:pStyle w:val="Heading2"/>
        <w:spacing w:before="0" w:after="0"/>
      </w:pPr>
      <w:bookmarkStart w:id="34" w:name="_Toc523319082"/>
      <w:bookmarkStart w:id="35" w:name="_Toc523323014"/>
      <w:bookmarkStart w:id="36" w:name="_Toc527354308"/>
      <w:bookmarkStart w:id="37" w:name="_Toc531606783"/>
      <w:r>
        <w:t>Discussion</w:t>
      </w:r>
      <w:r w:rsidRPr="00306352">
        <w:t xml:space="preserve"> questions</w:t>
      </w:r>
      <w:bookmarkEnd w:id="34"/>
      <w:bookmarkEnd w:id="35"/>
      <w:bookmarkEnd w:id="36"/>
      <w:bookmarkEnd w:id="37"/>
      <w:r w:rsidRPr="00306352">
        <w:t xml:space="preserve"> </w:t>
      </w:r>
    </w:p>
    <w:p w:rsidR="00651E97" w:rsidRDefault="00651E97" w:rsidP="00651E97">
      <w:pPr>
        <w:spacing w:before="0" w:after="0"/>
      </w:pPr>
    </w:p>
    <w:tbl>
      <w:tblPr>
        <w:tblStyle w:val="PullOutBox1"/>
        <w:tblW w:w="0" w:type="auto"/>
        <w:shd w:val="clear" w:color="auto" w:fill="D3E2F5"/>
        <w:tblLook w:val="04A0" w:firstRow="1" w:lastRow="0" w:firstColumn="1" w:lastColumn="0" w:noHBand="0" w:noVBand="1"/>
      </w:tblPr>
      <w:tblGrid>
        <w:gridCol w:w="9070"/>
      </w:tblGrid>
      <w:tr w:rsidR="00651E97" w:rsidTr="004C2E45">
        <w:trPr>
          <w:tblHeader/>
        </w:trPr>
        <w:tc>
          <w:tcPr>
            <w:tcW w:w="9070" w:type="dxa"/>
            <w:shd w:val="clear" w:color="auto" w:fill="D3E2F5"/>
          </w:tcPr>
          <w:p w:rsidR="00651E97" w:rsidRPr="00194022" w:rsidRDefault="00651E97" w:rsidP="004C2E45">
            <w:pPr>
              <w:spacing w:before="0" w:after="0" w:line="276" w:lineRule="auto"/>
              <w:rPr>
                <w:b/>
              </w:rPr>
            </w:pPr>
          </w:p>
          <w:p w:rsidR="000221C8" w:rsidRPr="00E377B0" w:rsidRDefault="000221C8" w:rsidP="000221C8">
            <w:pPr>
              <w:pStyle w:val="ListParagraph"/>
              <w:numPr>
                <w:ilvl w:val="0"/>
                <w:numId w:val="21"/>
              </w:numPr>
              <w:rPr>
                <w:b/>
              </w:rPr>
            </w:pPr>
            <w:r w:rsidRPr="00162DB3">
              <w:rPr>
                <w:rFonts w:cstheme="minorHAnsi"/>
                <w:b/>
              </w:rPr>
              <w:t>What characteristics should define a</w:t>
            </w:r>
            <w:r>
              <w:rPr>
                <w:rFonts w:cstheme="minorHAnsi"/>
                <w:b/>
              </w:rPr>
              <w:t xml:space="preserve"> ‘higher education provider’ and a ‘u</w:t>
            </w:r>
            <w:r w:rsidRPr="00162DB3">
              <w:rPr>
                <w:rFonts w:cstheme="minorHAnsi"/>
                <w:b/>
              </w:rPr>
              <w:t>niversity</w:t>
            </w:r>
            <w:r>
              <w:rPr>
                <w:rFonts w:cstheme="minorHAnsi"/>
                <w:b/>
              </w:rPr>
              <w:t>’</w:t>
            </w:r>
            <w:r w:rsidRPr="00162DB3">
              <w:rPr>
                <w:rFonts w:cstheme="minorHAnsi"/>
                <w:b/>
              </w:rPr>
              <w:t xml:space="preserve"> in the PCS?</w:t>
            </w:r>
          </w:p>
          <w:p w:rsidR="00651E97" w:rsidRPr="000221C8" w:rsidRDefault="00651E97" w:rsidP="000221C8">
            <w:pPr>
              <w:pStyle w:val="ListParagraph"/>
              <w:numPr>
                <w:ilvl w:val="0"/>
                <w:numId w:val="21"/>
              </w:numPr>
              <w:spacing w:before="0" w:after="0" w:line="276" w:lineRule="auto"/>
              <w:rPr>
                <w:b/>
              </w:rPr>
            </w:pPr>
            <w:r>
              <w:rPr>
                <w:rFonts w:cstheme="minorHAnsi"/>
                <w:b/>
              </w:rPr>
              <w:t>Are the PCS fit for purpose in terms of current and emerging needs?</w:t>
            </w:r>
            <w:r w:rsidR="00F40F13">
              <w:rPr>
                <w:rFonts w:cstheme="minorHAnsi"/>
                <w:b/>
              </w:rPr>
              <w:t xml:space="preserve"> Why?</w:t>
            </w:r>
          </w:p>
          <w:p w:rsidR="000221C8" w:rsidRDefault="000221C8" w:rsidP="000221C8">
            <w:pPr>
              <w:pStyle w:val="ListParagraph"/>
              <w:numPr>
                <w:ilvl w:val="0"/>
                <w:numId w:val="21"/>
              </w:numPr>
              <w:spacing w:before="0" w:after="0" w:line="276" w:lineRule="auto"/>
              <w:rPr>
                <w:b/>
              </w:rPr>
            </w:pPr>
            <w:r>
              <w:rPr>
                <w:b/>
              </w:rPr>
              <w:t xml:space="preserve">Should some categories be eliminated or new categories be introduced? </w:t>
            </w:r>
            <w:r w:rsidR="00E61B52">
              <w:rPr>
                <w:b/>
              </w:rPr>
              <w:t xml:space="preserve">What should be the </w:t>
            </w:r>
            <w:r>
              <w:rPr>
                <w:b/>
              </w:rPr>
              <w:t>features of any new categories?</w:t>
            </w:r>
          </w:p>
          <w:p w:rsidR="000221C8" w:rsidRPr="00EF2A6E" w:rsidRDefault="000221C8" w:rsidP="000221C8">
            <w:pPr>
              <w:pStyle w:val="ListParagraph"/>
              <w:numPr>
                <w:ilvl w:val="0"/>
                <w:numId w:val="21"/>
              </w:numPr>
              <w:spacing w:before="0" w:after="0" w:line="276" w:lineRule="auto"/>
              <w:rPr>
                <w:b/>
              </w:rPr>
            </w:pPr>
            <w:r w:rsidRPr="000221C8">
              <w:rPr>
                <w:rFonts w:cstheme="minorHAnsi"/>
                <w:b/>
              </w:rPr>
              <w:t>Do specific categories need to be revised</w:t>
            </w:r>
            <w:r w:rsidR="00F40F13">
              <w:rPr>
                <w:rFonts w:cstheme="minorHAnsi"/>
                <w:b/>
              </w:rPr>
              <w:t>? H</w:t>
            </w:r>
            <w:r w:rsidRPr="000221C8">
              <w:rPr>
                <w:rFonts w:cstheme="minorHAnsi"/>
                <w:b/>
              </w:rPr>
              <w:t>ow?</w:t>
            </w:r>
          </w:p>
          <w:p w:rsidR="00651E97" w:rsidRPr="007978C0" w:rsidRDefault="000221C8" w:rsidP="00115160">
            <w:pPr>
              <w:pStyle w:val="ListParagraph"/>
              <w:numPr>
                <w:ilvl w:val="0"/>
                <w:numId w:val="21"/>
              </w:numPr>
              <w:spacing w:before="0" w:after="0" w:line="276" w:lineRule="auto"/>
              <w:rPr>
                <w:b/>
              </w:rPr>
            </w:pPr>
            <w:r>
              <w:rPr>
                <w:b/>
              </w:rPr>
              <w:t xml:space="preserve">How would the </w:t>
            </w:r>
            <w:r w:rsidR="00115160">
              <w:rPr>
                <w:b/>
              </w:rPr>
              <w:t>needs</w:t>
            </w:r>
            <w:r>
              <w:rPr>
                <w:b/>
              </w:rPr>
              <w:t xml:space="preserve"> of </w:t>
            </w:r>
            <w:r w:rsidR="007978C0">
              <w:rPr>
                <w:b/>
              </w:rPr>
              <w:t>providers, students</w:t>
            </w:r>
            <w:r w:rsidRPr="000221C8">
              <w:rPr>
                <w:b/>
              </w:rPr>
              <w:t xml:space="preserve">, industry, regulator and </w:t>
            </w:r>
            <w:r w:rsidR="003539CD">
              <w:rPr>
                <w:b/>
              </w:rPr>
              <w:t>broader public interest</w:t>
            </w:r>
            <w:r w:rsidR="003539CD" w:rsidRPr="000221C8">
              <w:rPr>
                <w:b/>
              </w:rPr>
              <w:t xml:space="preserve"> </w:t>
            </w:r>
            <w:r w:rsidRPr="000221C8">
              <w:rPr>
                <w:b/>
              </w:rPr>
              <w:t>be</w:t>
            </w:r>
            <w:r>
              <w:rPr>
                <w:b/>
              </w:rPr>
              <w:t xml:space="preserve"> served by your suggested changes to the PCS?</w:t>
            </w:r>
            <w:r w:rsidR="002A4BF7" w:rsidRPr="007978C0">
              <w:rPr>
                <w:b/>
              </w:rPr>
              <w:br/>
            </w:r>
          </w:p>
        </w:tc>
      </w:tr>
    </w:tbl>
    <w:p w:rsidR="00651E97" w:rsidRDefault="00651E97" w:rsidP="00651E97">
      <w:pPr>
        <w:spacing w:before="0" w:after="0"/>
      </w:pPr>
    </w:p>
    <w:p w:rsidR="00651E97" w:rsidRPr="00AF495C" w:rsidRDefault="00651E97" w:rsidP="00651E97">
      <w:pPr>
        <w:pStyle w:val="Heading2"/>
        <w:spacing w:before="0" w:after="0"/>
        <w:rPr>
          <w:rFonts w:eastAsiaTheme="minorHAnsi"/>
          <w:i/>
          <w:highlight w:val="yellow"/>
        </w:rPr>
      </w:pPr>
      <w:bookmarkStart w:id="38" w:name="_Toc523319083"/>
      <w:bookmarkStart w:id="39" w:name="_Toc523323015"/>
      <w:bookmarkStart w:id="40" w:name="_Toc527354309"/>
      <w:bookmarkStart w:id="41" w:name="_Toc531606784"/>
      <w:r w:rsidRPr="00306352">
        <w:t>Making a submission</w:t>
      </w:r>
      <w:bookmarkEnd w:id="38"/>
      <w:bookmarkEnd w:id="39"/>
      <w:bookmarkEnd w:id="40"/>
      <w:bookmarkEnd w:id="41"/>
    </w:p>
    <w:p w:rsidR="00651E97" w:rsidRPr="00CD3344" w:rsidRDefault="00651E97" w:rsidP="00651E97">
      <w:pPr>
        <w:spacing w:before="0" w:after="0"/>
      </w:pPr>
      <w:r w:rsidRPr="00CD3344">
        <w:t xml:space="preserve">Submissions will close at 5.00 pm (AEST) </w:t>
      </w:r>
      <w:r w:rsidRPr="00BC3BB6">
        <w:t xml:space="preserve">on </w:t>
      </w:r>
      <w:r w:rsidRPr="00BE6237">
        <w:t>8 March 2019</w:t>
      </w:r>
      <w:r w:rsidRPr="00BC3BB6">
        <w:t xml:space="preserve"> and</w:t>
      </w:r>
      <w:r w:rsidRPr="00CD3344">
        <w:t xml:space="preserve"> should be emailed to </w:t>
      </w:r>
      <w:hyperlink r:id="rId25" w:history="1">
        <w:r w:rsidRPr="003D610F">
          <w:rPr>
            <w:rStyle w:val="Hyperlink"/>
            <w:rFonts w:cstheme="minorHAnsi"/>
            <w:b/>
          </w:rPr>
          <w:t>PCSReview@education.gov.au</w:t>
        </w:r>
      </w:hyperlink>
      <w:r w:rsidRPr="000438A1">
        <w:t>.</w:t>
      </w:r>
      <w:r w:rsidRPr="00CD3344">
        <w:t xml:space="preserve"> </w:t>
      </w:r>
    </w:p>
    <w:p w:rsidR="00651E97" w:rsidRPr="00CD3344" w:rsidRDefault="00651E97" w:rsidP="00651E97">
      <w:pPr>
        <w:spacing w:before="0" w:after="0"/>
      </w:pPr>
    </w:p>
    <w:p w:rsidR="00651E97" w:rsidRPr="00CD3344" w:rsidRDefault="00651E97" w:rsidP="00651E97">
      <w:pPr>
        <w:spacing w:before="0" w:after="0"/>
      </w:pPr>
      <w:r w:rsidRPr="00CD3344">
        <w:t>Please note that the Australian Government Department of Education and Training will not treat a submission as confidential unless requested that the whole submission, or part of the submission, be</w:t>
      </w:r>
      <w:r w:rsidR="00D92D25">
        <w:t> </w:t>
      </w:r>
      <w:r w:rsidRPr="00CD3344">
        <w:t xml:space="preserve">treated as such. Publication of submissions will be subject to HESP approval. </w:t>
      </w:r>
    </w:p>
    <w:p w:rsidR="00651E97" w:rsidRPr="00CD3344" w:rsidRDefault="00651E97" w:rsidP="00651E97">
      <w:pPr>
        <w:spacing w:before="0" w:after="0"/>
      </w:pPr>
    </w:p>
    <w:p w:rsidR="00651E97" w:rsidRPr="00AF495C" w:rsidRDefault="00651E97" w:rsidP="00651E97">
      <w:pPr>
        <w:spacing w:before="0" w:after="0"/>
      </w:pPr>
      <w:r w:rsidRPr="00CD3344">
        <w:t xml:space="preserve">For more information on this review, the HESP and to access a copy of this discussion paper, please visit </w:t>
      </w:r>
      <w:hyperlink r:id="rId26" w:history="1">
        <w:r w:rsidRPr="00645A03">
          <w:rPr>
            <w:rStyle w:val="Hyperlink"/>
            <w:rFonts w:cstheme="minorHAnsi"/>
            <w:b/>
          </w:rPr>
          <w:t>www.education.gov.au/higher-education-standards-panel-hesp-0</w:t>
        </w:r>
      </w:hyperlink>
      <w:r w:rsidRPr="00CD3344">
        <w:t>.</w:t>
      </w:r>
    </w:p>
    <w:p w:rsidR="00651E97" w:rsidRDefault="00651E97" w:rsidP="00651E97">
      <w:pPr>
        <w:spacing w:before="0" w:after="0"/>
      </w:pPr>
    </w:p>
    <w:p w:rsidR="00651E97" w:rsidRPr="00CB2AA3" w:rsidRDefault="00651E97" w:rsidP="00651E97">
      <w:pPr>
        <w:spacing w:before="0" w:after="0"/>
      </w:pPr>
    </w:p>
    <w:p w:rsidR="00651E97" w:rsidRDefault="00651E97" w:rsidP="00651E97"/>
    <w:p w:rsidR="004812B3" w:rsidRPr="00CB2AA3" w:rsidRDefault="004812B3" w:rsidP="00651E97">
      <w:pPr>
        <w:pStyle w:val="TOCHeading"/>
      </w:pPr>
    </w:p>
    <w:sectPr w:rsidR="004812B3" w:rsidRPr="00CB2AA3" w:rsidSect="004F3527">
      <w:footerReference w:type="default" r:id="rId27"/>
      <w:pgSz w:w="11906" w:h="16838"/>
      <w:pgMar w:top="1134" w:right="1418" w:bottom="1560" w:left="1418" w:header="680" w:footer="45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53C1" w:rsidRDefault="001B53C1" w:rsidP="00EE7FDA">
      <w:pPr>
        <w:spacing w:after="0" w:line="240" w:lineRule="auto"/>
      </w:pPr>
      <w:r>
        <w:separator/>
      </w:r>
    </w:p>
  </w:endnote>
  <w:endnote w:type="continuationSeparator" w:id="0">
    <w:p w:rsidR="001B53C1" w:rsidRDefault="001B53C1" w:rsidP="00EE7F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5108919"/>
      <w:docPartObj>
        <w:docPartGallery w:val="Page Numbers (Bottom of Page)"/>
        <w:docPartUnique/>
      </w:docPartObj>
    </w:sdtPr>
    <w:sdtEndPr>
      <w:rPr>
        <w:noProof/>
        <w:color w:val="auto"/>
      </w:rPr>
    </w:sdtEndPr>
    <w:sdtContent>
      <w:p w:rsidR="001B53C1" w:rsidRPr="008E3073" w:rsidRDefault="001B53C1">
        <w:pPr>
          <w:pStyle w:val="Footer"/>
          <w:rPr>
            <w:color w:val="auto"/>
          </w:rPr>
        </w:pPr>
        <w:r w:rsidRPr="008E3073">
          <w:rPr>
            <w:color w:val="auto"/>
          </w:rPr>
          <w:fldChar w:fldCharType="begin"/>
        </w:r>
        <w:r w:rsidRPr="008E3073">
          <w:rPr>
            <w:color w:val="auto"/>
          </w:rPr>
          <w:instrText xml:space="preserve"> PAGE   \* MERGEFORMAT </w:instrText>
        </w:r>
        <w:r w:rsidRPr="008E3073">
          <w:rPr>
            <w:color w:val="auto"/>
          </w:rPr>
          <w:fldChar w:fldCharType="separate"/>
        </w:r>
        <w:r w:rsidR="004F3527">
          <w:rPr>
            <w:noProof/>
            <w:color w:val="auto"/>
          </w:rPr>
          <w:t>6</w:t>
        </w:r>
        <w:r w:rsidRPr="008E3073">
          <w:rPr>
            <w:noProof/>
            <w:color w:val="auto"/>
          </w:rPr>
          <w:fldChar w:fldCharType="end"/>
        </w:r>
      </w:p>
    </w:sdtContent>
  </w:sdt>
  <w:p w:rsidR="001B53C1" w:rsidRDefault="001B53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9333071"/>
      <w:docPartObj>
        <w:docPartGallery w:val="Page Numbers (Bottom of Page)"/>
        <w:docPartUnique/>
      </w:docPartObj>
    </w:sdtPr>
    <w:sdtEndPr>
      <w:rPr>
        <w:noProof/>
      </w:rPr>
    </w:sdtEndPr>
    <w:sdtContent>
      <w:p w:rsidR="001B53C1" w:rsidRDefault="001B53C1">
        <w:pPr>
          <w:pStyle w:val="Footer"/>
          <w:jc w:val="right"/>
        </w:pPr>
        <w:r w:rsidRPr="00226A25">
          <w:rPr>
            <w:noProof/>
            <w:color w:val="000000" w:themeColor="text1"/>
            <w:lang w:eastAsia="en-AU"/>
          </w:rPr>
          <w:drawing>
            <wp:anchor distT="0" distB="0" distL="114300" distR="114300" simplePos="0" relativeHeight="251656704" behindDoc="1" locked="0" layoutInCell="1" allowOverlap="1" wp14:anchorId="13A1BF66" wp14:editId="3F3877E2">
              <wp:simplePos x="0" y="0"/>
              <wp:positionH relativeFrom="page">
                <wp:posOffset>-41451</wp:posOffset>
              </wp:positionH>
              <wp:positionV relativeFrom="page">
                <wp:align>bottom</wp:align>
              </wp:positionV>
              <wp:extent cx="7560000" cy="725516"/>
              <wp:effectExtent l="0" t="0" r="3175" b="0"/>
              <wp:wrapNone/>
              <wp:docPr id="5" name="Picture 5"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ED18-0084 - SCH - NSRB SES Score Review_Report Template - Footer R_01.jpg"/>
                      <pic:cNvPicPr/>
                    </pic:nvPicPr>
                    <pic:blipFill>
                      <a:blip r:embed="rId1">
                        <a:extLst>
                          <a:ext uri="{28A0092B-C50C-407E-A947-70E740481C1C}">
                            <a14:useLocalDpi xmlns:a14="http://schemas.microsoft.com/office/drawing/2010/main" val="0"/>
                          </a:ext>
                        </a:extLst>
                      </a:blip>
                      <a:stretch>
                        <a:fillRect/>
                      </a:stretch>
                    </pic:blipFill>
                    <pic:spPr>
                      <a:xfrm>
                        <a:off x="0" y="0"/>
                        <a:ext cx="7560000" cy="725516"/>
                      </a:xfrm>
                      <a:prstGeom prst="rect">
                        <a:avLst/>
                      </a:prstGeom>
                    </pic:spPr>
                  </pic:pic>
                </a:graphicData>
              </a:graphic>
              <wp14:sizeRelH relativeFrom="page">
                <wp14:pctWidth>0</wp14:pctWidth>
              </wp14:sizeRelH>
              <wp14:sizeRelV relativeFrom="page">
                <wp14:pctHeight>0</wp14:pctHeight>
              </wp14:sizeRelV>
            </wp:anchor>
          </w:drawing>
        </w:r>
        <w:r>
          <w:t xml:space="preserve"> </w:t>
        </w:r>
      </w:p>
    </w:sdtContent>
  </w:sdt>
  <w:p w:rsidR="001B53C1" w:rsidRDefault="001B53C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292B" w:rsidRDefault="0054292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67682551"/>
      <w:docPartObj>
        <w:docPartGallery w:val="Page Numbers (Bottom of Page)"/>
        <w:docPartUnique/>
      </w:docPartObj>
    </w:sdtPr>
    <w:sdtEndPr>
      <w:rPr>
        <w:noProof/>
      </w:rPr>
    </w:sdtEndPr>
    <w:sdtContent>
      <w:p w:rsidR="004F3527" w:rsidRDefault="004F3527">
        <w:pPr>
          <w:pStyle w:val="Footer"/>
          <w:jc w:val="right"/>
        </w:pPr>
        <w:r w:rsidRPr="00226A25">
          <w:rPr>
            <w:noProof/>
            <w:color w:val="000000" w:themeColor="text1"/>
            <w:lang w:eastAsia="en-AU"/>
          </w:rPr>
          <w:drawing>
            <wp:anchor distT="0" distB="0" distL="114300" distR="114300" simplePos="0" relativeHeight="251657728" behindDoc="1" locked="0" layoutInCell="1" allowOverlap="1" wp14:anchorId="66396B75" wp14:editId="43DC49E3">
              <wp:simplePos x="0" y="0"/>
              <wp:positionH relativeFrom="page">
                <wp:posOffset>-41451</wp:posOffset>
              </wp:positionH>
              <wp:positionV relativeFrom="page">
                <wp:align>bottom</wp:align>
              </wp:positionV>
              <wp:extent cx="7560000" cy="725516"/>
              <wp:effectExtent l="0" t="0" r="3175" b="0"/>
              <wp:wrapNone/>
              <wp:docPr id="7" name="Picture 7"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ED18-0084 - SCH - NSRB SES Score Review_Report Template - Footer R_01.jpg"/>
                      <pic:cNvPicPr/>
                    </pic:nvPicPr>
                    <pic:blipFill>
                      <a:blip r:embed="rId1">
                        <a:extLst>
                          <a:ext uri="{28A0092B-C50C-407E-A947-70E740481C1C}">
                            <a14:useLocalDpi xmlns:a14="http://schemas.microsoft.com/office/drawing/2010/main" val="0"/>
                          </a:ext>
                        </a:extLst>
                      </a:blip>
                      <a:stretch>
                        <a:fillRect/>
                      </a:stretch>
                    </pic:blipFill>
                    <pic:spPr>
                      <a:xfrm>
                        <a:off x="0" y="0"/>
                        <a:ext cx="7560000" cy="725516"/>
                      </a:xfrm>
                      <a:prstGeom prst="rect">
                        <a:avLst/>
                      </a:prstGeom>
                    </pic:spPr>
                  </pic:pic>
                </a:graphicData>
              </a:graphic>
              <wp14:sizeRelH relativeFrom="page">
                <wp14:pctWidth>0</wp14:pctWidth>
              </wp14:sizeRelH>
              <wp14:sizeRelV relativeFrom="page">
                <wp14:pctHeight>0</wp14:pctHeight>
              </wp14:sizeRelV>
            </wp:anchor>
          </w:drawing>
        </w:r>
        <w:r>
          <w:t xml:space="preserve"> </w:t>
        </w:r>
        <w:r w:rsidRPr="00226A25">
          <w:rPr>
            <w:color w:val="000000" w:themeColor="text1"/>
          </w:rPr>
          <w:fldChar w:fldCharType="begin"/>
        </w:r>
        <w:r w:rsidRPr="00226A25">
          <w:rPr>
            <w:color w:val="000000" w:themeColor="text1"/>
          </w:rPr>
          <w:instrText xml:space="preserve"> PAGE   \* MERGEFORMAT </w:instrText>
        </w:r>
        <w:r w:rsidRPr="00226A25">
          <w:rPr>
            <w:color w:val="000000" w:themeColor="text1"/>
          </w:rPr>
          <w:fldChar w:fldCharType="separate"/>
        </w:r>
        <w:r w:rsidR="00D17E45">
          <w:rPr>
            <w:noProof/>
            <w:color w:val="000000" w:themeColor="text1"/>
          </w:rPr>
          <w:t>17</w:t>
        </w:r>
        <w:r w:rsidRPr="00226A25">
          <w:rPr>
            <w:noProof/>
            <w:color w:val="000000" w:themeColor="text1"/>
          </w:rPr>
          <w:fldChar w:fldCharType="end"/>
        </w:r>
      </w:p>
    </w:sdtContent>
  </w:sdt>
  <w:p w:rsidR="004F3527" w:rsidRDefault="004F35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53C1" w:rsidRDefault="001B53C1" w:rsidP="00F11EC1">
      <w:pPr>
        <w:spacing w:after="0" w:line="240" w:lineRule="auto"/>
      </w:pPr>
      <w:r>
        <w:separator/>
      </w:r>
    </w:p>
  </w:footnote>
  <w:footnote w:type="continuationSeparator" w:id="0">
    <w:p w:rsidR="001B53C1" w:rsidRDefault="001B53C1" w:rsidP="00EE7FDA">
      <w:pPr>
        <w:spacing w:after="0" w:line="240" w:lineRule="auto"/>
      </w:pPr>
      <w:r>
        <w:continuationSeparator/>
      </w:r>
    </w:p>
  </w:footnote>
  <w:footnote w:id="1">
    <w:p w:rsidR="001B53C1" w:rsidRPr="00EB1FAF" w:rsidRDefault="001B53C1" w:rsidP="00EB1FAF">
      <w:pPr>
        <w:pStyle w:val="FootnoteText"/>
        <w:spacing w:before="0"/>
        <w:rPr>
          <w:sz w:val="18"/>
          <w:szCs w:val="18"/>
        </w:rPr>
      </w:pPr>
      <w:r w:rsidRPr="00EB1FAF">
        <w:rPr>
          <w:rStyle w:val="FootnoteReference"/>
          <w:sz w:val="18"/>
          <w:szCs w:val="18"/>
        </w:rPr>
        <w:footnoteRef/>
      </w:r>
      <w:r w:rsidRPr="00EB1FAF">
        <w:rPr>
          <w:sz w:val="18"/>
          <w:szCs w:val="18"/>
        </w:rPr>
        <w:t xml:space="preserve"> Note that four standards (Provider Registration Standards, Provider Category Standards, Provider Course Accreditation Standards and Qualifications Standards) are part of the Threshold Standards.</w:t>
      </w:r>
    </w:p>
  </w:footnote>
  <w:footnote w:id="2">
    <w:p w:rsidR="001B53C1" w:rsidRPr="00EB1FAF" w:rsidRDefault="001B53C1">
      <w:pPr>
        <w:pStyle w:val="FootnoteText"/>
        <w:spacing w:before="0"/>
        <w:rPr>
          <w:sz w:val="18"/>
          <w:szCs w:val="18"/>
        </w:rPr>
      </w:pPr>
      <w:r w:rsidRPr="00EB1FAF">
        <w:rPr>
          <w:rStyle w:val="FootnoteReference"/>
          <w:sz w:val="18"/>
          <w:szCs w:val="18"/>
        </w:rPr>
        <w:footnoteRef/>
      </w:r>
      <w:r w:rsidRPr="00EB1FAF">
        <w:rPr>
          <w:sz w:val="18"/>
          <w:szCs w:val="18"/>
        </w:rPr>
        <w:t xml:space="preserve"> Australian Government Department of Education and Training (2017) </w:t>
      </w:r>
      <w:r w:rsidRPr="00EB1FAF">
        <w:rPr>
          <w:i/>
          <w:sz w:val="18"/>
          <w:szCs w:val="18"/>
        </w:rPr>
        <w:t>2016 International Student Survey Results</w:t>
      </w:r>
      <w:r w:rsidRPr="00EB1FAF">
        <w:rPr>
          <w:sz w:val="18"/>
          <w:szCs w:val="18"/>
        </w:rPr>
        <w:t xml:space="preserve">. </w:t>
      </w:r>
    </w:p>
  </w:footnote>
  <w:footnote w:id="3">
    <w:p w:rsidR="001B53C1" w:rsidRPr="00B85694" w:rsidRDefault="001B53C1">
      <w:pPr>
        <w:pStyle w:val="FootnoteText"/>
        <w:spacing w:before="0"/>
        <w:rPr>
          <w:sz w:val="18"/>
          <w:szCs w:val="18"/>
        </w:rPr>
      </w:pPr>
      <w:r w:rsidRPr="00B85694">
        <w:rPr>
          <w:rStyle w:val="FootnoteReference"/>
          <w:sz w:val="18"/>
          <w:szCs w:val="18"/>
        </w:rPr>
        <w:footnoteRef/>
      </w:r>
      <w:r w:rsidRPr="00B85694">
        <w:rPr>
          <w:sz w:val="18"/>
          <w:szCs w:val="18"/>
        </w:rPr>
        <w:t xml:space="preserve"> </w:t>
      </w:r>
      <w:r w:rsidRPr="00EB1FAF">
        <w:rPr>
          <w:sz w:val="18"/>
          <w:szCs w:val="18"/>
        </w:rPr>
        <w:t xml:space="preserve">Part B of the Threshold Standards is available at </w:t>
      </w:r>
      <w:hyperlink r:id="rId1" w:anchor="_Toc428368878" w:history="1">
        <w:r w:rsidRPr="000C1EEB">
          <w:rPr>
            <w:rStyle w:val="Hyperlink"/>
            <w:sz w:val="18"/>
            <w:szCs w:val="18"/>
          </w:rPr>
          <w:t>www.legislation.gov.au/Details/F2015L01639/Html/Text#_Toc428368878</w:t>
        </w:r>
      </w:hyperlink>
      <w:r>
        <w:rPr>
          <w:sz w:val="18"/>
          <w:szCs w:val="18"/>
        </w:rPr>
        <w:t xml:space="preserve"> </w:t>
      </w:r>
    </w:p>
  </w:footnote>
  <w:footnote w:id="4">
    <w:p w:rsidR="001B53C1" w:rsidRPr="00B85694" w:rsidRDefault="001B53C1" w:rsidP="00B85694">
      <w:pPr>
        <w:spacing w:before="0" w:after="0"/>
        <w:rPr>
          <w:sz w:val="18"/>
          <w:szCs w:val="18"/>
        </w:rPr>
      </w:pPr>
      <w:r w:rsidRPr="00B85694">
        <w:rPr>
          <w:rStyle w:val="FootnoteReference"/>
          <w:sz w:val="18"/>
          <w:szCs w:val="18"/>
        </w:rPr>
        <w:footnoteRef/>
      </w:r>
      <w:r w:rsidRPr="00B85694">
        <w:rPr>
          <w:sz w:val="18"/>
          <w:szCs w:val="18"/>
        </w:rPr>
        <w:t xml:space="preserve"> </w:t>
      </w:r>
      <w:r w:rsidRPr="00EB1FAF">
        <w:rPr>
          <w:sz w:val="18"/>
          <w:szCs w:val="18"/>
        </w:rPr>
        <w:t xml:space="preserve">For more information on the AQF review, visit </w:t>
      </w:r>
      <w:hyperlink r:id="rId2" w:history="1">
        <w:r w:rsidRPr="000C1EEB">
          <w:rPr>
            <w:rStyle w:val="Hyperlink"/>
            <w:sz w:val="18"/>
            <w:szCs w:val="18"/>
          </w:rPr>
          <w:t>www.education.gov.au/australian-qualifications-framework-review-0</w:t>
        </w:r>
      </w:hyperlink>
      <w:r>
        <w:rPr>
          <w:sz w:val="18"/>
          <w:szCs w:val="18"/>
        </w:rPr>
        <w:t xml:space="preserve"> </w:t>
      </w:r>
    </w:p>
  </w:footnote>
  <w:footnote w:id="5">
    <w:p w:rsidR="001B53C1" w:rsidRPr="00EB1FAF" w:rsidRDefault="001B53C1">
      <w:pPr>
        <w:pStyle w:val="FootnoteText"/>
        <w:spacing w:before="0"/>
        <w:rPr>
          <w:sz w:val="18"/>
          <w:szCs w:val="18"/>
        </w:rPr>
      </w:pPr>
      <w:r w:rsidRPr="00EB1FAF">
        <w:rPr>
          <w:rStyle w:val="FootnoteReference"/>
          <w:sz w:val="18"/>
          <w:szCs w:val="18"/>
        </w:rPr>
        <w:footnoteRef/>
      </w:r>
      <w:r w:rsidRPr="00EB1FAF">
        <w:rPr>
          <w:sz w:val="18"/>
          <w:szCs w:val="18"/>
        </w:rPr>
        <w:t xml:space="preserve"> </w:t>
      </w:r>
      <w:r>
        <w:rPr>
          <w:sz w:val="18"/>
          <w:szCs w:val="18"/>
        </w:rPr>
        <w:t xml:space="preserve">Detail from the </w:t>
      </w:r>
      <w:r w:rsidRPr="00EB1FAF">
        <w:rPr>
          <w:i/>
          <w:sz w:val="18"/>
          <w:szCs w:val="18"/>
        </w:rPr>
        <w:t>Explanatory Statement Tertiary Education Quality and Standards Agency Act 2011</w:t>
      </w:r>
      <w:r>
        <w:rPr>
          <w:sz w:val="18"/>
          <w:szCs w:val="18"/>
        </w:rPr>
        <w:t>,</w:t>
      </w:r>
      <w:r w:rsidRPr="00EB1FAF">
        <w:rPr>
          <w:sz w:val="18"/>
          <w:szCs w:val="18"/>
        </w:rPr>
        <w:t xml:space="preserve"> Higher Education Standards Framework (Threshold Standards).</w:t>
      </w:r>
    </w:p>
  </w:footnote>
  <w:footnote w:id="6">
    <w:p w:rsidR="001B53C1" w:rsidRPr="00EB1FAF" w:rsidRDefault="001B53C1">
      <w:pPr>
        <w:pStyle w:val="FootnoteText"/>
        <w:spacing w:before="0"/>
        <w:rPr>
          <w:sz w:val="18"/>
          <w:szCs w:val="18"/>
        </w:rPr>
      </w:pPr>
      <w:r w:rsidRPr="00EB1FAF">
        <w:rPr>
          <w:rStyle w:val="FootnoteReference"/>
          <w:sz w:val="18"/>
          <w:szCs w:val="18"/>
        </w:rPr>
        <w:footnoteRef/>
      </w:r>
      <w:r w:rsidRPr="00EB1FAF">
        <w:rPr>
          <w:sz w:val="18"/>
          <w:szCs w:val="18"/>
        </w:rPr>
        <w:t xml:space="preserve"> </w:t>
      </w:r>
      <w:r w:rsidRPr="00EB1FAF">
        <w:rPr>
          <w:i/>
          <w:sz w:val="18"/>
          <w:szCs w:val="18"/>
        </w:rPr>
        <w:t>Higher Education Standards Framework 2015</w:t>
      </w:r>
      <w:r>
        <w:rPr>
          <w:sz w:val="18"/>
          <w:szCs w:val="18"/>
        </w:rPr>
        <w:t>.</w:t>
      </w:r>
      <w:r w:rsidRPr="00EB1FAF">
        <w:rPr>
          <w:sz w:val="18"/>
          <w:szCs w:val="18"/>
        </w:rPr>
        <w:t xml:space="preserve"> Part B1.2.3 and B1.2.5</w:t>
      </w:r>
      <w:r>
        <w:rPr>
          <w:sz w:val="18"/>
          <w:szCs w:val="18"/>
        </w:rPr>
        <w:t>.</w:t>
      </w:r>
    </w:p>
  </w:footnote>
  <w:footnote w:id="7">
    <w:p w:rsidR="001B53C1" w:rsidRPr="00EB1FAF" w:rsidRDefault="001B53C1">
      <w:pPr>
        <w:pStyle w:val="FootnoteText"/>
        <w:spacing w:before="0"/>
        <w:rPr>
          <w:sz w:val="18"/>
          <w:szCs w:val="18"/>
        </w:rPr>
      </w:pPr>
      <w:r w:rsidRPr="00EB1FAF">
        <w:rPr>
          <w:rStyle w:val="FootnoteReference"/>
          <w:sz w:val="18"/>
          <w:szCs w:val="18"/>
        </w:rPr>
        <w:footnoteRef/>
      </w:r>
      <w:r w:rsidRPr="00EB1FAF">
        <w:rPr>
          <w:sz w:val="18"/>
          <w:szCs w:val="18"/>
        </w:rPr>
        <w:t xml:space="preserve"> </w:t>
      </w:r>
      <w:r w:rsidRPr="00EB1FAF">
        <w:rPr>
          <w:i/>
          <w:sz w:val="18"/>
          <w:szCs w:val="18"/>
        </w:rPr>
        <w:t>Higher Education Standards Framework 2015</w:t>
      </w:r>
      <w:r>
        <w:rPr>
          <w:sz w:val="18"/>
          <w:szCs w:val="18"/>
        </w:rPr>
        <w:t>.</w:t>
      </w:r>
      <w:r w:rsidRPr="00EB1FAF">
        <w:rPr>
          <w:sz w:val="18"/>
          <w:szCs w:val="18"/>
        </w:rPr>
        <w:t xml:space="preserve"> Part B1.1.4</w:t>
      </w:r>
      <w:r>
        <w:rPr>
          <w:sz w:val="18"/>
          <w:szCs w:val="18"/>
        </w:rPr>
        <w:t>.</w:t>
      </w:r>
    </w:p>
  </w:footnote>
  <w:footnote w:id="8">
    <w:p w:rsidR="001B53C1" w:rsidRPr="00EB1FAF" w:rsidRDefault="001B53C1">
      <w:pPr>
        <w:pStyle w:val="FootnoteText"/>
        <w:spacing w:before="0"/>
        <w:rPr>
          <w:sz w:val="18"/>
          <w:szCs w:val="18"/>
        </w:rPr>
      </w:pPr>
      <w:r w:rsidRPr="00EB1FAF">
        <w:rPr>
          <w:rStyle w:val="FootnoteReference"/>
          <w:sz w:val="18"/>
          <w:szCs w:val="18"/>
        </w:rPr>
        <w:footnoteRef/>
      </w:r>
      <w:r w:rsidRPr="00EB1FAF">
        <w:rPr>
          <w:sz w:val="18"/>
          <w:szCs w:val="18"/>
        </w:rPr>
        <w:t xml:space="preserve"> Productivity Commission (2017) </w:t>
      </w:r>
      <w:r w:rsidRPr="00EB1FAF">
        <w:rPr>
          <w:i/>
          <w:sz w:val="18"/>
          <w:szCs w:val="18"/>
        </w:rPr>
        <w:t>Shifting the Dial: 5 Year Productivity Review</w:t>
      </w:r>
      <w:r w:rsidRPr="00EB1FAF">
        <w:rPr>
          <w:sz w:val="18"/>
          <w:szCs w:val="18"/>
        </w:rPr>
        <w:t>. Report no. 84. Canberra. p.108.</w:t>
      </w:r>
    </w:p>
  </w:footnote>
  <w:footnote w:id="9">
    <w:p w:rsidR="001B53C1" w:rsidRPr="00EB1FAF" w:rsidRDefault="001B53C1">
      <w:pPr>
        <w:pStyle w:val="FootnoteText"/>
        <w:spacing w:before="0"/>
        <w:rPr>
          <w:sz w:val="18"/>
          <w:szCs w:val="18"/>
        </w:rPr>
      </w:pPr>
      <w:r w:rsidRPr="00EB1FAF">
        <w:rPr>
          <w:rStyle w:val="FootnoteReference"/>
          <w:sz w:val="18"/>
          <w:szCs w:val="18"/>
        </w:rPr>
        <w:footnoteRef/>
      </w:r>
      <w:r w:rsidRPr="00EB1FAF">
        <w:rPr>
          <w:sz w:val="18"/>
          <w:szCs w:val="18"/>
        </w:rPr>
        <w:t xml:space="preserve"> Bradley, D. (2008) </w:t>
      </w:r>
      <w:r w:rsidRPr="00EB1FAF">
        <w:rPr>
          <w:i/>
          <w:sz w:val="18"/>
          <w:szCs w:val="18"/>
        </w:rPr>
        <w:t>Review of Australian Higher Education</w:t>
      </w:r>
      <w:r>
        <w:rPr>
          <w:sz w:val="18"/>
          <w:szCs w:val="18"/>
        </w:rPr>
        <w:t>.</w:t>
      </w:r>
      <w:r w:rsidRPr="00EB1FAF">
        <w:rPr>
          <w:sz w:val="18"/>
          <w:szCs w:val="18"/>
        </w:rPr>
        <w:t xml:space="preserve"> p.124.</w:t>
      </w:r>
    </w:p>
  </w:footnote>
  <w:footnote w:id="10">
    <w:p w:rsidR="001B53C1" w:rsidRPr="00EB1FAF" w:rsidRDefault="001B53C1">
      <w:pPr>
        <w:pStyle w:val="FootnoteText"/>
        <w:spacing w:before="0"/>
        <w:rPr>
          <w:sz w:val="18"/>
          <w:szCs w:val="18"/>
        </w:rPr>
      </w:pPr>
      <w:r w:rsidRPr="00EB1FAF">
        <w:rPr>
          <w:sz w:val="18"/>
          <w:szCs w:val="18"/>
          <w:vertAlign w:val="superscript"/>
        </w:rPr>
        <w:footnoteRef/>
      </w:r>
      <w:r w:rsidRPr="00EB1FAF">
        <w:rPr>
          <w:i/>
          <w:sz w:val="18"/>
          <w:szCs w:val="18"/>
        </w:rPr>
        <w:t xml:space="preserve"> </w:t>
      </w:r>
      <w:r w:rsidRPr="00EB1FAF">
        <w:rPr>
          <w:sz w:val="18"/>
          <w:szCs w:val="18"/>
        </w:rPr>
        <w:t>Ibid. p.125.</w:t>
      </w:r>
    </w:p>
  </w:footnote>
  <w:footnote w:id="11">
    <w:p w:rsidR="001B53C1" w:rsidRPr="00EB1FAF" w:rsidRDefault="001B53C1">
      <w:pPr>
        <w:pStyle w:val="FootnoteText"/>
        <w:spacing w:before="0"/>
        <w:rPr>
          <w:sz w:val="18"/>
          <w:szCs w:val="18"/>
        </w:rPr>
      </w:pPr>
      <w:r w:rsidRPr="00EB1FAF">
        <w:rPr>
          <w:rStyle w:val="FootnoteReference"/>
          <w:sz w:val="18"/>
          <w:szCs w:val="18"/>
        </w:rPr>
        <w:footnoteRef/>
      </w:r>
      <w:r w:rsidRPr="00EB1FAF">
        <w:rPr>
          <w:sz w:val="18"/>
          <w:szCs w:val="18"/>
        </w:rPr>
        <w:t xml:space="preserve"> Ibid. pp.124-125.</w:t>
      </w:r>
    </w:p>
  </w:footnote>
  <w:footnote w:id="12">
    <w:p w:rsidR="001B53C1" w:rsidRPr="0075308C" w:rsidRDefault="001B53C1" w:rsidP="0075308C">
      <w:pPr>
        <w:pStyle w:val="FootnoteText"/>
        <w:spacing w:before="0"/>
        <w:rPr>
          <w:sz w:val="18"/>
          <w:szCs w:val="18"/>
        </w:rPr>
      </w:pPr>
      <w:r w:rsidRPr="0075308C">
        <w:rPr>
          <w:rStyle w:val="FootnoteReference"/>
          <w:sz w:val="18"/>
          <w:szCs w:val="18"/>
        </w:rPr>
        <w:footnoteRef/>
      </w:r>
      <w:r w:rsidRPr="0075308C">
        <w:rPr>
          <w:sz w:val="18"/>
          <w:szCs w:val="18"/>
        </w:rPr>
        <w:t xml:space="preserve"> </w:t>
      </w:r>
      <w:r w:rsidRPr="00EB1FAF">
        <w:rPr>
          <w:sz w:val="18"/>
          <w:szCs w:val="18"/>
        </w:rPr>
        <w:t xml:space="preserve">Productivity Commission (2017) </w:t>
      </w:r>
      <w:r w:rsidRPr="00EB1FAF">
        <w:rPr>
          <w:i/>
          <w:sz w:val="18"/>
          <w:szCs w:val="18"/>
        </w:rPr>
        <w:t>Shifting the Dial: 5 Year Productivity Review</w:t>
      </w:r>
      <w:r>
        <w:rPr>
          <w:sz w:val="18"/>
          <w:szCs w:val="18"/>
        </w:rPr>
        <w:t>. Report no. 84. Canberra. p.104</w:t>
      </w:r>
      <w:r w:rsidRPr="00EB1FAF">
        <w:rPr>
          <w:sz w:val="18"/>
          <w:szCs w:val="18"/>
        </w:rPr>
        <w:t>.</w:t>
      </w:r>
    </w:p>
  </w:footnote>
  <w:footnote w:id="13">
    <w:p w:rsidR="001B53C1" w:rsidRPr="0075308C" w:rsidRDefault="001B53C1" w:rsidP="0075308C">
      <w:pPr>
        <w:pStyle w:val="FootnoteText"/>
        <w:spacing w:before="0"/>
        <w:rPr>
          <w:sz w:val="18"/>
          <w:szCs w:val="18"/>
        </w:rPr>
      </w:pPr>
      <w:r w:rsidRPr="0075308C">
        <w:rPr>
          <w:rStyle w:val="FootnoteReference"/>
          <w:sz w:val="18"/>
          <w:szCs w:val="18"/>
        </w:rPr>
        <w:footnoteRef/>
      </w:r>
      <w:r w:rsidRPr="0075308C">
        <w:rPr>
          <w:sz w:val="18"/>
          <w:szCs w:val="18"/>
        </w:rPr>
        <w:t xml:space="preserve"> </w:t>
      </w:r>
      <w:r w:rsidRPr="00EB1FAF">
        <w:rPr>
          <w:sz w:val="18"/>
          <w:szCs w:val="18"/>
        </w:rPr>
        <w:t>Ibid. p.</w:t>
      </w:r>
      <w:r>
        <w:rPr>
          <w:sz w:val="18"/>
          <w:szCs w:val="18"/>
        </w:rPr>
        <w:t>108</w:t>
      </w:r>
      <w:r w:rsidRPr="00EB1FAF">
        <w:rPr>
          <w:sz w:val="18"/>
          <w:szCs w:val="18"/>
        </w:rPr>
        <w:t>.</w:t>
      </w:r>
    </w:p>
  </w:footnote>
  <w:footnote w:id="14">
    <w:p w:rsidR="001B53C1" w:rsidRPr="0075308C" w:rsidRDefault="001B53C1" w:rsidP="0075308C">
      <w:pPr>
        <w:pStyle w:val="FootnoteText"/>
        <w:spacing w:before="0"/>
        <w:rPr>
          <w:sz w:val="18"/>
          <w:szCs w:val="18"/>
        </w:rPr>
      </w:pPr>
      <w:r w:rsidRPr="0075308C">
        <w:rPr>
          <w:rStyle w:val="FootnoteReference"/>
          <w:sz w:val="18"/>
          <w:szCs w:val="18"/>
        </w:rPr>
        <w:footnoteRef/>
      </w:r>
      <w:r w:rsidRPr="0075308C">
        <w:rPr>
          <w:sz w:val="18"/>
          <w:szCs w:val="18"/>
        </w:rPr>
        <w:t xml:space="preserve"> </w:t>
      </w:r>
      <w:r>
        <w:rPr>
          <w:sz w:val="18"/>
          <w:szCs w:val="18"/>
        </w:rPr>
        <w:t>I</w:t>
      </w:r>
      <w:r w:rsidRPr="0075308C">
        <w:rPr>
          <w:sz w:val="18"/>
          <w:szCs w:val="18"/>
        </w:rPr>
        <w:t>bid.</w:t>
      </w:r>
      <w:r>
        <w:rPr>
          <w:sz w:val="18"/>
          <w:szCs w:val="18"/>
        </w:rPr>
        <w:t xml:space="preserve"> p.105.</w:t>
      </w:r>
    </w:p>
  </w:footnote>
  <w:footnote w:id="15">
    <w:p w:rsidR="001B53C1" w:rsidRDefault="001B53C1" w:rsidP="002B24C4">
      <w:pPr>
        <w:pStyle w:val="FootnoteText"/>
      </w:pPr>
      <w:r w:rsidRPr="0075308C">
        <w:rPr>
          <w:rStyle w:val="FootnoteReference"/>
          <w:sz w:val="18"/>
          <w:szCs w:val="18"/>
        </w:rPr>
        <w:footnoteRef/>
      </w:r>
      <w:r w:rsidRPr="0075308C">
        <w:rPr>
          <w:sz w:val="18"/>
          <w:szCs w:val="18"/>
        </w:rPr>
        <w:t xml:space="preserve"> TEQSA National Re</w:t>
      </w:r>
      <w:r>
        <w:rPr>
          <w:sz w:val="18"/>
          <w:szCs w:val="18"/>
        </w:rPr>
        <w:t>gister summary table (accessed 03/12</w:t>
      </w:r>
      <w:r w:rsidRPr="0075308C">
        <w:rPr>
          <w:sz w:val="18"/>
          <w:szCs w:val="18"/>
        </w:rPr>
        <w:t xml:space="preserve">/2018 from </w:t>
      </w:r>
      <w:hyperlink r:id="rId3" w:history="1">
        <w:r w:rsidRPr="0075308C">
          <w:rPr>
            <w:rStyle w:val="Hyperlink"/>
            <w:sz w:val="18"/>
            <w:szCs w:val="18"/>
          </w:rPr>
          <w:t>www.teqsa.gov.au/national-register</w:t>
        </w:r>
      </w:hyperlink>
      <w:r w:rsidRPr="0075308C">
        <w:rPr>
          <w:sz w:val="18"/>
          <w:szCs w:val="18"/>
        </w:rPr>
        <w:t>).</w:t>
      </w:r>
    </w:p>
  </w:footnote>
  <w:footnote w:id="16">
    <w:p w:rsidR="001B53C1" w:rsidRPr="00EB1FAF" w:rsidRDefault="001B53C1">
      <w:pPr>
        <w:pStyle w:val="FootnoteText"/>
        <w:spacing w:before="0"/>
        <w:rPr>
          <w:sz w:val="18"/>
          <w:szCs w:val="18"/>
        </w:rPr>
      </w:pPr>
      <w:r w:rsidRPr="00EB1FAF">
        <w:rPr>
          <w:rStyle w:val="FootnoteReference"/>
          <w:sz w:val="18"/>
          <w:szCs w:val="18"/>
        </w:rPr>
        <w:footnoteRef/>
      </w:r>
      <w:r w:rsidRPr="00EB1FAF">
        <w:rPr>
          <w:sz w:val="18"/>
          <w:szCs w:val="18"/>
        </w:rPr>
        <w:t xml:space="preserve"> Boyer, E. (1990) </w:t>
      </w:r>
      <w:r w:rsidRPr="00EB1FAF">
        <w:rPr>
          <w:i/>
          <w:sz w:val="18"/>
          <w:szCs w:val="18"/>
        </w:rPr>
        <w:t>Scholarship Reconsidered: Priorities of the Professoriate</w:t>
      </w:r>
      <w:r w:rsidRPr="00EB1FAF">
        <w:rPr>
          <w:sz w:val="18"/>
          <w:szCs w:val="18"/>
        </w:rPr>
        <w:t>. Carnegie Foundation. p.16</w:t>
      </w:r>
      <w:r>
        <w:rPr>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53C1" w:rsidRDefault="00D17E45">
    <w:pPr>
      <w:pStyle w:val="Header"/>
    </w:pPr>
    <w:r>
      <w:rPr>
        <w:noProof/>
        <w:lang w:eastAsia="en-AU"/>
      </w:rPr>
      <w:pict w14:anchorId="3338192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773pt;margin-top:350.5pt;width:440.8pt;height:80.5pt;rotation:315;z-index:-251657728;mso-position-horizontal-relative:margin;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292B" w:rsidRDefault="0054292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292B" w:rsidRDefault="00542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E68CD"/>
    <w:multiLevelType w:val="hybridMultilevel"/>
    <w:tmpl w:val="78E670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BE176C9"/>
    <w:multiLevelType w:val="multilevel"/>
    <w:tmpl w:val="D9EE14E0"/>
    <w:lvl w:ilvl="0">
      <w:start w:val="1"/>
      <w:numFmt w:val="decimal"/>
      <w:pStyle w:val="Heading1Numbered"/>
      <w:suff w:val="space"/>
      <w:lvlText w:val="Chapter %1:"/>
      <w:lvlJc w:val="left"/>
      <w:pPr>
        <w:ind w:left="0" w:firstLine="0"/>
      </w:pPr>
      <w:rPr>
        <w:rFonts w:hint="default"/>
      </w:rPr>
    </w:lvl>
    <w:lvl w:ilvl="1">
      <w:start w:val="1"/>
      <w:numFmt w:val="decimal"/>
      <w:pStyle w:val="Heading2numbered"/>
      <w:lvlText w:val="%1.%2"/>
      <w:lvlJc w:val="left"/>
      <w:pPr>
        <w:tabs>
          <w:tab w:val="num" w:pos="680"/>
        </w:tabs>
        <w:ind w:left="680" w:hanging="68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4CB6E1B"/>
    <w:multiLevelType w:val="hybridMultilevel"/>
    <w:tmpl w:val="B37AC6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6641DF2"/>
    <w:multiLevelType w:val="hybridMultilevel"/>
    <w:tmpl w:val="F7842D62"/>
    <w:lvl w:ilvl="0" w:tplc="7F847DE4">
      <w:start w:val="1"/>
      <w:numFmt w:val="decimal"/>
      <w:pStyle w:val="numberedpara"/>
      <w:lvlText w:val="%1."/>
      <w:lvlJc w:val="right"/>
      <w:pPr>
        <w:tabs>
          <w:tab w:val="num" w:pos="567"/>
        </w:tabs>
        <w:ind w:left="0" w:hanging="567"/>
      </w:pPr>
      <w:rPr>
        <w:rFonts w:ascii="Calibri" w:hAnsi="Calibri" w:cs="Times New Roman" w:hint="default"/>
        <w:b w:val="0"/>
        <w:i w:val="0"/>
        <w:color w:val="auto"/>
        <w:sz w:val="22"/>
      </w:rPr>
    </w:lvl>
    <w:lvl w:ilvl="1" w:tplc="0C090019">
      <w:start w:val="1"/>
      <w:numFmt w:val="lowerLetter"/>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4" w15:restartNumberingAfterBreak="0">
    <w:nsid w:val="189C5916"/>
    <w:multiLevelType w:val="hybridMultilevel"/>
    <w:tmpl w:val="1DD83E9A"/>
    <w:lvl w:ilvl="0" w:tplc="0C090017">
      <w:start w:val="1"/>
      <w:numFmt w:val="lowerLetter"/>
      <w:lvlText w:val="%1)"/>
      <w:lvlJc w:val="left"/>
      <w:pPr>
        <w:ind w:left="360" w:hanging="360"/>
      </w:pPr>
    </w:lvl>
    <w:lvl w:ilvl="1" w:tplc="0C09000F">
      <w:start w:val="1"/>
      <w:numFmt w:val="decimal"/>
      <w:lvlText w:val="%2."/>
      <w:lvlJc w:val="left"/>
      <w:pPr>
        <w:ind w:left="1080" w:hanging="360"/>
      </w:pPr>
      <w:rPr>
        <w:rFonts w:hint="default"/>
      </w:rPr>
    </w:lvl>
    <w:lvl w:ilvl="2" w:tplc="0C090001">
      <w:start w:val="1"/>
      <w:numFmt w:val="bullet"/>
      <w:lvlText w:val=""/>
      <w:lvlJc w:val="left"/>
      <w:pPr>
        <w:ind w:left="1800" w:hanging="180"/>
      </w:pPr>
      <w:rPr>
        <w:rFonts w:ascii="Symbol" w:hAnsi="Symbol" w:hint="default"/>
      </w:r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1E8224E2"/>
    <w:multiLevelType w:val="multilevel"/>
    <w:tmpl w:val="9AAADADC"/>
    <w:numStyleLink w:val="Style1"/>
  </w:abstractNum>
  <w:abstractNum w:abstractNumId="6" w15:restartNumberingAfterBreak="0">
    <w:nsid w:val="230B0B81"/>
    <w:multiLevelType w:val="multilevel"/>
    <w:tmpl w:val="63924C30"/>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33440362"/>
    <w:multiLevelType w:val="hybridMultilevel"/>
    <w:tmpl w:val="07A24DC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8" w15:restartNumberingAfterBreak="0">
    <w:nsid w:val="3CDF029B"/>
    <w:multiLevelType w:val="hybridMultilevel"/>
    <w:tmpl w:val="41AE33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F863C35"/>
    <w:multiLevelType w:val="multilevel"/>
    <w:tmpl w:val="13003D80"/>
    <w:styleLink w:val="RSCBNumberList1"/>
    <w:lvl w:ilvl="0">
      <w:start w:val="1"/>
      <w:numFmt w:val="decimal"/>
      <w:pStyle w:val="ListNumber"/>
      <w:lvlText w:val="%1."/>
      <w:lvlJc w:val="left"/>
      <w:pPr>
        <w:ind w:left="284" w:hanging="284"/>
      </w:pPr>
      <w:rPr>
        <w:rFonts w:hint="default"/>
      </w:rPr>
    </w:lvl>
    <w:lvl w:ilvl="1">
      <w:start w:val="1"/>
      <w:numFmt w:val="decimal"/>
      <w:pStyle w:val="ListNumber2"/>
      <w:lvlText w:val="%2.%1."/>
      <w:lvlJc w:val="left"/>
      <w:pPr>
        <w:tabs>
          <w:tab w:val="num" w:pos="737"/>
        </w:tabs>
        <w:ind w:left="737" w:hanging="453"/>
      </w:pPr>
      <w:rPr>
        <w:rFonts w:hint="default"/>
      </w:rPr>
    </w:lvl>
    <w:lvl w:ilvl="2">
      <w:start w:val="1"/>
      <w:numFmt w:val="decimal"/>
      <w:pStyle w:val="ListNumber3"/>
      <w:lvlText w:val="%1.%2.%3."/>
      <w:lvlJc w:val="left"/>
      <w:pPr>
        <w:tabs>
          <w:tab w:val="num" w:pos="1361"/>
        </w:tabs>
        <w:ind w:left="1361" w:hanging="624"/>
      </w:pPr>
      <w:rPr>
        <w:rFonts w:hint="default"/>
      </w:rPr>
    </w:lvl>
    <w:lvl w:ilvl="3">
      <w:start w:val="1"/>
      <w:numFmt w:val="decimal"/>
      <w:pStyle w:val="ListNumber4"/>
      <w:lvlText w:val="%1.%2.%3.%4."/>
      <w:lvlJc w:val="left"/>
      <w:pPr>
        <w:tabs>
          <w:tab w:val="num" w:pos="2155"/>
        </w:tabs>
        <w:ind w:left="2155" w:hanging="79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10" w15:restartNumberingAfterBreak="0">
    <w:nsid w:val="4A753129"/>
    <w:multiLevelType w:val="hybridMultilevel"/>
    <w:tmpl w:val="CBDA1ACC"/>
    <w:lvl w:ilvl="0" w:tplc="D10A0F6A">
      <w:numFmt w:val="bullet"/>
      <w:lvlText w:val="-"/>
      <w:lvlJc w:val="left"/>
      <w:pPr>
        <w:ind w:left="720" w:hanging="360"/>
      </w:pPr>
      <w:rPr>
        <w:rFonts w:ascii="Arial" w:eastAsia="Calibri" w:hAnsi="Arial" w:cs="Aria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1" w15:restartNumberingAfterBreak="0">
    <w:nsid w:val="57DD04F5"/>
    <w:multiLevelType w:val="multilevel"/>
    <w:tmpl w:val="13003D80"/>
    <w:numStyleLink w:val="RSCBNumberList1"/>
  </w:abstractNum>
  <w:abstractNum w:abstractNumId="12" w15:restartNumberingAfterBreak="0">
    <w:nsid w:val="5C700131"/>
    <w:multiLevelType w:val="hybridMultilevel"/>
    <w:tmpl w:val="B986ED9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3" w15:restartNumberingAfterBreak="0">
    <w:nsid w:val="657D40AE"/>
    <w:multiLevelType w:val="hybridMultilevel"/>
    <w:tmpl w:val="0C64CA64"/>
    <w:lvl w:ilvl="0" w:tplc="DC32FEA0">
      <w:start w:val="1"/>
      <w:numFmt w:val="lowerRoman"/>
      <w:lvlText w:val="%1."/>
      <w:lvlJc w:val="right"/>
      <w:pPr>
        <w:ind w:left="108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69860C51"/>
    <w:multiLevelType w:val="hybridMultilevel"/>
    <w:tmpl w:val="8556AEB6"/>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5" w15:restartNumberingAfterBreak="0">
    <w:nsid w:val="69C447DD"/>
    <w:multiLevelType w:val="multilevel"/>
    <w:tmpl w:val="9AAADADC"/>
    <w:styleLink w:val="Style1"/>
    <w:lvl w:ilvl="0">
      <w:start w:val="1"/>
      <w:numFmt w:val="bullet"/>
      <w:pStyle w:val="ListBullet"/>
      <w:lvlText w:val=""/>
      <w:lvlJc w:val="left"/>
      <w:pPr>
        <w:tabs>
          <w:tab w:val="num" w:pos="284"/>
        </w:tabs>
        <w:ind w:left="284" w:hanging="284"/>
      </w:pPr>
      <w:rPr>
        <w:rFonts w:ascii="Symbol" w:hAnsi="Symbol" w:hint="default"/>
      </w:rPr>
    </w:lvl>
    <w:lvl w:ilvl="1">
      <w:start w:val="1"/>
      <w:numFmt w:val="bullet"/>
      <w:pStyle w:val="ListBullet2"/>
      <w:lvlText w:val="o"/>
      <w:lvlJc w:val="left"/>
      <w:pPr>
        <w:tabs>
          <w:tab w:val="num" w:pos="567"/>
        </w:tabs>
        <w:ind w:left="567" w:hanging="283"/>
      </w:pPr>
      <w:rPr>
        <w:rFonts w:ascii="Courier New" w:hAnsi="Courier New" w:hint="default"/>
      </w:rPr>
    </w:lvl>
    <w:lvl w:ilvl="2">
      <w:start w:val="1"/>
      <w:numFmt w:val="bullet"/>
      <w:pStyle w:val="ListBullet3"/>
      <w:lvlText w:val=""/>
      <w:lvlJc w:val="left"/>
      <w:pPr>
        <w:tabs>
          <w:tab w:val="num" w:pos="851"/>
        </w:tabs>
        <w:ind w:left="851" w:hanging="284"/>
      </w:pPr>
      <w:rPr>
        <w:rFonts w:ascii="Wingdings" w:hAnsi="Wingdings" w:hint="default"/>
        <w:position w:val="-4"/>
        <w:sz w:val="28"/>
      </w:rPr>
    </w:lvl>
    <w:lvl w:ilvl="3">
      <w:start w:val="1"/>
      <w:numFmt w:val="bullet"/>
      <w:pStyle w:val="ListBullet4"/>
      <w:lvlText w:val=""/>
      <w:lvlJc w:val="left"/>
      <w:pPr>
        <w:tabs>
          <w:tab w:val="num" w:pos="1134"/>
        </w:tabs>
        <w:ind w:left="1134" w:hanging="283"/>
      </w:pPr>
      <w:rPr>
        <w:rFonts w:ascii="Wingdings 2" w:hAnsi="Wingdings 2" w:hint="default"/>
        <w:position w:val="2"/>
        <w:sz w:val="14"/>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738C06F3"/>
    <w:multiLevelType w:val="multilevel"/>
    <w:tmpl w:val="11A8BAC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74AF1DED"/>
    <w:multiLevelType w:val="hybridMultilevel"/>
    <w:tmpl w:val="E730CF42"/>
    <w:lvl w:ilvl="0" w:tplc="0C090017">
      <w:start w:val="1"/>
      <w:numFmt w:val="lowerLetter"/>
      <w:lvlText w:val="%1)"/>
      <w:lvlJc w:val="left"/>
      <w:pPr>
        <w:ind w:left="360" w:hanging="360"/>
      </w:pPr>
    </w:lvl>
    <w:lvl w:ilvl="1" w:tplc="DC32FEA0">
      <w:start w:val="1"/>
      <w:numFmt w:val="lowerRoman"/>
      <w:lvlText w:val="%2."/>
      <w:lvlJc w:val="right"/>
      <w:pPr>
        <w:ind w:left="1080" w:hanging="360"/>
      </w:pPr>
      <w:rPr>
        <w:rFonts w:hint="default"/>
      </w:rPr>
    </w:lvl>
    <w:lvl w:ilvl="2" w:tplc="0C090001">
      <w:start w:val="1"/>
      <w:numFmt w:val="bullet"/>
      <w:lvlText w:val=""/>
      <w:lvlJc w:val="left"/>
      <w:pPr>
        <w:ind w:left="1800" w:hanging="180"/>
      </w:pPr>
      <w:rPr>
        <w:rFonts w:ascii="Symbol" w:hAnsi="Symbol" w:hint="default"/>
      </w:rPr>
    </w:lvl>
    <w:lvl w:ilvl="3" w:tplc="C8286258">
      <w:start w:val="1"/>
      <w:numFmt w:val="lowerRoman"/>
      <w:lvlText w:val="(%4)"/>
      <w:lvlJc w:val="left"/>
      <w:pPr>
        <w:ind w:left="2880" w:hanging="720"/>
      </w:pPr>
      <w:rPr>
        <w:rFonts w:hint="default"/>
      </w:r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8" w15:restartNumberingAfterBreak="0">
    <w:nsid w:val="7A211E22"/>
    <w:multiLevelType w:val="hybridMultilevel"/>
    <w:tmpl w:val="88EA10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D446CEE"/>
    <w:multiLevelType w:val="hybridMultilevel"/>
    <w:tmpl w:val="39500506"/>
    <w:lvl w:ilvl="0" w:tplc="351839AE">
      <w:start w:val="1"/>
      <w:numFmt w:val="decimal"/>
      <w:lvlText w:val="%1."/>
      <w:lvlJc w:val="left"/>
      <w:pPr>
        <w:ind w:left="720" w:hanging="360"/>
      </w:pPr>
      <w:rPr>
        <w:rFonts w:hint="default"/>
        <w:b/>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11"/>
  </w:num>
  <w:num w:numId="3">
    <w:abstractNumId w:val="15"/>
  </w:num>
  <w:num w:numId="4">
    <w:abstractNumId w:val="5"/>
  </w:num>
  <w:num w:numId="5">
    <w:abstractNumId w:val="1"/>
  </w:num>
  <w:num w:numId="6">
    <w:abstractNumId w:val="6"/>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num>
  <w:num w:numId="14">
    <w:abstractNumId w:val="4"/>
  </w:num>
  <w:num w:numId="15">
    <w:abstractNumId w:val="17"/>
  </w:num>
  <w:num w:numId="16">
    <w:abstractNumId w:val="13"/>
  </w:num>
  <w:num w:numId="17">
    <w:abstractNumId w:val="8"/>
  </w:num>
  <w:num w:numId="18">
    <w:abstractNumId w:val="18"/>
  </w:num>
  <w:num w:numId="19">
    <w:abstractNumId w:val="0"/>
  </w:num>
  <w:num w:numId="20">
    <w:abstractNumId w:val="12"/>
  </w:num>
  <w:num w:numId="21">
    <w:abstractNumId w:val="19"/>
  </w:num>
  <w:num w:numId="22">
    <w:abstractNumId w:val="10"/>
  </w:num>
  <w:num w:numId="23">
    <w:abstractNumId w:val="7"/>
  </w:num>
  <w:num w:numId="24">
    <w:abstractNumId w:val="2"/>
  </w:num>
  <w:num w:numId="25">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stylePaneFormatFilter w:val="5224" w:allStyles="0" w:customStyles="0" w:latentStyles="1" w:stylesInUse="0" w:headingStyles="1" w:numberingStyles="0" w:tableStyles="0" w:directFormattingOnRuns="0" w:directFormattingOnParagraphs="1" w:directFormattingOnNumbering="0" w:directFormattingOnTables="0" w:clearFormatting="1" w:top3HeadingStyles="0" w:visibleStyles="1" w:alternateStyleNames="0"/>
  <w:stylePaneSortMethod w:val="0003"/>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65B8"/>
    <w:rsid w:val="00015E62"/>
    <w:rsid w:val="00020E61"/>
    <w:rsid w:val="000210EA"/>
    <w:rsid w:val="000221C8"/>
    <w:rsid w:val="00022896"/>
    <w:rsid w:val="00034582"/>
    <w:rsid w:val="0003723E"/>
    <w:rsid w:val="00037765"/>
    <w:rsid w:val="000466E3"/>
    <w:rsid w:val="00047803"/>
    <w:rsid w:val="00047B9A"/>
    <w:rsid w:val="00063E3D"/>
    <w:rsid w:val="00083F0B"/>
    <w:rsid w:val="0009008D"/>
    <w:rsid w:val="0009541A"/>
    <w:rsid w:val="000A1A87"/>
    <w:rsid w:val="000A4229"/>
    <w:rsid w:val="000F65D9"/>
    <w:rsid w:val="00115160"/>
    <w:rsid w:val="00122527"/>
    <w:rsid w:val="001268D9"/>
    <w:rsid w:val="0013220F"/>
    <w:rsid w:val="00140B99"/>
    <w:rsid w:val="00150D38"/>
    <w:rsid w:val="00151574"/>
    <w:rsid w:val="00152866"/>
    <w:rsid w:val="0016510A"/>
    <w:rsid w:val="00187CAE"/>
    <w:rsid w:val="00191C0B"/>
    <w:rsid w:val="00195EF0"/>
    <w:rsid w:val="001A78AE"/>
    <w:rsid w:val="001B53C1"/>
    <w:rsid w:val="001B5A71"/>
    <w:rsid w:val="001B6D04"/>
    <w:rsid w:val="001C0FFF"/>
    <w:rsid w:val="001C1480"/>
    <w:rsid w:val="001C6347"/>
    <w:rsid w:val="001C7654"/>
    <w:rsid w:val="001F3997"/>
    <w:rsid w:val="001F444A"/>
    <w:rsid w:val="001F6D68"/>
    <w:rsid w:val="001F7332"/>
    <w:rsid w:val="00226A25"/>
    <w:rsid w:val="00252CF3"/>
    <w:rsid w:val="00257065"/>
    <w:rsid w:val="00260D77"/>
    <w:rsid w:val="002678F4"/>
    <w:rsid w:val="00280A5D"/>
    <w:rsid w:val="002833D9"/>
    <w:rsid w:val="002971CB"/>
    <w:rsid w:val="002A1F8A"/>
    <w:rsid w:val="002A4BF7"/>
    <w:rsid w:val="002B24C4"/>
    <w:rsid w:val="002E4F5A"/>
    <w:rsid w:val="002E5852"/>
    <w:rsid w:val="00316088"/>
    <w:rsid w:val="00325FDF"/>
    <w:rsid w:val="00334D9D"/>
    <w:rsid w:val="0033742F"/>
    <w:rsid w:val="003455C6"/>
    <w:rsid w:val="0035179E"/>
    <w:rsid w:val="003539CD"/>
    <w:rsid w:val="00354AFF"/>
    <w:rsid w:val="00355FE4"/>
    <w:rsid w:val="003629E5"/>
    <w:rsid w:val="00372981"/>
    <w:rsid w:val="0038053E"/>
    <w:rsid w:val="003A2D79"/>
    <w:rsid w:val="003B0003"/>
    <w:rsid w:val="003B7ACB"/>
    <w:rsid w:val="003C275B"/>
    <w:rsid w:val="003E21F8"/>
    <w:rsid w:val="003E5B89"/>
    <w:rsid w:val="003F22DF"/>
    <w:rsid w:val="00413985"/>
    <w:rsid w:val="004403FD"/>
    <w:rsid w:val="0045489A"/>
    <w:rsid w:val="0046637C"/>
    <w:rsid w:val="00467546"/>
    <w:rsid w:val="004758B0"/>
    <w:rsid w:val="004812B3"/>
    <w:rsid w:val="0048504F"/>
    <w:rsid w:val="00490D5C"/>
    <w:rsid w:val="004974DB"/>
    <w:rsid w:val="004A69ED"/>
    <w:rsid w:val="004A6A2F"/>
    <w:rsid w:val="004B7C4A"/>
    <w:rsid w:val="004C2E45"/>
    <w:rsid w:val="004D00B2"/>
    <w:rsid w:val="004F2C46"/>
    <w:rsid w:val="004F3527"/>
    <w:rsid w:val="00504F8E"/>
    <w:rsid w:val="00531CA5"/>
    <w:rsid w:val="00534937"/>
    <w:rsid w:val="00535313"/>
    <w:rsid w:val="0054292B"/>
    <w:rsid w:val="005565B8"/>
    <w:rsid w:val="005603EE"/>
    <w:rsid w:val="00563988"/>
    <w:rsid w:val="005725B2"/>
    <w:rsid w:val="00575DFC"/>
    <w:rsid w:val="00583DCA"/>
    <w:rsid w:val="005850F8"/>
    <w:rsid w:val="005F1A04"/>
    <w:rsid w:val="005F3BA8"/>
    <w:rsid w:val="005F7763"/>
    <w:rsid w:val="006140E3"/>
    <w:rsid w:val="006418A2"/>
    <w:rsid w:val="00651E97"/>
    <w:rsid w:val="006677A1"/>
    <w:rsid w:val="00682BB4"/>
    <w:rsid w:val="00684D0A"/>
    <w:rsid w:val="006854C1"/>
    <w:rsid w:val="00690602"/>
    <w:rsid w:val="006A0067"/>
    <w:rsid w:val="006B59C9"/>
    <w:rsid w:val="006C776B"/>
    <w:rsid w:val="006E4948"/>
    <w:rsid w:val="006F122D"/>
    <w:rsid w:val="006F17EE"/>
    <w:rsid w:val="006F5462"/>
    <w:rsid w:val="00701BD5"/>
    <w:rsid w:val="0071498C"/>
    <w:rsid w:val="00734A24"/>
    <w:rsid w:val="00736E57"/>
    <w:rsid w:val="00737A20"/>
    <w:rsid w:val="0075308C"/>
    <w:rsid w:val="00754ECF"/>
    <w:rsid w:val="0076278B"/>
    <w:rsid w:val="00774BA7"/>
    <w:rsid w:val="007775ED"/>
    <w:rsid w:val="00787707"/>
    <w:rsid w:val="007978C0"/>
    <w:rsid w:val="007A00F0"/>
    <w:rsid w:val="007A0D41"/>
    <w:rsid w:val="007B00DF"/>
    <w:rsid w:val="007B0A50"/>
    <w:rsid w:val="007B5B89"/>
    <w:rsid w:val="007C5E83"/>
    <w:rsid w:val="007D17F3"/>
    <w:rsid w:val="007E1639"/>
    <w:rsid w:val="007F5CA0"/>
    <w:rsid w:val="00813629"/>
    <w:rsid w:val="008200DE"/>
    <w:rsid w:val="008215C4"/>
    <w:rsid w:val="00830954"/>
    <w:rsid w:val="00842EE9"/>
    <w:rsid w:val="008447BA"/>
    <w:rsid w:val="00847DCF"/>
    <w:rsid w:val="00866D2F"/>
    <w:rsid w:val="00885431"/>
    <w:rsid w:val="00885B8B"/>
    <w:rsid w:val="00886DB8"/>
    <w:rsid w:val="00891F6F"/>
    <w:rsid w:val="00892252"/>
    <w:rsid w:val="008A2D92"/>
    <w:rsid w:val="008B0078"/>
    <w:rsid w:val="008B7B7D"/>
    <w:rsid w:val="008C4E77"/>
    <w:rsid w:val="008C7F7F"/>
    <w:rsid w:val="008E3073"/>
    <w:rsid w:val="008F3DD7"/>
    <w:rsid w:val="008F7349"/>
    <w:rsid w:val="009133E9"/>
    <w:rsid w:val="0091661C"/>
    <w:rsid w:val="00924677"/>
    <w:rsid w:val="00931AF5"/>
    <w:rsid w:val="0094125B"/>
    <w:rsid w:val="00942913"/>
    <w:rsid w:val="009650E6"/>
    <w:rsid w:val="009720E8"/>
    <w:rsid w:val="00973379"/>
    <w:rsid w:val="00974EC7"/>
    <w:rsid w:val="009759ED"/>
    <w:rsid w:val="00976C89"/>
    <w:rsid w:val="0098260E"/>
    <w:rsid w:val="00982D89"/>
    <w:rsid w:val="009834E0"/>
    <w:rsid w:val="00991062"/>
    <w:rsid w:val="00993A3D"/>
    <w:rsid w:val="00997BE6"/>
    <w:rsid w:val="009A3E7D"/>
    <w:rsid w:val="009C14AF"/>
    <w:rsid w:val="009D079F"/>
    <w:rsid w:val="009D07C5"/>
    <w:rsid w:val="009D5189"/>
    <w:rsid w:val="009F3E9D"/>
    <w:rsid w:val="00A13132"/>
    <w:rsid w:val="00A27386"/>
    <w:rsid w:val="00A34D39"/>
    <w:rsid w:val="00A513A6"/>
    <w:rsid w:val="00A74FD2"/>
    <w:rsid w:val="00A76768"/>
    <w:rsid w:val="00A81FB9"/>
    <w:rsid w:val="00A82BDB"/>
    <w:rsid w:val="00A8761C"/>
    <w:rsid w:val="00A95E64"/>
    <w:rsid w:val="00AA03F6"/>
    <w:rsid w:val="00AA63B2"/>
    <w:rsid w:val="00AA7A1A"/>
    <w:rsid w:val="00AB108C"/>
    <w:rsid w:val="00AD2FCC"/>
    <w:rsid w:val="00AE2E94"/>
    <w:rsid w:val="00AE3AB9"/>
    <w:rsid w:val="00B01A31"/>
    <w:rsid w:val="00B02343"/>
    <w:rsid w:val="00B06C66"/>
    <w:rsid w:val="00B141D8"/>
    <w:rsid w:val="00B34616"/>
    <w:rsid w:val="00B42D3C"/>
    <w:rsid w:val="00B67297"/>
    <w:rsid w:val="00B71FE9"/>
    <w:rsid w:val="00B81A68"/>
    <w:rsid w:val="00B85694"/>
    <w:rsid w:val="00B95954"/>
    <w:rsid w:val="00B9794B"/>
    <w:rsid w:val="00BA232D"/>
    <w:rsid w:val="00BA5587"/>
    <w:rsid w:val="00BB57FE"/>
    <w:rsid w:val="00BC6DA1"/>
    <w:rsid w:val="00BE54EE"/>
    <w:rsid w:val="00BF0FC9"/>
    <w:rsid w:val="00BF19FA"/>
    <w:rsid w:val="00BF3DFF"/>
    <w:rsid w:val="00BF7BDF"/>
    <w:rsid w:val="00C00908"/>
    <w:rsid w:val="00C03452"/>
    <w:rsid w:val="00C120E7"/>
    <w:rsid w:val="00C27A2E"/>
    <w:rsid w:val="00C43C37"/>
    <w:rsid w:val="00C5062F"/>
    <w:rsid w:val="00C56C17"/>
    <w:rsid w:val="00C617C3"/>
    <w:rsid w:val="00C63813"/>
    <w:rsid w:val="00C66B71"/>
    <w:rsid w:val="00C80AF8"/>
    <w:rsid w:val="00C81633"/>
    <w:rsid w:val="00C82A11"/>
    <w:rsid w:val="00C9108E"/>
    <w:rsid w:val="00C939EB"/>
    <w:rsid w:val="00CB2AA3"/>
    <w:rsid w:val="00CC0FE9"/>
    <w:rsid w:val="00CC1FC3"/>
    <w:rsid w:val="00CC5A8F"/>
    <w:rsid w:val="00CD0D89"/>
    <w:rsid w:val="00CD5C8A"/>
    <w:rsid w:val="00CE387D"/>
    <w:rsid w:val="00D12760"/>
    <w:rsid w:val="00D14E1B"/>
    <w:rsid w:val="00D17E45"/>
    <w:rsid w:val="00D225C2"/>
    <w:rsid w:val="00D66403"/>
    <w:rsid w:val="00D7060D"/>
    <w:rsid w:val="00D77119"/>
    <w:rsid w:val="00D82451"/>
    <w:rsid w:val="00D83527"/>
    <w:rsid w:val="00D910F9"/>
    <w:rsid w:val="00D92A24"/>
    <w:rsid w:val="00D92D25"/>
    <w:rsid w:val="00D93794"/>
    <w:rsid w:val="00D97FAE"/>
    <w:rsid w:val="00DA46BB"/>
    <w:rsid w:val="00DD6C0C"/>
    <w:rsid w:val="00DE1663"/>
    <w:rsid w:val="00DE4BF0"/>
    <w:rsid w:val="00E0536D"/>
    <w:rsid w:val="00E377B0"/>
    <w:rsid w:val="00E436D9"/>
    <w:rsid w:val="00E50CD8"/>
    <w:rsid w:val="00E60CD2"/>
    <w:rsid w:val="00E61B52"/>
    <w:rsid w:val="00E714C5"/>
    <w:rsid w:val="00E917E7"/>
    <w:rsid w:val="00EB140C"/>
    <w:rsid w:val="00EB1FAF"/>
    <w:rsid w:val="00EB3976"/>
    <w:rsid w:val="00EC63BF"/>
    <w:rsid w:val="00ED4DBD"/>
    <w:rsid w:val="00EE0F7B"/>
    <w:rsid w:val="00EE30E8"/>
    <w:rsid w:val="00EE46DA"/>
    <w:rsid w:val="00EE7FDA"/>
    <w:rsid w:val="00EF4A26"/>
    <w:rsid w:val="00EF697A"/>
    <w:rsid w:val="00F11EC1"/>
    <w:rsid w:val="00F121AC"/>
    <w:rsid w:val="00F23C4B"/>
    <w:rsid w:val="00F25A17"/>
    <w:rsid w:val="00F355E6"/>
    <w:rsid w:val="00F40F13"/>
    <w:rsid w:val="00F80F1A"/>
    <w:rsid w:val="00FC2F61"/>
    <w:rsid w:val="00FF73B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ADF564AE-5F47-47CF-B7BA-1DF729F58D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lsdException w:name="heading 6" w:uiPriority="9"/>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annotation text" w:semiHidden="1"/>
    <w:lsdException w:name="header" w:semiHidden="1"/>
    <w:lsdException w:name="index heading" w:semiHidden="1"/>
    <w:lsdException w:name="caption" w:uiPriority="35" w:qFormat="1"/>
    <w:lsdException w:name="table of figures" w:semiHidden="1"/>
    <w:lsdException w:name="envelope address" w:semiHidden="1"/>
    <w:lsdException w:name="envelope return" w:semiHidden="1"/>
    <w:lsdException w:name="footnote reference" w:semiHidden="1" w:unhideWhenUsed="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qFormat="1"/>
    <w:lsdException w:name="List Number" w:qFormat="1"/>
    <w:lsdException w:name="List 2" w:semiHidden="1"/>
    <w:lsdException w:name="List 3" w:semiHidden="1"/>
    <w:lsdException w:name="List 4" w:semiHidden="1"/>
    <w:lsdException w:name="List 5" w:semiHidden="1"/>
    <w:lsdException w:name="List Bullet 2" w:qFormat="1"/>
    <w:lsdException w:name="List Bullet 3" w:qFormat="1"/>
    <w:lsdException w:name="List Bullet 4" w:qFormat="1"/>
    <w:lsdException w:name="List Bullet 5" w:semiHidden="1" w:unhideWhenUsed="1"/>
    <w:lsdException w:name="List Number 2" w:qFormat="1"/>
    <w:lsdException w:name="List Number 3" w:qFormat="1"/>
    <w:lsdException w:name="List Number 4" w:qFormat="1"/>
    <w:lsdException w:name="List Number 5" w:semiHidden="1" w:unhideWhenUsed="1"/>
    <w:lsdException w:name="Title"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qFormat="1"/>
    <w:lsdException w:name="FollowedHyperlink" w:semiHidden="1"/>
    <w:lsdException w:name="Strong" w:uiPriority="22"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uiPriority="21"/>
    <w:lsdException w:name="Subtle Reference" w:uiPriority="31"/>
    <w:lsdException w:name="Intense Reference" w:uiPriority="32"/>
    <w:lsdException w:name="Book Title" w:uiPriority="33" w:qFormat="1"/>
    <w:lsdException w:name="Bibliography" w:semiHidden="1" w:uiPriority="37"/>
    <w:lsdException w:name="TOC Heading" w:semiHidden="1" w:uiPriority="39"/>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5E83"/>
    <w:pPr>
      <w:spacing w:before="120" w:after="120"/>
    </w:pPr>
  </w:style>
  <w:style w:type="paragraph" w:styleId="Heading1">
    <w:name w:val="heading 1"/>
    <w:basedOn w:val="Normal"/>
    <w:next w:val="Normal"/>
    <w:link w:val="Heading1Char"/>
    <w:uiPriority w:val="9"/>
    <w:qFormat/>
    <w:rsid w:val="0009008D"/>
    <w:pPr>
      <w:keepNext/>
      <w:keepLines/>
      <w:spacing w:before="480" w:line="240" w:lineRule="auto"/>
      <w:outlineLvl w:val="0"/>
    </w:pPr>
    <w:rPr>
      <w:rFonts w:ascii="Calibri" w:eastAsiaTheme="majorEastAsia" w:hAnsi="Calibri" w:cstheme="majorBidi"/>
      <w:color w:val="2763AC"/>
      <w:sz w:val="52"/>
      <w:szCs w:val="32"/>
    </w:rPr>
  </w:style>
  <w:style w:type="paragraph" w:styleId="Heading2">
    <w:name w:val="heading 2"/>
    <w:basedOn w:val="Normal"/>
    <w:next w:val="Normal"/>
    <w:link w:val="Heading2Char"/>
    <w:uiPriority w:val="9"/>
    <w:qFormat/>
    <w:rsid w:val="0009008D"/>
    <w:pPr>
      <w:keepNext/>
      <w:keepLines/>
      <w:spacing w:before="240" w:after="60" w:line="240" w:lineRule="auto"/>
      <w:outlineLvl w:val="1"/>
    </w:pPr>
    <w:rPr>
      <w:rFonts w:ascii="Calibri" w:eastAsiaTheme="majorEastAsia" w:hAnsi="Calibri" w:cstheme="majorBidi"/>
      <w:b/>
      <w:color w:val="2763AC"/>
      <w:sz w:val="28"/>
      <w:szCs w:val="26"/>
    </w:rPr>
  </w:style>
  <w:style w:type="paragraph" w:styleId="Heading3">
    <w:name w:val="heading 3"/>
    <w:basedOn w:val="Normal"/>
    <w:next w:val="Normal"/>
    <w:link w:val="Heading3Char"/>
    <w:uiPriority w:val="9"/>
    <w:qFormat/>
    <w:rsid w:val="004812B3"/>
    <w:pPr>
      <w:keepNext/>
      <w:keepLines/>
      <w:spacing w:before="180" w:after="0"/>
      <w:outlineLvl w:val="2"/>
    </w:pPr>
    <w:rPr>
      <w:rFonts w:ascii="Calibri" w:eastAsiaTheme="majorEastAsia" w:hAnsi="Calibri" w:cstheme="majorBidi"/>
      <w:b/>
      <w:sz w:val="24"/>
      <w:szCs w:val="24"/>
    </w:rPr>
  </w:style>
  <w:style w:type="paragraph" w:styleId="Heading4">
    <w:name w:val="heading 4"/>
    <w:basedOn w:val="Normal"/>
    <w:next w:val="Normal"/>
    <w:link w:val="Heading4Char"/>
    <w:uiPriority w:val="9"/>
    <w:qFormat/>
    <w:rsid w:val="005725B2"/>
    <w:pPr>
      <w:keepNext/>
      <w:keepLines/>
      <w:spacing w:before="40" w:after="0"/>
      <w:outlineLvl w:val="3"/>
    </w:pPr>
    <w:rPr>
      <w:rFonts w:ascii="Calibri" w:eastAsiaTheme="majorEastAsia" w:hAnsi="Calibri" w:cstheme="majorBidi"/>
      <w:b/>
      <w:i/>
      <w:iCs/>
    </w:rPr>
  </w:style>
  <w:style w:type="paragraph" w:styleId="Heading5">
    <w:name w:val="heading 5"/>
    <w:basedOn w:val="Normal"/>
    <w:next w:val="Normal"/>
    <w:link w:val="Heading5Char"/>
    <w:uiPriority w:val="9"/>
    <w:rsid w:val="00813629"/>
    <w:pPr>
      <w:keepNext/>
      <w:keepLines/>
      <w:spacing w:before="40" w:after="0"/>
      <w:outlineLvl w:val="4"/>
    </w:pPr>
    <w:rPr>
      <w:rFonts w:ascii="Calibri" w:eastAsiaTheme="majorEastAsia" w:hAnsi="Calibri" w:cstheme="majorBidi"/>
      <w:b/>
      <w:color w:val="757575"/>
    </w:rPr>
  </w:style>
  <w:style w:type="paragraph" w:styleId="Heading6">
    <w:name w:val="heading 6"/>
    <w:basedOn w:val="Normal"/>
    <w:next w:val="Normal"/>
    <w:link w:val="Heading6Char"/>
    <w:uiPriority w:val="9"/>
    <w:rsid w:val="00813629"/>
    <w:pPr>
      <w:keepNext/>
      <w:keepLines/>
      <w:spacing w:before="40" w:after="0"/>
      <w:outlineLvl w:val="5"/>
    </w:pPr>
    <w:rPr>
      <w:rFonts w:ascii="Calibri" w:eastAsiaTheme="majorEastAsia" w:hAnsi="Calibri" w:cstheme="majorBidi"/>
      <w:b/>
      <w:i/>
      <w:color w:val="75757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565B8"/>
    <w:rPr>
      <w:color w:val="808080"/>
    </w:rPr>
  </w:style>
  <w:style w:type="paragraph" w:styleId="Title">
    <w:name w:val="Title"/>
    <w:basedOn w:val="Normal"/>
    <w:next w:val="Normal"/>
    <w:link w:val="TitleChar"/>
    <w:uiPriority w:val="10"/>
    <w:qFormat/>
    <w:rsid w:val="00015E62"/>
    <w:pPr>
      <w:spacing w:before="2280" w:after="0" w:line="240" w:lineRule="auto"/>
      <w:contextualSpacing/>
      <w:jc w:val="right"/>
    </w:pPr>
    <w:rPr>
      <w:rFonts w:ascii="Arial" w:eastAsiaTheme="majorEastAsia" w:hAnsi="Arial" w:cstheme="majorBidi"/>
      <w:color w:val="000000" w:themeColor="text1"/>
      <w:spacing w:val="-10"/>
      <w:kern w:val="28"/>
      <w:sz w:val="52"/>
      <w:szCs w:val="56"/>
    </w:rPr>
  </w:style>
  <w:style w:type="character" w:customStyle="1" w:styleId="TitleChar">
    <w:name w:val="Title Char"/>
    <w:basedOn w:val="DefaultParagraphFont"/>
    <w:link w:val="Title"/>
    <w:uiPriority w:val="10"/>
    <w:rsid w:val="00015E62"/>
    <w:rPr>
      <w:rFonts w:ascii="Arial" w:eastAsiaTheme="majorEastAsia" w:hAnsi="Arial" w:cstheme="majorBidi"/>
      <w:color w:val="000000" w:themeColor="text1"/>
      <w:spacing w:val="-10"/>
      <w:kern w:val="28"/>
      <w:sz w:val="52"/>
      <w:szCs w:val="56"/>
    </w:rPr>
  </w:style>
  <w:style w:type="paragraph" w:customStyle="1" w:styleId="InstructionText">
    <w:name w:val="Instruction Text"/>
    <w:basedOn w:val="Normal"/>
    <w:rsid w:val="00991062"/>
    <w:pPr>
      <w:spacing w:after="200" w:line="240" w:lineRule="auto"/>
      <w:ind w:left="-113"/>
    </w:pPr>
    <w:rPr>
      <w:color w:val="7030A0"/>
    </w:rPr>
  </w:style>
  <w:style w:type="character" w:customStyle="1" w:styleId="Heading1Char">
    <w:name w:val="Heading 1 Char"/>
    <w:basedOn w:val="DefaultParagraphFont"/>
    <w:link w:val="Heading1"/>
    <w:uiPriority w:val="9"/>
    <w:rsid w:val="0009008D"/>
    <w:rPr>
      <w:rFonts w:ascii="Calibri" w:eastAsiaTheme="majorEastAsia" w:hAnsi="Calibri" w:cstheme="majorBidi"/>
      <w:color w:val="2763AC"/>
      <w:sz w:val="52"/>
      <w:szCs w:val="32"/>
    </w:rPr>
  </w:style>
  <w:style w:type="character" w:customStyle="1" w:styleId="Heading2Char">
    <w:name w:val="Heading 2 Char"/>
    <w:basedOn w:val="DefaultParagraphFont"/>
    <w:link w:val="Heading2"/>
    <w:uiPriority w:val="9"/>
    <w:rsid w:val="0009008D"/>
    <w:rPr>
      <w:rFonts w:ascii="Calibri" w:eastAsiaTheme="majorEastAsia" w:hAnsi="Calibri" w:cstheme="majorBidi"/>
      <w:b/>
      <w:color w:val="2763AC"/>
      <w:sz w:val="28"/>
      <w:szCs w:val="26"/>
    </w:rPr>
  </w:style>
  <w:style w:type="character" w:customStyle="1" w:styleId="Heading3Char">
    <w:name w:val="Heading 3 Char"/>
    <w:basedOn w:val="DefaultParagraphFont"/>
    <w:link w:val="Heading3"/>
    <w:uiPriority w:val="9"/>
    <w:rsid w:val="004812B3"/>
    <w:rPr>
      <w:rFonts w:ascii="Calibri" w:eastAsiaTheme="majorEastAsia" w:hAnsi="Calibri" w:cstheme="majorBidi"/>
      <w:b/>
      <w:sz w:val="24"/>
      <w:szCs w:val="24"/>
    </w:rPr>
  </w:style>
  <w:style w:type="character" w:customStyle="1" w:styleId="Heading4Char">
    <w:name w:val="Heading 4 Char"/>
    <w:basedOn w:val="DefaultParagraphFont"/>
    <w:link w:val="Heading4"/>
    <w:uiPriority w:val="9"/>
    <w:rsid w:val="005725B2"/>
    <w:rPr>
      <w:rFonts w:ascii="Calibri" w:eastAsiaTheme="majorEastAsia" w:hAnsi="Calibri" w:cstheme="majorBidi"/>
      <w:b/>
      <w:i/>
      <w:iCs/>
    </w:rPr>
  </w:style>
  <w:style w:type="paragraph" w:styleId="ListNumber">
    <w:name w:val="List Number"/>
    <w:basedOn w:val="Normal"/>
    <w:uiPriority w:val="99"/>
    <w:qFormat/>
    <w:rsid w:val="00A513A6"/>
    <w:pPr>
      <w:numPr>
        <w:numId w:val="2"/>
      </w:numPr>
      <w:tabs>
        <w:tab w:val="left" w:pos="284"/>
        <w:tab w:val="left" w:pos="567"/>
        <w:tab w:val="left" w:pos="851"/>
        <w:tab w:val="left" w:pos="1134"/>
      </w:tabs>
      <w:contextualSpacing/>
    </w:pPr>
  </w:style>
  <w:style w:type="paragraph" w:styleId="ListNumber2">
    <w:name w:val="List Number 2"/>
    <w:basedOn w:val="Normal"/>
    <w:uiPriority w:val="99"/>
    <w:qFormat/>
    <w:rsid w:val="00A513A6"/>
    <w:pPr>
      <w:numPr>
        <w:ilvl w:val="1"/>
        <w:numId w:val="2"/>
      </w:numPr>
      <w:contextualSpacing/>
    </w:pPr>
  </w:style>
  <w:style w:type="paragraph" w:styleId="ListBullet">
    <w:name w:val="List Bullet"/>
    <w:basedOn w:val="Normal"/>
    <w:uiPriority w:val="99"/>
    <w:qFormat/>
    <w:rsid w:val="00316088"/>
    <w:pPr>
      <w:numPr>
        <w:numId w:val="4"/>
      </w:numPr>
      <w:contextualSpacing/>
    </w:pPr>
  </w:style>
  <w:style w:type="paragraph" w:styleId="ListBullet2">
    <w:name w:val="List Bullet 2"/>
    <w:basedOn w:val="Normal"/>
    <w:uiPriority w:val="99"/>
    <w:qFormat/>
    <w:rsid w:val="00316088"/>
    <w:pPr>
      <w:numPr>
        <w:ilvl w:val="1"/>
        <w:numId w:val="4"/>
      </w:numPr>
      <w:tabs>
        <w:tab w:val="left" w:pos="567"/>
      </w:tabs>
      <w:contextualSpacing/>
    </w:pPr>
  </w:style>
  <w:style w:type="character" w:styleId="Hyperlink">
    <w:name w:val="Hyperlink"/>
    <w:basedOn w:val="DefaultParagraphFont"/>
    <w:uiPriority w:val="99"/>
    <w:qFormat/>
    <w:rsid w:val="00191C0B"/>
    <w:rPr>
      <w:color w:val="2763AC"/>
      <w:u w:val="single"/>
    </w:rPr>
  </w:style>
  <w:style w:type="table" w:styleId="TableGrid">
    <w:name w:val="Table Grid"/>
    <w:aliases w:val="NSRB Table"/>
    <w:basedOn w:val="TableNormal"/>
    <w:uiPriority w:val="39"/>
    <w:rsid w:val="00191C0B"/>
    <w:pPr>
      <w:spacing w:after="40" w:line="240" w:lineRule="auto"/>
    </w:pPr>
    <w:tblPr>
      <w:tblBorders>
        <w:top w:val="single" w:sz="4" w:space="0" w:color="2763AC"/>
        <w:left w:val="single" w:sz="4" w:space="0" w:color="2763AC"/>
        <w:bottom w:val="single" w:sz="4" w:space="0" w:color="2763AC"/>
        <w:right w:val="single" w:sz="4" w:space="0" w:color="2763AC"/>
        <w:insideH w:val="single" w:sz="4" w:space="0" w:color="2763AC"/>
        <w:insideV w:val="single" w:sz="4" w:space="0" w:color="2763AC"/>
      </w:tblBorders>
      <w:tblCellMar>
        <w:top w:w="45" w:type="dxa"/>
      </w:tblCellMar>
    </w:tblPr>
    <w:tcPr>
      <w:shd w:val="clear" w:color="auto" w:fill="auto"/>
      <w:vAlign w:val="center"/>
    </w:tcPr>
    <w:tblStylePr w:type="firstRow">
      <w:pPr>
        <w:jc w:val="left"/>
      </w:pPr>
      <w:rPr>
        <w:rFonts w:ascii="Calibri" w:hAnsi="Calibri"/>
        <w:b/>
        <w:color w:val="FFFFFF" w:themeColor="background1"/>
        <w:sz w:val="24"/>
      </w:rPr>
      <w:tblPr/>
      <w:tcPr>
        <w:shd w:val="clear" w:color="auto" w:fill="2763AC"/>
      </w:tcPr>
    </w:tblStylePr>
  </w:style>
  <w:style w:type="paragraph" w:styleId="Caption">
    <w:name w:val="caption"/>
    <w:basedOn w:val="Normal"/>
    <w:next w:val="Normal"/>
    <w:uiPriority w:val="35"/>
    <w:qFormat/>
    <w:rsid w:val="001A78AE"/>
    <w:pPr>
      <w:spacing w:before="240"/>
    </w:pPr>
    <w:rPr>
      <w:b/>
      <w:i/>
    </w:rPr>
  </w:style>
  <w:style w:type="numbering" w:customStyle="1" w:styleId="RSCBNumberList1">
    <w:name w:val="RSCB Number List 1"/>
    <w:uiPriority w:val="99"/>
    <w:rsid w:val="00A513A6"/>
    <w:pPr>
      <w:numPr>
        <w:numId w:val="1"/>
      </w:numPr>
    </w:pPr>
  </w:style>
  <w:style w:type="paragraph" w:styleId="ListBullet3">
    <w:name w:val="List Bullet 3"/>
    <w:basedOn w:val="Normal"/>
    <w:uiPriority w:val="99"/>
    <w:qFormat/>
    <w:rsid w:val="00316088"/>
    <w:pPr>
      <w:numPr>
        <w:ilvl w:val="2"/>
        <w:numId w:val="4"/>
      </w:numPr>
      <w:tabs>
        <w:tab w:val="left" w:pos="851"/>
      </w:tabs>
      <w:contextualSpacing/>
    </w:pPr>
  </w:style>
  <w:style w:type="paragraph" w:styleId="ListNumber3">
    <w:name w:val="List Number 3"/>
    <w:basedOn w:val="Normal"/>
    <w:uiPriority w:val="99"/>
    <w:qFormat/>
    <w:rsid w:val="00A513A6"/>
    <w:pPr>
      <w:numPr>
        <w:ilvl w:val="2"/>
        <w:numId w:val="2"/>
      </w:numPr>
      <w:tabs>
        <w:tab w:val="left" w:pos="1021"/>
      </w:tabs>
      <w:contextualSpacing/>
    </w:pPr>
  </w:style>
  <w:style w:type="paragraph" w:styleId="ListNumber4">
    <w:name w:val="List Number 4"/>
    <w:basedOn w:val="Normal"/>
    <w:uiPriority w:val="99"/>
    <w:qFormat/>
    <w:rsid w:val="00A513A6"/>
    <w:pPr>
      <w:numPr>
        <w:ilvl w:val="3"/>
        <w:numId w:val="2"/>
      </w:numPr>
      <w:contextualSpacing/>
    </w:pPr>
  </w:style>
  <w:style w:type="paragraph" w:styleId="ListBullet4">
    <w:name w:val="List Bullet 4"/>
    <w:basedOn w:val="Normal"/>
    <w:uiPriority w:val="99"/>
    <w:qFormat/>
    <w:rsid w:val="00316088"/>
    <w:pPr>
      <w:numPr>
        <w:ilvl w:val="3"/>
        <w:numId w:val="4"/>
      </w:numPr>
      <w:tabs>
        <w:tab w:val="left" w:pos="1134"/>
      </w:tabs>
      <w:contextualSpacing/>
    </w:pPr>
  </w:style>
  <w:style w:type="numbering" w:customStyle="1" w:styleId="Style1">
    <w:name w:val="Style1"/>
    <w:uiPriority w:val="99"/>
    <w:rsid w:val="00316088"/>
    <w:pPr>
      <w:numPr>
        <w:numId w:val="3"/>
      </w:numPr>
    </w:pPr>
  </w:style>
  <w:style w:type="paragraph" w:styleId="Header">
    <w:name w:val="header"/>
    <w:basedOn w:val="Normal"/>
    <w:link w:val="HeaderChar"/>
    <w:uiPriority w:val="99"/>
    <w:unhideWhenUsed/>
    <w:rsid w:val="00EE7FDA"/>
    <w:pPr>
      <w:tabs>
        <w:tab w:val="center" w:pos="4513"/>
        <w:tab w:val="right" w:pos="9026"/>
      </w:tabs>
      <w:spacing w:after="0" w:line="240" w:lineRule="auto"/>
    </w:pPr>
  </w:style>
  <w:style w:type="character" w:customStyle="1" w:styleId="HeaderChar">
    <w:name w:val="Header Char"/>
    <w:basedOn w:val="DefaultParagraphFont"/>
    <w:link w:val="Header"/>
    <w:uiPriority w:val="99"/>
    <w:rsid w:val="00F121AC"/>
  </w:style>
  <w:style w:type="paragraph" w:styleId="Footer">
    <w:name w:val="footer"/>
    <w:basedOn w:val="Normal"/>
    <w:link w:val="FooterChar"/>
    <w:uiPriority w:val="99"/>
    <w:rsid w:val="001C7654"/>
    <w:pPr>
      <w:tabs>
        <w:tab w:val="center" w:pos="4513"/>
        <w:tab w:val="right" w:pos="9026"/>
      </w:tabs>
      <w:spacing w:after="0" w:line="240" w:lineRule="auto"/>
    </w:pPr>
    <w:rPr>
      <w:rFonts w:ascii="Calibri" w:hAnsi="Calibri"/>
      <w:color w:val="FFFFFF" w:themeColor="background1"/>
    </w:rPr>
  </w:style>
  <w:style w:type="character" w:customStyle="1" w:styleId="FooterChar">
    <w:name w:val="Footer Char"/>
    <w:basedOn w:val="DefaultParagraphFont"/>
    <w:link w:val="Footer"/>
    <w:uiPriority w:val="99"/>
    <w:rsid w:val="001C7654"/>
    <w:rPr>
      <w:rFonts w:ascii="Calibri" w:hAnsi="Calibri"/>
      <w:color w:val="FFFFFF" w:themeColor="background1"/>
    </w:rPr>
  </w:style>
  <w:style w:type="paragraph" w:styleId="FootnoteText">
    <w:name w:val="footnote text"/>
    <w:basedOn w:val="Normal"/>
    <w:link w:val="FootnoteTextChar"/>
    <w:uiPriority w:val="99"/>
    <w:rsid w:val="005725B2"/>
    <w:pPr>
      <w:spacing w:after="0" w:line="240" w:lineRule="auto"/>
    </w:pPr>
    <w:rPr>
      <w:sz w:val="20"/>
      <w:szCs w:val="20"/>
    </w:rPr>
  </w:style>
  <w:style w:type="character" w:customStyle="1" w:styleId="FootnoteTextChar">
    <w:name w:val="Footnote Text Char"/>
    <w:basedOn w:val="DefaultParagraphFont"/>
    <w:link w:val="FootnoteText"/>
    <w:uiPriority w:val="99"/>
    <w:rsid w:val="005725B2"/>
    <w:rPr>
      <w:sz w:val="20"/>
      <w:szCs w:val="20"/>
    </w:rPr>
  </w:style>
  <w:style w:type="character" w:styleId="FootnoteReference">
    <w:name w:val="footnote reference"/>
    <w:basedOn w:val="DefaultParagraphFont"/>
    <w:uiPriority w:val="99"/>
    <w:semiHidden/>
    <w:unhideWhenUsed/>
    <w:rsid w:val="005725B2"/>
    <w:rPr>
      <w:vertAlign w:val="superscript"/>
    </w:rPr>
  </w:style>
  <w:style w:type="paragraph" w:styleId="Subtitle">
    <w:name w:val="Subtitle"/>
    <w:basedOn w:val="Normal"/>
    <w:next w:val="Normal"/>
    <w:link w:val="SubtitleChar"/>
    <w:uiPriority w:val="11"/>
    <w:qFormat/>
    <w:rsid w:val="0009008D"/>
    <w:pPr>
      <w:numPr>
        <w:ilvl w:val="1"/>
      </w:numPr>
      <w:spacing w:before="360" w:line="240" w:lineRule="auto"/>
      <w:jc w:val="right"/>
    </w:pPr>
    <w:rPr>
      <w:rFonts w:ascii="Arial" w:eastAsiaTheme="minorEastAsia" w:hAnsi="Arial"/>
      <w:b/>
      <w:caps/>
      <w:color w:val="2763AC"/>
      <w:spacing w:val="15"/>
      <w:sz w:val="32"/>
    </w:rPr>
  </w:style>
  <w:style w:type="character" w:customStyle="1" w:styleId="SubtitleChar">
    <w:name w:val="Subtitle Char"/>
    <w:basedOn w:val="DefaultParagraphFont"/>
    <w:link w:val="Subtitle"/>
    <w:uiPriority w:val="11"/>
    <w:rsid w:val="0009008D"/>
    <w:rPr>
      <w:rFonts w:ascii="Arial" w:eastAsiaTheme="minorEastAsia" w:hAnsi="Arial"/>
      <w:b/>
      <w:caps/>
      <w:color w:val="2763AC"/>
      <w:spacing w:val="15"/>
      <w:sz w:val="32"/>
    </w:rPr>
  </w:style>
  <w:style w:type="character" w:styleId="Strong">
    <w:name w:val="Strong"/>
    <w:basedOn w:val="DefaultParagraphFont"/>
    <w:uiPriority w:val="22"/>
    <w:qFormat/>
    <w:rsid w:val="001F444A"/>
    <w:rPr>
      <w:b/>
      <w:bCs/>
    </w:rPr>
  </w:style>
  <w:style w:type="character" w:customStyle="1" w:styleId="Heading5Char">
    <w:name w:val="Heading 5 Char"/>
    <w:basedOn w:val="DefaultParagraphFont"/>
    <w:link w:val="Heading5"/>
    <w:uiPriority w:val="9"/>
    <w:rsid w:val="00813629"/>
    <w:rPr>
      <w:rFonts w:ascii="Calibri" w:eastAsiaTheme="majorEastAsia" w:hAnsi="Calibri" w:cstheme="majorBidi"/>
      <w:b/>
      <w:color w:val="757575"/>
    </w:rPr>
  </w:style>
  <w:style w:type="character" w:customStyle="1" w:styleId="Heading6Char">
    <w:name w:val="Heading 6 Char"/>
    <w:basedOn w:val="DefaultParagraphFont"/>
    <w:link w:val="Heading6"/>
    <w:uiPriority w:val="9"/>
    <w:rsid w:val="00813629"/>
    <w:rPr>
      <w:rFonts w:ascii="Calibri" w:eastAsiaTheme="majorEastAsia" w:hAnsi="Calibri" w:cstheme="majorBidi"/>
      <w:b/>
      <w:i/>
      <w:color w:val="757575"/>
    </w:rPr>
  </w:style>
  <w:style w:type="character" w:styleId="BookTitle">
    <w:name w:val="Book Title"/>
    <w:basedOn w:val="DefaultParagraphFont"/>
    <w:uiPriority w:val="33"/>
    <w:semiHidden/>
    <w:qFormat/>
    <w:rsid w:val="00B81A68"/>
    <w:rPr>
      <w:b w:val="0"/>
      <w:bCs/>
      <w:i/>
      <w:iCs/>
      <w:spacing w:val="5"/>
    </w:rPr>
  </w:style>
  <w:style w:type="character" w:styleId="Emphasis">
    <w:name w:val="Emphasis"/>
    <w:basedOn w:val="DefaultParagraphFont"/>
    <w:uiPriority w:val="20"/>
    <w:qFormat/>
    <w:rsid w:val="001C6347"/>
    <w:rPr>
      <w:b w:val="0"/>
      <w:i/>
      <w:iCs/>
    </w:rPr>
  </w:style>
  <w:style w:type="paragraph" w:customStyle="1" w:styleId="SourceImageCaption">
    <w:name w:val="Source/Image Caption"/>
    <w:basedOn w:val="Normal"/>
    <w:rsid w:val="00DE1663"/>
    <w:rPr>
      <w:sz w:val="18"/>
    </w:rPr>
  </w:style>
  <w:style w:type="paragraph" w:customStyle="1" w:styleId="Normal-AfterTableFigure">
    <w:name w:val="Normal - After Table/Figure"/>
    <w:basedOn w:val="Normal"/>
    <w:qFormat/>
    <w:rsid w:val="002678F4"/>
    <w:pPr>
      <w:spacing w:before="240"/>
    </w:pPr>
  </w:style>
  <w:style w:type="paragraph" w:styleId="ListParagraph">
    <w:name w:val="List Paragraph"/>
    <w:aliases w:val="Bullet point,List Paragraph1,List Paragraph11,Recommendation,List Paragraph Number,L,Bullet Point,List Bullet 1,Body Bullets 1,Bulleted Para,NFP GP Bulleted List,bullet point list,Bullet points,Content descriptions,List Paragraph2,Number"/>
    <w:basedOn w:val="Normal"/>
    <w:link w:val="ListParagraphChar"/>
    <w:uiPriority w:val="34"/>
    <w:qFormat/>
    <w:rsid w:val="002678F4"/>
    <w:pPr>
      <w:ind w:left="720"/>
      <w:contextualSpacing/>
    </w:pPr>
  </w:style>
  <w:style w:type="paragraph" w:customStyle="1" w:styleId="Heading1Numbered">
    <w:name w:val="Heading 1 Numbered"/>
    <w:basedOn w:val="Heading1"/>
    <w:rsid w:val="0003723E"/>
    <w:pPr>
      <w:numPr>
        <w:numId w:val="5"/>
      </w:numPr>
    </w:pPr>
  </w:style>
  <w:style w:type="paragraph" w:customStyle="1" w:styleId="Heading2numbered">
    <w:name w:val="Heading 2 numbered"/>
    <w:basedOn w:val="Heading2"/>
    <w:rsid w:val="0003723E"/>
    <w:pPr>
      <w:numPr>
        <w:ilvl w:val="1"/>
        <w:numId w:val="5"/>
      </w:numPr>
    </w:pPr>
  </w:style>
  <w:style w:type="paragraph" w:styleId="Quote">
    <w:name w:val="Quote"/>
    <w:basedOn w:val="Normal"/>
    <w:next w:val="Normal"/>
    <w:link w:val="QuoteChar"/>
    <w:uiPriority w:val="29"/>
    <w:qFormat/>
    <w:rsid w:val="00F121AC"/>
    <w:pPr>
      <w:spacing w:before="200" w:line="240" w:lineRule="auto"/>
      <w:ind w:left="567" w:right="567"/>
    </w:pPr>
    <w:rPr>
      <w:i/>
      <w:iCs/>
      <w:color w:val="404040" w:themeColor="text1" w:themeTint="BF"/>
    </w:rPr>
  </w:style>
  <w:style w:type="character" w:customStyle="1" w:styleId="QuoteChar">
    <w:name w:val="Quote Char"/>
    <w:basedOn w:val="DefaultParagraphFont"/>
    <w:link w:val="Quote"/>
    <w:uiPriority w:val="29"/>
    <w:rsid w:val="00F121AC"/>
    <w:rPr>
      <w:i/>
      <w:iCs/>
      <w:color w:val="404040" w:themeColor="text1" w:themeTint="BF"/>
    </w:rPr>
  </w:style>
  <w:style w:type="character" w:styleId="IntenseEmphasis">
    <w:name w:val="Intense Emphasis"/>
    <w:basedOn w:val="DefaultParagraphFont"/>
    <w:uiPriority w:val="21"/>
    <w:semiHidden/>
    <w:rsid w:val="00A34D39"/>
    <w:rPr>
      <w:b/>
      <w:i/>
      <w:iCs/>
      <w:color w:val="auto"/>
    </w:rPr>
  </w:style>
  <w:style w:type="character" w:styleId="IntenseReference">
    <w:name w:val="Intense Reference"/>
    <w:basedOn w:val="DefaultParagraphFont"/>
    <w:uiPriority w:val="32"/>
    <w:semiHidden/>
    <w:rsid w:val="00A34D39"/>
    <w:rPr>
      <w:b/>
      <w:bCs/>
      <w:smallCaps/>
      <w:color w:val="auto"/>
      <w:spacing w:val="5"/>
      <w:u w:val="single"/>
    </w:rPr>
  </w:style>
  <w:style w:type="character" w:styleId="SubtleReference">
    <w:name w:val="Subtle Reference"/>
    <w:basedOn w:val="DefaultParagraphFont"/>
    <w:uiPriority w:val="31"/>
    <w:semiHidden/>
    <w:rsid w:val="00A74FD2"/>
    <w:rPr>
      <w:smallCaps/>
      <w:color w:val="auto"/>
      <w:u w:val="single"/>
    </w:rPr>
  </w:style>
  <w:style w:type="paragraph" w:customStyle="1" w:styleId="ImageHeader">
    <w:name w:val="Image Header"/>
    <w:basedOn w:val="Normal"/>
    <w:rsid w:val="00BA5587"/>
    <w:pPr>
      <w:spacing w:before="0" w:after="600"/>
      <w:ind w:left="-284"/>
    </w:pPr>
    <w:rPr>
      <w:rFonts w:eastAsia="Times New Roman" w:cs="Times New Roman"/>
      <w:szCs w:val="20"/>
    </w:rPr>
  </w:style>
  <w:style w:type="paragraph" w:customStyle="1" w:styleId="numberedpara">
    <w:name w:val="numbered para"/>
    <w:basedOn w:val="Normal"/>
    <w:uiPriority w:val="99"/>
    <w:rsid w:val="00325FDF"/>
    <w:pPr>
      <w:numPr>
        <w:numId w:val="7"/>
      </w:numPr>
      <w:spacing w:before="0" w:after="0" w:line="240" w:lineRule="auto"/>
    </w:pPr>
    <w:rPr>
      <w:rFonts w:ascii="Calibri" w:hAnsi="Calibri" w:cs="Calibri"/>
      <w:lang w:eastAsia="en-AU"/>
    </w:rPr>
  </w:style>
  <w:style w:type="paragraph" w:styleId="TOC1">
    <w:name w:val="toc 1"/>
    <w:basedOn w:val="Normal"/>
    <w:next w:val="Normal"/>
    <w:autoRedefine/>
    <w:uiPriority w:val="39"/>
    <w:unhideWhenUsed/>
    <w:rsid w:val="00150D38"/>
    <w:pPr>
      <w:tabs>
        <w:tab w:val="right" w:pos="9060"/>
      </w:tabs>
      <w:spacing w:before="240" w:after="100"/>
    </w:pPr>
    <w:rPr>
      <w:b/>
      <w:color w:val="2763AC"/>
      <w:sz w:val="28"/>
    </w:rPr>
  </w:style>
  <w:style w:type="paragraph" w:styleId="TOC2">
    <w:name w:val="toc 2"/>
    <w:basedOn w:val="Normal"/>
    <w:next w:val="Normal"/>
    <w:autoRedefine/>
    <w:uiPriority w:val="39"/>
    <w:unhideWhenUsed/>
    <w:rsid w:val="00D83527"/>
    <w:pPr>
      <w:spacing w:before="60" w:after="100"/>
      <w:ind w:left="221"/>
    </w:pPr>
    <w:rPr>
      <w:b/>
      <w:color w:val="2763AC"/>
    </w:rPr>
  </w:style>
  <w:style w:type="paragraph" w:styleId="TOC3">
    <w:name w:val="toc 3"/>
    <w:basedOn w:val="Normal"/>
    <w:next w:val="Normal"/>
    <w:autoRedefine/>
    <w:uiPriority w:val="39"/>
    <w:unhideWhenUsed/>
    <w:rsid w:val="00C56C17"/>
    <w:pPr>
      <w:spacing w:before="0" w:after="100"/>
      <w:ind w:left="442"/>
    </w:pPr>
  </w:style>
  <w:style w:type="paragraph" w:styleId="TOCHeading">
    <w:name w:val="TOC Heading"/>
    <w:basedOn w:val="Heading1"/>
    <w:next w:val="Normal"/>
    <w:uiPriority w:val="39"/>
    <w:unhideWhenUsed/>
    <w:rsid w:val="00325FDF"/>
  </w:style>
  <w:style w:type="table" w:styleId="TableGridLight">
    <w:name w:val="Grid Table Light"/>
    <w:basedOn w:val="TableNormal"/>
    <w:uiPriority w:val="40"/>
    <w:rsid w:val="001C765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ullOutBox1">
    <w:name w:val="Pull Out Box 1"/>
    <w:basedOn w:val="TableNormal"/>
    <w:uiPriority w:val="99"/>
    <w:rsid w:val="00F11EC1"/>
    <w:pPr>
      <w:spacing w:after="0" w:line="240" w:lineRule="auto"/>
    </w:pPr>
    <w:tblPr/>
    <w:tcPr>
      <w:shd w:val="clear" w:color="auto" w:fill="D9DFF1"/>
    </w:tcPr>
  </w:style>
  <w:style w:type="table" w:customStyle="1" w:styleId="PullOutBox2">
    <w:name w:val="Pull Out Box 2"/>
    <w:basedOn w:val="TableNormal"/>
    <w:uiPriority w:val="99"/>
    <w:rsid w:val="00F11EC1"/>
    <w:pPr>
      <w:spacing w:after="0" w:line="240" w:lineRule="auto"/>
    </w:pPr>
    <w:tblPr>
      <w:tblBorders>
        <w:top w:val="single" w:sz="6" w:space="0" w:color="32375D"/>
        <w:left w:val="single" w:sz="6" w:space="0" w:color="32375D"/>
        <w:bottom w:val="single" w:sz="6" w:space="0" w:color="32375D"/>
        <w:right w:val="single" w:sz="6" w:space="0" w:color="32375D"/>
        <w:insideH w:val="single" w:sz="6" w:space="0" w:color="32375D"/>
        <w:insideV w:val="single" w:sz="6" w:space="0" w:color="32375D"/>
      </w:tblBorders>
    </w:tblPr>
    <w:tcPr>
      <w:shd w:val="clear" w:color="auto" w:fill="auto"/>
    </w:tcPr>
  </w:style>
  <w:style w:type="paragraph" w:customStyle="1" w:styleId="CoverRule">
    <w:name w:val="Cover Rule"/>
    <w:basedOn w:val="Normal"/>
    <w:rsid w:val="00842EE9"/>
    <w:pPr>
      <w:jc w:val="right"/>
    </w:pPr>
    <w:rPr>
      <w:rFonts w:eastAsia="Times New Roman" w:cs="Times New Roman"/>
      <w:szCs w:val="20"/>
    </w:rPr>
  </w:style>
  <w:style w:type="paragraph" w:styleId="TableofFigures">
    <w:name w:val="table of figures"/>
    <w:basedOn w:val="Normal"/>
    <w:next w:val="Normal"/>
    <w:uiPriority w:val="99"/>
    <w:rsid w:val="003B7ACB"/>
    <w:pPr>
      <w:spacing w:after="0"/>
    </w:pPr>
    <w:rPr>
      <w:b/>
    </w:rPr>
  </w:style>
  <w:style w:type="paragraph" w:styleId="BalloonText">
    <w:name w:val="Balloon Text"/>
    <w:basedOn w:val="Normal"/>
    <w:link w:val="BalloonTextChar"/>
    <w:uiPriority w:val="99"/>
    <w:semiHidden/>
    <w:rsid w:val="00334D9D"/>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4D9D"/>
    <w:rPr>
      <w:rFonts w:ascii="Segoe UI" w:hAnsi="Segoe UI" w:cs="Segoe UI"/>
      <w:sz w:val="18"/>
      <w:szCs w:val="18"/>
    </w:rPr>
  </w:style>
  <w:style w:type="paragraph" w:customStyle="1" w:styleId="Normal-Indent">
    <w:name w:val="Normal - Indent"/>
    <w:basedOn w:val="Normal"/>
    <w:qFormat/>
    <w:rsid w:val="004812B3"/>
    <w:pPr>
      <w:ind w:left="680"/>
    </w:pPr>
  </w:style>
  <w:style w:type="paragraph" w:customStyle="1" w:styleId="Heading3-Indented">
    <w:name w:val="Heading 3 - Indented"/>
    <w:basedOn w:val="Heading3"/>
    <w:qFormat/>
    <w:rsid w:val="004812B3"/>
    <w:pPr>
      <w:ind w:left="680"/>
    </w:pPr>
  </w:style>
  <w:style w:type="character" w:customStyle="1" w:styleId="NormalWebChar">
    <w:name w:val="Normal (Web) Char"/>
    <w:aliases w:val="Char Char,Normal bulleted Char"/>
    <w:basedOn w:val="DefaultParagraphFont"/>
    <w:link w:val="NormalWeb"/>
    <w:uiPriority w:val="99"/>
    <w:semiHidden/>
    <w:locked/>
    <w:rsid w:val="00651E97"/>
    <w:rPr>
      <w:rFonts w:ascii="Calibri" w:hAnsi="Calibri"/>
    </w:rPr>
  </w:style>
  <w:style w:type="paragraph" w:styleId="NormalWeb">
    <w:name w:val="Normal (Web)"/>
    <w:aliases w:val="Char,Normal bulleted"/>
    <w:basedOn w:val="Normal"/>
    <w:link w:val="NormalWebChar"/>
    <w:uiPriority w:val="99"/>
    <w:semiHidden/>
    <w:unhideWhenUsed/>
    <w:rsid w:val="00651E97"/>
    <w:pPr>
      <w:spacing w:before="200" w:after="0" w:line="240" w:lineRule="auto"/>
    </w:pPr>
    <w:rPr>
      <w:rFonts w:ascii="Calibri" w:hAnsi="Calibri"/>
    </w:rPr>
  </w:style>
  <w:style w:type="paragraph" w:customStyle="1" w:styleId="Default">
    <w:name w:val="Default"/>
    <w:uiPriority w:val="99"/>
    <w:rsid w:val="00651E97"/>
    <w:pPr>
      <w:autoSpaceDE w:val="0"/>
      <w:autoSpaceDN w:val="0"/>
      <w:adjustRightInd w:val="0"/>
      <w:spacing w:after="0" w:line="240" w:lineRule="auto"/>
    </w:pPr>
    <w:rPr>
      <w:rFonts w:ascii="Calibri" w:eastAsia="Times New Roman" w:hAnsi="Calibri" w:cs="Calibri"/>
      <w:color w:val="000000"/>
      <w:sz w:val="24"/>
      <w:szCs w:val="24"/>
      <w:lang w:eastAsia="en-AU"/>
    </w:rPr>
  </w:style>
  <w:style w:type="character" w:customStyle="1" w:styleId="ListParagraphChar">
    <w:name w:val="List Paragraph Char"/>
    <w:aliases w:val="Bullet point Char,List Paragraph1 Char,List Paragraph11 Char,Recommendation Char,List Paragraph Number Char,L Char,Bullet Point Char,List Bullet 1 Char,Body Bullets 1 Char,Bulleted Para Char,NFP GP Bulleted List Char,Number Char"/>
    <w:basedOn w:val="DefaultParagraphFont"/>
    <w:link w:val="ListParagraph"/>
    <w:uiPriority w:val="34"/>
    <w:qFormat/>
    <w:rsid w:val="00651E97"/>
  </w:style>
  <w:style w:type="character" w:styleId="CommentReference">
    <w:name w:val="annotation reference"/>
    <w:basedOn w:val="DefaultParagraphFont"/>
    <w:uiPriority w:val="99"/>
    <w:semiHidden/>
    <w:rsid w:val="00DD6C0C"/>
    <w:rPr>
      <w:sz w:val="16"/>
      <w:szCs w:val="16"/>
    </w:rPr>
  </w:style>
  <w:style w:type="paragraph" w:styleId="CommentText">
    <w:name w:val="annotation text"/>
    <w:basedOn w:val="Normal"/>
    <w:link w:val="CommentTextChar"/>
    <w:uiPriority w:val="99"/>
    <w:semiHidden/>
    <w:rsid w:val="00DD6C0C"/>
    <w:pPr>
      <w:spacing w:line="240" w:lineRule="auto"/>
    </w:pPr>
    <w:rPr>
      <w:sz w:val="20"/>
      <w:szCs w:val="20"/>
    </w:rPr>
  </w:style>
  <w:style w:type="character" w:customStyle="1" w:styleId="CommentTextChar">
    <w:name w:val="Comment Text Char"/>
    <w:basedOn w:val="DefaultParagraphFont"/>
    <w:link w:val="CommentText"/>
    <w:uiPriority w:val="99"/>
    <w:semiHidden/>
    <w:rsid w:val="00DD6C0C"/>
    <w:rPr>
      <w:sz w:val="20"/>
      <w:szCs w:val="20"/>
    </w:rPr>
  </w:style>
  <w:style w:type="paragraph" w:styleId="CommentSubject">
    <w:name w:val="annotation subject"/>
    <w:basedOn w:val="CommentText"/>
    <w:next w:val="CommentText"/>
    <w:link w:val="CommentSubjectChar"/>
    <w:uiPriority w:val="99"/>
    <w:semiHidden/>
    <w:rsid w:val="00DD6C0C"/>
    <w:rPr>
      <w:b/>
      <w:bCs/>
    </w:rPr>
  </w:style>
  <w:style w:type="character" w:customStyle="1" w:styleId="CommentSubjectChar">
    <w:name w:val="Comment Subject Char"/>
    <w:basedOn w:val="CommentTextChar"/>
    <w:link w:val="CommentSubject"/>
    <w:uiPriority w:val="99"/>
    <w:semiHidden/>
    <w:rsid w:val="00DD6C0C"/>
    <w:rPr>
      <w:b/>
      <w:bCs/>
      <w:sz w:val="20"/>
      <w:szCs w:val="20"/>
    </w:rPr>
  </w:style>
  <w:style w:type="character" w:styleId="FollowedHyperlink">
    <w:name w:val="FollowedHyperlink"/>
    <w:basedOn w:val="DefaultParagraphFont"/>
    <w:uiPriority w:val="99"/>
    <w:semiHidden/>
    <w:rsid w:val="00A27386"/>
    <w:rPr>
      <w:color w:val="954F72" w:themeColor="followedHyperlink"/>
      <w:u w:val="single"/>
    </w:rPr>
  </w:style>
  <w:style w:type="paragraph" w:styleId="NoSpacing">
    <w:name w:val="No Spacing"/>
    <w:link w:val="NoSpacingChar"/>
    <w:uiPriority w:val="1"/>
    <w:qFormat/>
    <w:rsid w:val="001F3997"/>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1F3997"/>
    <w:rPr>
      <w:rFonts w:eastAsiaTheme="minorEastAs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5866844">
      <w:bodyDiv w:val="1"/>
      <w:marLeft w:val="0"/>
      <w:marRight w:val="0"/>
      <w:marTop w:val="0"/>
      <w:marBottom w:val="0"/>
      <w:divBdr>
        <w:top w:val="none" w:sz="0" w:space="0" w:color="auto"/>
        <w:left w:val="none" w:sz="0" w:space="0" w:color="auto"/>
        <w:bottom w:val="none" w:sz="0" w:space="0" w:color="auto"/>
        <w:right w:val="none" w:sz="0" w:space="0" w:color="auto"/>
      </w:divBdr>
    </w:div>
    <w:div w:id="1238707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creativecommons.org/licenses/by/4.0/legalcode" TargetMode="External"/><Relationship Id="rId18" Type="http://schemas.openxmlformats.org/officeDocument/2006/relationships/footer" Target="footer2.xml"/><Relationship Id="rId26" Type="http://schemas.openxmlformats.org/officeDocument/2006/relationships/hyperlink" Target="http://www.education.gov.au/higher-education-standards-panel-hesp-0" TargetMode="External"/><Relationship Id="rId3" Type="http://schemas.openxmlformats.org/officeDocument/2006/relationships/styles" Target="styles.xml"/><Relationship Id="rId21" Type="http://schemas.openxmlformats.org/officeDocument/2006/relationships/image" Target="media/image5.png"/><Relationship Id="rId7" Type="http://schemas.openxmlformats.org/officeDocument/2006/relationships/endnotes" Target="endnotes.xml"/><Relationship Id="rId12" Type="http://schemas.openxmlformats.org/officeDocument/2006/relationships/hyperlink" Target="https://creativecommons.org/licenses/by/4.0/" TargetMode="External"/><Relationship Id="rId17" Type="http://schemas.openxmlformats.org/officeDocument/2006/relationships/footer" Target="footer1.xml"/><Relationship Id="rId25" Type="http://schemas.openxmlformats.org/officeDocument/2006/relationships/hyperlink" Target="mailto:PCSReview@education.gov.au" TargetMode="Externa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cid:image001.jpg@01D31CE9.E303EF80" TargetMode="External"/><Relationship Id="rId24" Type="http://schemas.openxmlformats.org/officeDocument/2006/relationships/hyperlink" Target="http://www.teqsa.gov.au/national-register" TargetMode="External"/><Relationship Id="rId32" Type="http://schemas.openxmlformats.org/officeDocument/2006/relationships/customXml" Target="../customXml/item4.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image" Target="media/image6.png"/><Relationship Id="rId28"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header" Target="header3.xml"/><Relationship Id="rId31"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hyperlink" Target="mailto:copyright@education.gov.au" TargetMode="External"/><Relationship Id="rId22" Type="http://schemas.openxmlformats.org/officeDocument/2006/relationships/hyperlink" Target="http://www.teqsa.gov.au/national-register" TargetMode="External"/><Relationship Id="rId27" Type="http://schemas.openxmlformats.org/officeDocument/2006/relationships/footer" Target="footer4.xml"/><Relationship Id="rId30" Type="http://schemas.openxmlformats.org/officeDocument/2006/relationships/customXml" Target="../customXml/item2.xml"/></Relationships>
</file>

<file path=word/_rels/footer2.xml.rels><?xml version="1.0" encoding="UTF-8" standalone="yes"?>
<Relationships xmlns="http://schemas.openxmlformats.org/package/2006/relationships"><Relationship Id="rId1" Type="http://schemas.openxmlformats.org/officeDocument/2006/relationships/image" Target="media/image4.jpg"/></Relationships>
</file>

<file path=word/_rels/footer4.xml.rels><?xml version="1.0" encoding="UTF-8" standalone="yes"?>
<Relationships xmlns="http://schemas.openxmlformats.org/package/2006/relationships"><Relationship Id="rId1" Type="http://schemas.openxmlformats.org/officeDocument/2006/relationships/image" Target="media/image4.jpg"/></Relationships>
</file>

<file path=word/_rels/footnotes.xml.rels><?xml version="1.0" encoding="UTF-8" standalone="yes"?>
<Relationships xmlns="http://schemas.openxmlformats.org/package/2006/relationships"><Relationship Id="rId3" Type="http://schemas.openxmlformats.org/officeDocument/2006/relationships/hyperlink" Target="http://www.teqsa.gov.au/national-register" TargetMode="External"/><Relationship Id="rId2" Type="http://schemas.openxmlformats.org/officeDocument/2006/relationships/hyperlink" Target="http://www.education.gov.au/australian-qualifications-framework-review-0" TargetMode="External"/><Relationship Id="rId1" Type="http://schemas.openxmlformats.org/officeDocument/2006/relationships/hyperlink" Target="http://www.legislation.gov.au/Details/F2015L01639/Html/Tex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4FC62F4-2A9B-4BC0-98CA-39411FBA1989}"/>
</file>

<file path=customXml/itemProps2.xml><?xml version="1.0" encoding="utf-8"?>
<ds:datastoreItem xmlns:ds="http://schemas.openxmlformats.org/officeDocument/2006/customXml" ds:itemID="{135F08BF-C6B6-4351-8440-186924E3B2EB}"/>
</file>

<file path=customXml/itemProps3.xml><?xml version="1.0" encoding="utf-8"?>
<ds:datastoreItem xmlns:ds="http://schemas.openxmlformats.org/officeDocument/2006/customXml" ds:itemID="{66AEA77B-B538-46A5-8FFA-B344CD5C8011}"/>
</file>

<file path=customXml/itemProps4.xml><?xml version="1.0" encoding="utf-8"?>
<ds:datastoreItem xmlns:ds="http://schemas.openxmlformats.org/officeDocument/2006/customXml" ds:itemID="{C1269DBB-6136-463F-BE7A-8E239FBB2011}"/>
</file>

<file path=docProps/app.xml><?xml version="1.0" encoding="utf-8"?>
<Properties xmlns="http://schemas.openxmlformats.org/officeDocument/2006/extended-properties" xmlns:vt="http://schemas.openxmlformats.org/officeDocument/2006/docPropsVTypes">
  <Template>3DEFFB50.dotm</Template>
  <TotalTime>672</TotalTime>
  <Pages>19</Pages>
  <Words>6681</Words>
  <Characters>38087</Characters>
  <Application>Microsoft Office Word</Application>
  <DocSecurity>0</DocSecurity>
  <Lines>317</Lines>
  <Paragraphs>89</Paragraphs>
  <ScaleCrop>false</ScaleCrop>
  <HeadingPairs>
    <vt:vector size="2" baseType="variant">
      <vt:variant>
        <vt:lpstr>Title</vt:lpstr>
      </vt:variant>
      <vt:variant>
        <vt:i4>1</vt:i4>
      </vt:variant>
    </vt:vector>
  </HeadingPairs>
  <TitlesOfParts>
    <vt:vector size="1" baseType="lpstr">
      <vt:lpstr>National School Resourcing Board, Review of the methodology that determines</vt:lpstr>
    </vt:vector>
  </TitlesOfParts>
  <Company>Australian Government</Company>
  <LinksUpToDate>false</LinksUpToDate>
  <CharactersWithSpaces>44679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School Resourcing Board, Review of the methodology that determines</dc:title>
  <dc:subject/>
  <dc:creator>ASHTON,Michael</dc:creator>
  <cp:keywords/>
  <dc:description/>
  <cp:lastModifiedBy>BRANDON,Julie</cp:lastModifiedBy>
  <cp:revision>49</cp:revision>
  <cp:lastPrinted>2018-12-03T03:03:00Z</cp:lastPrinted>
  <dcterms:created xsi:type="dcterms:W3CDTF">2018-11-16T01:23:00Z</dcterms:created>
  <dcterms:modified xsi:type="dcterms:W3CDTF">2018-12-03T03:04:00Z</dcterms:modified>
</cp:coreProperties>
</file>