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00A" w:rsidRPr="00167C4C" w:rsidRDefault="009C400A" w:rsidP="00167C4C">
      <w:pPr>
        <w:spacing w:after="120" w:line="240" w:lineRule="auto"/>
        <w:jc w:val="center"/>
        <w:rPr>
          <w:rFonts w:ascii="Times New Roman" w:eastAsia="Times New Roman" w:hAnsi="Times New Roman" w:cs="Times New Roman"/>
          <w:b/>
          <w:sz w:val="32"/>
          <w:szCs w:val="32"/>
        </w:rPr>
      </w:pPr>
      <w:r w:rsidRPr="00167C4C">
        <w:rPr>
          <w:rFonts w:ascii="Times New Roman" w:eastAsia="Times New Roman" w:hAnsi="Times New Roman" w:cs="Times New Roman"/>
          <w:b/>
          <w:sz w:val="32"/>
          <w:szCs w:val="32"/>
        </w:rPr>
        <w:t>AQF Review – Terms of Reference</w:t>
      </w:r>
    </w:p>
    <w:p w:rsidR="00167C4C" w:rsidRDefault="00167C4C" w:rsidP="009C400A">
      <w:pPr>
        <w:spacing w:after="120" w:line="240" w:lineRule="auto"/>
        <w:rPr>
          <w:rFonts w:ascii="Times New Roman" w:eastAsia="Times New Roman" w:hAnsi="Times New Roman" w:cs="Times New Roman"/>
          <w:b/>
          <w:i/>
          <w:sz w:val="24"/>
          <w:szCs w:val="24"/>
        </w:rPr>
      </w:pPr>
    </w:p>
    <w:p w:rsidR="009C400A" w:rsidRPr="00167C4C" w:rsidRDefault="009C400A" w:rsidP="009C400A">
      <w:pPr>
        <w:spacing w:after="120" w:line="240" w:lineRule="auto"/>
        <w:rPr>
          <w:rFonts w:ascii="Times New Roman" w:eastAsia="Times New Roman" w:hAnsi="Times New Roman" w:cs="Times New Roman"/>
          <w:b/>
          <w:sz w:val="24"/>
          <w:szCs w:val="24"/>
        </w:rPr>
      </w:pPr>
      <w:r w:rsidRPr="00167C4C">
        <w:rPr>
          <w:rFonts w:ascii="Times New Roman" w:eastAsia="Times New Roman" w:hAnsi="Times New Roman" w:cs="Times New Roman"/>
          <w:b/>
          <w:sz w:val="24"/>
          <w:szCs w:val="24"/>
        </w:rPr>
        <w:t>Background</w:t>
      </w:r>
    </w:p>
    <w:p w:rsidR="009C400A" w:rsidRPr="00AC2DBE" w:rsidRDefault="009C400A" w:rsidP="009C400A">
      <w:pPr>
        <w:spacing w:after="120" w:line="240" w:lineRule="auto"/>
        <w:rPr>
          <w:rFonts w:ascii="Times New Roman" w:eastAsia="Times New Roman" w:hAnsi="Times New Roman" w:cs="Times New Roman"/>
          <w:sz w:val="24"/>
          <w:szCs w:val="24"/>
        </w:rPr>
      </w:pPr>
      <w:r w:rsidRPr="00AC2DBE">
        <w:rPr>
          <w:rFonts w:ascii="Times New Roman" w:eastAsia="Times New Roman" w:hAnsi="Times New Roman" w:cs="Times New Roman"/>
          <w:sz w:val="24"/>
          <w:szCs w:val="24"/>
        </w:rPr>
        <w:t xml:space="preserve">The Australian Qualifications Framework (AQF) </w:t>
      </w:r>
      <w:proofErr w:type="gramStart"/>
      <w:r w:rsidRPr="00AC2DBE">
        <w:rPr>
          <w:rFonts w:ascii="Times New Roman" w:eastAsia="Times New Roman" w:hAnsi="Times New Roman" w:cs="Times New Roman"/>
          <w:sz w:val="24"/>
          <w:szCs w:val="24"/>
        </w:rPr>
        <w:t>was introduced</w:t>
      </w:r>
      <w:proofErr w:type="gramEnd"/>
      <w:r w:rsidRPr="00AC2DBE">
        <w:rPr>
          <w:rFonts w:ascii="Times New Roman" w:eastAsia="Times New Roman" w:hAnsi="Times New Roman" w:cs="Times New Roman"/>
          <w:sz w:val="24"/>
          <w:szCs w:val="24"/>
        </w:rPr>
        <w:t xml:space="preserve"> in 1995. It provided criteria for defining qualifications based on educational characteristics and outcomes for each qualification. The main AQF goals were to provide nationally consistent recognition of qualifications and facilitate student mobility between education sectors and the labour market.</w:t>
      </w:r>
    </w:p>
    <w:p w:rsidR="009C400A" w:rsidRPr="00AC2DBE" w:rsidRDefault="009C400A" w:rsidP="009C400A">
      <w:pPr>
        <w:spacing w:after="120" w:line="240" w:lineRule="auto"/>
        <w:rPr>
          <w:rFonts w:ascii="Times New Roman" w:eastAsia="Times New Roman" w:hAnsi="Times New Roman" w:cs="Times New Roman"/>
          <w:sz w:val="24"/>
          <w:szCs w:val="24"/>
        </w:rPr>
      </w:pPr>
      <w:r w:rsidRPr="00AC2DBE">
        <w:rPr>
          <w:rFonts w:ascii="Times New Roman" w:eastAsia="Times New Roman" w:hAnsi="Times New Roman" w:cs="Times New Roman"/>
          <w:sz w:val="24"/>
          <w:szCs w:val="24"/>
        </w:rPr>
        <w:t xml:space="preserve">Following a two-year review, a revised AQF </w:t>
      </w:r>
      <w:proofErr w:type="gramStart"/>
      <w:r w:rsidRPr="00AC2DBE">
        <w:rPr>
          <w:rFonts w:ascii="Times New Roman" w:eastAsia="Times New Roman" w:hAnsi="Times New Roman" w:cs="Times New Roman"/>
          <w:sz w:val="24"/>
          <w:szCs w:val="24"/>
        </w:rPr>
        <w:t>was released</w:t>
      </w:r>
      <w:proofErr w:type="gramEnd"/>
      <w:r w:rsidRPr="00AC2DBE">
        <w:rPr>
          <w:rFonts w:ascii="Times New Roman" w:eastAsia="Times New Roman" w:hAnsi="Times New Roman" w:cs="Times New Roman"/>
          <w:sz w:val="24"/>
          <w:szCs w:val="24"/>
        </w:rPr>
        <w:t xml:space="preserve"> in 2011, with a second edition released in 2013. It introduced the current ten level structure and aligned the AQF more closely with international practice. The revised AQF focused on descriptors for knowledge, skills and their application in increasing complexity over the ten levels of qualifications, complemented by volume of learning descriptors. It also introduced new and revised supporting policies. </w:t>
      </w:r>
    </w:p>
    <w:p w:rsidR="009C400A" w:rsidRDefault="009C400A" w:rsidP="009C400A">
      <w:pPr>
        <w:spacing w:after="120" w:line="240" w:lineRule="auto"/>
        <w:rPr>
          <w:rFonts w:ascii="Times New Roman" w:eastAsia="Times New Roman" w:hAnsi="Times New Roman" w:cs="Times New Roman"/>
          <w:sz w:val="24"/>
          <w:szCs w:val="24"/>
        </w:rPr>
      </w:pPr>
      <w:r w:rsidRPr="00272436">
        <w:rPr>
          <w:rFonts w:ascii="Times New Roman" w:eastAsia="Times New Roman" w:hAnsi="Times New Roman" w:cs="Times New Roman"/>
          <w:sz w:val="24"/>
          <w:szCs w:val="24"/>
        </w:rPr>
        <w:t xml:space="preserve">The AQF remains an integral part of Australia’s framework for quality assurance in education and training and is a key feature of Australia’s international education standing.  Since it </w:t>
      </w:r>
      <w:proofErr w:type="gramStart"/>
      <w:r w:rsidRPr="00272436">
        <w:rPr>
          <w:rFonts w:ascii="Times New Roman" w:eastAsia="Times New Roman" w:hAnsi="Times New Roman" w:cs="Times New Roman"/>
          <w:sz w:val="24"/>
          <w:szCs w:val="24"/>
        </w:rPr>
        <w:t>was last revised</w:t>
      </w:r>
      <w:proofErr w:type="gramEnd"/>
      <w:r w:rsidRPr="00272436">
        <w:rPr>
          <w:rFonts w:ascii="Times New Roman" w:eastAsia="Times New Roman" w:hAnsi="Times New Roman" w:cs="Times New Roman"/>
          <w:sz w:val="24"/>
          <w:szCs w:val="24"/>
        </w:rPr>
        <w:t>, there have been innovations in qualifications frameworks</w:t>
      </w:r>
      <w:r>
        <w:rPr>
          <w:rFonts w:ascii="Times New Roman" w:eastAsia="Times New Roman" w:hAnsi="Times New Roman" w:cs="Times New Roman"/>
          <w:sz w:val="24"/>
          <w:szCs w:val="24"/>
        </w:rPr>
        <w:t xml:space="preserve"> internationally</w:t>
      </w:r>
      <w:r w:rsidRPr="00272436">
        <w:rPr>
          <w:rFonts w:ascii="Times New Roman" w:eastAsia="Times New Roman" w:hAnsi="Times New Roman" w:cs="Times New Roman"/>
          <w:sz w:val="24"/>
          <w:szCs w:val="24"/>
        </w:rPr>
        <w:t xml:space="preserve">, as well </w:t>
      </w:r>
      <w:r w:rsidR="00F45880">
        <w:rPr>
          <w:rFonts w:ascii="Times New Roman" w:eastAsia="Times New Roman" w:hAnsi="Times New Roman" w:cs="Times New Roman"/>
          <w:sz w:val="24"/>
          <w:szCs w:val="24"/>
        </w:rPr>
        <w:t xml:space="preserve">as </w:t>
      </w:r>
      <w:r w:rsidRPr="00272436">
        <w:rPr>
          <w:rFonts w:ascii="Times New Roman" w:eastAsia="Times New Roman" w:hAnsi="Times New Roman" w:cs="Times New Roman"/>
          <w:sz w:val="24"/>
          <w:szCs w:val="24"/>
        </w:rPr>
        <w:t xml:space="preserve">changes in the nature of work that affect Australia’s skills requirements. There have also been changes in education and training practice and relevant regulatory structures. </w:t>
      </w:r>
    </w:p>
    <w:p w:rsidR="009C400A" w:rsidRPr="00272436" w:rsidRDefault="009C400A" w:rsidP="009C400A">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light of these developments, the Australian Government will appoint an expert panel to review the AQF.  </w:t>
      </w:r>
    </w:p>
    <w:p w:rsidR="00167C4C" w:rsidRDefault="00167C4C" w:rsidP="009C400A">
      <w:pPr>
        <w:spacing w:after="120" w:line="240" w:lineRule="auto"/>
        <w:rPr>
          <w:rFonts w:ascii="Times New Roman" w:eastAsia="Times New Roman" w:hAnsi="Times New Roman" w:cs="Times New Roman"/>
          <w:b/>
          <w:sz w:val="24"/>
          <w:szCs w:val="24"/>
        </w:rPr>
      </w:pPr>
    </w:p>
    <w:p w:rsidR="009C400A" w:rsidRPr="00272436" w:rsidRDefault="009C400A" w:rsidP="009C400A">
      <w:pPr>
        <w:spacing w:after="120" w:line="240" w:lineRule="auto"/>
        <w:rPr>
          <w:rFonts w:ascii="Times New Roman" w:eastAsia="Times New Roman" w:hAnsi="Times New Roman" w:cs="Times New Roman"/>
          <w:b/>
          <w:sz w:val="24"/>
          <w:szCs w:val="24"/>
        </w:rPr>
      </w:pPr>
      <w:r w:rsidRPr="00272436">
        <w:rPr>
          <w:rFonts w:ascii="Times New Roman" w:eastAsia="Times New Roman" w:hAnsi="Times New Roman" w:cs="Times New Roman"/>
          <w:b/>
          <w:sz w:val="24"/>
          <w:szCs w:val="24"/>
        </w:rPr>
        <w:t>Terms of reference</w:t>
      </w:r>
    </w:p>
    <w:p w:rsidR="009C400A" w:rsidRPr="00272436" w:rsidRDefault="009C400A" w:rsidP="009C400A">
      <w:pPr>
        <w:spacing w:after="120" w:line="240" w:lineRule="auto"/>
        <w:rPr>
          <w:rFonts w:ascii="Times New Roman" w:eastAsia="Times New Roman" w:hAnsi="Times New Roman" w:cs="Times New Roman"/>
          <w:sz w:val="24"/>
          <w:szCs w:val="24"/>
        </w:rPr>
      </w:pPr>
      <w:r w:rsidRPr="00272436">
        <w:rPr>
          <w:rFonts w:ascii="Times New Roman" w:eastAsia="Times New Roman" w:hAnsi="Times New Roman" w:cs="Times New Roman"/>
          <w:sz w:val="24"/>
          <w:szCs w:val="24"/>
        </w:rPr>
        <w:t>Taking into account developments in school, vocational and higher education, the nature of work, qualifications frameworks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internationally</w:t>
      </w:r>
      <w:r w:rsidRPr="00272436">
        <w:rPr>
          <w:rFonts w:ascii="Times New Roman" w:eastAsia="Times New Roman" w:hAnsi="Times New Roman" w:cs="Times New Roman"/>
          <w:sz w:val="24"/>
          <w:szCs w:val="24"/>
        </w:rPr>
        <w:t>,</w:t>
      </w:r>
      <w:proofErr w:type="gramEnd"/>
      <w:r w:rsidRPr="00272436">
        <w:rPr>
          <w:rFonts w:ascii="Times New Roman" w:eastAsia="Times New Roman" w:hAnsi="Times New Roman" w:cs="Times New Roman"/>
          <w:sz w:val="24"/>
          <w:szCs w:val="24"/>
        </w:rPr>
        <w:t xml:space="preserve"> and the views of international and domestic stakeholders, the AQF Review Panel will:</w:t>
      </w:r>
    </w:p>
    <w:p w:rsidR="009C400A" w:rsidRPr="00272436" w:rsidRDefault="009C400A" w:rsidP="009C400A">
      <w:pPr>
        <w:spacing w:after="120" w:line="240" w:lineRule="auto"/>
        <w:rPr>
          <w:rFonts w:ascii="Times New Roman" w:eastAsia="Times New Roman" w:hAnsi="Times New Roman" w:cs="Times New Roman"/>
          <w:sz w:val="24"/>
          <w:szCs w:val="24"/>
        </w:rPr>
      </w:pPr>
    </w:p>
    <w:p w:rsidR="009C400A" w:rsidRPr="00272436" w:rsidRDefault="009C400A" w:rsidP="009C400A">
      <w:pPr>
        <w:pStyle w:val="ListParagraph"/>
        <w:numPr>
          <w:ilvl w:val="0"/>
          <w:numId w:val="4"/>
        </w:numPr>
        <w:spacing w:after="120" w:line="240" w:lineRule="auto"/>
        <w:rPr>
          <w:rFonts w:ascii="Times New Roman" w:hAnsi="Times New Roman" w:cs="Times New Roman"/>
          <w:sz w:val="24"/>
          <w:szCs w:val="24"/>
        </w:rPr>
      </w:pPr>
      <w:r w:rsidRPr="00272436">
        <w:rPr>
          <w:rFonts w:ascii="Times New Roman" w:hAnsi="Times New Roman" w:cs="Times New Roman"/>
          <w:sz w:val="24"/>
          <w:szCs w:val="24"/>
        </w:rPr>
        <w:t>Review the AQF structure and components (levels, qualifications and relevant explanations) and associated guidelines to ensure that they:</w:t>
      </w:r>
    </w:p>
    <w:p w:rsidR="009C400A" w:rsidRPr="00272436" w:rsidRDefault="009C400A" w:rsidP="009C400A">
      <w:pPr>
        <w:pStyle w:val="ListParagraph"/>
        <w:numPr>
          <w:ilvl w:val="1"/>
          <w:numId w:val="5"/>
        </w:numPr>
        <w:spacing w:after="120" w:line="240" w:lineRule="auto"/>
        <w:rPr>
          <w:rFonts w:ascii="Times New Roman" w:hAnsi="Times New Roman" w:cs="Times New Roman"/>
          <w:sz w:val="24"/>
          <w:szCs w:val="24"/>
        </w:rPr>
      </w:pPr>
      <w:r w:rsidRPr="00C1568A">
        <w:rPr>
          <w:rFonts w:ascii="Times New Roman" w:hAnsi="Times New Roman" w:cs="Times New Roman"/>
          <w:sz w:val="24"/>
          <w:szCs w:val="24"/>
        </w:rPr>
        <w:t xml:space="preserve">position the AQF for the future as a flexible and responsive instrument that guides the provision of consistent </w:t>
      </w:r>
      <w:r>
        <w:rPr>
          <w:rFonts w:ascii="Times New Roman" w:hAnsi="Times New Roman" w:cs="Times New Roman"/>
          <w:sz w:val="24"/>
          <w:szCs w:val="24"/>
        </w:rPr>
        <w:t xml:space="preserve">high </w:t>
      </w:r>
      <w:r w:rsidRPr="00C1568A">
        <w:rPr>
          <w:rFonts w:ascii="Times New Roman" w:hAnsi="Times New Roman" w:cs="Times New Roman"/>
          <w:sz w:val="24"/>
          <w:szCs w:val="24"/>
        </w:rPr>
        <w:t>quality and transparency in the Australian education system;</w:t>
      </w:r>
    </w:p>
    <w:p w:rsidR="009C400A" w:rsidRPr="00272436" w:rsidRDefault="009C400A" w:rsidP="009C400A">
      <w:pPr>
        <w:pStyle w:val="ListParagraph"/>
        <w:numPr>
          <w:ilvl w:val="1"/>
          <w:numId w:val="5"/>
        </w:numPr>
        <w:spacing w:after="120" w:line="240" w:lineRule="auto"/>
        <w:rPr>
          <w:rFonts w:ascii="Times New Roman" w:hAnsi="Times New Roman" w:cs="Times New Roman"/>
          <w:sz w:val="24"/>
          <w:szCs w:val="24"/>
        </w:rPr>
      </w:pPr>
      <w:r w:rsidRPr="00272436">
        <w:rPr>
          <w:rFonts w:ascii="Times New Roman" w:hAnsi="Times New Roman" w:cs="Times New Roman"/>
          <w:sz w:val="24"/>
          <w:szCs w:val="24"/>
        </w:rPr>
        <w:t xml:space="preserve">reflect the knowledge, skills and capabilities required by individuals for effective </w:t>
      </w:r>
      <w:r w:rsidR="00E84E53" w:rsidRPr="00272436">
        <w:rPr>
          <w:rFonts w:ascii="Times New Roman" w:hAnsi="Times New Roman" w:cs="Times New Roman"/>
          <w:sz w:val="24"/>
          <w:szCs w:val="24"/>
        </w:rPr>
        <w:t xml:space="preserve">economic </w:t>
      </w:r>
      <w:r w:rsidRPr="00272436">
        <w:rPr>
          <w:rFonts w:ascii="Times New Roman" w:hAnsi="Times New Roman" w:cs="Times New Roman"/>
          <w:sz w:val="24"/>
          <w:szCs w:val="24"/>
        </w:rPr>
        <w:t xml:space="preserve">and </w:t>
      </w:r>
      <w:r w:rsidR="00E84E53" w:rsidRPr="00272436">
        <w:rPr>
          <w:rFonts w:ascii="Times New Roman" w:hAnsi="Times New Roman" w:cs="Times New Roman"/>
          <w:sz w:val="24"/>
          <w:szCs w:val="24"/>
        </w:rPr>
        <w:t xml:space="preserve">social </w:t>
      </w:r>
      <w:r w:rsidRPr="00272436">
        <w:rPr>
          <w:rFonts w:ascii="Times New Roman" w:hAnsi="Times New Roman" w:cs="Times New Roman"/>
          <w:sz w:val="24"/>
          <w:szCs w:val="24"/>
        </w:rPr>
        <w:t xml:space="preserve">participation and which meet the current and anticipated skills needs of </w:t>
      </w:r>
      <w:r>
        <w:rPr>
          <w:rFonts w:ascii="Times New Roman" w:hAnsi="Times New Roman" w:cs="Times New Roman"/>
          <w:sz w:val="24"/>
          <w:szCs w:val="24"/>
        </w:rPr>
        <w:t xml:space="preserve">the </w:t>
      </w:r>
      <w:r w:rsidRPr="00272436">
        <w:rPr>
          <w:rFonts w:ascii="Times New Roman" w:hAnsi="Times New Roman" w:cs="Times New Roman"/>
          <w:sz w:val="24"/>
          <w:szCs w:val="24"/>
        </w:rPr>
        <w:t xml:space="preserve">Australian </w:t>
      </w:r>
      <w:r>
        <w:rPr>
          <w:rFonts w:ascii="Times New Roman" w:hAnsi="Times New Roman" w:cs="Times New Roman"/>
          <w:sz w:val="24"/>
          <w:szCs w:val="24"/>
        </w:rPr>
        <w:t>economy</w:t>
      </w:r>
      <w:r w:rsidRPr="00272436">
        <w:rPr>
          <w:rFonts w:ascii="Times New Roman" w:hAnsi="Times New Roman" w:cs="Times New Roman"/>
          <w:sz w:val="24"/>
          <w:szCs w:val="24"/>
        </w:rPr>
        <w:t>;</w:t>
      </w:r>
    </w:p>
    <w:p w:rsidR="009C400A" w:rsidRDefault="009C400A" w:rsidP="009C400A">
      <w:pPr>
        <w:pStyle w:val="ListParagraph"/>
        <w:numPr>
          <w:ilvl w:val="1"/>
          <w:numId w:val="5"/>
        </w:numPr>
        <w:spacing w:after="120" w:line="240" w:lineRule="auto"/>
        <w:rPr>
          <w:rFonts w:ascii="Times New Roman" w:hAnsi="Times New Roman" w:cs="Times New Roman"/>
          <w:sz w:val="24"/>
          <w:szCs w:val="24"/>
        </w:rPr>
      </w:pPr>
      <w:r w:rsidRPr="00272436">
        <w:rPr>
          <w:rFonts w:ascii="Times New Roman" w:hAnsi="Times New Roman" w:cs="Times New Roman"/>
          <w:sz w:val="24"/>
          <w:szCs w:val="24"/>
        </w:rPr>
        <w:t xml:space="preserve">effectively facilitate </w:t>
      </w:r>
      <w:r>
        <w:rPr>
          <w:rFonts w:ascii="Times New Roman" w:hAnsi="Times New Roman" w:cs="Times New Roman"/>
          <w:sz w:val="24"/>
          <w:szCs w:val="24"/>
        </w:rPr>
        <w:t xml:space="preserve">access to learning pathways and mobility (for example through articulation arrangements, credit transfer and recognition of prior learning) </w:t>
      </w:r>
      <w:r w:rsidRPr="00272436">
        <w:rPr>
          <w:rFonts w:ascii="Times New Roman" w:hAnsi="Times New Roman" w:cs="Times New Roman"/>
          <w:sz w:val="24"/>
          <w:szCs w:val="24"/>
        </w:rPr>
        <w:t xml:space="preserve">within and between </w:t>
      </w:r>
      <w:r>
        <w:rPr>
          <w:rFonts w:ascii="Times New Roman" w:hAnsi="Times New Roman" w:cs="Times New Roman"/>
          <w:sz w:val="24"/>
          <w:szCs w:val="24"/>
        </w:rPr>
        <w:t xml:space="preserve">education </w:t>
      </w:r>
      <w:r w:rsidRPr="00272436">
        <w:rPr>
          <w:rFonts w:ascii="Times New Roman" w:hAnsi="Times New Roman" w:cs="Times New Roman"/>
          <w:sz w:val="24"/>
          <w:szCs w:val="24"/>
        </w:rPr>
        <w:t xml:space="preserve">sectors, </w:t>
      </w:r>
      <w:r>
        <w:rPr>
          <w:rFonts w:ascii="Times New Roman" w:hAnsi="Times New Roman" w:cs="Times New Roman"/>
          <w:sz w:val="24"/>
          <w:szCs w:val="24"/>
        </w:rPr>
        <w:t xml:space="preserve">AQF </w:t>
      </w:r>
      <w:r w:rsidRPr="00272436">
        <w:rPr>
          <w:rFonts w:ascii="Times New Roman" w:hAnsi="Times New Roman" w:cs="Times New Roman"/>
          <w:sz w:val="24"/>
          <w:szCs w:val="24"/>
        </w:rPr>
        <w:t xml:space="preserve">levels and </w:t>
      </w:r>
      <w:r>
        <w:rPr>
          <w:rFonts w:ascii="Times New Roman" w:hAnsi="Times New Roman" w:cs="Times New Roman"/>
          <w:sz w:val="24"/>
          <w:szCs w:val="24"/>
        </w:rPr>
        <w:t xml:space="preserve">AQF </w:t>
      </w:r>
      <w:r w:rsidRPr="00272436">
        <w:rPr>
          <w:rFonts w:ascii="Times New Roman" w:hAnsi="Times New Roman" w:cs="Times New Roman"/>
          <w:sz w:val="24"/>
          <w:szCs w:val="24"/>
        </w:rPr>
        <w:t>qualifications</w:t>
      </w:r>
      <w:r>
        <w:rPr>
          <w:rFonts w:ascii="Times New Roman" w:hAnsi="Times New Roman" w:cs="Times New Roman"/>
          <w:sz w:val="24"/>
          <w:szCs w:val="24"/>
        </w:rPr>
        <w:t>;</w:t>
      </w:r>
    </w:p>
    <w:p w:rsidR="009C400A" w:rsidRDefault="009C400A" w:rsidP="009C400A">
      <w:pPr>
        <w:pStyle w:val="ListParagraph"/>
        <w:numPr>
          <w:ilvl w:val="1"/>
          <w:numId w:val="5"/>
        </w:numPr>
        <w:spacing w:after="120" w:line="240" w:lineRule="auto"/>
        <w:rPr>
          <w:rFonts w:ascii="Times New Roman" w:hAnsi="Times New Roman" w:cs="Times New Roman"/>
          <w:sz w:val="24"/>
          <w:szCs w:val="24"/>
        </w:rPr>
      </w:pPr>
      <w:proofErr w:type="gramStart"/>
      <w:r>
        <w:rPr>
          <w:rFonts w:ascii="Times New Roman" w:hAnsi="Times New Roman" w:cs="Times New Roman"/>
          <w:sz w:val="24"/>
          <w:szCs w:val="24"/>
        </w:rPr>
        <w:t>reflect</w:t>
      </w:r>
      <w:proofErr w:type="gramEnd"/>
      <w:r>
        <w:rPr>
          <w:rFonts w:ascii="Times New Roman" w:hAnsi="Times New Roman" w:cs="Times New Roman"/>
          <w:sz w:val="24"/>
          <w:szCs w:val="24"/>
        </w:rPr>
        <w:t xml:space="preserve"> international good practice.</w:t>
      </w:r>
    </w:p>
    <w:p w:rsidR="009C400A" w:rsidRPr="00C1568A" w:rsidRDefault="009C400A" w:rsidP="009C400A">
      <w:pPr>
        <w:pStyle w:val="ListParagraph"/>
        <w:spacing w:after="120" w:line="240" w:lineRule="auto"/>
        <w:ind w:left="1800"/>
        <w:rPr>
          <w:rFonts w:ascii="Times New Roman" w:hAnsi="Times New Roman" w:cs="Times New Roman"/>
          <w:sz w:val="24"/>
          <w:szCs w:val="24"/>
        </w:rPr>
      </w:pPr>
    </w:p>
    <w:p w:rsidR="00131E69" w:rsidRPr="00167C4C" w:rsidRDefault="009C400A" w:rsidP="00417A0C">
      <w:pPr>
        <w:pStyle w:val="ListParagraph"/>
        <w:numPr>
          <w:ilvl w:val="0"/>
          <w:numId w:val="4"/>
        </w:numPr>
        <w:spacing w:after="120" w:line="240" w:lineRule="auto"/>
        <w:rPr>
          <w:rFonts w:ascii="Times New Roman" w:hAnsi="Times New Roman" w:cs="Times New Roman"/>
          <w:sz w:val="24"/>
          <w:szCs w:val="24"/>
        </w:rPr>
      </w:pPr>
      <w:r w:rsidRPr="00167C4C">
        <w:rPr>
          <w:rFonts w:ascii="Times New Roman" w:hAnsi="Times New Roman" w:cs="Times New Roman"/>
          <w:sz w:val="24"/>
          <w:szCs w:val="24"/>
        </w:rPr>
        <w:t xml:space="preserve">Review the desirability and feasibility of developing a system for the quality assurance and incorporation within the AQF of non-AQF credentials such as skill </w:t>
      </w:r>
      <w:r w:rsidRPr="00167C4C">
        <w:rPr>
          <w:rFonts w:ascii="Times New Roman" w:hAnsi="Times New Roman" w:cs="Times New Roman"/>
          <w:sz w:val="24"/>
          <w:szCs w:val="24"/>
        </w:rPr>
        <w:lastRenderedPageBreak/>
        <w:t>sets, enabling and foundation courses, micro-credentials and in-service and advanced training provided by industry or professions and other non-AQF credentials.</w:t>
      </w:r>
    </w:p>
    <w:p w:rsidR="009C400A" w:rsidRPr="00272436" w:rsidRDefault="009C400A" w:rsidP="009C400A">
      <w:pPr>
        <w:pStyle w:val="ListParagraph"/>
        <w:spacing w:after="120" w:line="240" w:lineRule="auto"/>
        <w:ind w:left="1080"/>
        <w:rPr>
          <w:rFonts w:ascii="Times New Roman" w:hAnsi="Times New Roman" w:cs="Times New Roman"/>
          <w:sz w:val="24"/>
          <w:szCs w:val="24"/>
        </w:rPr>
      </w:pPr>
    </w:p>
    <w:p w:rsidR="009C400A" w:rsidRPr="00272436" w:rsidRDefault="009C400A" w:rsidP="009C400A">
      <w:pPr>
        <w:pStyle w:val="ListParagraph"/>
        <w:numPr>
          <w:ilvl w:val="0"/>
          <w:numId w:val="4"/>
        </w:numPr>
        <w:spacing w:after="120" w:line="240" w:lineRule="auto"/>
        <w:rPr>
          <w:rFonts w:ascii="Times New Roman" w:hAnsi="Times New Roman" w:cs="Times New Roman"/>
          <w:sz w:val="24"/>
          <w:szCs w:val="24"/>
        </w:rPr>
      </w:pPr>
      <w:r w:rsidRPr="00272436">
        <w:rPr>
          <w:rFonts w:ascii="Times New Roman" w:hAnsi="Times New Roman" w:cs="Times New Roman"/>
          <w:sz w:val="24"/>
          <w:szCs w:val="24"/>
        </w:rPr>
        <w:t xml:space="preserve">Provide </w:t>
      </w:r>
      <w:r>
        <w:rPr>
          <w:rFonts w:ascii="Times New Roman" w:hAnsi="Times New Roman" w:cs="Times New Roman"/>
          <w:sz w:val="24"/>
          <w:szCs w:val="24"/>
        </w:rPr>
        <w:t xml:space="preserve">specific </w:t>
      </w:r>
      <w:r w:rsidRPr="00272436">
        <w:rPr>
          <w:rFonts w:ascii="Times New Roman" w:hAnsi="Times New Roman" w:cs="Times New Roman"/>
          <w:sz w:val="24"/>
          <w:szCs w:val="24"/>
        </w:rPr>
        <w:t xml:space="preserve">advice on: </w:t>
      </w:r>
    </w:p>
    <w:p w:rsidR="009C400A" w:rsidRPr="00272436" w:rsidRDefault="009C400A" w:rsidP="009C400A">
      <w:pPr>
        <w:pStyle w:val="ListParagraph"/>
        <w:numPr>
          <w:ilvl w:val="0"/>
          <w:numId w:val="6"/>
        </w:numPr>
        <w:spacing w:after="120" w:line="240" w:lineRule="auto"/>
        <w:rPr>
          <w:rFonts w:ascii="Times New Roman" w:hAnsi="Times New Roman" w:cs="Times New Roman"/>
          <w:sz w:val="24"/>
          <w:szCs w:val="24"/>
        </w:rPr>
      </w:pPr>
      <w:r w:rsidRPr="00272436">
        <w:rPr>
          <w:rFonts w:ascii="Times New Roman" w:hAnsi="Times New Roman" w:cs="Times New Roman"/>
          <w:sz w:val="24"/>
          <w:szCs w:val="24"/>
        </w:rPr>
        <w:t>the relationships between levels and qualifications to ensure that they are clear, appropriate and unambiguous</w:t>
      </w:r>
      <w:r>
        <w:rPr>
          <w:rFonts w:ascii="Times New Roman" w:hAnsi="Times New Roman" w:cs="Times New Roman"/>
          <w:sz w:val="24"/>
          <w:szCs w:val="24"/>
        </w:rPr>
        <w:t>, taking into account their use in different education sectors</w:t>
      </w:r>
      <w:r w:rsidRPr="00272436">
        <w:rPr>
          <w:rFonts w:ascii="Times New Roman" w:hAnsi="Times New Roman" w:cs="Times New Roman"/>
          <w:sz w:val="24"/>
          <w:szCs w:val="24"/>
        </w:rPr>
        <w:t>;</w:t>
      </w:r>
    </w:p>
    <w:p w:rsidR="009C400A" w:rsidRPr="00272436" w:rsidRDefault="009C400A" w:rsidP="009C400A">
      <w:pPr>
        <w:pStyle w:val="ListParagraph"/>
        <w:numPr>
          <w:ilvl w:val="0"/>
          <w:numId w:val="6"/>
        </w:numPr>
        <w:spacing w:after="120" w:line="240" w:lineRule="auto"/>
        <w:rPr>
          <w:rFonts w:ascii="Times New Roman" w:hAnsi="Times New Roman" w:cs="Times New Roman"/>
          <w:sz w:val="24"/>
          <w:szCs w:val="24"/>
        </w:rPr>
      </w:pPr>
      <w:r w:rsidRPr="00272436">
        <w:rPr>
          <w:rFonts w:ascii="Times New Roman" w:hAnsi="Times New Roman" w:cs="Times New Roman"/>
          <w:sz w:val="24"/>
          <w:szCs w:val="24"/>
        </w:rPr>
        <w:t>whether the descriptors are expressed in simple language that supports ready and consistent interpretation</w:t>
      </w:r>
      <w:r>
        <w:rPr>
          <w:rFonts w:ascii="Times New Roman" w:hAnsi="Times New Roman" w:cs="Times New Roman"/>
          <w:sz w:val="24"/>
          <w:szCs w:val="24"/>
        </w:rPr>
        <w:t xml:space="preserve"> and application</w:t>
      </w:r>
      <w:r w:rsidRPr="00272436">
        <w:rPr>
          <w:rFonts w:ascii="Times New Roman" w:hAnsi="Times New Roman" w:cs="Times New Roman"/>
          <w:sz w:val="24"/>
          <w:szCs w:val="24"/>
        </w:rPr>
        <w:t>;</w:t>
      </w:r>
    </w:p>
    <w:p w:rsidR="009C400A" w:rsidRPr="00272436" w:rsidRDefault="009C400A" w:rsidP="009C400A">
      <w:pPr>
        <w:pStyle w:val="ListParagraph"/>
        <w:numPr>
          <w:ilvl w:val="0"/>
          <w:numId w:val="6"/>
        </w:numPr>
        <w:spacing w:after="120" w:line="240" w:lineRule="auto"/>
        <w:rPr>
          <w:rFonts w:ascii="Times New Roman" w:hAnsi="Times New Roman" w:cs="Times New Roman"/>
          <w:sz w:val="24"/>
          <w:szCs w:val="24"/>
        </w:rPr>
      </w:pPr>
      <w:r w:rsidRPr="00272436">
        <w:rPr>
          <w:rFonts w:ascii="Times New Roman" w:hAnsi="Times New Roman" w:cs="Times New Roman"/>
          <w:sz w:val="24"/>
          <w:szCs w:val="24"/>
        </w:rPr>
        <w:t>volume of learning including</w:t>
      </w:r>
      <w:r>
        <w:rPr>
          <w:rFonts w:ascii="Times New Roman" w:hAnsi="Times New Roman" w:cs="Times New Roman"/>
          <w:sz w:val="24"/>
          <w:szCs w:val="24"/>
        </w:rPr>
        <w:t xml:space="preserve"> whether</w:t>
      </w:r>
      <w:r w:rsidRPr="00272436">
        <w:rPr>
          <w:rFonts w:ascii="Times New Roman" w:hAnsi="Times New Roman" w:cs="Times New Roman"/>
          <w:sz w:val="24"/>
          <w:szCs w:val="24"/>
        </w:rPr>
        <w:t>:</w:t>
      </w:r>
    </w:p>
    <w:p w:rsidR="009C400A" w:rsidRDefault="009C400A" w:rsidP="009C400A">
      <w:pPr>
        <w:pStyle w:val="ListParagraph"/>
        <w:numPr>
          <w:ilvl w:val="2"/>
          <w:numId w:val="3"/>
        </w:numPr>
        <w:spacing w:after="120" w:line="240" w:lineRule="auto"/>
        <w:ind w:left="2694" w:hanging="354"/>
        <w:rPr>
          <w:rFonts w:ascii="Times New Roman" w:hAnsi="Times New Roman" w:cs="Times New Roman"/>
          <w:sz w:val="24"/>
          <w:szCs w:val="24"/>
        </w:rPr>
      </w:pPr>
      <w:r>
        <w:rPr>
          <w:rFonts w:ascii="Times New Roman" w:hAnsi="Times New Roman" w:cs="Times New Roman"/>
          <w:sz w:val="24"/>
          <w:szCs w:val="24"/>
        </w:rPr>
        <w:t xml:space="preserve">it should be a time based measure and, if so, whether it should be aligned with other time based measures employed in </w:t>
      </w:r>
      <w:r w:rsidRPr="00272436">
        <w:rPr>
          <w:rFonts w:ascii="Times New Roman" w:hAnsi="Times New Roman" w:cs="Times New Roman"/>
          <w:sz w:val="24"/>
          <w:szCs w:val="24"/>
        </w:rPr>
        <w:t>vocational education and training sector specifications and requirements</w:t>
      </w:r>
      <w:r>
        <w:rPr>
          <w:rFonts w:ascii="Times New Roman" w:hAnsi="Times New Roman" w:cs="Times New Roman"/>
          <w:sz w:val="24"/>
          <w:szCs w:val="24"/>
        </w:rPr>
        <w:t>;</w:t>
      </w:r>
    </w:p>
    <w:p w:rsidR="009C400A" w:rsidRPr="00272436" w:rsidRDefault="009C400A" w:rsidP="009C400A">
      <w:pPr>
        <w:pStyle w:val="ListParagraph"/>
        <w:numPr>
          <w:ilvl w:val="2"/>
          <w:numId w:val="3"/>
        </w:numPr>
        <w:spacing w:after="120" w:line="240" w:lineRule="auto"/>
        <w:ind w:left="2694" w:hanging="354"/>
        <w:rPr>
          <w:rFonts w:ascii="Times New Roman" w:hAnsi="Times New Roman" w:cs="Times New Roman"/>
          <w:sz w:val="24"/>
          <w:szCs w:val="24"/>
        </w:rPr>
      </w:pPr>
      <w:r>
        <w:rPr>
          <w:rFonts w:ascii="Times New Roman" w:hAnsi="Times New Roman" w:cs="Times New Roman"/>
          <w:sz w:val="24"/>
          <w:szCs w:val="24"/>
        </w:rPr>
        <w:t xml:space="preserve">it should </w:t>
      </w:r>
      <w:r w:rsidRPr="00272436">
        <w:rPr>
          <w:rFonts w:ascii="Times New Roman" w:hAnsi="Times New Roman" w:cs="Times New Roman"/>
          <w:sz w:val="24"/>
          <w:szCs w:val="24"/>
        </w:rPr>
        <w:t>be replaced by a credit point system;</w:t>
      </w:r>
    </w:p>
    <w:p w:rsidR="009C400A" w:rsidRDefault="009C400A" w:rsidP="009C400A">
      <w:pPr>
        <w:pStyle w:val="ListParagraph"/>
        <w:numPr>
          <w:ilvl w:val="2"/>
          <w:numId w:val="3"/>
        </w:numPr>
        <w:spacing w:after="120" w:line="240" w:lineRule="auto"/>
        <w:ind w:left="2694" w:hanging="354"/>
        <w:rPr>
          <w:rFonts w:ascii="Times New Roman" w:hAnsi="Times New Roman" w:cs="Times New Roman"/>
          <w:sz w:val="24"/>
          <w:szCs w:val="24"/>
        </w:rPr>
      </w:pPr>
      <w:r w:rsidRPr="00272436">
        <w:rPr>
          <w:rFonts w:ascii="Times New Roman" w:hAnsi="Times New Roman" w:cs="Times New Roman"/>
          <w:sz w:val="24"/>
          <w:szCs w:val="24"/>
        </w:rPr>
        <w:t>the disparities in volume of learning between qualifications at the same level can be supported by additional information such as prerequisite learning; and</w:t>
      </w:r>
    </w:p>
    <w:p w:rsidR="009C400A" w:rsidRPr="00BE2501" w:rsidRDefault="009C400A" w:rsidP="009C400A">
      <w:pPr>
        <w:pStyle w:val="ListParagraph"/>
        <w:numPr>
          <w:ilvl w:val="2"/>
          <w:numId w:val="3"/>
        </w:numPr>
        <w:spacing w:after="120" w:line="240" w:lineRule="auto"/>
        <w:ind w:left="2694" w:hanging="354"/>
        <w:rPr>
          <w:rFonts w:ascii="Times New Roman" w:hAnsi="Times New Roman" w:cs="Times New Roman"/>
          <w:sz w:val="24"/>
          <w:szCs w:val="24"/>
        </w:rPr>
      </w:pPr>
      <w:r>
        <w:rPr>
          <w:rFonts w:ascii="Times New Roman" w:hAnsi="Times New Roman" w:cs="Times New Roman"/>
          <w:sz w:val="24"/>
          <w:szCs w:val="24"/>
        </w:rPr>
        <w:t xml:space="preserve">it is a necessary descriptor in the AQF </w:t>
      </w:r>
    </w:p>
    <w:p w:rsidR="009C400A" w:rsidRPr="00C1568A" w:rsidRDefault="009C400A" w:rsidP="009C400A">
      <w:pPr>
        <w:pStyle w:val="ListParagraph"/>
        <w:numPr>
          <w:ilvl w:val="0"/>
          <w:numId w:val="6"/>
        </w:numPr>
        <w:spacing w:after="120" w:line="240" w:lineRule="auto"/>
        <w:rPr>
          <w:rFonts w:ascii="Times New Roman" w:hAnsi="Times New Roman" w:cs="Times New Roman"/>
          <w:sz w:val="24"/>
          <w:szCs w:val="24"/>
        </w:rPr>
      </w:pPr>
      <w:r w:rsidRPr="00C1568A">
        <w:rPr>
          <w:rFonts w:ascii="Times New Roman" w:hAnsi="Times New Roman" w:cs="Times New Roman"/>
          <w:sz w:val="24"/>
          <w:szCs w:val="24"/>
        </w:rPr>
        <w:t>the placement of vocational education and training (VET) and higher education (HE) qualifications in the AQF and consider:</w:t>
      </w:r>
    </w:p>
    <w:p w:rsidR="009C400A" w:rsidRPr="00272436" w:rsidRDefault="00CF07B5" w:rsidP="009C400A">
      <w:pPr>
        <w:pStyle w:val="ListParagraph"/>
        <w:numPr>
          <w:ilvl w:val="0"/>
          <w:numId w:val="7"/>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any areas of convergence and optimal points of differentiation of VET and HE qualifications in general and </w:t>
      </w:r>
      <w:r w:rsidR="009C400A" w:rsidRPr="00272436">
        <w:rPr>
          <w:rFonts w:ascii="Times New Roman" w:hAnsi="Times New Roman" w:cs="Times New Roman"/>
          <w:sz w:val="24"/>
          <w:szCs w:val="24"/>
        </w:rPr>
        <w:t>specifically at levels 5, 6 and 8;</w:t>
      </w:r>
    </w:p>
    <w:p w:rsidR="009C400A" w:rsidRPr="00272436" w:rsidRDefault="009C400A" w:rsidP="009C400A">
      <w:pPr>
        <w:pStyle w:val="ListParagraph"/>
        <w:numPr>
          <w:ilvl w:val="0"/>
          <w:numId w:val="7"/>
        </w:numPr>
        <w:spacing w:after="120" w:line="240" w:lineRule="auto"/>
        <w:rPr>
          <w:rFonts w:ascii="Times New Roman" w:hAnsi="Times New Roman" w:cs="Times New Roman"/>
          <w:sz w:val="24"/>
          <w:szCs w:val="24"/>
        </w:rPr>
      </w:pPr>
      <w:r w:rsidRPr="00272436">
        <w:rPr>
          <w:rFonts w:ascii="Times New Roman" w:hAnsi="Times New Roman" w:cs="Times New Roman"/>
          <w:sz w:val="24"/>
          <w:szCs w:val="24"/>
        </w:rPr>
        <w:t xml:space="preserve">the extent to which the AQF currently implies a status hierarchy from VET to HE qualifications and whether this can be mitigated through changes to the structure or language of the AQF; </w:t>
      </w:r>
    </w:p>
    <w:p w:rsidR="009C400A" w:rsidRDefault="009C400A" w:rsidP="009C400A">
      <w:pPr>
        <w:pStyle w:val="ListParagraph"/>
        <w:numPr>
          <w:ilvl w:val="0"/>
          <w:numId w:val="7"/>
        </w:numPr>
        <w:spacing w:after="120" w:line="240" w:lineRule="auto"/>
        <w:rPr>
          <w:rFonts w:ascii="Times New Roman" w:hAnsi="Times New Roman" w:cs="Times New Roman"/>
          <w:sz w:val="24"/>
          <w:szCs w:val="24"/>
        </w:rPr>
      </w:pPr>
      <w:proofErr w:type="gramStart"/>
      <w:r w:rsidRPr="00272436">
        <w:rPr>
          <w:rFonts w:ascii="Times New Roman" w:hAnsi="Times New Roman" w:cs="Times New Roman"/>
          <w:sz w:val="24"/>
          <w:szCs w:val="24"/>
        </w:rPr>
        <w:t>means</w:t>
      </w:r>
      <w:proofErr w:type="gramEnd"/>
      <w:r w:rsidRPr="00272436">
        <w:rPr>
          <w:rFonts w:ascii="Times New Roman" w:hAnsi="Times New Roman" w:cs="Times New Roman"/>
          <w:sz w:val="24"/>
          <w:szCs w:val="24"/>
        </w:rPr>
        <w:t xml:space="preserve"> by which the AQF can assist with greater consistency in regulation of AQF compliance between HE and VET.</w:t>
      </w:r>
    </w:p>
    <w:p w:rsidR="009C400A" w:rsidRPr="00272436" w:rsidRDefault="009C400A" w:rsidP="009C400A">
      <w:pPr>
        <w:pStyle w:val="ListParagraph"/>
        <w:numPr>
          <w:ilvl w:val="0"/>
          <w:numId w:val="6"/>
        </w:numPr>
        <w:spacing w:after="120" w:line="240" w:lineRule="auto"/>
        <w:rPr>
          <w:rFonts w:ascii="Times New Roman" w:hAnsi="Times New Roman" w:cs="Times New Roman"/>
          <w:sz w:val="24"/>
          <w:szCs w:val="24"/>
        </w:rPr>
      </w:pPr>
      <w:proofErr w:type="gramStart"/>
      <w:r>
        <w:rPr>
          <w:rFonts w:ascii="Times New Roman" w:hAnsi="Times New Roman" w:cs="Times New Roman"/>
          <w:sz w:val="24"/>
          <w:szCs w:val="24"/>
        </w:rPr>
        <w:t>whether</w:t>
      </w:r>
      <w:proofErr w:type="gramEnd"/>
      <w:r>
        <w:rPr>
          <w:rFonts w:ascii="Times New Roman" w:hAnsi="Times New Roman" w:cs="Times New Roman"/>
          <w:sz w:val="24"/>
          <w:szCs w:val="24"/>
        </w:rPr>
        <w:t xml:space="preserve"> and how the AQF should incorporate guidance for people wishing to build a qualification from a variety of courses and/or providers. </w:t>
      </w:r>
    </w:p>
    <w:p w:rsidR="009C400A" w:rsidRPr="00272436" w:rsidRDefault="009C400A" w:rsidP="009C400A">
      <w:pPr>
        <w:pStyle w:val="ListParagraph"/>
        <w:spacing w:after="120" w:line="240" w:lineRule="auto"/>
        <w:ind w:left="1077"/>
        <w:rPr>
          <w:rFonts w:ascii="Times New Roman" w:hAnsi="Times New Roman" w:cs="Times New Roman"/>
          <w:sz w:val="24"/>
          <w:szCs w:val="24"/>
        </w:rPr>
      </w:pPr>
    </w:p>
    <w:p w:rsidR="009C400A" w:rsidRPr="00272436" w:rsidRDefault="009C400A" w:rsidP="009C400A">
      <w:pPr>
        <w:numPr>
          <w:ilvl w:val="0"/>
          <w:numId w:val="1"/>
        </w:numPr>
        <w:spacing w:after="120" w:line="240" w:lineRule="auto"/>
        <w:rPr>
          <w:rFonts w:ascii="Times New Roman" w:eastAsia="Times New Roman" w:hAnsi="Times New Roman" w:cs="Times New Roman"/>
          <w:bCs/>
          <w:sz w:val="24"/>
          <w:szCs w:val="24"/>
        </w:rPr>
      </w:pPr>
      <w:r w:rsidRPr="00272436">
        <w:rPr>
          <w:rFonts w:ascii="Times New Roman" w:eastAsia="Times New Roman" w:hAnsi="Times New Roman" w:cs="Times New Roman"/>
          <w:bCs/>
          <w:sz w:val="24"/>
          <w:szCs w:val="24"/>
        </w:rPr>
        <w:t>Provide advice on changes to AQF policies</w:t>
      </w:r>
      <w:r>
        <w:rPr>
          <w:rStyle w:val="FootnoteReference"/>
          <w:rFonts w:eastAsia="Times New Roman" w:cs="Times New Roman"/>
          <w:bCs/>
          <w:sz w:val="24"/>
          <w:szCs w:val="24"/>
        </w:rPr>
        <w:footnoteReference w:id="1"/>
      </w:r>
      <w:r w:rsidRPr="00272436">
        <w:rPr>
          <w:rFonts w:ascii="Times New Roman" w:eastAsia="Times New Roman" w:hAnsi="Times New Roman" w:cs="Times New Roman"/>
          <w:bCs/>
          <w:sz w:val="24"/>
          <w:szCs w:val="24"/>
        </w:rPr>
        <w:t xml:space="preserve"> that would be required to give effect to the outcomes of the Panel’s advice on the Terms of Reference 1-3 and other desirable changes. Consider whether any of </w:t>
      </w:r>
      <w:proofErr w:type="gramStart"/>
      <w:r w:rsidRPr="00272436">
        <w:rPr>
          <w:rFonts w:ascii="Times New Roman" w:eastAsia="Times New Roman" w:hAnsi="Times New Roman" w:cs="Times New Roman"/>
          <w:bCs/>
          <w:sz w:val="24"/>
          <w:szCs w:val="24"/>
        </w:rPr>
        <w:t>these</w:t>
      </w:r>
      <w:proofErr w:type="gramEnd"/>
      <w:r w:rsidRPr="00272436">
        <w:rPr>
          <w:rFonts w:ascii="Times New Roman" w:eastAsia="Times New Roman" w:hAnsi="Times New Roman" w:cs="Times New Roman"/>
          <w:bCs/>
          <w:sz w:val="24"/>
          <w:szCs w:val="24"/>
        </w:rPr>
        <w:t xml:space="preserve"> policies </w:t>
      </w:r>
      <w:r>
        <w:rPr>
          <w:rFonts w:ascii="Times New Roman" w:eastAsia="Times New Roman" w:hAnsi="Times New Roman" w:cs="Times New Roman"/>
          <w:bCs/>
          <w:sz w:val="24"/>
          <w:szCs w:val="24"/>
        </w:rPr>
        <w:t xml:space="preserve">that deal with domestic matters </w:t>
      </w:r>
      <w:r w:rsidRPr="00272436">
        <w:rPr>
          <w:rFonts w:ascii="Times New Roman" w:eastAsia="Times New Roman" w:hAnsi="Times New Roman" w:cs="Times New Roman"/>
          <w:bCs/>
          <w:sz w:val="24"/>
          <w:szCs w:val="24"/>
        </w:rPr>
        <w:t>should be situated within T</w:t>
      </w:r>
      <w:r>
        <w:rPr>
          <w:rFonts w:ascii="Times New Roman" w:eastAsia="Times New Roman" w:hAnsi="Times New Roman" w:cs="Times New Roman"/>
          <w:bCs/>
          <w:sz w:val="24"/>
          <w:szCs w:val="24"/>
        </w:rPr>
        <w:t xml:space="preserve">ertiary </w:t>
      </w:r>
      <w:r w:rsidRPr="00272436">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ducation </w:t>
      </w:r>
      <w:r w:rsidRPr="00272436">
        <w:rPr>
          <w:rFonts w:ascii="Times New Roman" w:eastAsia="Times New Roman" w:hAnsi="Times New Roman" w:cs="Times New Roman"/>
          <w:bCs/>
          <w:sz w:val="24"/>
          <w:szCs w:val="24"/>
        </w:rPr>
        <w:t>Q</w:t>
      </w:r>
      <w:r>
        <w:rPr>
          <w:rFonts w:ascii="Times New Roman" w:eastAsia="Times New Roman" w:hAnsi="Times New Roman" w:cs="Times New Roman"/>
          <w:bCs/>
          <w:sz w:val="24"/>
          <w:szCs w:val="24"/>
        </w:rPr>
        <w:t xml:space="preserve">uality and </w:t>
      </w:r>
      <w:r w:rsidRPr="00272436">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tandards </w:t>
      </w:r>
      <w:r w:rsidRPr="00272436">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gency and VET</w:t>
      </w:r>
      <w:r w:rsidRPr="0027243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regulator </w:t>
      </w:r>
      <w:r w:rsidRPr="00272436">
        <w:rPr>
          <w:rFonts w:ascii="Times New Roman" w:eastAsia="Times New Roman" w:hAnsi="Times New Roman" w:cs="Times New Roman"/>
          <w:bCs/>
          <w:sz w:val="24"/>
          <w:szCs w:val="24"/>
        </w:rPr>
        <w:t>registration and accreditation guidelines.</w:t>
      </w:r>
    </w:p>
    <w:p w:rsidR="009C400A" w:rsidRPr="00272436" w:rsidRDefault="009C400A" w:rsidP="009C400A">
      <w:pPr>
        <w:numPr>
          <w:ilvl w:val="0"/>
          <w:numId w:val="1"/>
        </w:numPr>
        <w:spacing w:after="120" w:line="240" w:lineRule="auto"/>
        <w:rPr>
          <w:rFonts w:ascii="Times New Roman" w:eastAsia="Times New Roman" w:hAnsi="Times New Roman" w:cs="Times New Roman"/>
          <w:bCs/>
          <w:sz w:val="24"/>
          <w:szCs w:val="24"/>
        </w:rPr>
      </w:pPr>
      <w:r w:rsidRPr="00272436">
        <w:rPr>
          <w:rFonts w:ascii="Times New Roman" w:eastAsia="Times New Roman" w:hAnsi="Times New Roman" w:cs="Times New Roman"/>
          <w:bCs/>
          <w:sz w:val="24"/>
          <w:szCs w:val="24"/>
        </w:rPr>
        <w:t>Consider what changes may be required to</w:t>
      </w:r>
      <w:r w:rsidRPr="00272436">
        <w:rPr>
          <w:rFonts w:ascii="Times New Roman" w:hAnsi="Times New Roman" w:cs="Times New Roman"/>
          <w:sz w:val="24"/>
          <w:szCs w:val="24"/>
        </w:rPr>
        <w:t xml:space="preserve"> AQF governance arrangements, to the AQF itself or to regulation that references the AQF</w:t>
      </w:r>
      <w:r w:rsidRPr="00272436">
        <w:rPr>
          <w:rFonts w:ascii="Times New Roman" w:eastAsia="Times New Roman" w:hAnsi="Times New Roman" w:cs="Times New Roman"/>
          <w:bCs/>
          <w:sz w:val="24"/>
          <w:szCs w:val="24"/>
        </w:rPr>
        <w:t xml:space="preserve"> to ensure consistency of its application and to ensure ongoing currency of the AQF through monitoring and review. </w:t>
      </w:r>
    </w:p>
    <w:p w:rsidR="009C400A" w:rsidRPr="00272436" w:rsidRDefault="009C400A" w:rsidP="009C400A">
      <w:pPr>
        <w:numPr>
          <w:ilvl w:val="0"/>
          <w:numId w:val="1"/>
        </w:numPr>
        <w:spacing w:after="120" w:line="240" w:lineRule="auto"/>
        <w:ind w:right="284"/>
        <w:rPr>
          <w:rFonts w:ascii="Times New Roman" w:hAnsi="Times New Roman" w:cs="Times New Roman"/>
          <w:sz w:val="24"/>
          <w:szCs w:val="24"/>
        </w:rPr>
      </w:pPr>
      <w:r w:rsidRPr="00272436">
        <w:rPr>
          <w:rFonts w:ascii="Times New Roman" w:hAnsi="Times New Roman" w:cs="Times New Roman"/>
          <w:sz w:val="24"/>
          <w:szCs w:val="24"/>
        </w:rPr>
        <w:t>The Panel will provide an initial report including recommendations on consequential changes to the AQF on the matters outlined above and subse</w:t>
      </w:r>
      <w:r>
        <w:rPr>
          <w:rFonts w:ascii="Times New Roman" w:hAnsi="Times New Roman" w:cs="Times New Roman"/>
          <w:sz w:val="24"/>
          <w:szCs w:val="24"/>
        </w:rPr>
        <w:t>quent to consideration of that r</w:t>
      </w:r>
      <w:r w:rsidRPr="00272436">
        <w:rPr>
          <w:rFonts w:ascii="Times New Roman" w:hAnsi="Times New Roman" w:cs="Times New Roman"/>
          <w:sz w:val="24"/>
          <w:szCs w:val="24"/>
        </w:rPr>
        <w:t>eport develop an implementation plan required for implementation of the changes.</w:t>
      </w:r>
    </w:p>
    <w:p w:rsidR="009C400A" w:rsidRPr="00272436" w:rsidRDefault="009C400A" w:rsidP="009C400A">
      <w:pPr>
        <w:spacing w:after="120" w:line="240" w:lineRule="auto"/>
        <w:ind w:left="284" w:hanging="284"/>
        <w:jc w:val="center"/>
        <w:rPr>
          <w:rFonts w:ascii="Times New Roman" w:hAnsi="Times New Roman" w:cs="Times New Roman"/>
          <w:sz w:val="24"/>
          <w:szCs w:val="24"/>
        </w:rPr>
      </w:pPr>
    </w:p>
    <w:p w:rsidR="009C400A" w:rsidRPr="00272436" w:rsidRDefault="009C400A" w:rsidP="009C400A">
      <w:pPr>
        <w:spacing w:after="120" w:line="240" w:lineRule="auto"/>
        <w:ind w:left="284" w:hanging="284"/>
        <w:rPr>
          <w:rFonts w:ascii="Times New Roman" w:hAnsi="Times New Roman" w:cs="Times New Roman"/>
          <w:sz w:val="24"/>
          <w:szCs w:val="24"/>
        </w:rPr>
      </w:pPr>
      <w:r w:rsidRPr="00272436">
        <w:rPr>
          <w:rFonts w:ascii="Times New Roman" w:hAnsi="Times New Roman" w:cs="Times New Roman"/>
          <w:sz w:val="24"/>
          <w:szCs w:val="24"/>
        </w:rPr>
        <w:t>In order to address the terms of reference the AQF Review Panel will:</w:t>
      </w:r>
    </w:p>
    <w:p w:rsidR="009C400A" w:rsidRPr="00272436" w:rsidRDefault="009C400A" w:rsidP="0085361D">
      <w:pPr>
        <w:numPr>
          <w:ilvl w:val="0"/>
          <w:numId w:val="2"/>
        </w:numPr>
        <w:spacing w:after="120" w:line="240" w:lineRule="auto"/>
        <w:ind w:left="714" w:hanging="357"/>
        <w:contextualSpacing/>
        <w:rPr>
          <w:rFonts w:ascii="Times New Roman" w:hAnsi="Times New Roman" w:cs="Times New Roman"/>
          <w:sz w:val="24"/>
          <w:szCs w:val="24"/>
        </w:rPr>
      </w:pPr>
      <w:r w:rsidRPr="00272436">
        <w:rPr>
          <w:rFonts w:ascii="Times New Roman" w:hAnsi="Times New Roman" w:cs="Times New Roman"/>
          <w:sz w:val="24"/>
          <w:szCs w:val="24"/>
        </w:rPr>
        <w:t>advise the Secretariat how the AQF review should be considered and approached</w:t>
      </w:r>
    </w:p>
    <w:p w:rsidR="009C400A" w:rsidRPr="00272436" w:rsidRDefault="009C400A" w:rsidP="0085361D">
      <w:pPr>
        <w:numPr>
          <w:ilvl w:val="0"/>
          <w:numId w:val="2"/>
        </w:numPr>
        <w:spacing w:after="120" w:line="240" w:lineRule="auto"/>
        <w:ind w:left="714" w:hanging="357"/>
        <w:contextualSpacing/>
        <w:rPr>
          <w:rFonts w:ascii="Times New Roman" w:hAnsi="Times New Roman" w:cs="Times New Roman"/>
          <w:sz w:val="24"/>
          <w:szCs w:val="24"/>
        </w:rPr>
      </w:pPr>
      <w:r w:rsidRPr="00272436">
        <w:rPr>
          <w:rFonts w:ascii="Times New Roman" w:hAnsi="Times New Roman" w:cs="Times New Roman"/>
          <w:sz w:val="24"/>
          <w:szCs w:val="24"/>
        </w:rPr>
        <w:t>advise which stakeholders should be consulted and what sources of data and research should be considered</w:t>
      </w:r>
    </w:p>
    <w:p w:rsidR="009C400A" w:rsidRPr="00272436" w:rsidRDefault="009C400A" w:rsidP="0085361D">
      <w:pPr>
        <w:numPr>
          <w:ilvl w:val="0"/>
          <w:numId w:val="2"/>
        </w:numPr>
        <w:spacing w:after="120" w:line="240" w:lineRule="auto"/>
        <w:ind w:left="714" w:hanging="357"/>
        <w:contextualSpacing/>
        <w:rPr>
          <w:rFonts w:ascii="Times New Roman" w:hAnsi="Times New Roman" w:cs="Times New Roman"/>
          <w:sz w:val="24"/>
          <w:szCs w:val="24"/>
        </w:rPr>
      </w:pPr>
      <w:r w:rsidRPr="00272436">
        <w:rPr>
          <w:rFonts w:ascii="Times New Roman" w:hAnsi="Times New Roman" w:cs="Times New Roman"/>
          <w:sz w:val="24"/>
          <w:szCs w:val="24"/>
        </w:rPr>
        <w:t xml:space="preserve">meet with key stakeholders and possibly hold public forums </w:t>
      </w:r>
    </w:p>
    <w:p w:rsidR="009C400A" w:rsidRPr="00272436" w:rsidRDefault="009C400A" w:rsidP="0085361D">
      <w:pPr>
        <w:numPr>
          <w:ilvl w:val="0"/>
          <w:numId w:val="2"/>
        </w:numPr>
        <w:spacing w:after="120" w:line="240" w:lineRule="auto"/>
        <w:ind w:left="714" w:hanging="357"/>
        <w:contextualSpacing/>
        <w:rPr>
          <w:rFonts w:ascii="Times New Roman" w:hAnsi="Times New Roman" w:cs="Times New Roman"/>
          <w:sz w:val="24"/>
          <w:szCs w:val="24"/>
        </w:rPr>
      </w:pPr>
      <w:r w:rsidRPr="00272436">
        <w:rPr>
          <w:rFonts w:ascii="Times New Roman" w:hAnsi="Times New Roman" w:cs="Times New Roman"/>
          <w:sz w:val="24"/>
          <w:szCs w:val="24"/>
        </w:rPr>
        <w:t>advise on and approve both the public discussion paper and the final report</w:t>
      </w:r>
    </w:p>
    <w:p w:rsidR="009C400A" w:rsidRPr="00272436" w:rsidRDefault="009C400A" w:rsidP="0085361D">
      <w:pPr>
        <w:numPr>
          <w:ilvl w:val="0"/>
          <w:numId w:val="2"/>
        </w:numPr>
        <w:spacing w:after="120" w:line="240" w:lineRule="auto"/>
        <w:ind w:left="714" w:hanging="357"/>
        <w:contextualSpacing/>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addition to consulting with stakeholders, </w:t>
      </w:r>
      <w:r w:rsidRPr="00272436">
        <w:rPr>
          <w:rFonts w:ascii="Times New Roman" w:hAnsi="Times New Roman" w:cs="Times New Roman"/>
          <w:sz w:val="24"/>
          <w:szCs w:val="24"/>
        </w:rPr>
        <w:t>meet as required (once every two months, maximum once a month).</w:t>
      </w:r>
    </w:p>
    <w:p w:rsidR="009C400A" w:rsidRDefault="009C400A" w:rsidP="009C400A"/>
    <w:p w:rsidR="00D66234" w:rsidRDefault="00D66234">
      <w:bookmarkStart w:id="0" w:name="_GoBack"/>
      <w:bookmarkEnd w:id="0"/>
    </w:p>
    <w:sectPr w:rsidR="00D662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434" w:rsidRDefault="00952434" w:rsidP="009C400A">
      <w:pPr>
        <w:spacing w:after="0" w:line="240" w:lineRule="auto"/>
      </w:pPr>
      <w:r>
        <w:separator/>
      </w:r>
    </w:p>
  </w:endnote>
  <w:endnote w:type="continuationSeparator" w:id="0">
    <w:p w:rsidR="00952434" w:rsidRDefault="00952434" w:rsidP="009C4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434" w:rsidRDefault="00952434" w:rsidP="009C400A">
      <w:pPr>
        <w:spacing w:after="0" w:line="240" w:lineRule="auto"/>
      </w:pPr>
      <w:r>
        <w:separator/>
      </w:r>
    </w:p>
  </w:footnote>
  <w:footnote w:type="continuationSeparator" w:id="0">
    <w:p w:rsidR="00952434" w:rsidRDefault="00952434" w:rsidP="009C400A">
      <w:pPr>
        <w:spacing w:after="0" w:line="240" w:lineRule="auto"/>
      </w:pPr>
      <w:r>
        <w:continuationSeparator/>
      </w:r>
    </w:p>
  </w:footnote>
  <w:footnote w:id="1">
    <w:p w:rsidR="009C400A" w:rsidRPr="00FF03B4" w:rsidRDefault="009C400A" w:rsidP="009C400A">
      <w:pPr>
        <w:pStyle w:val="FootnoteText"/>
        <w:rPr>
          <w:rFonts w:ascii="Times New Roman" w:eastAsia="Times New Roman" w:hAnsi="Times New Roman" w:cs="Times New Roman"/>
          <w:bCs/>
          <w:sz w:val="16"/>
          <w:szCs w:val="16"/>
        </w:rPr>
      </w:pPr>
      <w:r w:rsidRPr="00FF03B4">
        <w:rPr>
          <w:rStyle w:val="FootnoteReference"/>
          <w:rFonts w:ascii="Times New Roman" w:hAnsi="Times New Roman" w:cs="Times New Roman"/>
          <w:sz w:val="16"/>
          <w:szCs w:val="16"/>
        </w:rPr>
        <w:footnoteRef/>
      </w:r>
      <w:r w:rsidRPr="00FF03B4">
        <w:rPr>
          <w:rFonts w:ascii="Times New Roman" w:hAnsi="Times New Roman" w:cs="Times New Roman"/>
          <w:sz w:val="16"/>
          <w:szCs w:val="16"/>
        </w:rPr>
        <w:t xml:space="preserve"> Including </w:t>
      </w:r>
      <w:r w:rsidRPr="00A03AD3">
        <w:rPr>
          <w:rFonts w:ascii="Times New Roman" w:eastAsia="Times New Roman" w:hAnsi="Times New Roman" w:cs="Times New Roman"/>
          <w:bCs/>
          <w:sz w:val="16"/>
          <w:szCs w:val="16"/>
        </w:rPr>
        <w:t>issuance policy, pathways policy, register policy, addition or removal policy, and principles and processes for alignment with international qualifications frameworks and relevant explanations.</w:t>
      </w:r>
    </w:p>
    <w:p w:rsidR="009C400A" w:rsidRDefault="009C400A" w:rsidP="009C400A">
      <w:pPr>
        <w:pStyle w:val="FootnoteText"/>
        <w:rPr>
          <w:rFonts w:ascii="Times New Roman" w:eastAsia="Times New Roman" w:hAnsi="Times New Roman" w:cs="Times New Roman"/>
          <w:bCs/>
          <w:sz w:val="24"/>
          <w:szCs w:val="24"/>
        </w:rPr>
      </w:pPr>
    </w:p>
    <w:p w:rsidR="009C400A" w:rsidRDefault="009C400A" w:rsidP="009C400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40608"/>
    <w:multiLevelType w:val="hybridMultilevel"/>
    <w:tmpl w:val="3048CAD8"/>
    <w:lvl w:ilvl="0" w:tplc="BA303BD8">
      <w:start w:val="1"/>
      <w:numFmt w:val="lowerRoman"/>
      <w:lvlText w:val="%1."/>
      <w:lvlJc w:val="right"/>
      <w:pPr>
        <w:ind w:left="1800" w:hanging="360"/>
      </w:pPr>
    </w:lvl>
    <w:lvl w:ilvl="1" w:tplc="4652117C" w:tentative="1">
      <w:start w:val="1"/>
      <w:numFmt w:val="lowerLetter"/>
      <w:lvlText w:val="%2."/>
      <w:lvlJc w:val="left"/>
      <w:pPr>
        <w:ind w:left="2520" w:hanging="360"/>
      </w:pPr>
    </w:lvl>
    <w:lvl w:ilvl="2" w:tplc="3DD0DA24" w:tentative="1">
      <w:start w:val="1"/>
      <w:numFmt w:val="lowerRoman"/>
      <w:lvlText w:val="%3."/>
      <w:lvlJc w:val="right"/>
      <w:pPr>
        <w:ind w:left="3240" w:hanging="180"/>
      </w:pPr>
    </w:lvl>
    <w:lvl w:ilvl="3" w:tplc="10481772" w:tentative="1">
      <w:start w:val="1"/>
      <w:numFmt w:val="decimal"/>
      <w:lvlText w:val="%4."/>
      <w:lvlJc w:val="left"/>
      <w:pPr>
        <w:ind w:left="3960" w:hanging="360"/>
      </w:pPr>
    </w:lvl>
    <w:lvl w:ilvl="4" w:tplc="EE76DF4C" w:tentative="1">
      <w:start w:val="1"/>
      <w:numFmt w:val="lowerLetter"/>
      <w:lvlText w:val="%5."/>
      <w:lvlJc w:val="left"/>
      <w:pPr>
        <w:ind w:left="4680" w:hanging="360"/>
      </w:pPr>
    </w:lvl>
    <w:lvl w:ilvl="5" w:tplc="152A5B7E" w:tentative="1">
      <w:start w:val="1"/>
      <w:numFmt w:val="lowerRoman"/>
      <w:lvlText w:val="%6."/>
      <w:lvlJc w:val="right"/>
      <w:pPr>
        <w:ind w:left="5400" w:hanging="180"/>
      </w:pPr>
    </w:lvl>
    <w:lvl w:ilvl="6" w:tplc="818EB08A" w:tentative="1">
      <w:start w:val="1"/>
      <w:numFmt w:val="decimal"/>
      <w:lvlText w:val="%7."/>
      <w:lvlJc w:val="left"/>
      <w:pPr>
        <w:ind w:left="6120" w:hanging="360"/>
      </w:pPr>
    </w:lvl>
    <w:lvl w:ilvl="7" w:tplc="41DAB2CC" w:tentative="1">
      <w:start w:val="1"/>
      <w:numFmt w:val="lowerLetter"/>
      <w:lvlText w:val="%8."/>
      <w:lvlJc w:val="left"/>
      <w:pPr>
        <w:ind w:left="6840" w:hanging="360"/>
      </w:pPr>
    </w:lvl>
    <w:lvl w:ilvl="8" w:tplc="C7DCD8BA" w:tentative="1">
      <w:start w:val="1"/>
      <w:numFmt w:val="lowerRoman"/>
      <w:lvlText w:val="%9."/>
      <w:lvlJc w:val="right"/>
      <w:pPr>
        <w:ind w:left="7560" w:hanging="180"/>
      </w:pPr>
    </w:lvl>
  </w:abstractNum>
  <w:abstractNum w:abstractNumId="1" w15:restartNumberingAfterBreak="0">
    <w:nsid w:val="0BC64D4D"/>
    <w:multiLevelType w:val="hybridMultilevel"/>
    <w:tmpl w:val="93546384"/>
    <w:lvl w:ilvl="0" w:tplc="E1807DB2">
      <w:start w:val="1"/>
      <w:numFmt w:val="bullet"/>
      <w:lvlText w:val=""/>
      <w:lvlJc w:val="left"/>
      <w:pPr>
        <w:ind w:left="720" w:hanging="360"/>
      </w:pPr>
      <w:rPr>
        <w:rFonts w:ascii="Symbol" w:hAnsi="Symbol" w:hint="default"/>
      </w:rPr>
    </w:lvl>
    <w:lvl w:ilvl="1" w:tplc="B792CE02">
      <w:start w:val="1"/>
      <w:numFmt w:val="bullet"/>
      <w:lvlText w:val="-"/>
      <w:lvlJc w:val="left"/>
      <w:pPr>
        <w:ind w:left="1440" w:hanging="360"/>
      </w:pPr>
      <w:rPr>
        <w:rFonts w:ascii="Calibri" w:eastAsiaTheme="minorHAnsi" w:hAnsi="Calibri" w:cs="Calibri" w:hint="default"/>
      </w:rPr>
    </w:lvl>
    <w:lvl w:ilvl="2" w:tplc="DF961F52" w:tentative="1">
      <w:start w:val="1"/>
      <w:numFmt w:val="lowerRoman"/>
      <w:lvlText w:val="%3."/>
      <w:lvlJc w:val="right"/>
      <w:pPr>
        <w:ind w:left="2160" w:hanging="180"/>
      </w:pPr>
    </w:lvl>
    <w:lvl w:ilvl="3" w:tplc="FC2249BE" w:tentative="1">
      <w:start w:val="1"/>
      <w:numFmt w:val="decimal"/>
      <w:lvlText w:val="%4."/>
      <w:lvlJc w:val="left"/>
      <w:pPr>
        <w:ind w:left="2880" w:hanging="360"/>
      </w:pPr>
    </w:lvl>
    <w:lvl w:ilvl="4" w:tplc="6D04C12E" w:tentative="1">
      <w:start w:val="1"/>
      <w:numFmt w:val="lowerLetter"/>
      <w:lvlText w:val="%5."/>
      <w:lvlJc w:val="left"/>
      <w:pPr>
        <w:ind w:left="3600" w:hanging="360"/>
      </w:pPr>
    </w:lvl>
    <w:lvl w:ilvl="5" w:tplc="A4D65628" w:tentative="1">
      <w:start w:val="1"/>
      <w:numFmt w:val="lowerRoman"/>
      <w:lvlText w:val="%6."/>
      <w:lvlJc w:val="right"/>
      <w:pPr>
        <w:ind w:left="4320" w:hanging="180"/>
      </w:pPr>
    </w:lvl>
    <w:lvl w:ilvl="6" w:tplc="B396F856" w:tentative="1">
      <w:start w:val="1"/>
      <w:numFmt w:val="decimal"/>
      <w:lvlText w:val="%7."/>
      <w:lvlJc w:val="left"/>
      <w:pPr>
        <w:ind w:left="5040" w:hanging="360"/>
      </w:pPr>
    </w:lvl>
    <w:lvl w:ilvl="7" w:tplc="8FCE4484" w:tentative="1">
      <w:start w:val="1"/>
      <w:numFmt w:val="lowerLetter"/>
      <w:lvlText w:val="%8."/>
      <w:lvlJc w:val="left"/>
      <w:pPr>
        <w:ind w:left="5760" w:hanging="360"/>
      </w:pPr>
    </w:lvl>
    <w:lvl w:ilvl="8" w:tplc="FE12B794" w:tentative="1">
      <w:start w:val="1"/>
      <w:numFmt w:val="lowerRoman"/>
      <w:lvlText w:val="%9."/>
      <w:lvlJc w:val="right"/>
      <w:pPr>
        <w:ind w:left="6480" w:hanging="180"/>
      </w:pPr>
    </w:lvl>
  </w:abstractNum>
  <w:abstractNum w:abstractNumId="2" w15:restartNumberingAfterBreak="0">
    <w:nsid w:val="0CD14CFE"/>
    <w:multiLevelType w:val="hybridMultilevel"/>
    <w:tmpl w:val="AF584812"/>
    <w:lvl w:ilvl="0" w:tplc="357E7D9E">
      <w:start w:val="1"/>
      <w:numFmt w:val="decimal"/>
      <w:lvlText w:val="%1."/>
      <w:lvlJc w:val="left"/>
      <w:pPr>
        <w:ind w:left="1080" w:hanging="360"/>
      </w:pPr>
      <w:rPr>
        <w:rFonts w:hint="default"/>
      </w:rPr>
    </w:lvl>
    <w:lvl w:ilvl="1" w:tplc="ABFC6420">
      <w:start w:val="1"/>
      <w:numFmt w:val="lowerRoman"/>
      <w:lvlText w:val="%2."/>
      <w:lvlJc w:val="right"/>
      <w:pPr>
        <w:ind w:left="1800" w:hanging="360"/>
      </w:pPr>
    </w:lvl>
    <w:lvl w:ilvl="2" w:tplc="931C1D3C">
      <w:start w:val="1"/>
      <w:numFmt w:val="lowerRoman"/>
      <w:lvlText w:val="%3."/>
      <w:lvlJc w:val="right"/>
      <w:pPr>
        <w:ind w:left="2520" w:hanging="180"/>
      </w:pPr>
    </w:lvl>
    <w:lvl w:ilvl="3" w:tplc="E07A4FFA" w:tentative="1">
      <w:start w:val="1"/>
      <w:numFmt w:val="decimal"/>
      <w:lvlText w:val="%4."/>
      <w:lvlJc w:val="left"/>
      <w:pPr>
        <w:ind w:left="3240" w:hanging="360"/>
      </w:pPr>
    </w:lvl>
    <w:lvl w:ilvl="4" w:tplc="7CBEF484" w:tentative="1">
      <w:start w:val="1"/>
      <w:numFmt w:val="lowerLetter"/>
      <w:lvlText w:val="%5."/>
      <w:lvlJc w:val="left"/>
      <w:pPr>
        <w:ind w:left="3960" w:hanging="360"/>
      </w:pPr>
    </w:lvl>
    <w:lvl w:ilvl="5" w:tplc="F85C6E92" w:tentative="1">
      <w:start w:val="1"/>
      <w:numFmt w:val="lowerRoman"/>
      <w:lvlText w:val="%6."/>
      <w:lvlJc w:val="right"/>
      <w:pPr>
        <w:ind w:left="4680" w:hanging="180"/>
      </w:pPr>
    </w:lvl>
    <w:lvl w:ilvl="6" w:tplc="73888666" w:tentative="1">
      <w:start w:val="1"/>
      <w:numFmt w:val="decimal"/>
      <w:lvlText w:val="%7."/>
      <w:lvlJc w:val="left"/>
      <w:pPr>
        <w:ind w:left="5400" w:hanging="360"/>
      </w:pPr>
    </w:lvl>
    <w:lvl w:ilvl="7" w:tplc="58F2C426" w:tentative="1">
      <w:start w:val="1"/>
      <w:numFmt w:val="lowerLetter"/>
      <w:lvlText w:val="%8."/>
      <w:lvlJc w:val="left"/>
      <w:pPr>
        <w:ind w:left="6120" w:hanging="360"/>
      </w:pPr>
    </w:lvl>
    <w:lvl w:ilvl="8" w:tplc="6D56DA06" w:tentative="1">
      <w:start w:val="1"/>
      <w:numFmt w:val="lowerRoman"/>
      <w:lvlText w:val="%9."/>
      <w:lvlJc w:val="right"/>
      <w:pPr>
        <w:ind w:left="6840" w:hanging="180"/>
      </w:pPr>
    </w:lvl>
  </w:abstractNum>
  <w:abstractNum w:abstractNumId="3" w15:restartNumberingAfterBreak="0">
    <w:nsid w:val="3069631A"/>
    <w:multiLevelType w:val="hybridMultilevel"/>
    <w:tmpl w:val="349A4404"/>
    <w:lvl w:ilvl="0" w:tplc="CD74860A">
      <w:start w:val="1"/>
      <w:numFmt w:val="lowerLetter"/>
      <w:lvlText w:val="%1)"/>
      <w:lvlJc w:val="left"/>
      <w:pPr>
        <w:ind w:left="2700" w:hanging="360"/>
      </w:pPr>
    </w:lvl>
    <w:lvl w:ilvl="1" w:tplc="D42E67F2" w:tentative="1">
      <w:start w:val="1"/>
      <w:numFmt w:val="lowerLetter"/>
      <w:lvlText w:val="%2."/>
      <w:lvlJc w:val="left"/>
      <w:pPr>
        <w:ind w:left="3420" w:hanging="360"/>
      </w:pPr>
    </w:lvl>
    <w:lvl w:ilvl="2" w:tplc="259E70B0" w:tentative="1">
      <w:start w:val="1"/>
      <w:numFmt w:val="lowerRoman"/>
      <w:lvlText w:val="%3."/>
      <w:lvlJc w:val="right"/>
      <w:pPr>
        <w:ind w:left="4140" w:hanging="180"/>
      </w:pPr>
    </w:lvl>
    <w:lvl w:ilvl="3" w:tplc="73F29C3A" w:tentative="1">
      <w:start w:val="1"/>
      <w:numFmt w:val="decimal"/>
      <w:lvlText w:val="%4."/>
      <w:lvlJc w:val="left"/>
      <w:pPr>
        <w:ind w:left="4860" w:hanging="360"/>
      </w:pPr>
    </w:lvl>
    <w:lvl w:ilvl="4" w:tplc="F21A640E" w:tentative="1">
      <w:start w:val="1"/>
      <w:numFmt w:val="lowerLetter"/>
      <w:lvlText w:val="%5."/>
      <w:lvlJc w:val="left"/>
      <w:pPr>
        <w:ind w:left="5580" w:hanging="360"/>
      </w:pPr>
    </w:lvl>
    <w:lvl w:ilvl="5" w:tplc="065C552C" w:tentative="1">
      <w:start w:val="1"/>
      <w:numFmt w:val="lowerRoman"/>
      <w:lvlText w:val="%6."/>
      <w:lvlJc w:val="right"/>
      <w:pPr>
        <w:ind w:left="6300" w:hanging="180"/>
      </w:pPr>
    </w:lvl>
    <w:lvl w:ilvl="6" w:tplc="F6EA00D8" w:tentative="1">
      <w:start w:val="1"/>
      <w:numFmt w:val="decimal"/>
      <w:lvlText w:val="%7."/>
      <w:lvlJc w:val="left"/>
      <w:pPr>
        <w:ind w:left="7020" w:hanging="360"/>
      </w:pPr>
    </w:lvl>
    <w:lvl w:ilvl="7" w:tplc="C1B0FCC4" w:tentative="1">
      <w:start w:val="1"/>
      <w:numFmt w:val="lowerLetter"/>
      <w:lvlText w:val="%8."/>
      <w:lvlJc w:val="left"/>
      <w:pPr>
        <w:ind w:left="7740" w:hanging="360"/>
      </w:pPr>
    </w:lvl>
    <w:lvl w:ilvl="8" w:tplc="ADCAC03A" w:tentative="1">
      <w:start w:val="1"/>
      <w:numFmt w:val="lowerRoman"/>
      <w:lvlText w:val="%9."/>
      <w:lvlJc w:val="right"/>
      <w:pPr>
        <w:ind w:left="8460" w:hanging="180"/>
      </w:pPr>
    </w:lvl>
  </w:abstractNum>
  <w:abstractNum w:abstractNumId="4" w15:restartNumberingAfterBreak="0">
    <w:nsid w:val="43EB4822"/>
    <w:multiLevelType w:val="multilevel"/>
    <w:tmpl w:val="949C98E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81C5228"/>
    <w:multiLevelType w:val="hybridMultilevel"/>
    <w:tmpl w:val="43C4434A"/>
    <w:lvl w:ilvl="0" w:tplc="4F2CE096">
      <w:start w:val="1"/>
      <w:numFmt w:val="lowerLetter"/>
      <w:lvlText w:val="%1)"/>
      <w:lvlJc w:val="left"/>
      <w:pPr>
        <w:ind w:left="1080" w:hanging="360"/>
      </w:pPr>
      <w:rPr>
        <w:rFonts w:hint="default"/>
      </w:rPr>
    </w:lvl>
    <w:lvl w:ilvl="1" w:tplc="8580E8B4">
      <w:start w:val="1"/>
      <w:numFmt w:val="lowerLetter"/>
      <w:lvlText w:val="%2."/>
      <w:lvlJc w:val="left"/>
      <w:pPr>
        <w:ind w:left="1800" w:hanging="360"/>
      </w:pPr>
    </w:lvl>
    <w:lvl w:ilvl="2" w:tplc="EDF6897A">
      <w:start w:val="1"/>
      <w:numFmt w:val="lowerLetter"/>
      <w:lvlText w:val="%3)"/>
      <w:lvlJc w:val="left"/>
      <w:pPr>
        <w:ind w:left="2520" w:hanging="180"/>
      </w:pPr>
    </w:lvl>
    <w:lvl w:ilvl="3" w:tplc="9BE2BB56" w:tentative="1">
      <w:start w:val="1"/>
      <w:numFmt w:val="decimal"/>
      <w:lvlText w:val="%4."/>
      <w:lvlJc w:val="left"/>
      <w:pPr>
        <w:ind w:left="3240" w:hanging="360"/>
      </w:pPr>
    </w:lvl>
    <w:lvl w:ilvl="4" w:tplc="6344BCE0" w:tentative="1">
      <w:start w:val="1"/>
      <w:numFmt w:val="lowerLetter"/>
      <w:lvlText w:val="%5."/>
      <w:lvlJc w:val="left"/>
      <w:pPr>
        <w:ind w:left="3960" w:hanging="360"/>
      </w:pPr>
    </w:lvl>
    <w:lvl w:ilvl="5" w:tplc="672676DA" w:tentative="1">
      <w:start w:val="1"/>
      <w:numFmt w:val="lowerRoman"/>
      <w:lvlText w:val="%6."/>
      <w:lvlJc w:val="right"/>
      <w:pPr>
        <w:ind w:left="4680" w:hanging="180"/>
      </w:pPr>
    </w:lvl>
    <w:lvl w:ilvl="6" w:tplc="03E855A8" w:tentative="1">
      <w:start w:val="1"/>
      <w:numFmt w:val="decimal"/>
      <w:lvlText w:val="%7."/>
      <w:lvlJc w:val="left"/>
      <w:pPr>
        <w:ind w:left="5400" w:hanging="360"/>
      </w:pPr>
    </w:lvl>
    <w:lvl w:ilvl="7" w:tplc="74EE4AEA" w:tentative="1">
      <w:start w:val="1"/>
      <w:numFmt w:val="lowerLetter"/>
      <w:lvlText w:val="%8."/>
      <w:lvlJc w:val="left"/>
      <w:pPr>
        <w:ind w:left="6120" w:hanging="360"/>
      </w:pPr>
    </w:lvl>
    <w:lvl w:ilvl="8" w:tplc="538E09F6" w:tentative="1">
      <w:start w:val="1"/>
      <w:numFmt w:val="lowerRoman"/>
      <w:lvlText w:val="%9."/>
      <w:lvlJc w:val="right"/>
      <w:pPr>
        <w:ind w:left="6840" w:hanging="180"/>
      </w:pPr>
    </w:lvl>
  </w:abstractNum>
  <w:abstractNum w:abstractNumId="6" w15:restartNumberingAfterBreak="0">
    <w:nsid w:val="6A56430A"/>
    <w:multiLevelType w:val="hybridMultilevel"/>
    <w:tmpl w:val="5C743A30"/>
    <w:lvl w:ilvl="0" w:tplc="BE9A96FA">
      <w:start w:val="1"/>
      <w:numFmt w:val="decimal"/>
      <w:lvlText w:val="%1."/>
      <w:lvlJc w:val="left"/>
      <w:pPr>
        <w:ind w:left="720" w:hanging="360"/>
      </w:pPr>
    </w:lvl>
    <w:lvl w:ilvl="1" w:tplc="6B52C6A8">
      <w:start w:val="1"/>
      <w:numFmt w:val="lowerRoman"/>
      <w:lvlText w:val="%2."/>
      <w:lvlJc w:val="right"/>
      <w:pPr>
        <w:ind w:left="1440" w:hanging="360"/>
      </w:pPr>
    </w:lvl>
    <w:lvl w:ilvl="2" w:tplc="9FB21324">
      <w:start w:val="1"/>
      <w:numFmt w:val="lowerRoman"/>
      <w:lvlText w:val="%3."/>
      <w:lvlJc w:val="right"/>
      <w:pPr>
        <w:ind w:left="2160" w:hanging="180"/>
      </w:pPr>
    </w:lvl>
    <w:lvl w:ilvl="3" w:tplc="A248239E" w:tentative="1">
      <w:start w:val="1"/>
      <w:numFmt w:val="decimal"/>
      <w:lvlText w:val="%4."/>
      <w:lvlJc w:val="left"/>
      <w:pPr>
        <w:ind w:left="2880" w:hanging="360"/>
      </w:pPr>
    </w:lvl>
    <w:lvl w:ilvl="4" w:tplc="BEC40A9E" w:tentative="1">
      <w:start w:val="1"/>
      <w:numFmt w:val="lowerLetter"/>
      <w:lvlText w:val="%5."/>
      <w:lvlJc w:val="left"/>
      <w:pPr>
        <w:ind w:left="3600" w:hanging="360"/>
      </w:pPr>
    </w:lvl>
    <w:lvl w:ilvl="5" w:tplc="A538F838" w:tentative="1">
      <w:start w:val="1"/>
      <w:numFmt w:val="lowerRoman"/>
      <w:lvlText w:val="%6."/>
      <w:lvlJc w:val="right"/>
      <w:pPr>
        <w:ind w:left="4320" w:hanging="180"/>
      </w:pPr>
    </w:lvl>
    <w:lvl w:ilvl="6" w:tplc="38B02C32" w:tentative="1">
      <w:start w:val="1"/>
      <w:numFmt w:val="decimal"/>
      <w:lvlText w:val="%7."/>
      <w:lvlJc w:val="left"/>
      <w:pPr>
        <w:ind w:left="5040" w:hanging="360"/>
      </w:pPr>
    </w:lvl>
    <w:lvl w:ilvl="7" w:tplc="C834F9F6" w:tentative="1">
      <w:start w:val="1"/>
      <w:numFmt w:val="lowerLetter"/>
      <w:lvlText w:val="%8."/>
      <w:lvlJc w:val="left"/>
      <w:pPr>
        <w:ind w:left="5760" w:hanging="360"/>
      </w:pPr>
    </w:lvl>
    <w:lvl w:ilvl="8" w:tplc="1F58E2DC"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00A"/>
    <w:rsid w:val="00131E69"/>
    <w:rsid w:val="00147915"/>
    <w:rsid w:val="00160EA4"/>
    <w:rsid w:val="00167C4C"/>
    <w:rsid w:val="0085361D"/>
    <w:rsid w:val="00952434"/>
    <w:rsid w:val="009C400A"/>
    <w:rsid w:val="00CF07B5"/>
    <w:rsid w:val="00D66234"/>
    <w:rsid w:val="00E84E53"/>
    <w:rsid w:val="00F45880"/>
    <w:rsid w:val="00F56A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21874-659C-4D20-A30E-7EF1E641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9C400A"/>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9C400A"/>
  </w:style>
  <w:style w:type="paragraph" w:styleId="NormalWeb">
    <w:name w:val="Normal (Web)"/>
    <w:basedOn w:val="Normal"/>
    <w:uiPriority w:val="99"/>
    <w:unhideWhenUsed/>
    <w:rsid w:val="009C400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9C40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400A"/>
    <w:rPr>
      <w:sz w:val="20"/>
      <w:szCs w:val="20"/>
    </w:rPr>
  </w:style>
  <w:style w:type="character" w:styleId="FootnoteReference">
    <w:name w:val="footnote reference"/>
    <w:basedOn w:val="DefaultParagraphFont"/>
    <w:uiPriority w:val="99"/>
    <w:semiHidden/>
    <w:unhideWhenUsed/>
    <w:rsid w:val="009C400A"/>
    <w:rPr>
      <w:vertAlign w:val="superscript"/>
    </w:rPr>
  </w:style>
  <w:style w:type="paragraph" w:styleId="BalloonText">
    <w:name w:val="Balloon Text"/>
    <w:basedOn w:val="Normal"/>
    <w:link w:val="BalloonTextChar"/>
    <w:uiPriority w:val="99"/>
    <w:semiHidden/>
    <w:unhideWhenUsed/>
    <w:rsid w:val="00131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E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744BD078.dotm</Template>
  <TotalTime>3</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RATLIFF,Vicki</dc:creator>
  <cp:keywords/>
  <dc:description/>
  <cp:lastModifiedBy>GEE,Nick</cp:lastModifiedBy>
  <cp:revision>5</cp:revision>
  <cp:lastPrinted>2018-09-10T01:23:00Z</cp:lastPrinted>
  <dcterms:created xsi:type="dcterms:W3CDTF">2018-10-01T04:32:00Z</dcterms:created>
  <dcterms:modified xsi:type="dcterms:W3CDTF">2018-11-05T00:28:00Z</dcterms:modified>
</cp:coreProperties>
</file>