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0B82" w14:textId="77777777" w:rsidR="009B064E" w:rsidRDefault="009B064E" w:rsidP="009B064E">
      <w:pPr>
        <w:pStyle w:val="Pa12"/>
        <w:jc w:val="center"/>
        <w:rPr>
          <w:rFonts w:ascii="Times New Roman" w:hAnsi="Times New Roman" w:cs="Times New Roman"/>
          <w:b/>
          <w:bCs/>
          <w:sz w:val="32"/>
          <w:szCs w:val="32"/>
          <w:lang w:val="en-AU"/>
        </w:rPr>
      </w:pPr>
    </w:p>
    <w:p w14:paraId="39334A53" w14:textId="77777777" w:rsidR="009B064E" w:rsidRPr="00AB20F0" w:rsidRDefault="009B064E" w:rsidP="009B064E">
      <w:pPr>
        <w:pStyle w:val="Pa12"/>
        <w:jc w:val="center"/>
        <w:rPr>
          <w:rFonts w:ascii="Times New Roman" w:hAnsi="Times New Roman" w:cs="Times New Roman"/>
          <w:b/>
          <w:bCs/>
          <w:sz w:val="32"/>
          <w:szCs w:val="32"/>
          <w:lang w:val="en-AU"/>
        </w:rPr>
      </w:pPr>
      <w:r>
        <w:rPr>
          <w:rFonts w:ascii="Times New Roman" w:hAnsi="Times New Roman" w:cs="Times New Roman"/>
          <w:b/>
          <w:bCs/>
          <w:noProof/>
          <w:sz w:val="32"/>
          <w:szCs w:val="32"/>
          <w:lang w:val="en-AU" w:eastAsia="en-AU"/>
        </w:rPr>
        <mc:AlternateContent>
          <mc:Choice Requires="wpg">
            <w:drawing>
              <wp:anchor distT="0" distB="0" distL="114300" distR="114300" simplePos="0" relativeHeight="251659264" behindDoc="0" locked="0" layoutInCell="1" allowOverlap="1" wp14:anchorId="69481169" wp14:editId="0CD0C8AE">
                <wp:simplePos x="0" y="0"/>
                <wp:positionH relativeFrom="column">
                  <wp:posOffset>10160</wp:posOffset>
                </wp:positionH>
                <wp:positionV relativeFrom="paragraph">
                  <wp:posOffset>69688</wp:posOffset>
                </wp:positionV>
                <wp:extent cx="4377055" cy="1016635"/>
                <wp:effectExtent l="0" t="0" r="4445"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055" cy="1016635"/>
                          <a:chOff x="441" y="544"/>
                          <a:chExt cx="5553" cy="1048"/>
                        </a:xfrm>
                      </wpg:grpSpPr>
                      <pic:pic xmlns:pic="http://schemas.openxmlformats.org/drawingml/2006/picture">
                        <pic:nvPicPr>
                          <pic:cNvPr id="12"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86"/>
                              </w:tblGrid>
                              <w:tr w:rsidR="0038422C" w:rsidRPr="00E6260A" w14:paraId="26E77FDA" w14:textId="77777777" w:rsidTr="004358DE">
                                <w:trPr>
                                  <w:trHeight w:hRule="exact" w:val="340"/>
                                </w:trPr>
                                <w:tc>
                                  <w:tcPr>
                                    <w:tcW w:w="3686" w:type="dxa"/>
                                    <w:tcBorders>
                                      <w:top w:val="nil"/>
                                      <w:left w:val="nil"/>
                                      <w:right w:val="nil"/>
                                    </w:tcBorders>
                                  </w:tcPr>
                                  <w:p w14:paraId="1BA86997" w14:textId="77777777" w:rsidR="0038422C" w:rsidRPr="00E6260A" w:rsidRDefault="0038422C" w:rsidP="004358DE">
                                    <w:pPr>
                                      <w:pStyle w:val="Heading2"/>
                                      <w:numPr>
                                        <w:ilvl w:val="0"/>
                                        <w:numId w:val="0"/>
                                      </w:numPr>
                                      <w:spacing w:before="60" w:line="240" w:lineRule="atLeast"/>
                                      <w:ind w:left="576" w:right="-113" w:hanging="576"/>
                                      <w:rPr>
                                        <w:rFonts w:ascii="Times New Roman" w:hAnsi="Times New Roman" w:cs="Times New Roman"/>
                                        <w:bCs w:val="0"/>
                                        <w:i w:val="0"/>
                                        <w:sz w:val="22"/>
                                        <w:szCs w:val="22"/>
                                      </w:rPr>
                                    </w:pPr>
                                    <w:r>
                                      <w:rPr>
                                        <w:rFonts w:ascii="Times New Roman" w:hAnsi="Times New Roman" w:cs="Times New Roman"/>
                                        <w:bCs w:val="0"/>
                                        <w:i w:val="0"/>
                                        <w:sz w:val="22"/>
                                        <w:szCs w:val="22"/>
                                      </w:rPr>
                                      <w:t>Australian</w:t>
                                    </w:r>
                                    <w:r w:rsidRPr="00E6260A">
                                      <w:rPr>
                                        <w:rFonts w:ascii="Times New Roman" w:hAnsi="Times New Roman" w:cs="Times New Roman"/>
                                        <w:bCs w:val="0"/>
                                        <w:i w:val="0"/>
                                        <w:sz w:val="22"/>
                                        <w:szCs w:val="22"/>
                                      </w:rPr>
                                      <w:t xml:space="preserve"> Government</w:t>
                                    </w:r>
                                  </w:p>
                                </w:tc>
                              </w:tr>
                              <w:tr w:rsidR="0038422C" w:rsidRPr="00573115" w14:paraId="6F7F8E19" w14:textId="77777777" w:rsidTr="004358DE">
                                <w:trPr>
                                  <w:trHeight w:hRule="exact" w:val="376"/>
                                </w:trPr>
                                <w:tc>
                                  <w:tcPr>
                                    <w:tcW w:w="3686" w:type="dxa"/>
                                    <w:tcBorders>
                                      <w:left w:val="nil"/>
                                      <w:bottom w:val="nil"/>
                                      <w:right w:val="nil"/>
                                    </w:tcBorders>
                                  </w:tcPr>
                                  <w:p w14:paraId="1A20984D" w14:textId="581CED88" w:rsidR="0038422C" w:rsidRPr="00573115" w:rsidRDefault="0038422C" w:rsidP="00E72115">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r>
                                      <w:rPr>
                                        <w:rFonts w:ascii="Times New Roman" w:hAnsi="Times New Roman" w:cs="Times New Roman"/>
                                        <w:bCs w:val="0"/>
                                        <w:i w:val="0"/>
                                        <w:sz w:val="22"/>
                                        <w:szCs w:val="22"/>
                                      </w:rPr>
                                      <w:t xml:space="preserve">  Department of Education</w:t>
                                    </w:r>
                                  </w:p>
                                </w:tc>
                              </w:tr>
                            </w:tbl>
                            <w:p w14:paraId="0B7B43E8" w14:textId="77777777" w:rsidR="0038422C" w:rsidRPr="00573115" w:rsidRDefault="0038422C" w:rsidP="009B064E">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81169" id="Group 12" o:spid="_x0000_s1026" style="position:absolute;left:0;text-align:left;margin-left:.8pt;margin-top:5.5pt;width:344.65pt;height:80.05pt;z-index:251659264"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86"/>
                        </w:tblGrid>
                        <w:tr w:rsidR="0038422C" w:rsidRPr="00E6260A" w14:paraId="26E77FDA" w14:textId="77777777" w:rsidTr="004358DE">
                          <w:trPr>
                            <w:trHeight w:hRule="exact" w:val="340"/>
                          </w:trPr>
                          <w:tc>
                            <w:tcPr>
                              <w:tcW w:w="3686" w:type="dxa"/>
                              <w:tcBorders>
                                <w:top w:val="nil"/>
                                <w:left w:val="nil"/>
                                <w:right w:val="nil"/>
                              </w:tcBorders>
                            </w:tcPr>
                            <w:p w14:paraId="1BA86997" w14:textId="77777777" w:rsidR="0038422C" w:rsidRPr="00E6260A" w:rsidRDefault="0038422C" w:rsidP="004358DE">
                              <w:pPr>
                                <w:pStyle w:val="Heading2"/>
                                <w:numPr>
                                  <w:ilvl w:val="0"/>
                                  <w:numId w:val="0"/>
                                </w:numPr>
                                <w:spacing w:before="60" w:line="240" w:lineRule="atLeast"/>
                                <w:ind w:left="576" w:right="-113" w:hanging="576"/>
                                <w:rPr>
                                  <w:rFonts w:ascii="Times New Roman" w:hAnsi="Times New Roman" w:cs="Times New Roman"/>
                                  <w:bCs w:val="0"/>
                                  <w:i w:val="0"/>
                                  <w:sz w:val="22"/>
                                  <w:szCs w:val="22"/>
                                </w:rPr>
                              </w:pPr>
                              <w:r>
                                <w:rPr>
                                  <w:rFonts w:ascii="Times New Roman" w:hAnsi="Times New Roman" w:cs="Times New Roman"/>
                                  <w:bCs w:val="0"/>
                                  <w:i w:val="0"/>
                                  <w:sz w:val="22"/>
                                  <w:szCs w:val="22"/>
                                </w:rPr>
                                <w:t>Australian</w:t>
                              </w:r>
                              <w:r w:rsidRPr="00E6260A">
                                <w:rPr>
                                  <w:rFonts w:ascii="Times New Roman" w:hAnsi="Times New Roman" w:cs="Times New Roman"/>
                                  <w:bCs w:val="0"/>
                                  <w:i w:val="0"/>
                                  <w:sz w:val="22"/>
                                  <w:szCs w:val="22"/>
                                </w:rPr>
                                <w:t xml:space="preserve"> Government</w:t>
                              </w:r>
                            </w:p>
                          </w:tc>
                        </w:tr>
                        <w:tr w:rsidR="0038422C" w:rsidRPr="00573115" w14:paraId="6F7F8E19" w14:textId="77777777" w:rsidTr="004358DE">
                          <w:trPr>
                            <w:trHeight w:hRule="exact" w:val="376"/>
                          </w:trPr>
                          <w:tc>
                            <w:tcPr>
                              <w:tcW w:w="3686" w:type="dxa"/>
                              <w:tcBorders>
                                <w:left w:val="nil"/>
                                <w:bottom w:val="nil"/>
                                <w:right w:val="nil"/>
                              </w:tcBorders>
                            </w:tcPr>
                            <w:p w14:paraId="1A20984D" w14:textId="581CED88" w:rsidR="0038422C" w:rsidRPr="00573115" w:rsidRDefault="0038422C" w:rsidP="00E72115">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r>
                                <w:rPr>
                                  <w:rFonts w:ascii="Times New Roman" w:hAnsi="Times New Roman" w:cs="Times New Roman"/>
                                  <w:bCs w:val="0"/>
                                  <w:i w:val="0"/>
                                  <w:sz w:val="22"/>
                                  <w:szCs w:val="22"/>
                                </w:rPr>
                                <w:t xml:space="preserve">  Department of Education</w:t>
                              </w:r>
                            </w:p>
                          </w:tc>
                        </w:tr>
                      </w:tbl>
                      <w:p w14:paraId="0B7B43E8" w14:textId="77777777" w:rsidR="0038422C" w:rsidRPr="00573115" w:rsidRDefault="0038422C" w:rsidP="009B064E">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p>
                    </w:txbxContent>
                  </v:textbox>
                </v:shape>
              </v:group>
            </w:pict>
          </mc:Fallback>
        </mc:AlternateContent>
      </w:r>
    </w:p>
    <w:p w14:paraId="7FB732A8" w14:textId="77777777" w:rsidR="009B064E" w:rsidRPr="00AB20F0" w:rsidRDefault="009B064E" w:rsidP="009B064E"/>
    <w:p w14:paraId="321F5570" w14:textId="77777777" w:rsidR="009B064E" w:rsidRPr="00AB20F0" w:rsidRDefault="009B064E" w:rsidP="009B064E"/>
    <w:p w14:paraId="771D6DA5" w14:textId="77777777" w:rsidR="009B064E" w:rsidRPr="00AB20F0" w:rsidRDefault="009B064E" w:rsidP="009B064E">
      <w:pPr>
        <w:rPr>
          <w:rFonts w:asciiTheme="minorHAnsi" w:hAnsiTheme="minorHAnsi"/>
        </w:rPr>
      </w:pPr>
    </w:p>
    <w:p w14:paraId="3F04497A" w14:textId="77777777" w:rsidR="009B064E" w:rsidRDefault="009B064E" w:rsidP="009B064E">
      <w:pPr>
        <w:pStyle w:val="Pa12"/>
        <w:jc w:val="center"/>
        <w:rPr>
          <w:rFonts w:asciiTheme="minorHAnsi" w:hAnsiTheme="minorHAnsi" w:cs="Times New Roman"/>
          <w:b/>
          <w:bCs/>
          <w:sz w:val="32"/>
          <w:szCs w:val="32"/>
          <w:lang w:val="en-AU"/>
        </w:rPr>
      </w:pPr>
      <w:bookmarkStart w:id="0" w:name="OLE_LINK4"/>
      <w:bookmarkStart w:id="1" w:name="OLE_LINK5"/>
    </w:p>
    <w:p w14:paraId="2283B4F3" w14:textId="77777777" w:rsidR="009B064E" w:rsidRPr="005C7164" w:rsidRDefault="009B064E" w:rsidP="009B064E">
      <w:pPr>
        <w:pStyle w:val="Pa12"/>
        <w:jc w:val="center"/>
        <w:rPr>
          <w:rFonts w:asciiTheme="minorHAnsi" w:hAnsiTheme="minorHAnsi" w:cs="Times New Roman"/>
          <w:b/>
          <w:bCs/>
          <w:sz w:val="32"/>
          <w:szCs w:val="32"/>
          <w:lang w:val="en-AU"/>
        </w:rPr>
      </w:pPr>
    </w:p>
    <w:p w14:paraId="31C189C6" w14:textId="77777777" w:rsidR="009B064E" w:rsidRDefault="009B064E" w:rsidP="009B064E">
      <w:pPr>
        <w:pStyle w:val="Pa12"/>
        <w:jc w:val="center"/>
        <w:rPr>
          <w:rFonts w:asciiTheme="minorHAnsi" w:hAnsiTheme="minorHAnsi" w:cs="Times New Roman"/>
          <w:b/>
          <w:bCs/>
          <w:sz w:val="32"/>
          <w:szCs w:val="32"/>
          <w:lang w:val="en-AU"/>
        </w:rPr>
      </w:pPr>
    </w:p>
    <w:p w14:paraId="68CF2CF2" w14:textId="77777777" w:rsidR="009B064E" w:rsidRPr="0049314F" w:rsidRDefault="009B064E" w:rsidP="009B064E">
      <w:pPr>
        <w:pStyle w:val="Pa12"/>
        <w:jc w:val="center"/>
        <w:rPr>
          <w:rFonts w:asciiTheme="minorHAnsi" w:hAnsiTheme="minorHAnsi" w:cs="Times New Roman"/>
          <w:i/>
          <w:iCs/>
          <w:u w:val="single"/>
          <w:lang w:val="en-AU"/>
        </w:rPr>
      </w:pPr>
      <w:r w:rsidRPr="0049314F">
        <w:rPr>
          <w:rFonts w:asciiTheme="minorHAnsi" w:hAnsiTheme="minorHAnsi" w:cs="Times New Roman"/>
          <w:b/>
          <w:bCs/>
          <w:sz w:val="32"/>
          <w:szCs w:val="32"/>
          <w:lang w:val="en-AU"/>
        </w:rPr>
        <w:t>COST RECOVERY</w:t>
      </w:r>
      <w:bookmarkStart w:id="2" w:name="_GoBack"/>
      <w:bookmarkEnd w:id="2"/>
      <w:r w:rsidRPr="0049314F">
        <w:rPr>
          <w:rFonts w:asciiTheme="minorHAnsi" w:hAnsiTheme="minorHAnsi" w:cs="Times New Roman"/>
          <w:b/>
          <w:bCs/>
          <w:sz w:val="32"/>
          <w:szCs w:val="32"/>
          <w:lang w:val="en-AU"/>
        </w:rPr>
        <w:t xml:space="preserve"> IMPLEMENTATION STATEMENT</w:t>
      </w:r>
    </w:p>
    <w:bookmarkEnd w:id="0"/>
    <w:bookmarkEnd w:id="1"/>
    <w:p w14:paraId="6EFC2CB5" w14:textId="77777777" w:rsidR="009B064E" w:rsidRPr="0049314F" w:rsidRDefault="009B064E" w:rsidP="009B064E">
      <w:pPr>
        <w:pStyle w:val="Pa12"/>
        <w:jc w:val="center"/>
        <w:rPr>
          <w:rFonts w:asciiTheme="minorHAnsi" w:hAnsiTheme="minorHAnsi"/>
          <w:b/>
          <w:sz w:val="32"/>
          <w:szCs w:val="32"/>
          <w:lang w:val="en-AU"/>
        </w:rPr>
      </w:pPr>
      <w:r w:rsidRPr="00AB20F0">
        <w:rPr>
          <w:rFonts w:asciiTheme="minorHAnsi" w:hAnsiTheme="minorHAnsi" w:cs="Times New Roman"/>
          <w:b/>
          <w:bCs/>
          <w:color w:val="595959" w:themeColor="text1" w:themeTint="A6"/>
          <w:sz w:val="32"/>
          <w:szCs w:val="32"/>
          <w:lang w:val="en-AU"/>
        </w:rPr>
        <w:t xml:space="preserve"> </w:t>
      </w:r>
      <w:r>
        <w:rPr>
          <w:rFonts w:asciiTheme="minorHAnsi" w:hAnsiTheme="minorHAnsi" w:cs="Times New Roman"/>
          <w:b/>
          <w:bCs/>
          <w:sz w:val="32"/>
          <w:szCs w:val="32"/>
          <w:lang w:val="en-AU"/>
        </w:rPr>
        <w:t>Cost recovery activities for the HECS-HELP and FEE-HELP programs</w:t>
      </w:r>
      <w:r w:rsidRPr="0049314F">
        <w:rPr>
          <w:lang w:val="en-AU"/>
        </w:rPr>
        <w:t xml:space="preserve"> </w:t>
      </w:r>
    </w:p>
    <w:p w14:paraId="5B4C1210" w14:textId="0247BF64" w:rsidR="009B064E" w:rsidRPr="00573115" w:rsidRDefault="009B064E" w:rsidP="009B064E">
      <w:pPr>
        <w:pStyle w:val="Pa4"/>
        <w:widowControl/>
        <w:autoSpaceDE/>
        <w:autoSpaceDN/>
        <w:adjustRightInd/>
        <w:spacing w:after="0" w:line="240" w:lineRule="auto"/>
        <w:jc w:val="center"/>
        <w:rPr>
          <w:rFonts w:asciiTheme="minorHAnsi" w:hAnsiTheme="minorHAnsi"/>
          <w:b/>
          <w:i/>
          <w:sz w:val="32"/>
          <w:szCs w:val="32"/>
          <w:lang w:val="en-AU"/>
        </w:rPr>
      </w:pPr>
      <w:r w:rsidRPr="0049314F">
        <w:rPr>
          <w:rFonts w:asciiTheme="minorHAnsi" w:hAnsiTheme="minorHAnsi"/>
          <w:b/>
          <w:sz w:val="32"/>
          <w:szCs w:val="32"/>
          <w:lang w:val="en-AU"/>
        </w:rPr>
        <w:t xml:space="preserve"> </w:t>
      </w:r>
      <w:r>
        <w:rPr>
          <w:rFonts w:asciiTheme="minorHAnsi" w:hAnsiTheme="minorHAnsi"/>
          <w:b/>
          <w:sz w:val="32"/>
          <w:szCs w:val="32"/>
          <w:lang w:val="en-AU"/>
        </w:rPr>
        <w:t xml:space="preserve">Financial Year </w:t>
      </w:r>
      <w:r w:rsidR="003D6D6D">
        <w:rPr>
          <w:rFonts w:asciiTheme="minorHAnsi" w:hAnsiTheme="minorHAnsi"/>
          <w:b/>
          <w:sz w:val="32"/>
          <w:szCs w:val="32"/>
          <w:lang w:val="en-AU"/>
        </w:rPr>
        <w:t>2019-20</w:t>
      </w:r>
    </w:p>
    <w:p w14:paraId="105DE8D3" w14:textId="77777777" w:rsidR="009B064E" w:rsidRPr="005253CB" w:rsidRDefault="009B064E" w:rsidP="009B064E">
      <w:pPr>
        <w:pStyle w:val="Pa12"/>
        <w:jc w:val="center"/>
        <w:rPr>
          <w:rFonts w:asciiTheme="minorHAnsi" w:hAnsiTheme="minorHAnsi"/>
          <w:b/>
          <w:sz w:val="32"/>
          <w:szCs w:val="32"/>
          <w:lang w:val="en-AU"/>
        </w:rPr>
      </w:pPr>
    </w:p>
    <w:p w14:paraId="7DB9A789" w14:textId="73DC0D55" w:rsidR="009B064E" w:rsidRPr="00DB1B46" w:rsidRDefault="00DB1B46" w:rsidP="00DB1B46">
      <w:pPr>
        <w:keepNext/>
        <w:keepLines/>
        <w:rPr>
          <w:rFonts w:asciiTheme="minorHAnsi" w:eastAsia="SimSun" w:hAnsiTheme="minorHAnsi"/>
          <w:iCs/>
          <w:lang w:eastAsia="en-AU"/>
        </w:rPr>
      </w:pPr>
      <w:r w:rsidRPr="00DB1B46">
        <w:rPr>
          <w:rFonts w:asciiTheme="minorHAnsi" w:eastAsia="SimSun" w:hAnsiTheme="minorHAnsi"/>
          <w:iCs/>
          <w:lang w:eastAsia="en-AU"/>
        </w:rPr>
        <w:t>Cost recovery involves government entities charging individuals or non-government organisations some or all of the efficient costs of a regulatory activity. This may include goods, services or regulation, or a combination of them. The Australian Government Charging Framework</w:t>
      </w:r>
      <w:r w:rsidR="00EC7C39">
        <w:rPr>
          <w:rFonts w:asciiTheme="minorHAnsi" w:eastAsia="SimSun" w:hAnsiTheme="minorHAnsi"/>
          <w:iCs/>
          <w:lang w:eastAsia="en-AU"/>
        </w:rPr>
        <w:t xml:space="preserve"> (Charging Frame</w:t>
      </w:r>
      <w:r w:rsidR="006B4BFC">
        <w:rPr>
          <w:rFonts w:asciiTheme="minorHAnsi" w:eastAsia="SimSun" w:hAnsiTheme="minorHAnsi"/>
          <w:iCs/>
          <w:lang w:eastAsia="en-AU"/>
        </w:rPr>
        <w:t>w</w:t>
      </w:r>
      <w:r w:rsidR="00EC7C39">
        <w:rPr>
          <w:rFonts w:asciiTheme="minorHAnsi" w:eastAsia="SimSun" w:hAnsiTheme="minorHAnsi"/>
          <w:iCs/>
          <w:lang w:eastAsia="en-AU"/>
        </w:rPr>
        <w:t>o</w:t>
      </w:r>
      <w:r w:rsidR="006B4BFC">
        <w:rPr>
          <w:rFonts w:asciiTheme="minorHAnsi" w:eastAsia="SimSun" w:hAnsiTheme="minorHAnsi"/>
          <w:iCs/>
          <w:lang w:eastAsia="en-AU"/>
        </w:rPr>
        <w:t>rk)</w:t>
      </w:r>
      <w:r w:rsidRPr="00DB1B46">
        <w:rPr>
          <w:rFonts w:asciiTheme="minorHAnsi" w:eastAsia="SimSun" w:hAnsiTheme="minorHAnsi"/>
          <w:iCs/>
          <w:lang w:eastAsia="en-AU"/>
        </w:rPr>
        <w:t>, which incorporates the Cost Recovery Guidelines (the CRGs)</w:t>
      </w:r>
      <w:r w:rsidRPr="00DB1B46">
        <w:rPr>
          <w:rFonts w:asciiTheme="minorHAnsi" w:eastAsia="SimSun" w:hAnsiTheme="minorHAnsi"/>
          <w:iCs/>
          <w:vertAlign w:val="superscript"/>
          <w:lang w:eastAsia="en-AU"/>
        </w:rPr>
        <w:footnoteReference w:id="1"/>
      </w:r>
      <w:r w:rsidRPr="00DB1B46">
        <w:rPr>
          <w:rFonts w:asciiTheme="minorHAnsi" w:eastAsia="SimSun" w:hAnsiTheme="minorHAnsi"/>
          <w:iCs/>
          <w:lang w:eastAsia="en-AU"/>
        </w:rPr>
        <w:t>, sets out the framework under which government entities design, implement and review regulatory charging activities.</w:t>
      </w:r>
    </w:p>
    <w:p w14:paraId="565D3E82" w14:textId="77777777" w:rsidR="009B064E" w:rsidRDefault="009B064E" w:rsidP="009B064E">
      <w:pPr>
        <w:spacing w:after="200" w:line="276" w:lineRule="auto"/>
        <w:rPr>
          <w:rFonts w:asciiTheme="minorHAnsi" w:hAnsiTheme="minorHAnsi"/>
        </w:rPr>
      </w:pPr>
      <w:r>
        <w:rPr>
          <w:rFonts w:asciiTheme="minorHAnsi" w:hAnsiTheme="minorHAnsi"/>
        </w:rPr>
        <w:br w:type="page"/>
      </w:r>
    </w:p>
    <w:p w14:paraId="5233F849" w14:textId="77777777" w:rsidR="009B064E" w:rsidRPr="00035BC9" w:rsidRDefault="00035BC9" w:rsidP="007C67F3">
      <w:pPr>
        <w:pStyle w:val="Heading2"/>
        <w:numPr>
          <w:ilvl w:val="0"/>
          <w:numId w:val="0"/>
        </w:numPr>
        <w:spacing w:before="0" w:after="160" w:line="259" w:lineRule="auto"/>
        <w:ind w:left="578" w:hanging="578"/>
        <w:rPr>
          <w:rFonts w:asciiTheme="minorHAnsi" w:hAnsiTheme="minorHAnsi"/>
          <w:i w:val="0"/>
        </w:rPr>
      </w:pPr>
      <w:r>
        <w:rPr>
          <w:rFonts w:asciiTheme="minorHAnsi" w:hAnsiTheme="minorHAnsi"/>
          <w:i w:val="0"/>
        </w:rPr>
        <w:lastRenderedPageBreak/>
        <w:t>GLOSSARY</w:t>
      </w:r>
    </w:p>
    <w:p w14:paraId="2EC8FA69" w14:textId="77777777" w:rsidR="009B064E" w:rsidRDefault="009B064E" w:rsidP="009B064E">
      <w:pPr>
        <w:rPr>
          <w:rFonts w:asciiTheme="minorHAnsi" w:hAnsiTheme="minorHAnsi"/>
          <w:b/>
          <w:sz w:val="28"/>
          <w:szCs w:val="28"/>
        </w:rPr>
      </w:pPr>
    </w:p>
    <w:tbl>
      <w:tblPr>
        <w:tblStyle w:val="TableGrid"/>
        <w:tblW w:w="0" w:type="auto"/>
        <w:tblLook w:val="04A0" w:firstRow="1" w:lastRow="0" w:firstColumn="1" w:lastColumn="0" w:noHBand="0" w:noVBand="1"/>
      </w:tblPr>
      <w:tblGrid>
        <w:gridCol w:w="1893"/>
        <w:gridCol w:w="7123"/>
      </w:tblGrid>
      <w:tr w:rsidR="009B064E" w:rsidRPr="009826D6" w14:paraId="357618A3" w14:textId="77777777" w:rsidTr="00DA5279">
        <w:tc>
          <w:tcPr>
            <w:tcW w:w="1893" w:type="dxa"/>
          </w:tcPr>
          <w:p w14:paraId="6F3B6B94" w14:textId="0A4E963D" w:rsidR="009B064E" w:rsidRPr="009826D6" w:rsidRDefault="009B064E" w:rsidP="004358DE">
            <w:pPr>
              <w:rPr>
                <w:rFonts w:asciiTheme="minorHAnsi" w:hAnsiTheme="minorHAnsi" w:cstheme="minorHAnsi"/>
                <w:sz w:val="22"/>
                <w:szCs w:val="22"/>
              </w:rPr>
            </w:pPr>
            <w:r w:rsidRPr="009826D6">
              <w:rPr>
                <w:rFonts w:asciiTheme="minorHAnsi" w:hAnsiTheme="minorHAnsi" w:cstheme="minorHAnsi"/>
                <w:sz w:val="22"/>
                <w:szCs w:val="22"/>
              </w:rPr>
              <w:t>A</w:t>
            </w:r>
            <w:r w:rsidR="0095712D">
              <w:rPr>
                <w:rFonts w:asciiTheme="minorHAnsi" w:hAnsiTheme="minorHAnsi" w:cstheme="minorHAnsi"/>
                <w:sz w:val="22"/>
                <w:szCs w:val="22"/>
              </w:rPr>
              <w:t>AT</w:t>
            </w:r>
          </w:p>
        </w:tc>
        <w:tc>
          <w:tcPr>
            <w:tcW w:w="7123" w:type="dxa"/>
          </w:tcPr>
          <w:p w14:paraId="559AFA03" w14:textId="72C82FC8" w:rsidR="009B064E" w:rsidRPr="009826D6" w:rsidRDefault="0095712D" w:rsidP="0096049C">
            <w:pPr>
              <w:rPr>
                <w:rFonts w:asciiTheme="minorHAnsi" w:hAnsiTheme="minorHAnsi" w:cstheme="minorHAnsi"/>
                <w:sz w:val="22"/>
                <w:szCs w:val="22"/>
              </w:rPr>
            </w:pPr>
            <w:r>
              <w:rPr>
                <w:rFonts w:asciiTheme="minorHAnsi" w:hAnsiTheme="minorHAnsi" w:cstheme="minorHAnsi"/>
                <w:sz w:val="22"/>
                <w:szCs w:val="22"/>
              </w:rPr>
              <w:t>Administrative Appeals Tribunal</w:t>
            </w:r>
          </w:p>
        </w:tc>
      </w:tr>
      <w:tr w:rsidR="0095712D" w:rsidRPr="009826D6" w14:paraId="45D8E0FF" w14:textId="77777777" w:rsidTr="00DA5279">
        <w:tc>
          <w:tcPr>
            <w:tcW w:w="1893" w:type="dxa"/>
          </w:tcPr>
          <w:p w14:paraId="57055D0B" w14:textId="4AEB14C1"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Activity</w:t>
            </w:r>
          </w:p>
        </w:tc>
        <w:tc>
          <w:tcPr>
            <w:tcW w:w="7123" w:type="dxa"/>
          </w:tcPr>
          <w:p w14:paraId="03CF616A" w14:textId="378810D9"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A service</w:t>
            </w:r>
            <w:r>
              <w:rPr>
                <w:rFonts w:asciiTheme="minorHAnsi" w:hAnsiTheme="minorHAnsi" w:cstheme="minorHAnsi"/>
                <w:sz w:val="22"/>
                <w:szCs w:val="22"/>
              </w:rPr>
              <w:t xml:space="preserve"> and/or</w:t>
            </w:r>
            <w:r w:rsidRPr="009826D6">
              <w:rPr>
                <w:rFonts w:asciiTheme="minorHAnsi" w:hAnsiTheme="minorHAnsi" w:cstheme="minorHAnsi"/>
                <w:sz w:val="22"/>
                <w:szCs w:val="22"/>
              </w:rPr>
              <w:t xml:space="preserve"> support to the Australian public to achieve government policy outcomes</w:t>
            </w:r>
          </w:p>
        </w:tc>
      </w:tr>
      <w:tr w:rsidR="0095712D" w:rsidRPr="009826D6" w14:paraId="3AC57538" w14:textId="77777777" w:rsidTr="00DA5279">
        <w:tc>
          <w:tcPr>
            <w:tcW w:w="1893" w:type="dxa"/>
          </w:tcPr>
          <w:p w14:paraId="0E9BED00"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ATAR</w:t>
            </w:r>
          </w:p>
        </w:tc>
        <w:tc>
          <w:tcPr>
            <w:tcW w:w="7123" w:type="dxa"/>
          </w:tcPr>
          <w:p w14:paraId="0EDFCCEE"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Australian Tertiary Admission Rank</w:t>
            </w:r>
          </w:p>
        </w:tc>
      </w:tr>
      <w:tr w:rsidR="0095712D" w:rsidRPr="009826D6" w14:paraId="34546084" w14:textId="77777777" w:rsidTr="00DA5279">
        <w:tc>
          <w:tcPr>
            <w:tcW w:w="1893" w:type="dxa"/>
          </w:tcPr>
          <w:p w14:paraId="442EA602"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ATO</w:t>
            </w:r>
          </w:p>
        </w:tc>
        <w:tc>
          <w:tcPr>
            <w:tcW w:w="7123" w:type="dxa"/>
          </w:tcPr>
          <w:p w14:paraId="4CA36B33"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Australian Taxation Office</w:t>
            </w:r>
          </w:p>
        </w:tc>
      </w:tr>
      <w:tr w:rsidR="0095712D" w:rsidRPr="009826D6" w14:paraId="2BC3A6F4" w14:textId="77777777" w:rsidTr="00DA5279">
        <w:tc>
          <w:tcPr>
            <w:tcW w:w="1893" w:type="dxa"/>
          </w:tcPr>
          <w:p w14:paraId="24076B64"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Business processes</w:t>
            </w:r>
          </w:p>
        </w:tc>
        <w:tc>
          <w:tcPr>
            <w:tcW w:w="7123" w:type="dxa"/>
          </w:tcPr>
          <w:p w14:paraId="4BAFA116"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The discrete steps undertaken in an activity for reporting and costing purposes, as relevant to the complexity, materiality and sensitivity, to deliver an output</w:t>
            </w:r>
          </w:p>
        </w:tc>
      </w:tr>
      <w:tr w:rsidR="0095712D" w:rsidRPr="009826D6" w14:paraId="6F2A0CE9" w14:textId="77777777" w:rsidTr="00DA5279">
        <w:tc>
          <w:tcPr>
            <w:tcW w:w="1893" w:type="dxa"/>
          </w:tcPr>
          <w:p w14:paraId="0BE8AFF1"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CRF</w:t>
            </w:r>
          </w:p>
        </w:tc>
        <w:tc>
          <w:tcPr>
            <w:tcW w:w="7123" w:type="dxa"/>
          </w:tcPr>
          <w:p w14:paraId="78B26718"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Consolidated Revenue Fund</w:t>
            </w:r>
          </w:p>
        </w:tc>
      </w:tr>
      <w:tr w:rsidR="0095712D" w:rsidRPr="009826D6" w14:paraId="1AA2914E" w14:textId="77777777" w:rsidTr="00DA5279">
        <w:tc>
          <w:tcPr>
            <w:tcW w:w="1893" w:type="dxa"/>
          </w:tcPr>
          <w:p w14:paraId="3B3E36F6"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CRGs</w:t>
            </w:r>
          </w:p>
        </w:tc>
        <w:tc>
          <w:tcPr>
            <w:tcW w:w="7123" w:type="dxa"/>
          </w:tcPr>
          <w:p w14:paraId="5CCF5FFF"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Cost Recovery Guidelines</w:t>
            </w:r>
          </w:p>
        </w:tc>
      </w:tr>
      <w:tr w:rsidR="0095712D" w:rsidRPr="009826D6" w14:paraId="447A571A" w14:textId="77777777" w:rsidTr="00DA5279">
        <w:tc>
          <w:tcPr>
            <w:tcW w:w="1893" w:type="dxa"/>
          </w:tcPr>
          <w:p w14:paraId="69AD24BE"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CRIS</w:t>
            </w:r>
          </w:p>
        </w:tc>
        <w:tc>
          <w:tcPr>
            <w:tcW w:w="7123" w:type="dxa"/>
          </w:tcPr>
          <w:p w14:paraId="32676AD6"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Cost Recovery Implementation Statement</w:t>
            </w:r>
          </w:p>
        </w:tc>
      </w:tr>
      <w:tr w:rsidR="0095712D" w:rsidRPr="009826D6" w14:paraId="428ECAAE" w14:textId="77777777" w:rsidTr="00DA5279">
        <w:tc>
          <w:tcPr>
            <w:tcW w:w="1893" w:type="dxa"/>
          </w:tcPr>
          <w:p w14:paraId="246C659A"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CSP</w:t>
            </w:r>
          </w:p>
        </w:tc>
        <w:tc>
          <w:tcPr>
            <w:tcW w:w="7123" w:type="dxa"/>
          </w:tcPr>
          <w:p w14:paraId="6D8280A9"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Commonwealth Supported Place</w:t>
            </w:r>
          </w:p>
        </w:tc>
      </w:tr>
      <w:tr w:rsidR="0095712D" w:rsidRPr="009826D6" w14:paraId="42E89D9C" w14:textId="77777777" w:rsidTr="00DA5279">
        <w:tc>
          <w:tcPr>
            <w:tcW w:w="1893" w:type="dxa"/>
          </w:tcPr>
          <w:p w14:paraId="7B0255A4" w14:textId="5DE4D84C" w:rsidR="0095712D" w:rsidRPr="009826D6" w:rsidRDefault="0095712D" w:rsidP="009952E4">
            <w:pPr>
              <w:rPr>
                <w:rFonts w:asciiTheme="minorHAnsi" w:hAnsiTheme="minorHAnsi" w:cstheme="minorHAnsi"/>
                <w:sz w:val="22"/>
                <w:szCs w:val="22"/>
              </w:rPr>
            </w:pPr>
            <w:r w:rsidRPr="009826D6">
              <w:rPr>
                <w:rFonts w:asciiTheme="minorHAnsi" w:hAnsiTheme="minorHAnsi" w:cstheme="minorHAnsi"/>
                <w:sz w:val="22"/>
                <w:szCs w:val="22"/>
              </w:rPr>
              <w:t xml:space="preserve">The </w:t>
            </w:r>
            <w:r>
              <w:rPr>
                <w:rFonts w:asciiTheme="minorHAnsi" w:hAnsiTheme="minorHAnsi" w:cstheme="minorHAnsi"/>
                <w:sz w:val="22"/>
                <w:szCs w:val="22"/>
              </w:rPr>
              <w:t>d</w:t>
            </w:r>
            <w:r w:rsidRPr="009826D6">
              <w:rPr>
                <w:rFonts w:asciiTheme="minorHAnsi" w:hAnsiTheme="minorHAnsi" w:cstheme="minorHAnsi"/>
                <w:sz w:val="22"/>
                <w:szCs w:val="22"/>
              </w:rPr>
              <w:t>epartment</w:t>
            </w:r>
          </w:p>
        </w:tc>
        <w:tc>
          <w:tcPr>
            <w:tcW w:w="7123" w:type="dxa"/>
          </w:tcPr>
          <w:p w14:paraId="239C6C04" w14:textId="2FEFB51B"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Department of Education</w:t>
            </w:r>
          </w:p>
        </w:tc>
      </w:tr>
      <w:tr w:rsidR="0095712D" w:rsidRPr="009826D6" w14:paraId="62225049" w14:textId="77777777" w:rsidTr="00DA5279">
        <w:tc>
          <w:tcPr>
            <w:tcW w:w="1893" w:type="dxa"/>
          </w:tcPr>
          <w:p w14:paraId="70F34070"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FEE-HELP</w:t>
            </w:r>
          </w:p>
        </w:tc>
        <w:tc>
          <w:tcPr>
            <w:tcW w:w="7123" w:type="dxa"/>
          </w:tcPr>
          <w:p w14:paraId="3EFBEF90" w14:textId="31BF3EDA" w:rsidR="0095712D" w:rsidRPr="009826D6" w:rsidRDefault="0095712D" w:rsidP="009952E4">
            <w:pPr>
              <w:rPr>
                <w:rFonts w:asciiTheme="minorHAnsi" w:hAnsiTheme="minorHAnsi" w:cstheme="minorHAnsi"/>
                <w:sz w:val="22"/>
                <w:szCs w:val="22"/>
              </w:rPr>
            </w:pPr>
            <w:r w:rsidRPr="009826D6">
              <w:rPr>
                <w:rFonts w:asciiTheme="minorHAnsi" w:hAnsiTheme="minorHAnsi" w:cstheme="minorHAnsi"/>
                <w:sz w:val="22"/>
                <w:szCs w:val="22"/>
              </w:rPr>
              <w:t>Fee</w:t>
            </w:r>
            <w:r>
              <w:rPr>
                <w:rFonts w:asciiTheme="minorHAnsi" w:hAnsiTheme="minorHAnsi" w:cstheme="minorHAnsi"/>
                <w:sz w:val="22"/>
                <w:szCs w:val="22"/>
              </w:rPr>
              <w:t xml:space="preserve"> - </w:t>
            </w:r>
            <w:r w:rsidRPr="009826D6">
              <w:rPr>
                <w:rFonts w:asciiTheme="minorHAnsi" w:hAnsiTheme="minorHAnsi" w:cstheme="minorHAnsi"/>
                <w:sz w:val="22"/>
                <w:szCs w:val="22"/>
              </w:rPr>
              <w:t>Higher Education Loan Program</w:t>
            </w:r>
          </w:p>
        </w:tc>
      </w:tr>
      <w:tr w:rsidR="0095712D" w:rsidRPr="009826D6" w14:paraId="1AC13B13" w14:textId="77777777" w:rsidTr="00DA5279">
        <w:tc>
          <w:tcPr>
            <w:tcW w:w="1893" w:type="dxa"/>
          </w:tcPr>
          <w:p w14:paraId="3F4DFBA6" w14:textId="3B9FE243" w:rsidR="0095712D" w:rsidRPr="009826D6" w:rsidRDefault="0095712D" w:rsidP="0095712D">
            <w:pPr>
              <w:rPr>
                <w:rFonts w:asciiTheme="minorHAnsi" w:hAnsiTheme="minorHAnsi" w:cstheme="minorHAnsi"/>
                <w:sz w:val="22"/>
                <w:szCs w:val="22"/>
              </w:rPr>
            </w:pPr>
            <w:r>
              <w:rPr>
                <w:rFonts w:asciiTheme="minorHAnsi" w:hAnsiTheme="minorHAnsi" w:cstheme="minorHAnsi"/>
                <w:sz w:val="22"/>
                <w:szCs w:val="22"/>
              </w:rPr>
              <w:t>FVI</w:t>
            </w:r>
          </w:p>
        </w:tc>
        <w:tc>
          <w:tcPr>
            <w:tcW w:w="7123" w:type="dxa"/>
          </w:tcPr>
          <w:p w14:paraId="2DBBDAAF" w14:textId="0CA7A37D" w:rsidR="0095712D" w:rsidRPr="009826D6" w:rsidRDefault="0095712D" w:rsidP="0095712D">
            <w:pPr>
              <w:rPr>
                <w:rFonts w:asciiTheme="minorHAnsi" w:hAnsiTheme="minorHAnsi" w:cstheme="minorHAnsi"/>
                <w:sz w:val="22"/>
                <w:szCs w:val="22"/>
              </w:rPr>
            </w:pPr>
            <w:r>
              <w:rPr>
                <w:rFonts w:asciiTheme="minorHAnsi" w:hAnsiTheme="minorHAnsi" w:cstheme="minorHAnsi"/>
                <w:sz w:val="22"/>
                <w:szCs w:val="22"/>
              </w:rPr>
              <w:t>Financial Viability Instructions</w:t>
            </w:r>
          </w:p>
        </w:tc>
      </w:tr>
      <w:tr w:rsidR="0095712D" w:rsidRPr="009826D6" w14:paraId="251B4253" w14:textId="77777777" w:rsidTr="00DA5279">
        <w:tc>
          <w:tcPr>
            <w:tcW w:w="1893" w:type="dxa"/>
          </w:tcPr>
          <w:p w14:paraId="596EECB7"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HECS-HELP</w:t>
            </w:r>
          </w:p>
        </w:tc>
        <w:tc>
          <w:tcPr>
            <w:tcW w:w="7123" w:type="dxa"/>
          </w:tcPr>
          <w:p w14:paraId="0F7C0D6A"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Higher Education Contribution Scheme- Higher Education Loan Program</w:t>
            </w:r>
          </w:p>
        </w:tc>
      </w:tr>
      <w:tr w:rsidR="0095712D" w:rsidRPr="009826D6" w14:paraId="21BDB442" w14:textId="77777777" w:rsidTr="00DA5279">
        <w:tc>
          <w:tcPr>
            <w:tcW w:w="1893" w:type="dxa"/>
          </w:tcPr>
          <w:p w14:paraId="21CC2114"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HEIMS</w:t>
            </w:r>
          </w:p>
        </w:tc>
        <w:tc>
          <w:tcPr>
            <w:tcW w:w="7123" w:type="dxa"/>
          </w:tcPr>
          <w:p w14:paraId="2F1DB536"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Higher Education Information Management System</w:t>
            </w:r>
          </w:p>
        </w:tc>
      </w:tr>
      <w:tr w:rsidR="0095712D" w:rsidRPr="009826D6" w14:paraId="13E3A4C1" w14:textId="77777777" w:rsidTr="00DA5279">
        <w:tc>
          <w:tcPr>
            <w:tcW w:w="1893" w:type="dxa"/>
          </w:tcPr>
          <w:p w14:paraId="05B90113"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HELP</w:t>
            </w:r>
          </w:p>
        </w:tc>
        <w:tc>
          <w:tcPr>
            <w:tcW w:w="7123" w:type="dxa"/>
          </w:tcPr>
          <w:p w14:paraId="256AF91D"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Higher Education Loan Program</w:t>
            </w:r>
          </w:p>
        </w:tc>
      </w:tr>
      <w:tr w:rsidR="0095712D" w:rsidRPr="009826D6" w14:paraId="15138962" w14:textId="77777777" w:rsidTr="00DA5279">
        <w:tc>
          <w:tcPr>
            <w:tcW w:w="1893" w:type="dxa"/>
          </w:tcPr>
          <w:p w14:paraId="1F344413"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HEP</w:t>
            </w:r>
          </w:p>
        </w:tc>
        <w:tc>
          <w:tcPr>
            <w:tcW w:w="7123" w:type="dxa"/>
          </w:tcPr>
          <w:p w14:paraId="33245D14"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Higher Education Provider</w:t>
            </w:r>
          </w:p>
        </w:tc>
      </w:tr>
      <w:tr w:rsidR="0095712D" w:rsidRPr="009826D6" w14:paraId="36161B37" w14:textId="77777777" w:rsidTr="00DA5279">
        <w:tc>
          <w:tcPr>
            <w:tcW w:w="1893" w:type="dxa"/>
          </w:tcPr>
          <w:p w14:paraId="298A2229"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HESA</w:t>
            </w:r>
          </w:p>
        </w:tc>
        <w:tc>
          <w:tcPr>
            <w:tcW w:w="7123" w:type="dxa"/>
          </w:tcPr>
          <w:p w14:paraId="334D4328" w14:textId="77777777" w:rsidR="0095712D" w:rsidRPr="009826D6" w:rsidRDefault="0095712D" w:rsidP="0095712D">
            <w:pPr>
              <w:rPr>
                <w:rFonts w:asciiTheme="minorHAnsi" w:hAnsiTheme="minorHAnsi" w:cstheme="minorHAnsi"/>
                <w:i/>
                <w:sz w:val="22"/>
                <w:szCs w:val="22"/>
              </w:rPr>
            </w:pPr>
            <w:r w:rsidRPr="009826D6">
              <w:rPr>
                <w:rFonts w:asciiTheme="minorHAnsi" w:hAnsiTheme="minorHAnsi" w:cstheme="minorHAnsi"/>
                <w:i/>
                <w:sz w:val="22"/>
                <w:szCs w:val="22"/>
              </w:rPr>
              <w:t>Higher Education Support Act 2003</w:t>
            </w:r>
          </w:p>
        </w:tc>
      </w:tr>
      <w:tr w:rsidR="0095712D" w:rsidRPr="009826D6" w14:paraId="41BB19E9" w14:textId="77777777" w:rsidTr="00DA5279">
        <w:tc>
          <w:tcPr>
            <w:tcW w:w="1893" w:type="dxa"/>
          </w:tcPr>
          <w:p w14:paraId="091EE3FA"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HITS</w:t>
            </w:r>
          </w:p>
        </w:tc>
        <w:tc>
          <w:tcPr>
            <w:tcW w:w="7123" w:type="dxa"/>
          </w:tcPr>
          <w:p w14:paraId="011C9CE1"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HELP IT System</w:t>
            </w:r>
          </w:p>
        </w:tc>
      </w:tr>
      <w:tr w:rsidR="0095712D" w:rsidRPr="009826D6" w14:paraId="1BCF41AF" w14:textId="77777777" w:rsidTr="00DA5279">
        <w:tc>
          <w:tcPr>
            <w:tcW w:w="1893" w:type="dxa"/>
          </w:tcPr>
          <w:p w14:paraId="47429437" w14:textId="61A96FEB" w:rsidR="0095712D" w:rsidRPr="009826D6" w:rsidRDefault="0095712D" w:rsidP="0095712D">
            <w:pPr>
              <w:rPr>
                <w:rFonts w:asciiTheme="minorHAnsi" w:hAnsiTheme="minorHAnsi" w:cstheme="minorHAnsi"/>
                <w:sz w:val="22"/>
                <w:szCs w:val="22"/>
              </w:rPr>
            </w:pPr>
            <w:r>
              <w:rPr>
                <w:rFonts w:asciiTheme="minorHAnsi" w:hAnsiTheme="minorHAnsi" w:cstheme="minorHAnsi"/>
                <w:sz w:val="22"/>
                <w:szCs w:val="22"/>
              </w:rPr>
              <w:t>ICL</w:t>
            </w:r>
          </w:p>
        </w:tc>
        <w:tc>
          <w:tcPr>
            <w:tcW w:w="7123" w:type="dxa"/>
          </w:tcPr>
          <w:p w14:paraId="603CE94E" w14:textId="21704C11" w:rsidR="0095712D" w:rsidRPr="009826D6" w:rsidRDefault="0095712D" w:rsidP="0095712D">
            <w:pPr>
              <w:rPr>
                <w:rFonts w:asciiTheme="minorHAnsi" w:hAnsiTheme="minorHAnsi" w:cstheme="minorHAnsi"/>
                <w:sz w:val="22"/>
                <w:szCs w:val="22"/>
              </w:rPr>
            </w:pPr>
            <w:r>
              <w:rPr>
                <w:rFonts w:asciiTheme="minorHAnsi" w:hAnsiTheme="minorHAnsi" w:cstheme="minorHAnsi"/>
                <w:sz w:val="22"/>
                <w:szCs w:val="22"/>
              </w:rPr>
              <w:t>Income Contingent Loan</w:t>
            </w:r>
          </w:p>
        </w:tc>
      </w:tr>
      <w:tr w:rsidR="005921A2" w:rsidRPr="009826D6" w14:paraId="29B63E71" w14:textId="77777777" w:rsidTr="00DA5279">
        <w:tc>
          <w:tcPr>
            <w:tcW w:w="1893" w:type="dxa"/>
          </w:tcPr>
          <w:p w14:paraId="17EE9564" w14:textId="75A7D8F3" w:rsidR="005921A2" w:rsidRPr="009826D6" w:rsidRDefault="005921A2" w:rsidP="0095712D">
            <w:pPr>
              <w:rPr>
                <w:rFonts w:asciiTheme="minorHAnsi" w:hAnsiTheme="minorHAnsi" w:cstheme="minorHAnsi"/>
                <w:sz w:val="22"/>
                <w:szCs w:val="22"/>
              </w:rPr>
            </w:pPr>
            <w:r>
              <w:rPr>
                <w:rFonts w:asciiTheme="minorHAnsi" w:hAnsiTheme="minorHAnsi" w:cstheme="minorHAnsi"/>
                <w:sz w:val="22"/>
                <w:szCs w:val="22"/>
              </w:rPr>
              <w:t>ICT</w:t>
            </w:r>
          </w:p>
        </w:tc>
        <w:tc>
          <w:tcPr>
            <w:tcW w:w="7123" w:type="dxa"/>
          </w:tcPr>
          <w:p w14:paraId="36E5D201" w14:textId="6588E36E" w:rsidR="005921A2" w:rsidRPr="009826D6" w:rsidRDefault="005921A2" w:rsidP="0095712D">
            <w:pPr>
              <w:rPr>
                <w:rFonts w:asciiTheme="minorHAnsi" w:hAnsiTheme="minorHAnsi" w:cstheme="minorHAnsi"/>
                <w:sz w:val="22"/>
                <w:szCs w:val="22"/>
              </w:rPr>
            </w:pPr>
            <w:r>
              <w:rPr>
                <w:rFonts w:asciiTheme="minorHAnsi" w:hAnsiTheme="minorHAnsi" w:cstheme="minorHAnsi"/>
                <w:sz w:val="22"/>
                <w:szCs w:val="22"/>
              </w:rPr>
              <w:t>Information and Communication Technologies</w:t>
            </w:r>
          </w:p>
        </w:tc>
      </w:tr>
      <w:tr w:rsidR="0095712D" w:rsidRPr="009826D6" w14:paraId="30DD0365" w14:textId="77777777" w:rsidTr="00DA5279">
        <w:tc>
          <w:tcPr>
            <w:tcW w:w="1893" w:type="dxa"/>
          </w:tcPr>
          <w:p w14:paraId="117CF63C"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NUHEP</w:t>
            </w:r>
          </w:p>
        </w:tc>
        <w:tc>
          <w:tcPr>
            <w:tcW w:w="7123" w:type="dxa"/>
          </w:tcPr>
          <w:p w14:paraId="01FF0E87"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Non-University Higher Education Provider</w:t>
            </w:r>
          </w:p>
        </w:tc>
      </w:tr>
      <w:tr w:rsidR="0095712D" w:rsidRPr="009826D6" w14:paraId="5B55CACC" w14:textId="77777777" w:rsidTr="00DA5279">
        <w:tc>
          <w:tcPr>
            <w:tcW w:w="1893" w:type="dxa"/>
          </w:tcPr>
          <w:p w14:paraId="7BBFC3BE" w14:textId="4D29F08B" w:rsidR="0095712D" w:rsidRPr="009826D6" w:rsidRDefault="0095712D" w:rsidP="0095712D">
            <w:pPr>
              <w:rPr>
                <w:rFonts w:asciiTheme="minorHAnsi" w:hAnsiTheme="minorHAnsi" w:cstheme="minorHAnsi"/>
                <w:sz w:val="22"/>
                <w:szCs w:val="22"/>
              </w:rPr>
            </w:pPr>
            <w:r>
              <w:rPr>
                <w:rFonts w:asciiTheme="minorHAnsi" w:hAnsiTheme="minorHAnsi" w:cstheme="minorHAnsi"/>
                <w:sz w:val="22"/>
                <w:szCs w:val="22"/>
              </w:rPr>
              <w:t>OUA</w:t>
            </w:r>
          </w:p>
        </w:tc>
        <w:tc>
          <w:tcPr>
            <w:tcW w:w="7123" w:type="dxa"/>
          </w:tcPr>
          <w:p w14:paraId="06C554E0" w14:textId="526E0BBA" w:rsidR="0095712D" w:rsidRPr="009826D6" w:rsidRDefault="0095712D" w:rsidP="0095712D">
            <w:pPr>
              <w:rPr>
                <w:rFonts w:asciiTheme="minorHAnsi" w:hAnsiTheme="minorHAnsi" w:cstheme="minorHAnsi"/>
                <w:sz w:val="22"/>
                <w:szCs w:val="22"/>
              </w:rPr>
            </w:pPr>
            <w:r>
              <w:rPr>
                <w:rFonts w:asciiTheme="minorHAnsi" w:hAnsiTheme="minorHAnsi" w:cstheme="minorHAnsi"/>
                <w:sz w:val="22"/>
                <w:szCs w:val="22"/>
              </w:rPr>
              <w:t>Open Universities Australia</w:t>
            </w:r>
          </w:p>
        </w:tc>
      </w:tr>
      <w:tr w:rsidR="0095712D" w:rsidRPr="009826D6" w14:paraId="3D9EFF74" w14:textId="77777777" w:rsidTr="00DA5279">
        <w:tc>
          <w:tcPr>
            <w:tcW w:w="1893" w:type="dxa"/>
          </w:tcPr>
          <w:p w14:paraId="29D815EF"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Output</w:t>
            </w:r>
          </w:p>
        </w:tc>
        <w:tc>
          <w:tcPr>
            <w:tcW w:w="7123" w:type="dxa"/>
          </w:tcPr>
          <w:p w14:paraId="61CE2CF1"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The product or direct result of business processes</w:t>
            </w:r>
          </w:p>
        </w:tc>
      </w:tr>
      <w:tr w:rsidR="0095712D" w:rsidRPr="009826D6" w14:paraId="16D88D34" w14:textId="77777777" w:rsidTr="00DA5279">
        <w:tc>
          <w:tcPr>
            <w:tcW w:w="1893" w:type="dxa"/>
          </w:tcPr>
          <w:p w14:paraId="17BAE02E"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PGPA Act</w:t>
            </w:r>
          </w:p>
        </w:tc>
        <w:tc>
          <w:tcPr>
            <w:tcW w:w="7123" w:type="dxa"/>
          </w:tcPr>
          <w:p w14:paraId="773712C8" w14:textId="77777777" w:rsidR="0095712D" w:rsidRPr="009826D6" w:rsidRDefault="0095712D" w:rsidP="0095712D">
            <w:pPr>
              <w:rPr>
                <w:rFonts w:asciiTheme="minorHAnsi" w:hAnsiTheme="minorHAnsi" w:cstheme="minorHAnsi"/>
                <w:i/>
                <w:sz w:val="22"/>
                <w:szCs w:val="22"/>
              </w:rPr>
            </w:pPr>
            <w:r w:rsidRPr="009826D6">
              <w:rPr>
                <w:rFonts w:asciiTheme="minorHAnsi" w:hAnsiTheme="minorHAnsi" w:cstheme="minorHAnsi"/>
                <w:i/>
                <w:sz w:val="22"/>
                <w:szCs w:val="22"/>
              </w:rPr>
              <w:t>Public Governance, Performance and Accountability Act 2013</w:t>
            </w:r>
          </w:p>
        </w:tc>
      </w:tr>
      <w:tr w:rsidR="0095712D" w:rsidRPr="009826D6" w14:paraId="4F614FC5" w14:textId="77777777" w:rsidTr="00DA5279">
        <w:tc>
          <w:tcPr>
            <w:tcW w:w="1893" w:type="dxa"/>
          </w:tcPr>
          <w:p w14:paraId="0CADB1D3"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RFI</w:t>
            </w:r>
          </w:p>
        </w:tc>
        <w:tc>
          <w:tcPr>
            <w:tcW w:w="7123" w:type="dxa"/>
          </w:tcPr>
          <w:p w14:paraId="7E8BAC63"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Request for Further Information</w:t>
            </w:r>
          </w:p>
        </w:tc>
      </w:tr>
      <w:tr w:rsidR="0095712D" w:rsidRPr="009826D6" w14:paraId="2D72D1D8" w14:textId="77777777" w:rsidTr="00DA5279">
        <w:tc>
          <w:tcPr>
            <w:tcW w:w="1893" w:type="dxa"/>
          </w:tcPr>
          <w:p w14:paraId="633E1181"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Secretary</w:t>
            </w:r>
          </w:p>
        </w:tc>
        <w:tc>
          <w:tcPr>
            <w:tcW w:w="7123" w:type="dxa"/>
          </w:tcPr>
          <w:p w14:paraId="5F327301" w14:textId="1A03A899"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Secretary for the Department of Education</w:t>
            </w:r>
          </w:p>
        </w:tc>
      </w:tr>
      <w:tr w:rsidR="00A71CC8" w:rsidRPr="009826D6" w14:paraId="7B6C979A" w14:textId="77777777" w:rsidTr="00DA5279">
        <w:tc>
          <w:tcPr>
            <w:tcW w:w="1893" w:type="dxa"/>
          </w:tcPr>
          <w:p w14:paraId="035B1BA1" w14:textId="7D9D812F" w:rsidR="00A71CC8" w:rsidRPr="009826D6" w:rsidRDefault="00A71CC8" w:rsidP="0095712D">
            <w:pPr>
              <w:rPr>
                <w:rFonts w:asciiTheme="minorHAnsi" w:hAnsiTheme="minorHAnsi" w:cstheme="minorHAnsi"/>
                <w:sz w:val="22"/>
                <w:szCs w:val="22"/>
              </w:rPr>
            </w:pPr>
            <w:r>
              <w:rPr>
                <w:rFonts w:asciiTheme="minorHAnsi" w:hAnsiTheme="minorHAnsi" w:cstheme="minorHAnsi"/>
                <w:sz w:val="22"/>
                <w:szCs w:val="22"/>
              </w:rPr>
              <w:t>Table A providers</w:t>
            </w:r>
          </w:p>
        </w:tc>
        <w:tc>
          <w:tcPr>
            <w:tcW w:w="7123" w:type="dxa"/>
          </w:tcPr>
          <w:p w14:paraId="593FB0C0" w14:textId="1A91E012" w:rsidR="00A71CC8" w:rsidRPr="009826D6" w:rsidRDefault="00A71CC8" w:rsidP="0095712D">
            <w:pPr>
              <w:rPr>
                <w:rFonts w:asciiTheme="minorHAnsi" w:hAnsiTheme="minorHAnsi" w:cstheme="minorHAnsi"/>
                <w:sz w:val="22"/>
                <w:szCs w:val="22"/>
              </w:rPr>
            </w:pPr>
            <w:r>
              <w:rPr>
                <w:rFonts w:asciiTheme="minorHAnsi" w:hAnsiTheme="minorHAnsi" w:cstheme="minorHAnsi"/>
                <w:sz w:val="22"/>
                <w:szCs w:val="22"/>
              </w:rPr>
              <w:t>Table A providers listed under HESA</w:t>
            </w:r>
          </w:p>
        </w:tc>
      </w:tr>
      <w:tr w:rsidR="00A71CC8" w:rsidRPr="009826D6" w14:paraId="12795DF7" w14:textId="77777777" w:rsidTr="00DA5279">
        <w:tc>
          <w:tcPr>
            <w:tcW w:w="1893" w:type="dxa"/>
          </w:tcPr>
          <w:p w14:paraId="309AF597" w14:textId="169331AB" w:rsidR="00A71CC8" w:rsidRDefault="00A71CC8" w:rsidP="0095712D">
            <w:pPr>
              <w:rPr>
                <w:rFonts w:asciiTheme="minorHAnsi" w:hAnsiTheme="minorHAnsi" w:cstheme="minorHAnsi"/>
                <w:sz w:val="22"/>
                <w:szCs w:val="22"/>
              </w:rPr>
            </w:pPr>
            <w:r>
              <w:rPr>
                <w:rFonts w:asciiTheme="minorHAnsi" w:hAnsiTheme="minorHAnsi" w:cstheme="minorHAnsi"/>
                <w:sz w:val="22"/>
                <w:szCs w:val="22"/>
              </w:rPr>
              <w:t>Table B providers</w:t>
            </w:r>
          </w:p>
        </w:tc>
        <w:tc>
          <w:tcPr>
            <w:tcW w:w="7123" w:type="dxa"/>
          </w:tcPr>
          <w:p w14:paraId="43CC5F86" w14:textId="4C58852C" w:rsidR="00A71CC8" w:rsidRDefault="00A71CC8" w:rsidP="009952E4">
            <w:pPr>
              <w:rPr>
                <w:rFonts w:asciiTheme="minorHAnsi" w:hAnsiTheme="minorHAnsi" w:cstheme="minorHAnsi"/>
                <w:sz w:val="22"/>
                <w:szCs w:val="22"/>
              </w:rPr>
            </w:pPr>
            <w:r>
              <w:rPr>
                <w:rFonts w:asciiTheme="minorHAnsi" w:hAnsiTheme="minorHAnsi" w:cstheme="minorHAnsi"/>
                <w:sz w:val="22"/>
                <w:szCs w:val="22"/>
              </w:rPr>
              <w:t>Table B providers listed under HESA</w:t>
            </w:r>
          </w:p>
        </w:tc>
      </w:tr>
      <w:tr w:rsidR="00A71CC8" w:rsidRPr="009826D6" w14:paraId="170AF81F" w14:textId="77777777" w:rsidTr="00DA5279">
        <w:tc>
          <w:tcPr>
            <w:tcW w:w="1893" w:type="dxa"/>
          </w:tcPr>
          <w:p w14:paraId="45D32E1F" w14:textId="33BBFBFD" w:rsidR="00A71CC8" w:rsidRDefault="00A71CC8" w:rsidP="0095712D">
            <w:pPr>
              <w:rPr>
                <w:rFonts w:asciiTheme="minorHAnsi" w:hAnsiTheme="minorHAnsi" w:cstheme="minorHAnsi"/>
                <w:sz w:val="22"/>
                <w:szCs w:val="22"/>
              </w:rPr>
            </w:pPr>
            <w:r>
              <w:rPr>
                <w:rFonts w:asciiTheme="minorHAnsi" w:hAnsiTheme="minorHAnsi" w:cstheme="minorHAnsi"/>
                <w:sz w:val="22"/>
                <w:szCs w:val="22"/>
              </w:rPr>
              <w:t>Table C providers</w:t>
            </w:r>
          </w:p>
        </w:tc>
        <w:tc>
          <w:tcPr>
            <w:tcW w:w="7123" w:type="dxa"/>
          </w:tcPr>
          <w:p w14:paraId="519D351A" w14:textId="6201B486" w:rsidR="00A71CC8" w:rsidRDefault="00A71CC8" w:rsidP="00A71CC8">
            <w:pPr>
              <w:rPr>
                <w:rFonts w:asciiTheme="minorHAnsi" w:hAnsiTheme="minorHAnsi" w:cstheme="minorHAnsi"/>
                <w:sz w:val="22"/>
                <w:szCs w:val="22"/>
              </w:rPr>
            </w:pPr>
            <w:r>
              <w:rPr>
                <w:rFonts w:asciiTheme="minorHAnsi" w:hAnsiTheme="minorHAnsi" w:cstheme="minorHAnsi"/>
                <w:sz w:val="22"/>
                <w:szCs w:val="22"/>
              </w:rPr>
              <w:t>Table C providers listed under HESA</w:t>
            </w:r>
          </w:p>
        </w:tc>
      </w:tr>
      <w:tr w:rsidR="0095712D" w:rsidRPr="009826D6" w14:paraId="593C3C68" w14:textId="77777777" w:rsidTr="00DA5279">
        <w:tc>
          <w:tcPr>
            <w:tcW w:w="1893" w:type="dxa"/>
          </w:tcPr>
          <w:p w14:paraId="28E91533"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TEQSA</w:t>
            </w:r>
          </w:p>
        </w:tc>
        <w:tc>
          <w:tcPr>
            <w:tcW w:w="7123" w:type="dxa"/>
          </w:tcPr>
          <w:p w14:paraId="10DF152E" w14:textId="77777777" w:rsidR="0095712D" w:rsidRPr="009826D6" w:rsidRDefault="0095712D" w:rsidP="0095712D">
            <w:pPr>
              <w:rPr>
                <w:rFonts w:asciiTheme="minorHAnsi" w:hAnsiTheme="minorHAnsi" w:cstheme="minorHAnsi"/>
                <w:sz w:val="22"/>
                <w:szCs w:val="22"/>
              </w:rPr>
            </w:pPr>
            <w:r w:rsidRPr="009826D6">
              <w:rPr>
                <w:rFonts w:asciiTheme="minorHAnsi" w:hAnsiTheme="minorHAnsi" w:cstheme="minorHAnsi"/>
                <w:sz w:val="22"/>
                <w:szCs w:val="22"/>
              </w:rPr>
              <w:t>Tertiary Education Quality and Standards Agency</w:t>
            </w:r>
          </w:p>
        </w:tc>
      </w:tr>
      <w:tr w:rsidR="0038422C" w:rsidRPr="009826D6" w14:paraId="3D2B6450" w14:textId="77777777" w:rsidTr="00DA5279">
        <w:tc>
          <w:tcPr>
            <w:tcW w:w="1893" w:type="dxa"/>
          </w:tcPr>
          <w:p w14:paraId="784EC418" w14:textId="10D43BAD" w:rsidR="0038422C" w:rsidRPr="009826D6" w:rsidRDefault="0038422C" w:rsidP="0038422C">
            <w:pPr>
              <w:rPr>
                <w:rFonts w:asciiTheme="minorHAnsi" w:hAnsiTheme="minorHAnsi" w:cstheme="minorHAnsi"/>
                <w:sz w:val="22"/>
                <w:szCs w:val="22"/>
              </w:rPr>
            </w:pPr>
            <w:r w:rsidRPr="009826D6">
              <w:rPr>
                <w:rFonts w:asciiTheme="minorHAnsi" w:hAnsiTheme="minorHAnsi" w:cstheme="minorHAnsi"/>
                <w:sz w:val="22"/>
                <w:szCs w:val="22"/>
              </w:rPr>
              <w:t>The Minister</w:t>
            </w:r>
          </w:p>
        </w:tc>
        <w:tc>
          <w:tcPr>
            <w:tcW w:w="7123" w:type="dxa"/>
          </w:tcPr>
          <w:p w14:paraId="00C5BE8A" w14:textId="390219D0" w:rsidR="0038422C" w:rsidRPr="009826D6" w:rsidRDefault="0038422C" w:rsidP="0038422C">
            <w:pPr>
              <w:rPr>
                <w:rFonts w:asciiTheme="minorHAnsi" w:hAnsiTheme="minorHAnsi" w:cstheme="minorHAnsi"/>
                <w:sz w:val="22"/>
                <w:szCs w:val="22"/>
              </w:rPr>
            </w:pPr>
            <w:r w:rsidRPr="009826D6">
              <w:rPr>
                <w:rFonts w:asciiTheme="minorHAnsi" w:hAnsiTheme="minorHAnsi" w:cstheme="minorHAnsi"/>
                <w:sz w:val="22"/>
                <w:szCs w:val="22"/>
              </w:rPr>
              <w:t>The Minister for Education</w:t>
            </w:r>
          </w:p>
        </w:tc>
      </w:tr>
    </w:tbl>
    <w:p w14:paraId="10857BD5" w14:textId="5D004089" w:rsidR="009B064E" w:rsidRDefault="009B064E" w:rsidP="009B064E"/>
    <w:p w14:paraId="6BEC434A" w14:textId="77777777" w:rsidR="009B064E" w:rsidRDefault="009B064E" w:rsidP="009B064E">
      <w:pPr>
        <w:spacing w:after="200" w:line="276" w:lineRule="auto"/>
      </w:pPr>
      <w:r>
        <w:br w:type="page"/>
      </w:r>
    </w:p>
    <w:p w14:paraId="61DE4E77" w14:textId="77777777" w:rsidR="009B064E" w:rsidRPr="0053562D" w:rsidRDefault="0053562D" w:rsidP="007C67F3">
      <w:pPr>
        <w:spacing w:after="160" w:line="259" w:lineRule="auto"/>
        <w:rPr>
          <w:rFonts w:asciiTheme="minorHAnsi" w:hAnsiTheme="minorHAnsi"/>
          <w:b/>
          <w:sz w:val="28"/>
          <w:szCs w:val="28"/>
        </w:rPr>
      </w:pPr>
      <w:r>
        <w:rPr>
          <w:rFonts w:asciiTheme="minorHAnsi" w:hAnsiTheme="minorHAnsi"/>
          <w:b/>
          <w:sz w:val="28"/>
          <w:szCs w:val="28"/>
        </w:rPr>
        <w:t xml:space="preserve">1. </w:t>
      </w:r>
      <w:r>
        <w:rPr>
          <w:rFonts w:asciiTheme="minorHAnsi" w:hAnsiTheme="minorHAnsi"/>
          <w:b/>
          <w:sz w:val="28"/>
          <w:szCs w:val="28"/>
        </w:rPr>
        <w:tab/>
        <w:t>INTRODUCTION</w:t>
      </w:r>
    </w:p>
    <w:p w14:paraId="28750A51" w14:textId="0996BA00" w:rsidR="00DF6F80" w:rsidRPr="007C67F3" w:rsidRDefault="00DF6F80" w:rsidP="00DF6F80">
      <w:pPr>
        <w:spacing w:after="120"/>
        <w:rPr>
          <w:rFonts w:asciiTheme="minorHAnsi" w:eastAsia="SimSun" w:hAnsiTheme="minorHAnsi"/>
          <w:b/>
          <w:sz w:val="28"/>
          <w:szCs w:val="28"/>
        </w:rPr>
      </w:pPr>
      <w:r w:rsidRPr="000D4A25">
        <w:rPr>
          <w:rFonts w:asciiTheme="minorHAnsi" w:hAnsiTheme="minorHAnsi"/>
          <w:b/>
          <w:sz w:val="28"/>
          <w:szCs w:val="28"/>
        </w:rPr>
        <w:t xml:space="preserve">1.1 </w:t>
      </w:r>
      <w:r w:rsidRPr="000D4A25">
        <w:rPr>
          <w:rFonts w:asciiTheme="minorHAnsi" w:hAnsiTheme="minorHAnsi"/>
          <w:b/>
          <w:sz w:val="28"/>
          <w:szCs w:val="28"/>
        </w:rPr>
        <w:tab/>
        <w:t>Pur</w:t>
      </w:r>
      <w:r w:rsidRPr="007C67F3">
        <w:rPr>
          <w:rFonts w:asciiTheme="minorHAnsi" w:hAnsiTheme="minorHAnsi"/>
          <w:b/>
          <w:sz w:val="28"/>
          <w:szCs w:val="28"/>
        </w:rPr>
        <w:t>pose of the CRIS</w:t>
      </w:r>
    </w:p>
    <w:p w14:paraId="2D198C29" w14:textId="6D0A18DE" w:rsidR="00DF6F80" w:rsidRDefault="00DF6F80" w:rsidP="00E15B98">
      <w:pPr>
        <w:jc w:val="both"/>
        <w:rPr>
          <w:rFonts w:asciiTheme="minorHAnsi" w:hAnsiTheme="minorHAnsi"/>
          <w:iCs/>
        </w:rPr>
      </w:pPr>
      <w:r w:rsidRPr="002A4E88">
        <w:rPr>
          <w:rFonts w:asciiTheme="minorHAnsi" w:hAnsiTheme="minorHAnsi"/>
          <w:iCs/>
        </w:rPr>
        <w:t>This Cost Recovery Implementation Statement (CRIS) provides information</w:t>
      </w:r>
      <w:r>
        <w:rPr>
          <w:rFonts w:asciiTheme="minorHAnsi" w:hAnsiTheme="minorHAnsi"/>
          <w:iCs/>
        </w:rPr>
        <w:t xml:space="preserve"> to higher education stakeholders</w:t>
      </w:r>
      <w:r w:rsidRPr="002A4E88">
        <w:rPr>
          <w:rFonts w:asciiTheme="minorHAnsi" w:hAnsiTheme="minorHAnsi"/>
          <w:iCs/>
        </w:rPr>
        <w:t xml:space="preserve"> on how regulatory charging associated with</w:t>
      </w:r>
      <w:r>
        <w:rPr>
          <w:rFonts w:asciiTheme="minorHAnsi" w:hAnsiTheme="minorHAnsi"/>
          <w:iCs/>
        </w:rPr>
        <w:t xml:space="preserve"> the Higher Education Loan Program (HELP) </w:t>
      </w:r>
      <w:r w:rsidRPr="009952E4">
        <w:rPr>
          <w:rFonts w:asciiTheme="minorHAnsi" w:hAnsiTheme="minorHAnsi"/>
          <w:iCs/>
        </w:rPr>
        <w:t xml:space="preserve">for the </w:t>
      </w:r>
      <w:r w:rsidR="0019674C" w:rsidRPr="00E15B98">
        <w:rPr>
          <w:rFonts w:asciiTheme="minorHAnsi" w:hAnsiTheme="minorHAnsi" w:cstheme="minorHAnsi"/>
        </w:rPr>
        <w:t>Higher Education Contribution Scheme</w:t>
      </w:r>
      <w:r w:rsidR="0019674C">
        <w:rPr>
          <w:rFonts w:asciiTheme="minorHAnsi" w:hAnsiTheme="minorHAnsi" w:cstheme="minorHAnsi"/>
        </w:rPr>
        <w:t xml:space="preserve"> </w:t>
      </w:r>
      <w:r w:rsidR="0019674C" w:rsidRPr="00E15B98">
        <w:rPr>
          <w:rFonts w:asciiTheme="minorHAnsi" w:hAnsiTheme="minorHAnsi" w:cstheme="minorHAnsi"/>
        </w:rPr>
        <w:t>- Higher Education Loan Program (</w:t>
      </w:r>
      <w:r w:rsidRPr="009952E4">
        <w:rPr>
          <w:rFonts w:asciiTheme="minorHAnsi" w:hAnsiTheme="minorHAnsi"/>
          <w:iCs/>
        </w:rPr>
        <w:t>HECS</w:t>
      </w:r>
      <w:r w:rsidRPr="009952E4">
        <w:rPr>
          <w:rFonts w:asciiTheme="minorHAnsi" w:hAnsiTheme="minorHAnsi"/>
          <w:iCs/>
        </w:rPr>
        <w:noBreakHyphen/>
        <w:t>HELP</w:t>
      </w:r>
      <w:r w:rsidR="0019674C" w:rsidRPr="00E15B98">
        <w:rPr>
          <w:rFonts w:asciiTheme="minorHAnsi" w:hAnsiTheme="minorHAnsi"/>
          <w:iCs/>
        </w:rPr>
        <w:t>)</w:t>
      </w:r>
      <w:r w:rsidRPr="00E15B98">
        <w:rPr>
          <w:rFonts w:asciiTheme="minorHAnsi" w:hAnsiTheme="minorHAnsi"/>
          <w:iCs/>
        </w:rPr>
        <w:t xml:space="preserve"> and </w:t>
      </w:r>
      <w:r w:rsidR="0019674C" w:rsidRPr="00E15B98">
        <w:rPr>
          <w:rFonts w:asciiTheme="minorHAnsi" w:hAnsiTheme="minorHAnsi" w:cstheme="minorHAnsi"/>
        </w:rPr>
        <w:t>Fee - Higher Education Loan Program</w:t>
      </w:r>
      <w:r w:rsidR="0019674C" w:rsidRPr="009952E4">
        <w:rPr>
          <w:rFonts w:asciiTheme="minorHAnsi" w:hAnsiTheme="minorHAnsi" w:cstheme="minorHAnsi"/>
        </w:rPr>
        <w:t xml:space="preserve"> </w:t>
      </w:r>
      <w:r w:rsidR="0019674C" w:rsidRPr="00E15B98">
        <w:rPr>
          <w:rFonts w:asciiTheme="minorHAnsi" w:hAnsiTheme="minorHAnsi" w:cstheme="minorHAnsi"/>
        </w:rPr>
        <w:t>(</w:t>
      </w:r>
      <w:r w:rsidRPr="009952E4">
        <w:rPr>
          <w:rFonts w:asciiTheme="minorHAnsi" w:hAnsiTheme="minorHAnsi"/>
          <w:iCs/>
        </w:rPr>
        <w:t>FEE-HELP</w:t>
      </w:r>
      <w:r w:rsidR="0019674C" w:rsidRPr="00E15B98">
        <w:rPr>
          <w:rFonts w:asciiTheme="minorHAnsi" w:hAnsiTheme="minorHAnsi"/>
          <w:iCs/>
        </w:rPr>
        <w:t>)</w:t>
      </w:r>
      <w:r w:rsidRPr="002A4E88">
        <w:rPr>
          <w:rFonts w:asciiTheme="minorHAnsi" w:hAnsiTheme="minorHAnsi"/>
          <w:iCs/>
        </w:rPr>
        <w:t xml:space="preserve"> </w:t>
      </w:r>
      <w:r>
        <w:rPr>
          <w:rFonts w:asciiTheme="minorHAnsi" w:hAnsiTheme="minorHAnsi"/>
        </w:rPr>
        <w:t xml:space="preserve">will be implemented by </w:t>
      </w:r>
      <w:r w:rsidRPr="002A4E88">
        <w:rPr>
          <w:rFonts w:asciiTheme="minorHAnsi" w:hAnsiTheme="minorHAnsi"/>
        </w:rPr>
        <w:t xml:space="preserve">the Department of Education (the </w:t>
      </w:r>
      <w:r w:rsidR="00546C97">
        <w:rPr>
          <w:rFonts w:asciiTheme="minorHAnsi" w:hAnsiTheme="minorHAnsi"/>
        </w:rPr>
        <w:t>d</w:t>
      </w:r>
      <w:r w:rsidRPr="002A4E88">
        <w:rPr>
          <w:rFonts w:asciiTheme="minorHAnsi" w:hAnsiTheme="minorHAnsi"/>
        </w:rPr>
        <w:t>epartment)</w:t>
      </w:r>
      <w:r w:rsidRPr="002A4E88">
        <w:rPr>
          <w:rFonts w:asciiTheme="minorHAnsi" w:hAnsiTheme="minorHAnsi"/>
          <w:iCs/>
        </w:rPr>
        <w:t xml:space="preserve">. This includes </w:t>
      </w:r>
      <w:r>
        <w:rPr>
          <w:rFonts w:asciiTheme="minorHAnsi" w:hAnsiTheme="minorHAnsi"/>
          <w:iCs/>
        </w:rPr>
        <w:t>charging</w:t>
      </w:r>
      <w:r w:rsidRPr="002A4E88">
        <w:rPr>
          <w:rFonts w:asciiTheme="minorHAnsi" w:hAnsiTheme="minorHAnsi"/>
          <w:iCs/>
        </w:rPr>
        <w:t xml:space="preserve"> an application fee </w:t>
      </w:r>
      <w:r>
        <w:rPr>
          <w:rFonts w:asciiTheme="minorHAnsi" w:hAnsiTheme="minorHAnsi"/>
          <w:iCs/>
        </w:rPr>
        <w:t xml:space="preserve">for all prospective </w:t>
      </w:r>
      <w:r w:rsidR="0019674C">
        <w:rPr>
          <w:rFonts w:asciiTheme="minorHAnsi" w:hAnsiTheme="minorHAnsi"/>
          <w:iCs/>
        </w:rPr>
        <w:t>H</w:t>
      </w:r>
      <w:r>
        <w:rPr>
          <w:rFonts w:asciiTheme="minorHAnsi" w:hAnsiTheme="minorHAnsi"/>
          <w:iCs/>
        </w:rPr>
        <w:t xml:space="preserve">igher </w:t>
      </w:r>
      <w:r w:rsidR="0019674C">
        <w:rPr>
          <w:rFonts w:asciiTheme="minorHAnsi" w:hAnsiTheme="minorHAnsi"/>
          <w:iCs/>
        </w:rPr>
        <w:t>E</w:t>
      </w:r>
      <w:r>
        <w:rPr>
          <w:rFonts w:asciiTheme="minorHAnsi" w:hAnsiTheme="minorHAnsi"/>
          <w:iCs/>
        </w:rPr>
        <w:t xml:space="preserve">ducation </w:t>
      </w:r>
      <w:r w:rsidR="0019674C">
        <w:rPr>
          <w:rFonts w:asciiTheme="minorHAnsi" w:hAnsiTheme="minorHAnsi"/>
          <w:iCs/>
        </w:rPr>
        <w:t>P</w:t>
      </w:r>
      <w:r>
        <w:rPr>
          <w:rFonts w:asciiTheme="minorHAnsi" w:hAnsiTheme="minorHAnsi"/>
          <w:iCs/>
        </w:rPr>
        <w:t>roviders</w:t>
      </w:r>
      <w:r w:rsidR="0019674C">
        <w:rPr>
          <w:rFonts w:asciiTheme="minorHAnsi" w:hAnsiTheme="minorHAnsi"/>
          <w:iCs/>
        </w:rPr>
        <w:t xml:space="preserve"> (HEP)</w:t>
      </w:r>
      <w:r>
        <w:rPr>
          <w:rFonts w:asciiTheme="minorHAnsi" w:hAnsiTheme="minorHAnsi"/>
          <w:iCs/>
        </w:rPr>
        <w:t xml:space="preserve"> </w:t>
      </w:r>
      <w:r w:rsidRPr="002A4E88">
        <w:rPr>
          <w:rFonts w:asciiTheme="minorHAnsi" w:hAnsiTheme="minorHAnsi"/>
          <w:iCs/>
        </w:rPr>
        <w:t xml:space="preserve">seeking approval </w:t>
      </w:r>
      <w:r>
        <w:rPr>
          <w:rFonts w:asciiTheme="minorHAnsi" w:hAnsiTheme="minorHAnsi"/>
          <w:iCs/>
        </w:rPr>
        <w:t xml:space="preserve">under the </w:t>
      </w:r>
      <w:r w:rsidRPr="001F0DBC">
        <w:rPr>
          <w:rFonts w:asciiTheme="minorHAnsi" w:hAnsiTheme="minorHAnsi"/>
          <w:i/>
          <w:iCs/>
        </w:rPr>
        <w:t>Higher Education Support Act 2003</w:t>
      </w:r>
      <w:r>
        <w:rPr>
          <w:rFonts w:asciiTheme="minorHAnsi" w:hAnsiTheme="minorHAnsi"/>
          <w:iCs/>
        </w:rPr>
        <w:t xml:space="preserve"> (HESA) to offer FEE-HELP</w:t>
      </w:r>
      <w:r w:rsidRPr="002A4E88">
        <w:rPr>
          <w:rFonts w:asciiTheme="minorHAnsi" w:hAnsiTheme="minorHAnsi"/>
          <w:iCs/>
        </w:rPr>
        <w:t>, and an annual charge</w:t>
      </w:r>
      <w:r>
        <w:rPr>
          <w:rFonts w:asciiTheme="minorHAnsi" w:hAnsiTheme="minorHAnsi"/>
          <w:iCs/>
        </w:rPr>
        <w:t xml:space="preserve"> levy (on a partial cost recovery basis)</w:t>
      </w:r>
      <w:r w:rsidRPr="002A4E88">
        <w:rPr>
          <w:rFonts w:asciiTheme="minorHAnsi" w:hAnsiTheme="minorHAnsi"/>
          <w:iCs/>
        </w:rPr>
        <w:t xml:space="preserve"> </w:t>
      </w:r>
      <w:r>
        <w:rPr>
          <w:rFonts w:asciiTheme="minorHAnsi" w:hAnsiTheme="minorHAnsi"/>
          <w:iCs/>
        </w:rPr>
        <w:t>on</w:t>
      </w:r>
      <w:r w:rsidRPr="002A4E88">
        <w:rPr>
          <w:rFonts w:asciiTheme="minorHAnsi" w:hAnsiTheme="minorHAnsi"/>
          <w:iCs/>
        </w:rPr>
        <w:t xml:space="preserve"> all higher education course providers</w:t>
      </w:r>
      <w:r>
        <w:rPr>
          <w:rFonts w:asciiTheme="minorHAnsi" w:hAnsiTheme="minorHAnsi"/>
          <w:iCs/>
        </w:rPr>
        <w:t xml:space="preserve"> whose students are entitled to HECS-HELP and/or FEE-HELP assistance under HESA</w:t>
      </w:r>
      <w:r w:rsidR="00817C57">
        <w:rPr>
          <w:rFonts w:asciiTheme="minorHAnsi" w:hAnsiTheme="minorHAnsi"/>
          <w:iCs/>
        </w:rPr>
        <w:t>.</w:t>
      </w:r>
      <w:r w:rsidRPr="002A4E88">
        <w:rPr>
          <w:rFonts w:asciiTheme="minorHAnsi" w:hAnsiTheme="minorHAnsi"/>
          <w:iCs/>
        </w:rPr>
        <w:t xml:space="preserve"> </w:t>
      </w:r>
    </w:p>
    <w:p w14:paraId="7D6C2F5A" w14:textId="77777777" w:rsidR="0019674C" w:rsidRDefault="0019674C" w:rsidP="00E15B98">
      <w:pPr>
        <w:jc w:val="both"/>
        <w:rPr>
          <w:rFonts w:asciiTheme="minorHAnsi" w:hAnsiTheme="minorHAnsi"/>
          <w:iCs/>
        </w:rPr>
      </w:pPr>
    </w:p>
    <w:p w14:paraId="4822C65A" w14:textId="77777777" w:rsidR="00DF6F80" w:rsidRPr="00B44552" w:rsidRDefault="00DF6F80" w:rsidP="007C67F3">
      <w:pPr>
        <w:pStyle w:val="Pa12"/>
        <w:spacing w:after="120" w:line="240" w:lineRule="auto"/>
        <w:jc w:val="both"/>
        <w:rPr>
          <w:rFonts w:asciiTheme="minorHAnsi" w:hAnsiTheme="minorHAnsi" w:cs="Times New Roman"/>
          <w:iCs/>
          <w:lang w:val="en-AU"/>
        </w:rPr>
      </w:pPr>
      <w:r w:rsidRPr="00FA503E">
        <w:rPr>
          <w:rFonts w:asciiTheme="minorHAnsi" w:hAnsiTheme="minorHAnsi" w:cs="Times New Roman"/>
          <w:iCs/>
          <w:lang w:val="en-AU"/>
        </w:rPr>
        <w:t>The CRIS outlines the cost</w:t>
      </w:r>
      <w:r>
        <w:rPr>
          <w:rFonts w:asciiTheme="minorHAnsi" w:hAnsiTheme="minorHAnsi" w:cs="Times New Roman"/>
          <w:iCs/>
          <w:lang w:val="en-AU"/>
        </w:rPr>
        <w:t>s</w:t>
      </w:r>
      <w:r w:rsidRPr="00FA503E">
        <w:rPr>
          <w:rFonts w:asciiTheme="minorHAnsi" w:hAnsiTheme="minorHAnsi" w:cs="Times New Roman"/>
          <w:iCs/>
          <w:lang w:val="en-AU"/>
        </w:rPr>
        <w:t xml:space="preserve"> for </w:t>
      </w:r>
      <w:proofErr w:type="gramStart"/>
      <w:r w:rsidRPr="00FA503E">
        <w:rPr>
          <w:rFonts w:asciiTheme="minorHAnsi" w:hAnsiTheme="minorHAnsi" w:cs="Times New Roman"/>
          <w:iCs/>
          <w:lang w:val="en-AU"/>
        </w:rPr>
        <w:t xml:space="preserve">each regulatory activity, and how the application fee and annual </w:t>
      </w:r>
      <w:r>
        <w:rPr>
          <w:rFonts w:asciiTheme="minorHAnsi" w:hAnsiTheme="minorHAnsi" w:cs="Times New Roman"/>
          <w:iCs/>
          <w:lang w:val="en-AU"/>
        </w:rPr>
        <w:t xml:space="preserve">charge </w:t>
      </w:r>
      <w:r w:rsidRPr="00FA503E">
        <w:rPr>
          <w:rFonts w:asciiTheme="minorHAnsi" w:hAnsiTheme="minorHAnsi" w:cs="Times New Roman"/>
          <w:iCs/>
          <w:lang w:val="en-AU"/>
        </w:rPr>
        <w:t>levy rates are determined</w:t>
      </w:r>
      <w:proofErr w:type="gramEnd"/>
      <w:r w:rsidRPr="00FA503E">
        <w:rPr>
          <w:rFonts w:asciiTheme="minorHAnsi" w:hAnsiTheme="minorHAnsi" w:cs="Times New Roman"/>
          <w:iCs/>
          <w:lang w:val="en-AU"/>
        </w:rPr>
        <w:t xml:space="preserve">. </w:t>
      </w:r>
      <w:r>
        <w:rPr>
          <w:rFonts w:asciiTheme="minorHAnsi" w:hAnsiTheme="minorHAnsi" w:cs="Times New Roman"/>
          <w:iCs/>
          <w:lang w:val="en-AU"/>
        </w:rPr>
        <w:t>T</w:t>
      </w:r>
      <w:r w:rsidRPr="00FA503E">
        <w:rPr>
          <w:rFonts w:asciiTheme="minorHAnsi" w:hAnsiTheme="minorHAnsi" w:cs="Times New Roman"/>
          <w:iCs/>
          <w:lang w:val="en-AU"/>
        </w:rPr>
        <w:t>he application fee will</w:t>
      </w:r>
      <w:r>
        <w:rPr>
          <w:rFonts w:asciiTheme="minorHAnsi" w:hAnsiTheme="minorHAnsi" w:cs="Times New Roman"/>
          <w:iCs/>
          <w:lang w:val="en-AU"/>
        </w:rPr>
        <w:t xml:space="preserve"> recover the full costs of assessing applications. The</w:t>
      </w:r>
      <w:r w:rsidRPr="00FA503E">
        <w:rPr>
          <w:rFonts w:asciiTheme="minorHAnsi" w:hAnsiTheme="minorHAnsi" w:cs="Times New Roman"/>
          <w:iCs/>
          <w:lang w:val="en-AU"/>
        </w:rPr>
        <w:t xml:space="preserve"> levy will partially recover</w:t>
      </w:r>
      <w:r>
        <w:rPr>
          <w:rFonts w:asciiTheme="minorHAnsi" w:hAnsiTheme="minorHAnsi" w:cs="Times New Roman"/>
          <w:iCs/>
          <w:lang w:val="en-AU"/>
        </w:rPr>
        <w:t xml:space="preserve"> the costs of ongoing regulatory activities and </w:t>
      </w:r>
      <w:proofErr w:type="gramStart"/>
      <w:r>
        <w:rPr>
          <w:rFonts w:asciiTheme="minorHAnsi" w:hAnsiTheme="minorHAnsi" w:cs="Times New Roman"/>
          <w:iCs/>
          <w:lang w:val="en-AU"/>
        </w:rPr>
        <w:t>will be calculated</w:t>
      </w:r>
      <w:proofErr w:type="gramEnd"/>
      <w:r>
        <w:rPr>
          <w:rFonts w:asciiTheme="minorHAnsi" w:hAnsiTheme="minorHAnsi" w:cs="Times New Roman"/>
          <w:iCs/>
          <w:lang w:val="en-AU"/>
        </w:rPr>
        <w:t xml:space="preserve"> based on the cost drivers of the department’s regulatory activities</w:t>
      </w:r>
      <w:r w:rsidRPr="00FA503E">
        <w:rPr>
          <w:rFonts w:asciiTheme="minorHAnsi" w:hAnsiTheme="minorHAnsi" w:cs="Times New Roman"/>
          <w:iCs/>
          <w:lang w:val="en-AU"/>
        </w:rPr>
        <w:t xml:space="preserve">. </w:t>
      </w:r>
    </w:p>
    <w:p w14:paraId="10E592C2" w14:textId="18AD3017" w:rsidR="00061F62" w:rsidRDefault="00DF6F80" w:rsidP="00624F80">
      <w:pPr>
        <w:jc w:val="both"/>
        <w:rPr>
          <w:rFonts w:asciiTheme="minorHAnsi" w:hAnsiTheme="minorHAnsi"/>
          <w:iCs/>
        </w:rPr>
      </w:pPr>
      <w:r>
        <w:rPr>
          <w:rFonts w:asciiTheme="minorHAnsi" w:hAnsiTheme="minorHAnsi"/>
          <w:iCs/>
        </w:rPr>
        <w:t xml:space="preserve">Financial and non-financial performance information for these cost recovery activities is also reported in this CRIS, which includes financial forecasts </w:t>
      </w:r>
      <w:r w:rsidRPr="00E9363E">
        <w:rPr>
          <w:rFonts w:asciiTheme="minorHAnsi" w:hAnsiTheme="minorHAnsi"/>
          <w:iCs/>
        </w:rPr>
        <w:t xml:space="preserve">for </w:t>
      </w:r>
      <w:r w:rsidR="003D6D6D">
        <w:rPr>
          <w:rFonts w:asciiTheme="minorHAnsi" w:hAnsiTheme="minorHAnsi"/>
          <w:iCs/>
        </w:rPr>
        <w:t>2020</w:t>
      </w:r>
      <w:r w:rsidRPr="00E9363E">
        <w:rPr>
          <w:rFonts w:asciiTheme="minorHAnsi" w:hAnsiTheme="minorHAnsi"/>
          <w:iCs/>
        </w:rPr>
        <w:t>,</w:t>
      </w:r>
      <w:r>
        <w:rPr>
          <w:rFonts w:asciiTheme="minorHAnsi" w:hAnsiTheme="minorHAnsi"/>
          <w:iCs/>
        </w:rPr>
        <w:t xml:space="preserve"> and </w:t>
      </w:r>
      <w:r w:rsidR="00126914">
        <w:rPr>
          <w:rFonts w:asciiTheme="minorHAnsi" w:hAnsiTheme="minorHAnsi"/>
          <w:iCs/>
        </w:rPr>
        <w:t>four</w:t>
      </w:r>
      <w:r>
        <w:rPr>
          <w:rFonts w:asciiTheme="minorHAnsi" w:hAnsiTheme="minorHAnsi"/>
          <w:iCs/>
        </w:rPr>
        <w:t xml:space="preserve"> forward years</w:t>
      </w:r>
      <w:r w:rsidR="004E53A8">
        <w:rPr>
          <w:rFonts w:asciiTheme="minorHAnsi" w:hAnsiTheme="minorHAnsi"/>
          <w:iCs/>
        </w:rPr>
        <w:t xml:space="preserve"> (note, the financial forecast on the relevant financial years are also included)</w:t>
      </w:r>
      <w:r>
        <w:rPr>
          <w:rFonts w:asciiTheme="minorHAnsi" w:hAnsiTheme="minorHAnsi"/>
          <w:iCs/>
        </w:rPr>
        <w:t xml:space="preserve">. </w:t>
      </w:r>
      <w:r w:rsidRPr="002A4E88">
        <w:rPr>
          <w:rFonts w:asciiTheme="minorHAnsi" w:hAnsiTheme="minorHAnsi"/>
          <w:iCs/>
        </w:rPr>
        <w:t xml:space="preserve">The department will maintain the CRIS until the activity or cost recovery for the activity </w:t>
      </w:r>
      <w:proofErr w:type="gramStart"/>
      <w:r>
        <w:rPr>
          <w:rFonts w:asciiTheme="minorHAnsi" w:hAnsiTheme="minorHAnsi"/>
          <w:iCs/>
        </w:rPr>
        <w:t>is</w:t>
      </w:r>
      <w:r w:rsidRPr="002A4E88">
        <w:rPr>
          <w:rFonts w:asciiTheme="minorHAnsi" w:hAnsiTheme="minorHAnsi"/>
          <w:iCs/>
        </w:rPr>
        <w:t xml:space="preserve"> discontinued</w:t>
      </w:r>
      <w:proofErr w:type="gramEnd"/>
      <w:r w:rsidRPr="002A4E88">
        <w:rPr>
          <w:rFonts w:asciiTheme="minorHAnsi" w:hAnsiTheme="minorHAnsi"/>
          <w:iCs/>
        </w:rPr>
        <w:t>.</w:t>
      </w:r>
      <w:r w:rsidR="00061F62">
        <w:rPr>
          <w:rFonts w:asciiTheme="minorHAnsi" w:hAnsiTheme="minorHAnsi"/>
          <w:iCs/>
        </w:rPr>
        <w:t xml:space="preserve"> </w:t>
      </w:r>
    </w:p>
    <w:p w14:paraId="1FD34927" w14:textId="77777777" w:rsidR="00DF6F80" w:rsidRPr="00FA503E" w:rsidRDefault="00DF6F80" w:rsidP="00DF6F80">
      <w:pPr>
        <w:rPr>
          <w:rFonts w:asciiTheme="minorHAnsi" w:hAnsiTheme="minorHAnsi"/>
          <w:iCs/>
        </w:rPr>
      </w:pPr>
    </w:p>
    <w:p w14:paraId="07AA2CAC" w14:textId="77777777" w:rsidR="00E72559" w:rsidRDefault="00E72559">
      <w:r>
        <w:br w:type="page"/>
      </w:r>
    </w:p>
    <w:p w14:paraId="26806B3F" w14:textId="77777777" w:rsidR="00DF6F80" w:rsidRPr="007C67F3" w:rsidRDefault="00DF6F80" w:rsidP="007C67F3">
      <w:pPr>
        <w:pStyle w:val="Pa12"/>
        <w:spacing w:after="120" w:line="240" w:lineRule="auto"/>
        <w:rPr>
          <w:rFonts w:asciiTheme="minorHAnsi" w:hAnsiTheme="minorHAnsi" w:cs="Times New Roman"/>
          <w:b/>
          <w:sz w:val="28"/>
          <w:szCs w:val="28"/>
          <w:lang w:val="en-AU"/>
        </w:rPr>
      </w:pPr>
      <w:r w:rsidRPr="000D4A25">
        <w:rPr>
          <w:rFonts w:asciiTheme="minorHAnsi" w:hAnsiTheme="minorHAnsi" w:cs="Times New Roman"/>
          <w:b/>
          <w:sz w:val="28"/>
          <w:szCs w:val="28"/>
          <w:lang w:val="en-AU"/>
        </w:rPr>
        <w:t xml:space="preserve">1.2 </w:t>
      </w:r>
      <w:r w:rsidRPr="000D4A25">
        <w:rPr>
          <w:rFonts w:asciiTheme="minorHAnsi" w:hAnsiTheme="minorHAnsi" w:cs="Times New Roman"/>
          <w:b/>
          <w:sz w:val="28"/>
          <w:szCs w:val="28"/>
          <w:lang w:val="en-AU"/>
        </w:rPr>
        <w:tab/>
        <w:t xml:space="preserve">Summary of </w:t>
      </w:r>
      <w:r>
        <w:rPr>
          <w:rFonts w:asciiTheme="minorHAnsi" w:hAnsiTheme="minorHAnsi" w:cs="Times New Roman"/>
          <w:b/>
          <w:sz w:val="28"/>
          <w:szCs w:val="28"/>
          <w:lang w:val="en-AU"/>
        </w:rPr>
        <w:t>HELP</w:t>
      </w:r>
    </w:p>
    <w:p w14:paraId="279F2289" w14:textId="26404AE7" w:rsidR="00DF6F80" w:rsidRDefault="00DF6F80" w:rsidP="00A92589">
      <w:pPr>
        <w:spacing w:after="120"/>
        <w:jc w:val="both"/>
        <w:rPr>
          <w:rFonts w:asciiTheme="minorHAnsi" w:hAnsiTheme="minorHAnsi" w:cstheme="minorHAnsi"/>
        </w:rPr>
      </w:pPr>
      <w:r w:rsidRPr="00B55AA9">
        <w:rPr>
          <w:rFonts w:asciiTheme="minorHAnsi" w:hAnsiTheme="minorHAnsi" w:cstheme="minorHAnsi"/>
        </w:rPr>
        <w:t>HELP</w:t>
      </w:r>
      <w:r>
        <w:rPr>
          <w:rFonts w:asciiTheme="minorHAnsi" w:hAnsiTheme="minorHAnsi" w:cstheme="minorHAnsi"/>
        </w:rPr>
        <w:t xml:space="preserve"> (including HECS-HELP and FEE-HELP)</w:t>
      </w:r>
      <w:r w:rsidRPr="00B55AA9">
        <w:rPr>
          <w:rFonts w:asciiTheme="minorHAnsi" w:hAnsiTheme="minorHAnsi" w:cstheme="minorHAnsi"/>
        </w:rPr>
        <w:t xml:space="preserve"> </w:t>
      </w:r>
      <w:proofErr w:type="gramStart"/>
      <w:r w:rsidRPr="00B55AA9">
        <w:rPr>
          <w:rFonts w:asciiTheme="minorHAnsi" w:hAnsiTheme="minorHAnsi" w:cstheme="minorHAnsi"/>
        </w:rPr>
        <w:t>was introduced</w:t>
      </w:r>
      <w:proofErr w:type="gramEnd"/>
      <w:r w:rsidRPr="00B55AA9">
        <w:rPr>
          <w:rFonts w:asciiTheme="minorHAnsi" w:hAnsiTheme="minorHAnsi" w:cstheme="minorHAnsi"/>
        </w:rPr>
        <w:t xml:space="preserve"> in 2005</w:t>
      </w:r>
      <w:r>
        <w:rPr>
          <w:rFonts w:asciiTheme="minorHAnsi" w:hAnsiTheme="minorHAnsi" w:cstheme="minorHAnsi"/>
        </w:rPr>
        <w:t xml:space="preserve"> and has been in operation since 1989 under the former name of HECS</w:t>
      </w:r>
      <w:r w:rsidRPr="00B55AA9">
        <w:rPr>
          <w:rFonts w:asciiTheme="minorHAnsi" w:hAnsiTheme="minorHAnsi" w:cstheme="minorHAnsi"/>
        </w:rPr>
        <w:t xml:space="preserve">. </w:t>
      </w:r>
      <w:proofErr w:type="gramStart"/>
      <w:r w:rsidRPr="00B55AA9">
        <w:rPr>
          <w:rFonts w:asciiTheme="minorHAnsi" w:hAnsiTheme="minorHAnsi" w:cstheme="minorHAnsi"/>
        </w:rPr>
        <w:t>It is an income contingent loan</w:t>
      </w:r>
      <w:r w:rsidR="00546C97">
        <w:rPr>
          <w:rFonts w:asciiTheme="minorHAnsi" w:hAnsiTheme="minorHAnsi" w:cstheme="minorHAnsi"/>
        </w:rPr>
        <w:t xml:space="preserve"> (ICL)</w:t>
      </w:r>
      <w:r w:rsidRPr="00B55AA9">
        <w:rPr>
          <w:rFonts w:asciiTheme="minorHAnsi" w:hAnsiTheme="minorHAnsi" w:cstheme="minorHAnsi"/>
        </w:rPr>
        <w:t xml:space="preserve"> program that supports access and participation to tertiary education by removing the up</w:t>
      </w:r>
      <w:r>
        <w:rPr>
          <w:rFonts w:asciiTheme="minorHAnsi" w:hAnsiTheme="minorHAnsi" w:cstheme="minorHAnsi"/>
        </w:rPr>
        <w:noBreakHyphen/>
      </w:r>
      <w:r w:rsidRPr="00B55AA9">
        <w:rPr>
          <w:rFonts w:asciiTheme="minorHAnsi" w:hAnsiTheme="minorHAnsi" w:cstheme="minorHAnsi"/>
        </w:rPr>
        <w:t>front cost barriers for eligible students.</w:t>
      </w:r>
      <w:proofErr w:type="gramEnd"/>
      <w:r w:rsidRPr="00B55AA9">
        <w:rPr>
          <w:rFonts w:asciiTheme="minorHAnsi" w:hAnsiTheme="minorHAnsi" w:cstheme="minorHAnsi"/>
        </w:rPr>
        <w:t xml:space="preserve"> Whe</w:t>
      </w:r>
      <w:r>
        <w:rPr>
          <w:rFonts w:asciiTheme="minorHAnsi" w:hAnsiTheme="minorHAnsi" w:cstheme="minorHAnsi"/>
        </w:rPr>
        <w:t>n</w:t>
      </w:r>
      <w:r w:rsidRPr="00B55AA9">
        <w:rPr>
          <w:rFonts w:asciiTheme="minorHAnsi" w:hAnsiTheme="minorHAnsi" w:cstheme="minorHAnsi"/>
        </w:rPr>
        <w:t xml:space="preserve"> an eligible student access</w:t>
      </w:r>
      <w:r>
        <w:rPr>
          <w:rFonts w:asciiTheme="minorHAnsi" w:hAnsiTheme="minorHAnsi" w:cstheme="minorHAnsi"/>
        </w:rPr>
        <w:t>es</w:t>
      </w:r>
      <w:r w:rsidRPr="00B55AA9">
        <w:rPr>
          <w:rFonts w:asciiTheme="minorHAnsi" w:hAnsiTheme="minorHAnsi" w:cstheme="minorHAnsi"/>
        </w:rPr>
        <w:t xml:space="preserve"> HELP, the </w:t>
      </w:r>
      <w:r>
        <w:rPr>
          <w:rFonts w:asciiTheme="minorHAnsi" w:hAnsiTheme="minorHAnsi" w:cstheme="minorHAnsi"/>
        </w:rPr>
        <w:t>Australian G</w:t>
      </w:r>
      <w:r w:rsidRPr="00B55AA9">
        <w:rPr>
          <w:rFonts w:asciiTheme="minorHAnsi" w:hAnsiTheme="minorHAnsi" w:cstheme="minorHAnsi"/>
        </w:rPr>
        <w:t>overnment pays the student’s tuition fees directly to the approved provider, and the student acc</w:t>
      </w:r>
      <w:r>
        <w:rPr>
          <w:rFonts w:asciiTheme="minorHAnsi" w:hAnsiTheme="minorHAnsi" w:cstheme="minorHAnsi"/>
        </w:rPr>
        <w:t>rues</w:t>
      </w:r>
      <w:r w:rsidRPr="00B55AA9">
        <w:rPr>
          <w:rFonts w:asciiTheme="minorHAnsi" w:hAnsiTheme="minorHAnsi" w:cstheme="minorHAnsi"/>
        </w:rPr>
        <w:t xml:space="preserve"> a debt to the </w:t>
      </w:r>
      <w:r>
        <w:rPr>
          <w:rFonts w:asciiTheme="minorHAnsi" w:hAnsiTheme="minorHAnsi" w:cstheme="minorHAnsi"/>
        </w:rPr>
        <w:t>g</w:t>
      </w:r>
      <w:r w:rsidRPr="00B55AA9">
        <w:rPr>
          <w:rFonts w:asciiTheme="minorHAnsi" w:hAnsiTheme="minorHAnsi" w:cstheme="minorHAnsi"/>
        </w:rPr>
        <w:t xml:space="preserve">overnment, which </w:t>
      </w:r>
      <w:proofErr w:type="gramStart"/>
      <w:r w:rsidRPr="00B55AA9">
        <w:rPr>
          <w:rFonts w:asciiTheme="minorHAnsi" w:hAnsiTheme="minorHAnsi" w:cstheme="minorHAnsi"/>
        </w:rPr>
        <w:t>is managed</w:t>
      </w:r>
      <w:proofErr w:type="gramEnd"/>
      <w:r w:rsidRPr="00B55AA9">
        <w:rPr>
          <w:rFonts w:asciiTheme="minorHAnsi" w:hAnsiTheme="minorHAnsi" w:cstheme="minorHAnsi"/>
        </w:rPr>
        <w:t xml:space="preserve"> by the </w:t>
      </w:r>
      <w:r w:rsidR="00546C97">
        <w:rPr>
          <w:rFonts w:asciiTheme="minorHAnsi" w:hAnsiTheme="minorHAnsi" w:cstheme="minorHAnsi"/>
        </w:rPr>
        <w:t>Australian Taxation Office (</w:t>
      </w:r>
      <w:r w:rsidR="00974E84">
        <w:rPr>
          <w:rFonts w:asciiTheme="minorHAnsi" w:hAnsiTheme="minorHAnsi" w:cstheme="minorHAnsi"/>
        </w:rPr>
        <w:t>ATO</w:t>
      </w:r>
      <w:r w:rsidR="00546C97">
        <w:rPr>
          <w:rFonts w:asciiTheme="minorHAnsi" w:hAnsiTheme="minorHAnsi" w:cstheme="minorHAnsi"/>
        </w:rPr>
        <w:t>)</w:t>
      </w:r>
      <w:r w:rsidRPr="00B55AA9">
        <w:rPr>
          <w:rFonts w:asciiTheme="minorHAnsi" w:hAnsiTheme="minorHAnsi" w:cstheme="minorHAnsi"/>
        </w:rPr>
        <w:t xml:space="preserve">. HELP for students in higher education </w:t>
      </w:r>
      <w:proofErr w:type="gramStart"/>
      <w:r w:rsidRPr="00B55AA9">
        <w:rPr>
          <w:rFonts w:asciiTheme="minorHAnsi" w:hAnsiTheme="minorHAnsi" w:cstheme="minorHAnsi"/>
        </w:rPr>
        <w:t xml:space="preserve">is </w:t>
      </w:r>
      <w:r>
        <w:rPr>
          <w:rFonts w:asciiTheme="minorHAnsi" w:hAnsiTheme="minorHAnsi" w:cstheme="minorHAnsi"/>
        </w:rPr>
        <w:t xml:space="preserve">primarily </w:t>
      </w:r>
      <w:r w:rsidRPr="00B55AA9">
        <w:rPr>
          <w:rFonts w:asciiTheme="minorHAnsi" w:hAnsiTheme="minorHAnsi" w:cstheme="minorHAnsi"/>
        </w:rPr>
        <w:t>delivered</w:t>
      </w:r>
      <w:proofErr w:type="gramEnd"/>
      <w:r w:rsidRPr="00B55AA9">
        <w:rPr>
          <w:rFonts w:asciiTheme="minorHAnsi" w:hAnsiTheme="minorHAnsi" w:cstheme="minorHAnsi"/>
        </w:rPr>
        <w:t xml:space="preserve"> through the HECS</w:t>
      </w:r>
      <w:r w:rsidR="00F9179D">
        <w:rPr>
          <w:rFonts w:asciiTheme="minorHAnsi" w:hAnsiTheme="minorHAnsi" w:cstheme="minorHAnsi"/>
        </w:rPr>
        <w:noBreakHyphen/>
      </w:r>
      <w:r w:rsidRPr="00B55AA9">
        <w:rPr>
          <w:rFonts w:asciiTheme="minorHAnsi" w:hAnsiTheme="minorHAnsi" w:cstheme="minorHAnsi"/>
        </w:rPr>
        <w:t>HELP and FEE-HELP loan programs.</w:t>
      </w:r>
    </w:p>
    <w:p w14:paraId="1EFCA2A9" w14:textId="77777777" w:rsidR="00DF6F80" w:rsidRDefault="00DF6F80" w:rsidP="00A92589">
      <w:pPr>
        <w:spacing w:after="120"/>
        <w:jc w:val="both"/>
        <w:rPr>
          <w:rFonts w:asciiTheme="minorHAnsi" w:hAnsiTheme="minorHAnsi" w:cstheme="minorHAnsi"/>
        </w:rPr>
      </w:pPr>
      <w:r>
        <w:rPr>
          <w:rFonts w:asciiTheme="minorHAnsi" w:hAnsiTheme="minorHAnsi" w:cstheme="minorHAnsi"/>
        </w:rPr>
        <w:t>The department regulates higher education providers who can offer courses under HECS</w:t>
      </w:r>
      <w:r>
        <w:rPr>
          <w:rFonts w:asciiTheme="minorHAnsi" w:hAnsiTheme="minorHAnsi" w:cstheme="minorHAnsi"/>
        </w:rPr>
        <w:noBreakHyphen/>
        <w:t>HELP and FEE</w:t>
      </w:r>
      <w:r>
        <w:rPr>
          <w:rFonts w:asciiTheme="minorHAnsi" w:hAnsiTheme="minorHAnsi" w:cstheme="minorHAnsi"/>
        </w:rPr>
        <w:noBreakHyphen/>
        <w:t>HELP, to ensure that providers are financially viable, making available required information to current and new students and complying with reporting obligations and legislative requirements.</w:t>
      </w:r>
    </w:p>
    <w:p w14:paraId="5CF8EC68" w14:textId="77777777" w:rsidR="006C6256" w:rsidRPr="0064062A" w:rsidRDefault="00DF6F80" w:rsidP="00A92589">
      <w:pPr>
        <w:spacing w:after="120"/>
        <w:jc w:val="both"/>
        <w:rPr>
          <w:rFonts w:asciiTheme="minorHAnsi" w:hAnsiTheme="minorHAnsi" w:cstheme="minorHAnsi"/>
        </w:rPr>
      </w:pPr>
      <w:r>
        <w:rPr>
          <w:rFonts w:asciiTheme="minorHAnsi" w:hAnsiTheme="minorHAnsi" w:cstheme="minorHAnsi"/>
        </w:rPr>
        <w:t xml:space="preserve">Recovering the costs of these regulatory activities promotes equity, as the recipients of the activity meet the cost of its delivery. It </w:t>
      </w:r>
      <w:proofErr w:type="gramStart"/>
      <w:r>
        <w:rPr>
          <w:rFonts w:asciiTheme="minorHAnsi" w:hAnsiTheme="minorHAnsi" w:cstheme="minorHAnsi"/>
        </w:rPr>
        <w:t>is expected</w:t>
      </w:r>
      <w:proofErr w:type="gramEnd"/>
      <w:r>
        <w:rPr>
          <w:rFonts w:asciiTheme="minorHAnsi" w:hAnsiTheme="minorHAnsi" w:cstheme="minorHAnsi"/>
        </w:rPr>
        <w:t xml:space="preserve"> that cost recovery will encourage higher education providers to offer more comprehensive information for students to reduce the volume of enquiry services required by the department. Charging, via cost recovery, can also increase the efficiency, productivity and responsiveness by the department, as service levels </w:t>
      </w:r>
      <w:proofErr w:type="gramStart"/>
      <w:r>
        <w:rPr>
          <w:rFonts w:asciiTheme="minorHAnsi" w:hAnsiTheme="minorHAnsi" w:cstheme="minorHAnsi"/>
        </w:rPr>
        <w:t>can be streamlined</w:t>
      </w:r>
      <w:proofErr w:type="gramEnd"/>
      <w:r>
        <w:rPr>
          <w:rFonts w:asciiTheme="minorHAnsi" w:hAnsiTheme="minorHAnsi" w:cstheme="minorHAnsi"/>
        </w:rPr>
        <w:t xml:space="preserve"> where possible.</w:t>
      </w:r>
    </w:p>
    <w:p w14:paraId="549248C4" w14:textId="77777777" w:rsidR="006C6256" w:rsidRPr="007C67F3" w:rsidRDefault="006C6256" w:rsidP="007C67F3">
      <w:pPr>
        <w:pStyle w:val="Pa12"/>
        <w:spacing w:after="120" w:line="240" w:lineRule="auto"/>
        <w:jc w:val="both"/>
        <w:rPr>
          <w:rFonts w:asciiTheme="minorHAnsi" w:hAnsiTheme="minorHAnsi" w:cs="Times New Roman"/>
          <w:sz w:val="28"/>
          <w:szCs w:val="28"/>
          <w:lang w:val="en-AU"/>
        </w:rPr>
      </w:pPr>
      <w:r w:rsidRPr="007C67F3">
        <w:rPr>
          <w:rFonts w:asciiTheme="minorHAnsi" w:hAnsiTheme="minorHAnsi" w:cs="Times New Roman"/>
          <w:b/>
          <w:sz w:val="28"/>
          <w:szCs w:val="28"/>
          <w:lang w:val="en-AU"/>
        </w:rPr>
        <w:t xml:space="preserve">1.3 </w:t>
      </w:r>
      <w:r w:rsidRPr="007C67F3">
        <w:rPr>
          <w:rFonts w:asciiTheme="minorHAnsi" w:hAnsiTheme="minorHAnsi" w:cs="Times New Roman"/>
          <w:b/>
          <w:sz w:val="28"/>
          <w:szCs w:val="28"/>
          <w:lang w:val="en-AU"/>
        </w:rPr>
        <w:tab/>
        <w:t xml:space="preserve">Description of the regulatory charging activities </w:t>
      </w:r>
    </w:p>
    <w:p w14:paraId="0AFE7221" w14:textId="77777777" w:rsidR="006C6256" w:rsidRDefault="006C6256" w:rsidP="007C67F3">
      <w:pPr>
        <w:spacing w:after="120"/>
        <w:jc w:val="both"/>
        <w:rPr>
          <w:rFonts w:asciiTheme="minorHAnsi" w:hAnsiTheme="minorHAnsi" w:cstheme="minorHAnsi"/>
        </w:rPr>
      </w:pPr>
      <w:r>
        <w:rPr>
          <w:rFonts w:asciiTheme="minorHAnsi" w:hAnsiTheme="minorHAnsi" w:cstheme="minorHAnsi"/>
        </w:rPr>
        <w:t>The HELP program comprises two regulatory activities:</w:t>
      </w:r>
    </w:p>
    <w:p w14:paraId="5E6D172E" w14:textId="0480F77E" w:rsidR="006C6256" w:rsidRPr="005F478D" w:rsidRDefault="006C6256" w:rsidP="00A92589">
      <w:pPr>
        <w:pStyle w:val="ListParagraph"/>
        <w:numPr>
          <w:ilvl w:val="0"/>
          <w:numId w:val="2"/>
        </w:numPr>
        <w:jc w:val="both"/>
        <w:rPr>
          <w:rFonts w:asciiTheme="minorHAnsi" w:hAnsiTheme="minorHAnsi" w:cstheme="minorHAnsi"/>
        </w:rPr>
      </w:pPr>
      <w:r w:rsidRPr="000B75BB">
        <w:rPr>
          <w:rFonts w:asciiTheme="minorHAnsi" w:hAnsiTheme="minorHAnsi" w:cstheme="minorHAnsi"/>
          <w:b/>
        </w:rPr>
        <w:t xml:space="preserve">Applications </w:t>
      </w:r>
      <w:r>
        <w:rPr>
          <w:rFonts w:asciiTheme="minorHAnsi" w:hAnsiTheme="minorHAnsi" w:cstheme="minorHAnsi"/>
        </w:rPr>
        <w:t xml:space="preserve">from registered higher education providers (as defined by </w:t>
      </w:r>
      <w:r w:rsidRPr="00407085">
        <w:rPr>
          <w:rFonts w:asciiTheme="minorHAnsi" w:hAnsiTheme="minorHAnsi" w:cstheme="minorHAnsi"/>
          <w:i/>
        </w:rPr>
        <w:t>Tertiary</w:t>
      </w:r>
      <w:r>
        <w:rPr>
          <w:rFonts w:asciiTheme="minorHAnsi" w:hAnsiTheme="minorHAnsi" w:cstheme="minorHAnsi"/>
          <w:i/>
        </w:rPr>
        <w:t> </w:t>
      </w:r>
      <w:r w:rsidRPr="00407085">
        <w:rPr>
          <w:rFonts w:asciiTheme="minorHAnsi" w:hAnsiTheme="minorHAnsi" w:cstheme="minorHAnsi"/>
          <w:i/>
        </w:rPr>
        <w:t>Education Quality and Standards Agency</w:t>
      </w:r>
      <w:r w:rsidR="00A964F9">
        <w:rPr>
          <w:rFonts w:asciiTheme="minorHAnsi" w:hAnsiTheme="minorHAnsi" w:cstheme="minorHAnsi"/>
          <w:i/>
        </w:rPr>
        <w:t xml:space="preserve"> </w:t>
      </w:r>
      <w:r w:rsidRPr="00407085">
        <w:rPr>
          <w:rFonts w:asciiTheme="minorHAnsi" w:hAnsiTheme="minorHAnsi" w:cstheme="minorHAnsi"/>
          <w:i/>
        </w:rPr>
        <w:t>Act 2011</w:t>
      </w:r>
      <w:r>
        <w:rPr>
          <w:rFonts w:asciiTheme="minorHAnsi" w:hAnsiTheme="minorHAnsi" w:cstheme="minorHAnsi"/>
        </w:rPr>
        <w:t xml:space="preserve">) to be approved under </w:t>
      </w:r>
      <w:r w:rsidR="00DE37B1">
        <w:rPr>
          <w:rFonts w:asciiTheme="minorHAnsi" w:hAnsiTheme="minorHAnsi" w:cstheme="minorHAnsi"/>
        </w:rPr>
        <w:t xml:space="preserve">the </w:t>
      </w:r>
      <w:r>
        <w:rPr>
          <w:rFonts w:asciiTheme="minorHAnsi" w:hAnsiTheme="minorHAnsi" w:cstheme="minorHAnsi"/>
        </w:rPr>
        <w:t xml:space="preserve">HESA </w:t>
      </w:r>
      <w:r w:rsidR="00546C97">
        <w:rPr>
          <w:rFonts w:asciiTheme="minorHAnsi" w:hAnsiTheme="minorHAnsi" w:cstheme="minorHAnsi"/>
        </w:rPr>
        <w:t xml:space="preserve">legislation </w:t>
      </w:r>
      <w:r>
        <w:rPr>
          <w:rFonts w:asciiTheme="minorHAnsi" w:hAnsiTheme="minorHAnsi" w:cstheme="minorHAnsi"/>
        </w:rPr>
        <w:t xml:space="preserve">to offer FEE-HELP assistance to eligible students. </w:t>
      </w:r>
    </w:p>
    <w:p w14:paraId="6E664825" w14:textId="756DA437" w:rsidR="007C67F3" w:rsidRPr="007C67F3" w:rsidRDefault="006C6256" w:rsidP="00A92589">
      <w:pPr>
        <w:pStyle w:val="ListParagraph"/>
        <w:numPr>
          <w:ilvl w:val="0"/>
          <w:numId w:val="2"/>
        </w:numPr>
        <w:spacing w:after="160" w:line="259" w:lineRule="auto"/>
        <w:jc w:val="both"/>
        <w:rPr>
          <w:rFonts w:asciiTheme="minorHAnsi" w:hAnsiTheme="minorHAnsi"/>
        </w:rPr>
      </w:pPr>
      <w:r w:rsidRPr="000B75BB">
        <w:rPr>
          <w:rFonts w:asciiTheme="minorHAnsi" w:hAnsiTheme="minorHAnsi" w:cstheme="minorHAnsi"/>
          <w:b/>
        </w:rPr>
        <w:t xml:space="preserve">Ongoing regulatory activities </w:t>
      </w:r>
      <w:r w:rsidRPr="006C6256">
        <w:rPr>
          <w:rFonts w:asciiTheme="minorHAnsi" w:hAnsiTheme="minorHAnsi" w:cstheme="minorHAnsi"/>
        </w:rPr>
        <w:t xml:space="preserve">such as compliance and auditing costs, payments and estimates, processing and actioning complaints, and provider and student management. These activities ensure that approved higher education providers continue to meet the requirements as a higher education provider under HESA. </w:t>
      </w:r>
    </w:p>
    <w:p w14:paraId="1A1F2C96" w14:textId="15E78858" w:rsidR="00E72559" w:rsidRPr="007C67F3" w:rsidRDefault="006C6256" w:rsidP="007C67F3">
      <w:pPr>
        <w:pStyle w:val="ListParagraph"/>
        <w:spacing w:after="160" w:line="259" w:lineRule="auto"/>
        <w:jc w:val="both"/>
        <w:rPr>
          <w:rFonts w:asciiTheme="minorHAnsi" w:hAnsiTheme="minorHAnsi"/>
        </w:rPr>
      </w:pPr>
      <w:r w:rsidRPr="007C67F3">
        <w:rPr>
          <w:rFonts w:asciiTheme="minorHAnsi" w:hAnsiTheme="minorHAnsi" w:cstheme="minorHAnsi"/>
        </w:rPr>
        <w:t xml:space="preserve"> </w:t>
      </w:r>
      <w:r w:rsidR="00E72559" w:rsidRPr="007C67F3">
        <w:rPr>
          <w:rFonts w:asciiTheme="minorHAnsi" w:hAnsiTheme="minorHAnsi"/>
        </w:rPr>
        <w:br w:type="page"/>
      </w:r>
    </w:p>
    <w:p w14:paraId="38FE270C" w14:textId="1D4D73D8" w:rsidR="009B064E" w:rsidRPr="007C67F3" w:rsidRDefault="007C67F3" w:rsidP="007C67F3">
      <w:pPr>
        <w:spacing w:after="160" w:line="259" w:lineRule="auto"/>
        <w:rPr>
          <w:rFonts w:asciiTheme="minorHAnsi" w:hAnsiTheme="minorHAnsi"/>
          <w:b/>
          <w:sz w:val="28"/>
          <w:szCs w:val="28"/>
        </w:rPr>
      </w:pPr>
      <w:r w:rsidRPr="007C67F3">
        <w:rPr>
          <w:rFonts w:asciiTheme="minorHAnsi" w:hAnsiTheme="minorHAnsi"/>
          <w:b/>
          <w:sz w:val="28"/>
          <w:szCs w:val="28"/>
        </w:rPr>
        <w:t>2.</w:t>
      </w:r>
      <w:r w:rsidR="009B064E" w:rsidRPr="007C67F3">
        <w:rPr>
          <w:rFonts w:asciiTheme="minorHAnsi" w:hAnsiTheme="minorHAnsi"/>
          <w:b/>
          <w:sz w:val="28"/>
          <w:szCs w:val="28"/>
        </w:rPr>
        <w:tab/>
        <w:t>POLICY AND STATUTORY AUTHORITY TO COST RECOVER</w:t>
      </w:r>
    </w:p>
    <w:p w14:paraId="15AD76DC" w14:textId="77777777" w:rsidR="006C6256" w:rsidRPr="004A1C68" w:rsidRDefault="006C6256" w:rsidP="007C67F3">
      <w:pPr>
        <w:pStyle w:val="Pa12"/>
        <w:spacing w:after="120" w:line="240" w:lineRule="auto"/>
        <w:rPr>
          <w:rFonts w:asciiTheme="minorHAnsi" w:hAnsiTheme="minorHAnsi" w:cs="Times New Roman"/>
          <w:b/>
          <w:sz w:val="28"/>
          <w:szCs w:val="28"/>
          <w:lang w:val="en-AU"/>
        </w:rPr>
      </w:pPr>
      <w:r w:rsidRPr="004A1C68">
        <w:rPr>
          <w:rFonts w:asciiTheme="minorHAnsi" w:hAnsiTheme="minorHAnsi" w:cs="Times New Roman"/>
          <w:b/>
          <w:sz w:val="28"/>
          <w:szCs w:val="28"/>
          <w:lang w:val="en-AU"/>
        </w:rPr>
        <w:t>2.1</w:t>
      </w:r>
      <w:r w:rsidRPr="004A1C68">
        <w:rPr>
          <w:rFonts w:asciiTheme="minorHAnsi" w:hAnsiTheme="minorHAnsi" w:cs="Times New Roman"/>
          <w:b/>
          <w:sz w:val="28"/>
          <w:szCs w:val="28"/>
          <w:lang w:val="en-AU"/>
        </w:rPr>
        <w:tab/>
        <w:t>Government policy approval to cost recover the regulatory activit</w:t>
      </w:r>
      <w:r>
        <w:rPr>
          <w:rFonts w:asciiTheme="minorHAnsi" w:hAnsiTheme="minorHAnsi" w:cs="Times New Roman"/>
          <w:b/>
          <w:sz w:val="28"/>
          <w:szCs w:val="28"/>
          <w:lang w:val="en-AU"/>
        </w:rPr>
        <w:t>ies</w:t>
      </w:r>
    </w:p>
    <w:p w14:paraId="3AB59589" w14:textId="4B9C02A9" w:rsidR="006C6256" w:rsidRPr="004A1C68" w:rsidRDefault="006C6256" w:rsidP="00657DEA">
      <w:pPr>
        <w:spacing w:after="120"/>
        <w:jc w:val="both"/>
        <w:rPr>
          <w:rFonts w:asciiTheme="minorHAnsi" w:hAnsiTheme="minorHAnsi"/>
        </w:rPr>
      </w:pPr>
      <w:r w:rsidRPr="004A1C68">
        <w:rPr>
          <w:rFonts w:asciiTheme="minorHAnsi" w:hAnsiTheme="minorHAnsi"/>
        </w:rPr>
        <w:t>The Government</w:t>
      </w:r>
      <w:r>
        <w:rPr>
          <w:rFonts w:asciiTheme="minorHAnsi" w:hAnsiTheme="minorHAnsi"/>
        </w:rPr>
        <w:t xml:space="preserve"> </w:t>
      </w:r>
      <w:r w:rsidRPr="004A1C68">
        <w:rPr>
          <w:rFonts w:asciiTheme="minorHAnsi" w:hAnsiTheme="minorHAnsi"/>
        </w:rPr>
        <w:t>decided to apply full cost</w:t>
      </w:r>
      <w:r>
        <w:rPr>
          <w:rFonts w:asciiTheme="minorHAnsi" w:hAnsiTheme="minorHAnsi"/>
        </w:rPr>
        <w:t xml:space="preserve"> </w:t>
      </w:r>
      <w:r w:rsidRPr="004A1C68">
        <w:rPr>
          <w:rFonts w:asciiTheme="minorHAnsi" w:hAnsiTheme="minorHAnsi"/>
        </w:rPr>
        <w:t xml:space="preserve">recovery for </w:t>
      </w:r>
      <w:r>
        <w:rPr>
          <w:rFonts w:asciiTheme="minorHAnsi" w:hAnsiTheme="minorHAnsi"/>
        </w:rPr>
        <w:t xml:space="preserve">all prospective higher education </w:t>
      </w:r>
      <w:r w:rsidRPr="004A1C68">
        <w:rPr>
          <w:rFonts w:asciiTheme="minorHAnsi" w:hAnsiTheme="minorHAnsi"/>
        </w:rPr>
        <w:t>provider</w:t>
      </w:r>
      <w:r>
        <w:rPr>
          <w:rFonts w:asciiTheme="minorHAnsi" w:hAnsiTheme="minorHAnsi"/>
        </w:rPr>
        <w:t>s</w:t>
      </w:r>
      <w:r w:rsidRPr="004A1C68">
        <w:rPr>
          <w:rFonts w:asciiTheme="minorHAnsi" w:hAnsiTheme="minorHAnsi"/>
        </w:rPr>
        <w:t xml:space="preserve"> appl</w:t>
      </w:r>
      <w:r>
        <w:rPr>
          <w:rFonts w:asciiTheme="minorHAnsi" w:hAnsiTheme="minorHAnsi"/>
        </w:rPr>
        <w:t>ying</w:t>
      </w:r>
      <w:r w:rsidRPr="004A1C68">
        <w:rPr>
          <w:rFonts w:asciiTheme="minorHAnsi" w:hAnsiTheme="minorHAnsi"/>
        </w:rPr>
        <w:t xml:space="preserve"> </w:t>
      </w:r>
      <w:r>
        <w:rPr>
          <w:rFonts w:asciiTheme="minorHAnsi" w:hAnsiTheme="minorHAnsi"/>
        </w:rPr>
        <w:t>for approval to offer FEE</w:t>
      </w:r>
      <w:r>
        <w:rPr>
          <w:rFonts w:asciiTheme="minorHAnsi" w:hAnsiTheme="minorHAnsi"/>
        </w:rPr>
        <w:noBreakHyphen/>
        <w:t xml:space="preserve">HELP under HESA </w:t>
      </w:r>
      <w:r w:rsidRPr="004A1C68">
        <w:rPr>
          <w:rFonts w:asciiTheme="minorHAnsi" w:hAnsiTheme="minorHAnsi"/>
        </w:rPr>
        <w:t xml:space="preserve">and partial cost recovery </w:t>
      </w:r>
      <w:r>
        <w:rPr>
          <w:rFonts w:asciiTheme="minorHAnsi" w:hAnsiTheme="minorHAnsi"/>
        </w:rPr>
        <w:t xml:space="preserve">for </w:t>
      </w:r>
      <w:r w:rsidRPr="004A1C68">
        <w:rPr>
          <w:rFonts w:asciiTheme="minorHAnsi" w:hAnsiTheme="minorHAnsi"/>
        </w:rPr>
        <w:t xml:space="preserve">ongoing regulatory activities for </w:t>
      </w:r>
      <w:r>
        <w:rPr>
          <w:rFonts w:asciiTheme="minorHAnsi" w:hAnsiTheme="minorHAnsi"/>
        </w:rPr>
        <w:t xml:space="preserve">higher education </w:t>
      </w:r>
      <w:r w:rsidRPr="004A1C68">
        <w:rPr>
          <w:rFonts w:asciiTheme="minorHAnsi" w:hAnsiTheme="minorHAnsi"/>
        </w:rPr>
        <w:t xml:space="preserve">providers </w:t>
      </w:r>
      <w:r>
        <w:rPr>
          <w:rFonts w:asciiTheme="minorHAnsi" w:hAnsiTheme="minorHAnsi"/>
        </w:rPr>
        <w:t>offering HECS-HELP and/or FEE</w:t>
      </w:r>
      <w:r w:rsidR="00F9179D">
        <w:rPr>
          <w:rFonts w:asciiTheme="minorHAnsi" w:hAnsiTheme="minorHAnsi"/>
        </w:rPr>
        <w:noBreakHyphen/>
      </w:r>
      <w:r>
        <w:rPr>
          <w:rFonts w:asciiTheme="minorHAnsi" w:hAnsiTheme="minorHAnsi"/>
        </w:rPr>
        <w:t xml:space="preserve">HELP assistance </w:t>
      </w:r>
      <w:r w:rsidRPr="004A1C68">
        <w:rPr>
          <w:rFonts w:asciiTheme="minorHAnsi" w:hAnsiTheme="minorHAnsi"/>
        </w:rPr>
        <w:t xml:space="preserve">in the 2018-19 Budget, as announced on 8 May 2018. </w:t>
      </w:r>
    </w:p>
    <w:p w14:paraId="3E76BE3F" w14:textId="77777777" w:rsidR="006C6256" w:rsidRPr="006C6256" w:rsidRDefault="006C6256" w:rsidP="00657DEA">
      <w:pPr>
        <w:pStyle w:val="Pa12"/>
        <w:spacing w:after="120" w:line="240" w:lineRule="auto"/>
        <w:jc w:val="both"/>
        <w:rPr>
          <w:rFonts w:asciiTheme="minorHAnsi" w:hAnsiTheme="minorHAnsi" w:cs="Times New Roman"/>
          <w:b/>
          <w:sz w:val="28"/>
          <w:szCs w:val="28"/>
          <w:lang w:val="en-AU"/>
        </w:rPr>
      </w:pPr>
      <w:r w:rsidRPr="006C6256">
        <w:rPr>
          <w:rFonts w:asciiTheme="minorHAnsi" w:hAnsiTheme="minorHAnsi" w:cs="Times New Roman"/>
          <w:b/>
          <w:sz w:val="28"/>
          <w:szCs w:val="28"/>
          <w:lang w:val="en-AU"/>
        </w:rPr>
        <w:t>2.2</w:t>
      </w:r>
      <w:r w:rsidRPr="006C6256">
        <w:rPr>
          <w:rFonts w:asciiTheme="minorHAnsi" w:hAnsiTheme="minorHAnsi" w:cs="Times New Roman"/>
          <w:b/>
          <w:sz w:val="28"/>
          <w:szCs w:val="28"/>
          <w:lang w:val="en-AU"/>
        </w:rPr>
        <w:tab/>
      </w:r>
      <w:r w:rsidRPr="00131023">
        <w:rPr>
          <w:rFonts w:asciiTheme="minorHAnsi" w:hAnsiTheme="minorHAnsi" w:cs="Times New Roman"/>
          <w:b/>
          <w:sz w:val="28"/>
          <w:szCs w:val="28"/>
          <w:lang w:val="en-AU"/>
        </w:rPr>
        <w:t>Statutory authority to charge</w:t>
      </w:r>
    </w:p>
    <w:p w14:paraId="6C6D5B70" w14:textId="2033C155" w:rsidR="00A92589" w:rsidRPr="005F478D" w:rsidRDefault="00A92589" w:rsidP="00657DEA">
      <w:pPr>
        <w:spacing w:after="120"/>
        <w:jc w:val="both"/>
        <w:rPr>
          <w:rFonts w:asciiTheme="minorHAnsi" w:hAnsiTheme="minorHAnsi"/>
        </w:rPr>
      </w:pPr>
      <w:r w:rsidRPr="005F478D">
        <w:rPr>
          <w:rFonts w:asciiTheme="minorHAnsi" w:hAnsiTheme="minorHAnsi"/>
        </w:rPr>
        <w:t xml:space="preserve">Under </w:t>
      </w:r>
      <w:r>
        <w:rPr>
          <w:rFonts w:asciiTheme="minorHAnsi" w:hAnsiTheme="minorHAnsi"/>
        </w:rPr>
        <w:t>sub</w:t>
      </w:r>
      <w:r w:rsidRPr="005F478D">
        <w:rPr>
          <w:rFonts w:asciiTheme="minorHAnsi" w:hAnsiTheme="minorHAnsi"/>
        </w:rPr>
        <w:t xml:space="preserve">section </w:t>
      </w:r>
      <w:proofErr w:type="gramStart"/>
      <w:r>
        <w:rPr>
          <w:rFonts w:asciiTheme="minorHAnsi" w:hAnsiTheme="minorHAnsi"/>
        </w:rPr>
        <w:t xml:space="preserve">16-40(2) </w:t>
      </w:r>
      <w:r w:rsidRPr="005F478D">
        <w:rPr>
          <w:rFonts w:asciiTheme="minorHAnsi" w:hAnsiTheme="minorHAnsi"/>
        </w:rPr>
        <w:t xml:space="preserve">of </w:t>
      </w:r>
      <w:r>
        <w:rPr>
          <w:rFonts w:asciiTheme="minorHAnsi" w:hAnsiTheme="minorHAnsi"/>
        </w:rPr>
        <w:t xml:space="preserve">HESA, applications from registered higher education providers applying for approval as a higher education provider </w:t>
      </w:r>
      <w:r w:rsidR="00974E84">
        <w:rPr>
          <w:rFonts w:asciiTheme="minorHAnsi" w:hAnsiTheme="minorHAnsi"/>
        </w:rPr>
        <w:t>(</w:t>
      </w:r>
      <w:r>
        <w:rPr>
          <w:rFonts w:asciiTheme="minorHAnsi" w:hAnsiTheme="minorHAnsi"/>
        </w:rPr>
        <w:t>under HESA</w:t>
      </w:r>
      <w:r w:rsidR="00974E84">
        <w:rPr>
          <w:rFonts w:asciiTheme="minorHAnsi" w:hAnsiTheme="minorHAnsi"/>
        </w:rPr>
        <w:t>)</w:t>
      </w:r>
      <w:r>
        <w:rPr>
          <w:rFonts w:asciiTheme="minorHAnsi" w:hAnsiTheme="minorHAnsi"/>
        </w:rPr>
        <w:t xml:space="preserve"> must be accompanied by the fee (prescribed by the </w:t>
      </w:r>
      <w:r w:rsidRPr="0053562D">
        <w:rPr>
          <w:rFonts w:asciiTheme="minorHAnsi" w:hAnsiTheme="minorHAnsi"/>
          <w:i/>
        </w:rPr>
        <w:t>Higher Ed</w:t>
      </w:r>
      <w:r w:rsidR="00682ADD">
        <w:rPr>
          <w:rFonts w:asciiTheme="minorHAnsi" w:hAnsiTheme="minorHAnsi"/>
          <w:i/>
        </w:rPr>
        <w:t>ucation Provider Guidelines 2012</w:t>
      </w:r>
      <w:proofErr w:type="gramEnd"/>
      <w:r w:rsidR="00682ADD" w:rsidRPr="00682ADD">
        <w:rPr>
          <w:rFonts w:asciiTheme="minorHAnsi" w:hAnsiTheme="minorHAnsi"/>
        </w:rPr>
        <w:t>)</w:t>
      </w:r>
      <w:r>
        <w:rPr>
          <w:rFonts w:asciiTheme="minorHAnsi" w:hAnsiTheme="minorHAnsi"/>
        </w:rPr>
        <w:t>.</w:t>
      </w:r>
    </w:p>
    <w:p w14:paraId="7452CC19" w14:textId="25963480" w:rsidR="006C6256" w:rsidRPr="00894245" w:rsidRDefault="00A92589" w:rsidP="00657DEA">
      <w:pPr>
        <w:spacing w:after="120"/>
        <w:jc w:val="both"/>
        <w:rPr>
          <w:rFonts w:asciiTheme="minorHAnsi" w:hAnsiTheme="minorHAnsi"/>
        </w:rPr>
      </w:pPr>
      <w:r w:rsidRPr="005F478D">
        <w:rPr>
          <w:rFonts w:asciiTheme="minorHAnsi" w:hAnsiTheme="minorHAnsi"/>
        </w:rPr>
        <w:t>Under</w:t>
      </w:r>
      <w:r>
        <w:rPr>
          <w:rFonts w:asciiTheme="minorHAnsi" w:hAnsiTheme="minorHAnsi"/>
        </w:rPr>
        <w:t xml:space="preserve"> the</w:t>
      </w:r>
      <w:r w:rsidRPr="005F478D">
        <w:rPr>
          <w:rFonts w:asciiTheme="minorHAnsi" w:hAnsiTheme="minorHAnsi"/>
        </w:rPr>
        <w:t xml:space="preserve"> </w:t>
      </w:r>
      <w:r>
        <w:rPr>
          <w:rFonts w:asciiTheme="minorHAnsi" w:hAnsiTheme="minorHAnsi"/>
          <w:i/>
        </w:rPr>
        <w:t>Higher Education Support</w:t>
      </w:r>
      <w:r w:rsidRPr="005F478D">
        <w:rPr>
          <w:rFonts w:asciiTheme="minorHAnsi" w:hAnsiTheme="minorHAnsi"/>
          <w:i/>
        </w:rPr>
        <w:t xml:space="preserve"> (Charges) Act 201</w:t>
      </w:r>
      <w:r w:rsidR="00A231B1">
        <w:rPr>
          <w:rFonts w:asciiTheme="minorHAnsi" w:hAnsiTheme="minorHAnsi"/>
          <w:i/>
        </w:rPr>
        <w:t>9</w:t>
      </w:r>
      <w:r w:rsidRPr="005F478D">
        <w:rPr>
          <w:rFonts w:asciiTheme="minorHAnsi" w:hAnsiTheme="minorHAnsi"/>
        </w:rPr>
        <w:t xml:space="preserve">, </w:t>
      </w:r>
      <w:r w:rsidR="00682ADD">
        <w:rPr>
          <w:rFonts w:asciiTheme="minorHAnsi" w:hAnsiTheme="minorHAnsi"/>
        </w:rPr>
        <w:t xml:space="preserve">higher education providers </w:t>
      </w:r>
      <w:r>
        <w:rPr>
          <w:rFonts w:asciiTheme="minorHAnsi" w:hAnsiTheme="minorHAnsi"/>
        </w:rPr>
        <w:t xml:space="preserve">offering HECS-HELP and/or FEE-HELP assistance must pay </w:t>
      </w:r>
      <w:proofErr w:type="gramStart"/>
      <w:r>
        <w:rPr>
          <w:rFonts w:asciiTheme="minorHAnsi" w:hAnsiTheme="minorHAnsi"/>
        </w:rPr>
        <w:t>the annual charge (a cost recovery levy) as and when it falls due</w:t>
      </w:r>
      <w:proofErr w:type="gramEnd"/>
      <w:r>
        <w:rPr>
          <w:rFonts w:asciiTheme="minorHAnsi" w:hAnsiTheme="minorHAnsi"/>
        </w:rPr>
        <w:t>. This is a condition of their continued approval as a higher education provider able to offer HECS</w:t>
      </w:r>
      <w:r>
        <w:rPr>
          <w:rFonts w:asciiTheme="minorHAnsi" w:hAnsiTheme="minorHAnsi"/>
        </w:rPr>
        <w:noBreakHyphen/>
        <w:t>HELP and/or FEE</w:t>
      </w:r>
      <w:r>
        <w:rPr>
          <w:rFonts w:asciiTheme="minorHAnsi" w:hAnsiTheme="minorHAnsi"/>
        </w:rPr>
        <w:noBreakHyphen/>
        <w:t xml:space="preserve">HELP assistance under HESA. </w:t>
      </w:r>
      <w:r w:rsidRPr="005F478D">
        <w:rPr>
          <w:rFonts w:asciiTheme="minorHAnsi" w:hAnsiTheme="minorHAnsi"/>
        </w:rPr>
        <w:t xml:space="preserve">The </w:t>
      </w:r>
      <w:proofErr w:type="gramStart"/>
      <w:r>
        <w:rPr>
          <w:rFonts w:asciiTheme="minorHAnsi" w:hAnsiTheme="minorHAnsi"/>
        </w:rPr>
        <w:t>charge payable by providers (prescribed by the Higher Education Support (Charges) Regulations 201</w:t>
      </w:r>
      <w:r w:rsidR="00A231B1">
        <w:rPr>
          <w:rFonts w:asciiTheme="minorHAnsi" w:hAnsiTheme="minorHAnsi"/>
        </w:rPr>
        <w:t>9</w:t>
      </w:r>
      <w:r>
        <w:rPr>
          <w:rFonts w:asciiTheme="minorHAnsi" w:hAnsiTheme="minorHAnsi"/>
        </w:rPr>
        <w:t xml:space="preserve">) </w:t>
      </w:r>
      <w:r w:rsidRPr="005F478D">
        <w:rPr>
          <w:rFonts w:asciiTheme="minorHAnsi" w:hAnsiTheme="minorHAnsi"/>
        </w:rPr>
        <w:t xml:space="preserve">is estimated by the </w:t>
      </w:r>
      <w:r>
        <w:rPr>
          <w:rFonts w:asciiTheme="minorHAnsi" w:hAnsiTheme="minorHAnsi"/>
        </w:rPr>
        <w:t xml:space="preserve">department </w:t>
      </w:r>
      <w:r w:rsidRPr="005F478D">
        <w:rPr>
          <w:rFonts w:asciiTheme="minorHAnsi" w:hAnsiTheme="minorHAnsi"/>
        </w:rPr>
        <w:t xml:space="preserve">to be the </w:t>
      </w:r>
      <w:r>
        <w:rPr>
          <w:rFonts w:asciiTheme="minorHAnsi" w:hAnsiTheme="minorHAnsi"/>
        </w:rPr>
        <w:t>partial cost</w:t>
      </w:r>
      <w:r w:rsidRPr="005F478D">
        <w:rPr>
          <w:rFonts w:asciiTheme="minorHAnsi" w:hAnsiTheme="minorHAnsi"/>
        </w:rPr>
        <w:t xml:space="preserve"> </w:t>
      </w:r>
      <w:r>
        <w:rPr>
          <w:rFonts w:asciiTheme="minorHAnsi" w:hAnsiTheme="minorHAnsi"/>
        </w:rPr>
        <w:t>of administering the</w:t>
      </w:r>
      <w:r w:rsidR="00682ADD">
        <w:rPr>
          <w:rFonts w:asciiTheme="minorHAnsi" w:hAnsiTheme="minorHAnsi"/>
        </w:rPr>
        <w:t xml:space="preserve"> HECS-HELP and FEE</w:t>
      </w:r>
      <w:r w:rsidR="00682ADD">
        <w:rPr>
          <w:rFonts w:asciiTheme="minorHAnsi" w:hAnsiTheme="minorHAnsi"/>
        </w:rPr>
        <w:noBreakHyphen/>
        <w:t>H</w:t>
      </w:r>
      <w:r>
        <w:rPr>
          <w:rFonts w:asciiTheme="minorHAnsi" w:hAnsiTheme="minorHAnsi"/>
        </w:rPr>
        <w:t>ELP programs and undertaking monitoring, compliance, financial viability</w:t>
      </w:r>
      <w:r w:rsidR="00B613FD">
        <w:rPr>
          <w:rFonts w:asciiTheme="minorHAnsi" w:hAnsiTheme="minorHAnsi"/>
        </w:rPr>
        <w:t xml:space="preserve"> assessments</w:t>
      </w:r>
      <w:r>
        <w:rPr>
          <w:rFonts w:asciiTheme="minorHAnsi" w:hAnsiTheme="minorHAnsi"/>
        </w:rPr>
        <w:t>, investigations and auditing costs</w:t>
      </w:r>
      <w:proofErr w:type="gramEnd"/>
      <w:r>
        <w:rPr>
          <w:rFonts w:asciiTheme="minorHAnsi" w:hAnsiTheme="minorHAnsi"/>
        </w:rPr>
        <w:t>. Activities not included in the annual charge include general compliance activities (i.e. program risk management and administrative correspondence), payments and estimates activities, policy advice to government and drafting</w:t>
      </w:r>
      <w:r w:rsidR="00657DEA">
        <w:rPr>
          <w:rFonts w:asciiTheme="minorHAnsi" w:hAnsiTheme="minorHAnsi"/>
        </w:rPr>
        <w:t xml:space="preserve"> of legislation.</w:t>
      </w:r>
    </w:p>
    <w:p w14:paraId="276CC435" w14:textId="77777777" w:rsidR="00E72559" w:rsidRDefault="00E72559">
      <w:pPr>
        <w:spacing w:after="160" w:line="259" w:lineRule="auto"/>
        <w:rPr>
          <w:rFonts w:asciiTheme="minorHAnsi" w:hAnsiTheme="minorHAnsi"/>
          <w:b/>
          <w:sz w:val="28"/>
          <w:szCs w:val="28"/>
        </w:rPr>
      </w:pPr>
      <w:r>
        <w:rPr>
          <w:rFonts w:asciiTheme="minorHAnsi" w:hAnsiTheme="minorHAnsi"/>
          <w:b/>
          <w:sz w:val="28"/>
          <w:szCs w:val="28"/>
        </w:rPr>
        <w:br w:type="page"/>
      </w:r>
    </w:p>
    <w:p w14:paraId="12AFF91A" w14:textId="1BB8954A" w:rsidR="00850A69" w:rsidRPr="0064062A" w:rsidRDefault="00DB01F5" w:rsidP="00657DEA">
      <w:pPr>
        <w:spacing w:after="160" w:line="259" w:lineRule="auto"/>
        <w:rPr>
          <w:rFonts w:asciiTheme="minorHAnsi" w:hAnsiTheme="minorHAnsi"/>
          <w:b/>
          <w:sz w:val="28"/>
          <w:szCs w:val="28"/>
        </w:rPr>
      </w:pPr>
      <w:r w:rsidRPr="007962C8">
        <w:rPr>
          <w:rFonts w:asciiTheme="minorHAnsi" w:hAnsiTheme="minorHAnsi"/>
          <w:b/>
          <w:sz w:val="28"/>
          <w:szCs w:val="28"/>
        </w:rPr>
        <w:t>3.</w:t>
      </w:r>
      <w:r>
        <w:rPr>
          <w:rFonts w:asciiTheme="minorHAnsi" w:hAnsiTheme="minorHAnsi"/>
          <w:b/>
          <w:sz w:val="28"/>
          <w:szCs w:val="28"/>
        </w:rPr>
        <w:tab/>
      </w:r>
      <w:r w:rsidR="0064062A">
        <w:rPr>
          <w:rFonts w:asciiTheme="minorHAnsi" w:hAnsiTheme="minorHAnsi"/>
          <w:b/>
          <w:sz w:val="28"/>
          <w:szCs w:val="28"/>
        </w:rPr>
        <w:t>COST RECOVERY MODEL</w:t>
      </w:r>
    </w:p>
    <w:p w14:paraId="03F417BE" w14:textId="77777777" w:rsidR="00850A69" w:rsidRDefault="00850A69" w:rsidP="00657DEA">
      <w:pPr>
        <w:spacing w:after="120"/>
        <w:rPr>
          <w:rFonts w:asciiTheme="minorHAnsi" w:eastAsia="SimSun" w:hAnsiTheme="minorHAnsi"/>
          <w:b/>
          <w:sz w:val="28"/>
          <w:szCs w:val="28"/>
        </w:rPr>
      </w:pPr>
      <w:r w:rsidRPr="00850A69">
        <w:rPr>
          <w:rFonts w:asciiTheme="minorHAnsi" w:eastAsia="SimSun" w:hAnsiTheme="minorHAnsi"/>
          <w:b/>
          <w:sz w:val="28"/>
          <w:szCs w:val="28"/>
        </w:rPr>
        <w:t xml:space="preserve">3.1 </w:t>
      </w:r>
      <w:r w:rsidR="00D1578B">
        <w:rPr>
          <w:rFonts w:asciiTheme="minorHAnsi" w:eastAsia="SimSun" w:hAnsiTheme="minorHAnsi"/>
          <w:b/>
          <w:sz w:val="28"/>
          <w:szCs w:val="28"/>
        </w:rPr>
        <w:tab/>
      </w:r>
      <w:r w:rsidRPr="00850A69">
        <w:rPr>
          <w:rFonts w:asciiTheme="minorHAnsi" w:eastAsia="SimSun" w:hAnsiTheme="minorHAnsi"/>
          <w:b/>
          <w:sz w:val="28"/>
          <w:szCs w:val="28"/>
        </w:rPr>
        <w:t>Outputs and business processes of the regulatory charging activities</w:t>
      </w:r>
    </w:p>
    <w:p w14:paraId="0BD6E6DA" w14:textId="1052817A" w:rsidR="00850A69" w:rsidRDefault="00850A69"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 xml:space="preserve">Generally, higher education providers eligible to offer HELP are categorised as universities or approved </w:t>
      </w:r>
      <w:r w:rsidR="00FD5345">
        <w:rPr>
          <w:rFonts w:asciiTheme="minorHAnsi" w:hAnsiTheme="minorHAnsi" w:cstheme="minorHAnsi"/>
        </w:rPr>
        <w:t>non-university higher education providers (</w:t>
      </w:r>
      <w:r w:rsidR="008D0B45">
        <w:rPr>
          <w:rFonts w:asciiTheme="minorHAnsi" w:hAnsiTheme="minorHAnsi" w:cstheme="minorHAnsi"/>
        </w:rPr>
        <w:t>NUHEPs</w:t>
      </w:r>
      <w:r w:rsidR="00FD5345">
        <w:rPr>
          <w:rFonts w:asciiTheme="minorHAnsi" w:hAnsiTheme="minorHAnsi" w:cstheme="minorHAnsi"/>
        </w:rPr>
        <w:t>)</w:t>
      </w:r>
      <w:r>
        <w:rPr>
          <w:rFonts w:asciiTheme="minorHAnsi" w:hAnsiTheme="minorHAnsi" w:cstheme="minorHAnsi"/>
        </w:rPr>
        <w:t xml:space="preserve">. Students enrolled at an approved Australian higher education provider (under HESA) may be able to access Commonwealth assistance, through a </w:t>
      </w:r>
      <w:r w:rsidR="00DE37B1">
        <w:rPr>
          <w:rFonts w:asciiTheme="minorHAnsi" w:hAnsiTheme="minorHAnsi" w:cstheme="minorHAnsi"/>
        </w:rPr>
        <w:t>Commonwealth Supported Place (</w:t>
      </w:r>
      <w:r>
        <w:rPr>
          <w:rFonts w:asciiTheme="minorHAnsi" w:hAnsiTheme="minorHAnsi" w:cstheme="minorHAnsi"/>
        </w:rPr>
        <w:t>CSP</w:t>
      </w:r>
      <w:r w:rsidR="00DE37B1">
        <w:rPr>
          <w:rFonts w:asciiTheme="minorHAnsi" w:hAnsiTheme="minorHAnsi" w:cstheme="minorHAnsi"/>
        </w:rPr>
        <w:t>)</w:t>
      </w:r>
      <w:r>
        <w:rPr>
          <w:rFonts w:asciiTheme="minorHAnsi" w:hAnsiTheme="minorHAnsi" w:cstheme="minorHAnsi"/>
        </w:rPr>
        <w:t>, HECS</w:t>
      </w:r>
      <w:r w:rsidR="00682ADD">
        <w:rPr>
          <w:rFonts w:asciiTheme="minorHAnsi" w:hAnsiTheme="minorHAnsi" w:cstheme="minorHAnsi"/>
        </w:rPr>
        <w:noBreakHyphen/>
        <w:t>HELP or FEE</w:t>
      </w:r>
      <w:r w:rsidR="00682ADD">
        <w:rPr>
          <w:rFonts w:asciiTheme="minorHAnsi" w:hAnsiTheme="minorHAnsi" w:cstheme="minorHAnsi"/>
        </w:rPr>
        <w:noBreakHyphen/>
        <w:t>HELP loan</w:t>
      </w:r>
      <w:r w:rsidR="00657DEA">
        <w:rPr>
          <w:rFonts w:asciiTheme="minorHAnsi" w:hAnsiTheme="minorHAnsi" w:cstheme="minorHAnsi"/>
        </w:rPr>
        <w:t>.</w:t>
      </w:r>
    </w:p>
    <w:p w14:paraId="4E62EBC5" w14:textId="77777777" w:rsidR="00850A69" w:rsidRPr="0080615C" w:rsidRDefault="00850A69" w:rsidP="00A92589">
      <w:pPr>
        <w:shd w:val="clear" w:color="auto" w:fill="FFFFFF" w:themeFill="background1"/>
        <w:spacing w:after="120"/>
        <w:jc w:val="both"/>
        <w:rPr>
          <w:rFonts w:asciiTheme="minorHAnsi" w:hAnsiTheme="minorHAnsi" w:cstheme="minorHAnsi"/>
          <w:b/>
        </w:rPr>
      </w:pPr>
      <w:r w:rsidRPr="0080615C">
        <w:rPr>
          <w:rFonts w:asciiTheme="minorHAnsi" w:hAnsiTheme="minorHAnsi" w:cstheme="minorHAnsi"/>
          <w:b/>
        </w:rPr>
        <w:t>Universities</w:t>
      </w:r>
    </w:p>
    <w:p w14:paraId="43FBD5B5" w14:textId="77777777" w:rsidR="00850A69" w:rsidRDefault="00850A69"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 xml:space="preserve">All universities </w:t>
      </w:r>
      <w:r w:rsidRPr="00F1580E">
        <w:rPr>
          <w:rFonts w:asciiTheme="minorHAnsi" w:hAnsiTheme="minorHAnsi" w:cstheme="minorHAnsi"/>
        </w:rPr>
        <w:t>are self</w:t>
      </w:r>
      <w:r w:rsidRPr="00284DD1">
        <w:rPr>
          <w:rFonts w:ascii="Cambria Math" w:hAnsi="Cambria Math" w:cs="Cambria Math"/>
        </w:rPr>
        <w:t>‑</w:t>
      </w:r>
      <w:r w:rsidRPr="00F1580E">
        <w:rPr>
          <w:rFonts w:asciiTheme="minorHAnsi" w:hAnsiTheme="minorHAnsi" w:cstheme="minorHAnsi"/>
        </w:rPr>
        <w:t>accrediting institutions</w:t>
      </w:r>
      <w:r>
        <w:rPr>
          <w:rFonts w:asciiTheme="minorHAnsi" w:hAnsiTheme="minorHAnsi" w:cstheme="minorHAnsi"/>
        </w:rPr>
        <w:t xml:space="preserve">, which </w:t>
      </w:r>
      <w:r w:rsidRPr="00F1580E">
        <w:rPr>
          <w:rFonts w:asciiTheme="minorHAnsi" w:hAnsiTheme="minorHAnsi" w:cstheme="minorHAnsi"/>
        </w:rPr>
        <w:t>means they are responsible for determining the curriculum and content for the courses they offer.</w:t>
      </w:r>
    </w:p>
    <w:p w14:paraId="2F42653C" w14:textId="204CF725" w:rsidR="00850A69" w:rsidRDefault="008D0B45"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The majority of</w:t>
      </w:r>
      <w:r w:rsidR="00850A69">
        <w:rPr>
          <w:rFonts w:asciiTheme="minorHAnsi" w:hAnsiTheme="minorHAnsi" w:cstheme="minorHAnsi"/>
        </w:rPr>
        <w:t xml:space="preserve"> universities </w:t>
      </w:r>
      <w:r>
        <w:rPr>
          <w:rFonts w:asciiTheme="minorHAnsi" w:hAnsiTheme="minorHAnsi" w:cstheme="minorHAnsi"/>
        </w:rPr>
        <w:t>(Table A universities</w:t>
      </w:r>
      <w:r w:rsidR="00381749">
        <w:rPr>
          <w:rFonts w:asciiTheme="minorHAnsi" w:hAnsiTheme="minorHAnsi" w:cstheme="minorHAnsi"/>
        </w:rPr>
        <w:t xml:space="preserve"> and </w:t>
      </w:r>
      <w:r>
        <w:rPr>
          <w:rFonts w:asciiTheme="minorHAnsi" w:hAnsiTheme="minorHAnsi" w:cstheme="minorHAnsi"/>
        </w:rPr>
        <w:t xml:space="preserve">certain Table B universities, as defined in HESA) </w:t>
      </w:r>
      <w:r w:rsidR="00381749">
        <w:rPr>
          <w:rFonts w:asciiTheme="minorHAnsi" w:hAnsiTheme="minorHAnsi" w:cstheme="minorHAnsi"/>
        </w:rPr>
        <w:t xml:space="preserve">and certain NUHEPs </w:t>
      </w:r>
      <w:r w:rsidR="00850A69">
        <w:rPr>
          <w:rFonts w:asciiTheme="minorHAnsi" w:hAnsiTheme="minorHAnsi" w:cstheme="minorHAnsi"/>
        </w:rPr>
        <w:t>can offer eligible students a CSP. Students studying in a CSP m</w:t>
      </w:r>
      <w:r w:rsidR="00682ADD">
        <w:rPr>
          <w:rFonts w:asciiTheme="minorHAnsi" w:hAnsiTheme="minorHAnsi" w:cstheme="minorHAnsi"/>
        </w:rPr>
        <w:t>ay be eligible to access a HECS</w:t>
      </w:r>
      <w:r w:rsidR="00682ADD">
        <w:rPr>
          <w:rFonts w:asciiTheme="minorHAnsi" w:hAnsiTheme="minorHAnsi" w:cstheme="minorHAnsi"/>
        </w:rPr>
        <w:noBreakHyphen/>
      </w:r>
      <w:r w:rsidR="00850A69">
        <w:rPr>
          <w:rFonts w:asciiTheme="minorHAnsi" w:hAnsiTheme="minorHAnsi" w:cstheme="minorHAnsi"/>
        </w:rPr>
        <w:t>HELP loan to defer payment of their student contributions</w:t>
      </w:r>
      <w:r w:rsidR="00682ADD">
        <w:rPr>
          <w:rFonts w:asciiTheme="minorHAnsi" w:hAnsiTheme="minorHAnsi" w:cstheme="minorHAnsi"/>
        </w:rPr>
        <w:t>. Eligible students in full fee</w:t>
      </w:r>
      <w:r w:rsidR="00682ADD">
        <w:rPr>
          <w:rFonts w:asciiTheme="minorHAnsi" w:hAnsiTheme="minorHAnsi" w:cstheme="minorHAnsi"/>
        </w:rPr>
        <w:noBreakHyphen/>
      </w:r>
      <w:r w:rsidR="00850A69">
        <w:rPr>
          <w:rFonts w:asciiTheme="minorHAnsi" w:hAnsiTheme="minorHAnsi" w:cstheme="minorHAnsi"/>
        </w:rPr>
        <w:t xml:space="preserve">paying </w:t>
      </w:r>
      <w:r w:rsidR="00682ADD">
        <w:rPr>
          <w:rFonts w:asciiTheme="minorHAnsi" w:hAnsiTheme="minorHAnsi" w:cstheme="minorHAnsi"/>
        </w:rPr>
        <w:t>places at universities can access a FEE</w:t>
      </w:r>
      <w:r w:rsidR="00682ADD">
        <w:rPr>
          <w:rFonts w:asciiTheme="minorHAnsi" w:hAnsiTheme="minorHAnsi" w:cstheme="minorHAnsi"/>
        </w:rPr>
        <w:noBreakHyphen/>
      </w:r>
      <w:r w:rsidR="00850A69">
        <w:rPr>
          <w:rFonts w:asciiTheme="minorHAnsi" w:hAnsiTheme="minorHAnsi" w:cstheme="minorHAnsi"/>
        </w:rPr>
        <w:t>HELP loan to defer p</w:t>
      </w:r>
      <w:r w:rsidR="00657DEA">
        <w:rPr>
          <w:rFonts w:asciiTheme="minorHAnsi" w:hAnsiTheme="minorHAnsi" w:cstheme="minorHAnsi"/>
        </w:rPr>
        <w:t>ayment of their tuition fees.</w:t>
      </w:r>
    </w:p>
    <w:p w14:paraId="21327887" w14:textId="77777777" w:rsidR="00850A69" w:rsidRPr="0080615C" w:rsidRDefault="00850A69" w:rsidP="00A92589">
      <w:pPr>
        <w:shd w:val="clear" w:color="auto" w:fill="FFFFFF" w:themeFill="background1"/>
        <w:spacing w:after="120"/>
        <w:jc w:val="both"/>
        <w:rPr>
          <w:rFonts w:asciiTheme="minorHAnsi" w:hAnsiTheme="minorHAnsi" w:cstheme="minorHAnsi"/>
          <w:b/>
        </w:rPr>
      </w:pPr>
      <w:r w:rsidRPr="0080615C">
        <w:rPr>
          <w:rFonts w:asciiTheme="minorHAnsi" w:hAnsiTheme="minorHAnsi" w:cstheme="minorHAnsi"/>
          <w:b/>
        </w:rPr>
        <w:t xml:space="preserve">Approved </w:t>
      </w:r>
      <w:r w:rsidR="008D0B45">
        <w:rPr>
          <w:rFonts w:asciiTheme="minorHAnsi" w:hAnsiTheme="minorHAnsi" w:cstheme="minorHAnsi"/>
          <w:b/>
        </w:rPr>
        <w:t>NUHEPs</w:t>
      </w:r>
    </w:p>
    <w:p w14:paraId="2846A2B2" w14:textId="1317DB24" w:rsidR="00850A69"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NUHEPS</w:t>
      </w:r>
      <w:r w:rsidR="008D0B45">
        <w:rPr>
          <w:rFonts w:asciiTheme="minorHAnsi" w:hAnsiTheme="minorHAnsi" w:cstheme="minorHAnsi"/>
        </w:rPr>
        <w:t xml:space="preserve"> </w:t>
      </w:r>
      <w:proofErr w:type="gramStart"/>
      <w:r>
        <w:rPr>
          <w:rFonts w:asciiTheme="minorHAnsi" w:hAnsiTheme="minorHAnsi" w:cstheme="minorHAnsi"/>
        </w:rPr>
        <w:t xml:space="preserve">are </w:t>
      </w:r>
      <w:r w:rsidRPr="00725D83">
        <w:rPr>
          <w:rFonts w:asciiTheme="minorHAnsi" w:hAnsiTheme="minorHAnsi" w:cstheme="minorHAnsi"/>
        </w:rPr>
        <w:t>generally</w:t>
      </w:r>
      <w:r>
        <w:rPr>
          <w:rFonts w:asciiTheme="minorHAnsi" w:hAnsiTheme="minorHAnsi" w:cstheme="minorHAnsi"/>
        </w:rPr>
        <w:t xml:space="preserve"> not allocated</w:t>
      </w:r>
      <w:proofErr w:type="gramEnd"/>
      <w:r>
        <w:rPr>
          <w:rFonts w:asciiTheme="minorHAnsi" w:hAnsiTheme="minorHAnsi" w:cstheme="minorHAnsi"/>
        </w:rPr>
        <w:t xml:space="preserve"> CSPs (see Commonwealth Supported Places breakout box below). These providers</w:t>
      </w:r>
      <w:r w:rsidRPr="00725D83">
        <w:rPr>
          <w:rFonts w:asciiTheme="minorHAnsi" w:hAnsiTheme="minorHAnsi" w:cstheme="minorHAnsi"/>
        </w:rPr>
        <w:t xml:space="preserve"> offer a range of </w:t>
      </w:r>
      <w:r>
        <w:rPr>
          <w:rFonts w:asciiTheme="minorHAnsi" w:hAnsiTheme="minorHAnsi" w:cstheme="minorHAnsi"/>
        </w:rPr>
        <w:t xml:space="preserve">full </w:t>
      </w:r>
      <w:r w:rsidRPr="00725D83">
        <w:rPr>
          <w:rFonts w:asciiTheme="minorHAnsi" w:hAnsiTheme="minorHAnsi" w:cstheme="minorHAnsi"/>
        </w:rPr>
        <w:t>fee</w:t>
      </w:r>
      <w:r>
        <w:rPr>
          <w:rFonts w:asciiTheme="minorHAnsi" w:hAnsiTheme="minorHAnsi" w:cstheme="minorHAnsi"/>
        </w:rPr>
        <w:noBreakHyphen/>
      </w:r>
      <w:r w:rsidRPr="00725D83">
        <w:rPr>
          <w:rFonts w:asciiTheme="minorHAnsi" w:hAnsiTheme="minorHAnsi" w:cstheme="minorHAnsi"/>
        </w:rPr>
        <w:t xml:space="preserve">paying courses leading to a higher education award course (generally at the bachelor degree level and above). </w:t>
      </w:r>
      <w:r>
        <w:rPr>
          <w:rFonts w:asciiTheme="minorHAnsi" w:hAnsiTheme="minorHAnsi" w:cstheme="minorHAnsi"/>
        </w:rPr>
        <w:t xml:space="preserve">NUHEPS </w:t>
      </w:r>
      <w:proofErr w:type="gramStart"/>
      <w:r>
        <w:rPr>
          <w:rFonts w:asciiTheme="minorHAnsi" w:hAnsiTheme="minorHAnsi" w:cstheme="minorHAnsi"/>
        </w:rPr>
        <w:t>are approved</w:t>
      </w:r>
      <w:proofErr w:type="gramEnd"/>
      <w:r>
        <w:rPr>
          <w:rFonts w:asciiTheme="minorHAnsi" w:hAnsiTheme="minorHAnsi" w:cstheme="minorHAnsi"/>
        </w:rPr>
        <w:t xml:space="preserve"> under HESA, as higher education providers, </w:t>
      </w:r>
      <w:r w:rsidRPr="00725D83">
        <w:rPr>
          <w:rFonts w:asciiTheme="minorHAnsi" w:hAnsiTheme="minorHAnsi" w:cstheme="minorHAnsi"/>
        </w:rPr>
        <w:t>to offer FEE</w:t>
      </w:r>
      <w:r w:rsidRPr="00284DD1">
        <w:rPr>
          <w:rFonts w:ascii="Cambria Math" w:hAnsi="Cambria Math" w:cs="Cambria Math"/>
        </w:rPr>
        <w:t>‑</w:t>
      </w:r>
      <w:r w:rsidRPr="00725D83">
        <w:rPr>
          <w:rFonts w:asciiTheme="minorHAnsi" w:hAnsiTheme="minorHAnsi" w:cstheme="minorHAnsi"/>
        </w:rPr>
        <w:t>HELP loans to eligible students.</w:t>
      </w:r>
    </w:p>
    <w:p w14:paraId="38DC3D5D" w14:textId="77777777" w:rsidR="00850A69" w:rsidRPr="0080615C" w:rsidRDefault="00850A69" w:rsidP="00A92589">
      <w:pPr>
        <w:shd w:val="clear" w:color="auto" w:fill="FFFFFF" w:themeFill="background1"/>
        <w:spacing w:after="120"/>
        <w:jc w:val="both"/>
        <w:rPr>
          <w:rFonts w:asciiTheme="minorHAnsi" w:hAnsiTheme="minorHAnsi" w:cstheme="minorHAnsi"/>
          <w:b/>
        </w:rPr>
      </w:pPr>
      <w:r w:rsidRPr="0080615C">
        <w:rPr>
          <w:rFonts w:asciiTheme="minorHAnsi" w:hAnsiTheme="minorHAnsi" w:cstheme="minorHAnsi"/>
          <w:b/>
        </w:rPr>
        <w:t>Open Universities Australia (OUA)</w:t>
      </w:r>
    </w:p>
    <w:p w14:paraId="742AE330" w14:textId="34063CE0" w:rsidR="00850A69" w:rsidRPr="00725D83" w:rsidRDefault="00850A69" w:rsidP="00A92589">
      <w:pPr>
        <w:shd w:val="clear" w:color="auto" w:fill="FFFFFF" w:themeFill="background1"/>
        <w:spacing w:after="120"/>
        <w:jc w:val="both"/>
        <w:rPr>
          <w:rFonts w:asciiTheme="minorHAnsi" w:hAnsiTheme="minorHAnsi" w:cstheme="minorHAnsi"/>
        </w:rPr>
      </w:pPr>
      <w:r w:rsidRPr="00725D83">
        <w:rPr>
          <w:rFonts w:asciiTheme="minorHAnsi" w:hAnsiTheme="minorHAnsi" w:cstheme="minorHAnsi"/>
        </w:rPr>
        <w:t xml:space="preserve">OUA provides distance education to tertiary students. OUA </w:t>
      </w:r>
      <w:proofErr w:type="gramStart"/>
      <w:r w:rsidRPr="00725D83">
        <w:rPr>
          <w:rFonts w:asciiTheme="minorHAnsi" w:hAnsiTheme="minorHAnsi" w:cstheme="minorHAnsi"/>
        </w:rPr>
        <w:t>is owned and operated by a consortium of Australian universities and offers tertiary students a chance to undertake higher education study regardless of their</w:t>
      </w:r>
      <w:r w:rsidR="00974E84">
        <w:rPr>
          <w:rFonts w:asciiTheme="minorHAnsi" w:hAnsiTheme="minorHAnsi" w:cstheme="minorHAnsi"/>
        </w:rPr>
        <w:t xml:space="preserve"> </w:t>
      </w:r>
      <w:r w:rsidR="00A964F9">
        <w:rPr>
          <w:rFonts w:asciiTheme="minorHAnsi" w:hAnsiTheme="minorHAnsi" w:cstheme="minorHAnsi"/>
        </w:rPr>
        <w:t>Australian Tertiary Admission Rank (</w:t>
      </w:r>
      <w:r w:rsidR="00974E84">
        <w:rPr>
          <w:rFonts w:asciiTheme="minorHAnsi" w:hAnsiTheme="minorHAnsi" w:cstheme="minorHAnsi"/>
        </w:rPr>
        <w:t>ATAR</w:t>
      </w:r>
      <w:r w:rsidR="00A964F9">
        <w:rPr>
          <w:rFonts w:asciiTheme="minorHAnsi" w:hAnsiTheme="minorHAnsi" w:cstheme="minorHAnsi"/>
        </w:rPr>
        <w:t>)</w:t>
      </w:r>
      <w:r>
        <w:rPr>
          <w:rFonts w:asciiTheme="minorHAnsi" w:hAnsiTheme="minorHAnsi" w:cstheme="minorHAnsi"/>
        </w:rPr>
        <w:t xml:space="preserve">, </w:t>
      </w:r>
      <w:r w:rsidRPr="00725D83">
        <w:rPr>
          <w:rFonts w:asciiTheme="minorHAnsi" w:hAnsiTheme="minorHAnsi" w:cstheme="minorHAnsi"/>
        </w:rPr>
        <w:t>previous education, age or location</w:t>
      </w:r>
      <w:proofErr w:type="gramEnd"/>
      <w:r w:rsidRPr="00725D83">
        <w:rPr>
          <w:rFonts w:asciiTheme="minorHAnsi" w:hAnsiTheme="minorHAnsi" w:cstheme="minorHAnsi"/>
        </w:rPr>
        <w:t>.</w:t>
      </w:r>
    </w:p>
    <w:p w14:paraId="2C5A9071" w14:textId="77777777" w:rsidR="00850A69" w:rsidRPr="0053562D" w:rsidRDefault="00850A69" w:rsidP="00A92589">
      <w:pPr>
        <w:shd w:val="clear" w:color="auto" w:fill="FFFFFF" w:themeFill="background1"/>
        <w:spacing w:after="240"/>
        <w:jc w:val="both"/>
        <w:rPr>
          <w:rFonts w:asciiTheme="minorHAnsi" w:hAnsiTheme="minorHAnsi" w:cstheme="minorHAnsi"/>
        </w:rPr>
      </w:pPr>
      <w:r w:rsidRPr="00725D83">
        <w:rPr>
          <w:rFonts w:asciiTheme="minorHAnsi" w:hAnsiTheme="minorHAnsi" w:cstheme="minorHAnsi"/>
        </w:rPr>
        <w:t>FEE</w:t>
      </w:r>
      <w:r w:rsidRPr="00284DD1">
        <w:rPr>
          <w:rFonts w:ascii="Cambria Math" w:hAnsi="Cambria Math" w:cs="Cambria Math"/>
        </w:rPr>
        <w:t>‑</w:t>
      </w:r>
      <w:r w:rsidRPr="00725D83">
        <w:rPr>
          <w:rFonts w:asciiTheme="minorHAnsi" w:hAnsiTheme="minorHAnsi" w:cstheme="minorHAnsi"/>
        </w:rPr>
        <w:t>HELP loans are available to eligible students for</w:t>
      </w:r>
      <w:r>
        <w:rPr>
          <w:rFonts w:asciiTheme="minorHAnsi" w:hAnsiTheme="minorHAnsi" w:cstheme="minorHAnsi"/>
        </w:rPr>
        <w:t xml:space="preserve"> </w:t>
      </w:r>
      <w:r w:rsidRPr="00725D83">
        <w:rPr>
          <w:rFonts w:asciiTheme="minorHAnsi" w:hAnsiTheme="minorHAnsi" w:cstheme="minorHAnsi"/>
        </w:rPr>
        <w:t>undergraduate and postgraduate units of study undertaken through OUA.</w:t>
      </w:r>
    </w:p>
    <w:p w14:paraId="2963F706" w14:textId="77777777" w:rsidR="00850A69" w:rsidRPr="00D1578B" w:rsidRDefault="00D1578B" w:rsidP="00850A69">
      <w:pPr>
        <w:shd w:val="clear" w:color="auto" w:fill="FFFFFF" w:themeFill="background1"/>
        <w:spacing w:after="120"/>
        <w:rPr>
          <w:rFonts w:asciiTheme="minorHAnsi" w:hAnsiTheme="minorHAnsi" w:cstheme="minorHAnsi"/>
          <w:b/>
        </w:rPr>
      </w:pPr>
      <w:r w:rsidRPr="00D1578B">
        <w:rPr>
          <w:rFonts w:asciiTheme="minorHAnsi" w:hAnsiTheme="minorHAnsi" w:cstheme="minorHAnsi"/>
          <w:b/>
        </w:rPr>
        <w:t xml:space="preserve">3.1.1 </w:t>
      </w:r>
      <w:r w:rsidR="0064062A">
        <w:rPr>
          <w:rFonts w:asciiTheme="minorHAnsi" w:hAnsiTheme="minorHAnsi" w:cstheme="minorHAnsi"/>
          <w:b/>
        </w:rPr>
        <w:tab/>
      </w:r>
      <w:r w:rsidR="00850A69" w:rsidRPr="00D1578B">
        <w:rPr>
          <w:rFonts w:asciiTheme="minorHAnsi" w:hAnsiTheme="minorHAnsi" w:cstheme="minorHAnsi"/>
          <w:b/>
        </w:rPr>
        <w:t>Becoming an approved higher education provider</w:t>
      </w:r>
    </w:p>
    <w:p w14:paraId="7B086EF4" w14:textId="3235FD8F" w:rsidR="00850A69" w:rsidRDefault="00850A69" w:rsidP="00A92589">
      <w:p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Applications from registered higher education providers (as defined by</w:t>
      </w:r>
      <w:r>
        <w:rPr>
          <w:rFonts w:asciiTheme="minorHAnsi" w:hAnsiTheme="minorHAnsi" w:cstheme="minorHAnsi"/>
        </w:rPr>
        <w:t xml:space="preserve"> the</w:t>
      </w:r>
      <w:r w:rsidRPr="006171E7">
        <w:rPr>
          <w:rFonts w:asciiTheme="minorHAnsi" w:hAnsiTheme="minorHAnsi" w:cstheme="minorHAnsi"/>
        </w:rPr>
        <w:t xml:space="preserve"> </w:t>
      </w:r>
      <w:r w:rsidRPr="00DA5279">
        <w:rPr>
          <w:rFonts w:asciiTheme="minorHAnsi" w:hAnsiTheme="minorHAnsi" w:cstheme="minorHAnsi"/>
          <w:i/>
        </w:rPr>
        <w:t>Tertiary Education Quality and Standards Agency Act</w:t>
      </w:r>
      <w:r w:rsidR="00A964F9">
        <w:rPr>
          <w:rFonts w:asciiTheme="minorHAnsi" w:hAnsiTheme="minorHAnsi" w:cstheme="minorHAnsi"/>
          <w:i/>
        </w:rPr>
        <w:t xml:space="preserve"> </w:t>
      </w:r>
      <w:r w:rsidRPr="00DA5279">
        <w:rPr>
          <w:rFonts w:asciiTheme="minorHAnsi" w:hAnsiTheme="minorHAnsi" w:cstheme="minorHAnsi"/>
          <w:i/>
        </w:rPr>
        <w:t>2011</w:t>
      </w:r>
      <w:r w:rsidRPr="006171E7">
        <w:rPr>
          <w:rFonts w:asciiTheme="minorHAnsi" w:hAnsiTheme="minorHAnsi" w:cstheme="minorHAnsi"/>
        </w:rPr>
        <w:t xml:space="preserve">) </w:t>
      </w:r>
      <w:r>
        <w:rPr>
          <w:rFonts w:asciiTheme="minorHAnsi" w:hAnsiTheme="minorHAnsi"/>
        </w:rPr>
        <w:t>for a</w:t>
      </w:r>
      <w:r w:rsidR="00682ADD">
        <w:rPr>
          <w:rFonts w:asciiTheme="minorHAnsi" w:hAnsiTheme="minorHAnsi"/>
        </w:rPr>
        <w:t>pproval under HESA to offer FEE</w:t>
      </w:r>
      <w:r w:rsidR="00682ADD">
        <w:rPr>
          <w:rFonts w:asciiTheme="minorHAnsi" w:hAnsiTheme="minorHAnsi"/>
        </w:rPr>
        <w:noBreakHyphen/>
      </w:r>
      <w:r>
        <w:rPr>
          <w:rFonts w:asciiTheme="minorHAnsi" w:hAnsiTheme="minorHAnsi"/>
        </w:rPr>
        <w:t>HELP must be accompanied by the application fee.</w:t>
      </w:r>
    </w:p>
    <w:p w14:paraId="0D957550" w14:textId="77777777" w:rsidR="00974E84" w:rsidRDefault="00850A69" w:rsidP="00974E84">
      <w:pPr>
        <w:shd w:val="clear" w:color="auto" w:fill="FFFFFF" w:themeFill="background1"/>
        <w:spacing w:after="120"/>
        <w:jc w:val="both"/>
        <w:rPr>
          <w:rFonts w:asciiTheme="minorHAnsi" w:hAnsiTheme="minorHAnsi" w:cstheme="minorHAnsi"/>
        </w:rPr>
      </w:pPr>
      <w:r w:rsidRPr="004F6F0F">
        <w:rPr>
          <w:rFonts w:asciiTheme="minorHAnsi" w:hAnsiTheme="minorHAnsi" w:cstheme="minorHAnsi"/>
        </w:rPr>
        <w:t xml:space="preserve">An organisation seeking approval as a </w:t>
      </w:r>
      <w:r>
        <w:rPr>
          <w:rFonts w:asciiTheme="minorHAnsi" w:hAnsiTheme="minorHAnsi" w:cstheme="minorHAnsi"/>
        </w:rPr>
        <w:t xml:space="preserve">higher education provider </w:t>
      </w:r>
      <w:r w:rsidRPr="004F6F0F">
        <w:rPr>
          <w:rFonts w:asciiTheme="minorHAnsi" w:hAnsiTheme="minorHAnsi" w:cstheme="minorHAnsi"/>
        </w:rPr>
        <w:t xml:space="preserve">must meet legislative eligibility requirements. </w:t>
      </w:r>
      <w:r>
        <w:rPr>
          <w:rFonts w:asciiTheme="minorHAnsi" w:hAnsiTheme="minorHAnsi" w:cstheme="minorHAnsi"/>
        </w:rPr>
        <w:t>For example,</w:t>
      </w:r>
      <w:r w:rsidRPr="004F6F0F">
        <w:rPr>
          <w:rFonts w:asciiTheme="minorHAnsi" w:hAnsiTheme="minorHAnsi" w:cstheme="minorHAnsi"/>
        </w:rPr>
        <w:t xml:space="preserve"> an organisation must be a body corporate with its central management and control in Australia, be listed on the national register of higher education providers and offer at least one eligible accredited course.</w:t>
      </w:r>
    </w:p>
    <w:p w14:paraId="39C23C7A" w14:textId="77777777" w:rsidR="00974E84" w:rsidRDefault="00974E84">
      <w:pPr>
        <w:spacing w:after="160" w:line="259" w:lineRule="auto"/>
        <w:rPr>
          <w:rFonts w:asciiTheme="minorHAnsi" w:hAnsiTheme="minorHAnsi" w:cstheme="minorHAnsi"/>
        </w:rPr>
      </w:pPr>
      <w:r>
        <w:rPr>
          <w:rFonts w:asciiTheme="minorHAnsi" w:hAnsiTheme="minorHAnsi" w:cstheme="minorHAnsi"/>
        </w:rPr>
        <w:br w:type="page"/>
      </w:r>
    </w:p>
    <w:p w14:paraId="6B96F9EC" w14:textId="77777777" w:rsidR="00D1578B" w:rsidRPr="00D1578B" w:rsidRDefault="00D1578B" w:rsidP="00974E84">
      <w:pPr>
        <w:shd w:val="clear" w:color="auto" w:fill="FFFFFF" w:themeFill="background1"/>
        <w:spacing w:after="120"/>
        <w:jc w:val="both"/>
        <w:rPr>
          <w:rFonts w:asciiTheme="minorHAnsi" w:hAnsiTheme="minorHAnsi" w:cstheme="minorHAnsi"/>
        </w:rPr>
      </w:pPr>
    </w:p>
    <w:p w14:paraId="19FEB844" w14:textId="77777777" w:rsidR="00850A69" w:rsidRPr="0053562D" w:rsidRDefault="00850A69" w:rsidP="00A92589">
      <w:pPr>
        <w:pBdr>
          <w:top w:val="single" w:sz="4" w:space="1" w:color="auto"/>
          <w:left w:val="single" w:sz="4" w:space="4" w:color="auto"/>
          <w:bottom w:val="single" w:sz="4" w:space="1" w:color="auto"/>
          <w:right w:val="single" w:sz="4" w:space="4" w:color="auto"/>
        </w:pBdr>
        <w:shd w:val="clear" w:color="auto" w:fill="FFFFFF" w:themeFill="background1"/>
        <w:spacing w:after="120"/>
        <w:jc w:val="both"/>
        <w:rPr>
          <w:rFonts w:asciiTheme="minorHAnsi" w:hAnsiTheme="minorHAnsi" w:cstheme="minorHAnsi"/>
          <w:b/>
        </w:rPr>
      </w:pPr>
      <w:r w:rsidRPr="0053562D">
        <w:rPr>
          <w:rFonts w:asciiTheme="minorHAnsi" w:hAnsiTheme="minorHAnsi" w:cstheme="minorHAnsi"/>
          <w:b/>
        </w:rPr>
        <w:t>Commonwealth Supported Places</w:t>
      </w:r>
    </w:p>
    <w:p w14:paraId="5BEFC0F9" w14:textId="6655F040" w:rsidR="00850A69" w:rsidRDefault="00381749" w:rsidP="00A92589">
      <w:pPr>
        <w:pBdr>
          <w:top w:val="single" w:sz="4" w:space="1" w:color="auto"/>
          <w:left w:val="single" w:sz="4" w:space="4" w:color="auto"/>
          <w:bottom w:val="single" w:sz="4" w:space="1" w:color="auto"/>
          <w:right w:val="single" w:sz="4" w:space="4" w:color="auto"/>
        </w:pBdr>
        <w:shd w:val="clear" w:color="auto" w:fill="FFFFFF" w:themeFill="background1"/>
        <w:spacing w:after="120"/>
        <w:jc w:val="both"/>
        <w:rPr>
          <w:rFonts w:asciiTheme="minorHAnsi" w:hAnsiTheme="minorHAnsi" w:cstheme="minorHAnsi"/>
        </w:rPr>
      </w:pPr>
      <w:r>
        <w:rPr>
          <w:rFonts w:asciiTheme="minorHAnsi" w:hAnsiTheme="minorHAnsi" w:cstheme="minorHAnsi"/>
        </w:rPr>
        <w:t>Table A universities, certain Table B</w:t>
      </w:r>
      <w:r w:rsidR="008D0B45">
        <w:rPr>
          <w:rFonts w:asciiTheme="minorHAnsi" w:hAnsiTheme="minorHAnsi" w:cstheme="minorHAnsi"/>
        </w:rPr>
        <w:t xml:space="preserve"> </w:t>
      </w:r>
      <w:r w:rsidR="00850A69">
        <w:rPr>
          <w:rFonts w:asciiTheme="minorHAnsi" w:hAnsiTheme="minorHAnsi" w:cstheme="minorHAnsi"/>
        </w:rPr>
        <w:t>u</w:t>
      </w:r>
      <w:r w:rsidR="00850A69" w:rsidRPr="00284DD1">
        <w:rPr>
          <w:rFonts w:asciiTheme="minorHAnsi" w:hAnsiTheme="minorHAnsi" w:cstheme="minorHAnsi"/>
        </w:rPr>
        <w:t>niversitie</w:t>
      </w:r>
      <w:r w:rsidR="00850A69">
        <w:rPr>
          <w:rFonts w:asciiTheme="minorHAnsi" w:hAnsiTheme="minorHAnsi" w:cstheme="minorHAnsi"/>
        </w:rPr>
        <w:t xml:space="preserve">s </w:t>
      </w:r>
      <w:r>
        <w:rPr>
          <w:rFonts w:asciiTheme="minorHAnsi" w:hAnsiTheme="minorHAnsi" w:cstheme="minorHAnsi"/>
        </w:rPr>
        <w:t xml:space="preserve">(as defined in HESA) and a small number of NUHEPs </w:t>
      </w:r>
      <w:r w:rsidR="00850A69">
        <w:rPr>
          <w:rFonts w:asciiTheme="minorHAnsi" w:hAnsiTheme="minorHAnsi" w:cstheme="minorHAnsi"/>
        </w:rPr>
        <w:t>are</w:t>
      </w:r>
      <w:r w:rsidR="00850A69" w:rsidRPr="00284DD1">
        <w:rPr>
          <w:rFonts w:asciiTheme="minorHAnsi" w:hAnsiTheme="minorHAnsi" w:cstheme="minorHAnsi"/>
        </w:rPr>
        <w:t xml:space="preserve"> entitled to offer HECS-HELP and FEE</w:t>
      </w:r>
      <w:r w:rsidR="008D0B45">
        <w:rPr>
          <w:rFonts w:asciiTheme="minorHAnsi" w:hAnsiTheme="minorHAnsi" w:cstheme="minorHAnsi"/>
        </w:rPr>
        <w:noBreakHyphen/>
      </w:r>
      <w:r w:rsidR="00850A69" w:rsidRPr="00284DD1">
        <w:rPr>
          <w:rFonts w:asciiTheme="minorHAnsi" w:hAnsiTheme="minorHAnsi" w:cstheme="minorHAnsi"/>
        </w:rPr>
        <w:t xml:space="preserve">HELP to students. Currently, </w:t>
      </w:r>
      <w:r>
        <w:rPr>
          <w:rFonts w:asciiTheme="minorHAnsi" w:hAnsiTheme="minorHAnsi" w:cstheme="minorHAnsi"/>
        </w:rPr>
        <w:t>these providers</w:t>
      </w:r>
      <w:r w:rsidR="00850A69" w:rsidRPr="00284DD1">
        <w:rPr>
          <w:rFonts w:asciiTheme="minorHAnsi" w:hAnsiTheme="minorHAnsi" w:cstheme="minorHAnsi"/>
        </w:rPr>
        <w:t xml:space="preserve"> receive funding for C</w:t>
      </w:r>
      <w:r w:rsidR="00850A69">
        <w:rPr>
          <w:rFonts w:asciiTheme="minorHAnsi" w:hAnsiTheme="minorHAnsi" w:cstheme="minorHAnsi"/>
        </w:rPr>
        <w:t xml:space="preserve">SPs </w:t>
      </w:r>
      <w:r w:rsidR="00850A69" w:rsidRPr="00284DD1">
        <w:rPr>
          <w:rFonts w:asciiTheme="minorHAnsi" w:hAnsiTheme="minorHAnsi" w:cstheme="minorHAnsi"/>
        </w:rPr>
        <w:t xml:space="preserve">through the Commonwealth Grant Scheme. A small number of </w:t>
      </w:r>
      <w:r w:rsidR="00A87E3A">
        <w:rPr>
          <w:rFonts w:asciiTheme="minorHAnsi" w:hAnsiTheme="minorHAnsi" w:cstheme="minorHAnsi"/>
        </w:rPr>
        <w:t>non</w:t>
      </w:r>
      <w:r w:rsidR="00A87E3A">
        <w:rPr>
          <w:rFonts w:asciiTheme="minorHAnsi" w:hAnsiTheme="minorHAnsi" w:cstheme="minorHAnsi"/>
        </w:rPr>
        <w:noBreakHyphen/>
        <w:t xml:space="preserve">Table </w:t>
      </w:r>
      <w:proofErr w:type="gramStart"/>
      <w:r>
        <w:rPr>
          <w:rFonts w:asciiTheme="minorHAnsi" w:hAnsiTheme="minorHAnsi" w:cstheme="minorHAnsi"/>
        </w:rPr>
        <w:t>A</w:t>
      </w:r>
      <w:proofErr w:type="gramEnd"/>
      <w:r w:rsidR="00A87E3A">
        <w:rPr>
          <w:rFonts w:asciiTheme="minorHAnsi" w:hAnsiTheme="minorHAnsi" w:cstheme="minorHAnsi"/>
        </w:rPr>
        <w:t xml:space="preserve"> </w:t>
      </w:r>
      <w:r w:rsidR="00850A69" w:rsidRPr="00284DD1">
        <w:rPr>
          <w:rFonts w:asciiTheme="minorHAnsi" w:hAnsiTheme="minorHAnsi" w:cstheme="minorHAnsi"/>
        </w:rPr>
        <w:t xml:space="preserve">higher education providers receive funding for </w:t>
      </w:r>
      <w:r w:rsidR="00850A69">
        <w:rPr>
          <w:rFonts w:asciiTheme="minorHAnsi" w:hAnsiTheme="minorHAnsi" w:cstheme="minorHAnsi"/>
        </w:rPr>
        <w:t>CSPs</w:t>
      </w:r>
      <w:r w:rsidR="00850A69" w:rsidRPr="00284DD1">
        <w:rPr>
          <w:rFonts w:asciiTheme="minorHAnsi" w:hAnsiTheme="minorHAnsi" w:cstheme="minorHAnsi"/>
        </w:rPr>
        <w:t xml:space="preserve"> in national priority areas (predominantly teaching and nursing). This is due to historical allocations of </w:t>
      </w:r>
      <w:r w:rsidR="00850A69">
        <w:rPr>
          <w:rFonts w:asciiTheme="minorHAnsi" w:hAnsiTheme="minorHAnsi" w:cstheme="minorHAnsi"/>
        </w:rPr>
        <w:t>CSPs</w:t>
      </w:r>
      <w:r w:rsidR="00850A69" w:rsidRPr="00284DD1">
        <w:rPr>
          <w:rFonts w:asciiTheme="minorHAnsi" w:hAnsiTheme="minorHAnsi" w:cstheme="minorHAnsi"/>
        </w:rPr>
        <w:t xml:space="preserve"> through application processes</w:t>
      </w:r>
      <w:r w:rsidR="0044596F">
        <w:rPr>
          <w:rFonts w:asciiTheme="minorHAnsi" w:hAnsiTheme="minorHAnsi" w:cstheme="minorHAnsi"/>
        </w:rPr>
        <w:t xml:space="preserve"> conducted before 2011</w:t>
      </w:r>
      <w:r w:rsidR="00850A69" w:rsidRPr="00284DD1">
        <w:rPr>
          <w:rFonts w:asciiTheme="minorHAnsi" w:hAnsiTheme="minorHAnsi" w:cstheme="minorHAnsi"/>
        </w:rPr>
        <w:t>. Currently, there is no process in place</w:t>
      </w:r>
      <w:r w:rsidR="00974E84">
        <w:rPr>
          <w:rFonts w:asciiTheme="minorHAnsi" w:hAnsiTheme="minorHAnsi" w:cstheme="minorHAnsi"/>
        </w:rPr>
        <w:t xml:space="preserve"> to</w:t>
      </w:r>
      <w:r w:rsidR="00850A69" w:rsidRPr="00284DD1">
        <w:rPr>
          <w:rFonts w:asciiTheme="minorHAnsi" w:hAnsiTheme="minorHAnsi" w:cstheme="minorHAnsi"/>
        </w:rPr>
        <w:t xml:space="preserve"> facilitate additional providers to </w:t>
      </w:r>
      <w:proofErr w:type="gramStart"/>
      <w:r w:rsidR="00850A69" w:rsidRPr="00284DD1">
        <w:rPr>
          <w:rFonts w:asciiTheme="minorHAnsi" w:hAnsiTheme="minorHAnsi" w:cstheme="minorHAnsi"/>
        </w:rPr>
        <w:t>be allocated</w:t>
      </w:r>
      <w:proofErr w:type="gramEnd"/>
      <w:r w:rsidR="00850A69" w:rsidRPr="00284DD1">
        <w:rPr>
          <w:rFonts w:asciiTheme="minorHAnsi" w:hAnsiTheme="minorHAnsi" w:cstheme="minorHAnsi"/>
        </w:rPr>
        <w:t xml:space="preserve"> </w:t>
      </w:r>
      <w:r w:rsidR="00850A69">
        <w:rPr>
          <w:rFonts w:asciiTheme="minorHAnsi" w:hAnsiTheme="minorHAnsi" w:cstheme="minorHAnsi"/>
        </w:rPr>
        <w:t>CSPs</w:t>
      </w:r>
      <w:r w:rsidR="00850A69" w:rsidRPr="00284DD1">
        <w:rPr>
          <w:rFonts w:asciiTheme="minorHAnsi" w:hAnsiTheme="minorHAnsi" w:cstheme="minorHAnsi"/>
        </w:rPr>
        <w:t>.</w:t>
      </w:r>
    </w:p>
    <w:p w14:paraId="17CAFA1C" w14:textId="77777777" w:rsidR="00850A69" w:rsidRPr="00D1578B" w:rsidRDefault="00D1578B" w:rsidP="0064062A">
      <w:pPr>
        <w:shd w:val="clear" w:color="auto" w:fill="FFFFFF" w:themeFill="background1"/>
        <w:spacing w:before="240" w:after="120"/>
        <w:rPr>
          <w:rFonts w:asciiTheme="minorHAnsi" w:hAnsiTheme="minorHAnsi" w:cstheme="minorHAnsi"/>
          <w:b/>
        </w:rPr>
      </w:pPr>
      <w:r w:rsidRPr="00D1578B">
        <w:rPr>
          <w:rFonts w:asciiTheme="minorHAnsi" w:hAnsiTheme="minorHAnsi" w:cstheme="minorHAnsi"/>
          <w:b/>
        </w:rPr>
        <w:t xml:space="preserve">3.1.2 </w:t>
      </w:r>
      <w:r w:rsidR="0064062A">
        <w:rPr>
          <w:rFonts w:asciiTheme="minorHAnsi" w:hAnsiTheme="minorHAnsi" w:cstheme="minorHAnsi"/>
          <w:b/>
        </w:rPr>
        <w:tab/>
      </w:r>
      <w:r w:rsidR="00850A69" w:rsidRPr="00D1578B">
        <w:rPr>
          <w:rFonts w:asciiTheme="minorHAnsi" w:hAnsiTheme="minorHAnsi" w:cstheme="minorHAnsi"/>
          <w:b/>
        </w:rPr>
        <w:t>Application activities</w:t>
      </w:r>
    </w:p>
    <w:p w14:paraId="60E9BBFE" w14:textId="77777777" w:rsidR="00850A69"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The key activities undertaken by the department in reviewing an applicant to be an approved higher education provider are:</w:t>
      </w:r>
    </w:p>
    <w:p w14:paraId="01DDE57B" w14:textId="77777777" w:rsidR="00850A69" w:rsidRDefault="00850A69" w:rsidP="00A92589">
      <w:pPr>
        <w:pStyle w:val="ListParagraph"/>
        <w:numPr>
          <w:ilvl w:val="0"/>
          <w:numId w:val="8"/>
        </w:numPr>
        <w:spacing w:after="60"/>
        <w:ind w:left="714" w:hanging="357"/>
        <w:contextualSpacing w:val="0"/>
        <w:jc w:val="both"/>
        <w:rPr>
          <w:rFonts w:asciiTheme="minorHAnsi" w:hAnsiTheme="minorHAnsi"/>
        </w:rPr>
      </w:pPr>
      <w:r w:rsidRPr="00D1578B">
        <w:rPr>
          <w:rFonts w:asciiTheme="minorHAnsi" w:hAnsiTheme="minorHAnsi"/>
          <w:b/>
        </w:rPr>
        <w:t>Completeness check</w:t>
      </w:r>
      <w:r w:rsidRPr="00D67118">
        <w:rPr>
          <w:rFonts w:asciiTheme="minorHAnsi" w:hAnsiTheme="minorHAnsi"/>
        </w:rPr>
        <w:t xml:space="preserve"> - Check application for completeness and rectify where required. This includes a check</w:t>
      </w:r>
      <w:r>
        <w:rPr>
          <w:rFonts w:asciiTheme="minorHAnsi" w:hAnsiTheme="minorHAnsi"/>
        </w:rPr>
        <w:t xml:space="preserve"> </w:t>
      </w:r>
      <w:r w:rsidRPr="00D67118">
        <w:rPr>
          <w:rFonts w:asciiTheme="minorHAnsi" w:hAnsiTheme="minorHAnsi"/>
        </w:rPr>
        <w:t xml:space="preserve">of </w:t>
      </w:r>
      <w:r>
        <w:rPr>
          <w:rFonts w:asciiTheme="minorHAnsi" w:hAnsiTheme="minorHAnsi"/>
        </w:rPr>
        <w:t>corporate information</w:t>
      </w:r>
      <w:r w:rsidRPr="00D67118">
        <w:rPr>
          <w:rFonts w:asciiTheme="minorHAnsi" w:hAnsiTheme="minorHAnsi"/>
        </w:rPr>
        <w:t>,</w:t>
      </w:r>
      <w:r>
        <w:rPr>
          <w:rFonts w:asciiTheme="minorHAnsi" w:hAnsiTheme="minorHAnsi"/>
        </w:rPr>
        <w:t xml:space="preserve"> policy documentation,</w:t>
      </w:r>
      <w:r w:rsidRPr="00D67118">
        <w:rPr>
          <w:rFonts w:asciiTheme="minorHAnsi" w:hAnsiTheme="minorHAnsi"/>
        </w:rPr>
        <w:t xml:space="preserve"> data</w:t>
      </w:r>
      <w:r>
        <w:rPr>
          <w:rFonts w:asciiTheme="minorHAnsi" w:hAnsiTheme="minorHAnsi"/>
        </w:rPr>
        <w:t xml:space="preserve">, </w:t>
      </w:r>
      <w:r w:rsidRPr="00D67118">
        <w:rPr>
          <w:rFonts w:asciiTheme="minorHAnsi" w:hAnsiTheme="minorHAnsi"/>
        </w:rPr>
        <w:t>financial statements and declarations</w:t>
      </w:r>
      <w:r>
        <w:rPr>
          <w:rFonts w:asciiTheme="minorHAnsi" w:hAnsiTheme="minorHAnsi"/>
        </w:rPr>
        <w:t xml:space="preserve">; ensuring that </w:t>
      </w:r>
      <w:r w:rsidRPr="00D67118">
        <w:rPr>
          <w:rFonts w:asciiTheme="minorHAnsi" w:hAnsiTheme="minorHAnsi"/>
        </w:rPr>
        <w:t>applicants have provided all</w:t>
      </w:r>
      <w:r>
        <w:rPr>
          <w:rFonts w:asciiTheme="minorHAnsi" w:hAnsiTheme="minorHAnsi"/>
        </w:rPr>
        <w:t xml:space="preserve"> </w:t>
      </w:r>
      <w:r w:rsidRPr="00D67118">
        <w:rPr>
          <w:rFonts w:asciiTheme="minorHAnsi" w:hAnsiTheme="minorHAnsi"/>
        </w:rPr>
        <w:t>necessary information before assessment begins.</w:t>
      </w:r>
    </w:p>
    <w:p w14:paraId="38B949DE" w14:textId="759F8C54" w:rsidR="00850A69" w:rsidRDefault="00850A69" w:rsidP="00A92589">
      <w:pPr>
        <w:pStyle w:val="ListParagraph"/>
        <w:numPr>
          <w:ilvl w:val="0"/>
          <w:numId w:val="8"/>
        </w:numPr>
        <w:spacing w:after="60"/>
        <w:ind w:left="714" w:hanging="357"/>
        <w:contextualSpacing w:val="0"/>
        <w:jc w:val="both"/>
        <w:rPr>
          <w:rFonts w:asciiTheme="minorHAnsi" w:hAnsiTheme="minorHAnsi"/>
        </w:rPr>
      </w:pPr>
      <w:r w:rsidRPr="00D1578B">
        <w:rPr>
          <w:rFonts w:asciiTheme="minorHAnsi" w:hAnsiTheme="minorHAnsi"/>
          <w:b/>
        </w:rPr>
        <w:t>Financial viability assessment</w:t>
      </w:r>
      <w:r w:rsidRPr="00D67118">
        <w:rPr>
          <w:rFonts w:asciiTheme="minorHAnsi" w:hAnsiTheme="minorHAnsi"/>
        </w:rPr>
        <w:t xml:space="preserve"> - Analysis of financial </w:t>
      </w:r>
      <w:r>
        <w:rPr>
          <w:rFonts w:asciiTheme="minorHAnsi" w:hAnsiTheme="minorHAnsi"/>
        </w:rPr>
        <w:t>statements</w:t>
      </w:r>
      <w:r w:rsidRPr="00D67118">
        <w:rPr>
          <w:rFonts w:asciiTheme="minorHAnsi" w:hAnsiTheme="minorHAnsi"/>
        </w:rPr>
        <w:t xml:space="preserve"> from the last </w:t>
      </w:r>
      <w:r>
        <w:rPr>
          <w:rFonts w:asciiTheme="minorHAnsi" w:hAnsiTheme="minorHAnsi"/>
        </w:rPr>
        <w:t>four</w:t>
      </w:r>
      <w:r w:rsidRPr="00D67118">
        <w:rPr>
          <w:rFonts w:asciiTheme="minorHAnsi" w:hAnsiTheme="minorHAnsi"/>
        </w:rPr>
        <w:t xml:space="preserve"> years</w:t>
      </w:r>
      <w:r>
        <w:rPr>
          <w:rFonts w:asciiTheme="minorHAnsi" w:hAnsiTheme="minorHAnsi"/>
        </w:rPr>
        <w:t xml:space="preserve"> </w:t>
      </w:r>
      <w:r w:rsidRPr="00D67118">
        <w:rPr>
          <w:rFonts w:asciiTheme="minorHAnsi" w:hAnsiTheme="minorHAnsi"/>
        </w:rPr>
        <w:t>or</w:t>
      </w:r>
      <w:r>
        <w:rPr>
          <w:rFonts w:asciiTheme="minorHAnsi" w:hAnsiTheme="minorHAnsi"/>
        </w:rPr>
        <w:t>,</w:t>
      </w:r>
      <w:r w:rsidRPr="00D67118">
        <w:rPr>
          <w:rFonts w:asciiTheme="minorHAnsi" w:hAnsiTheme="minorHAnsi"/>
        </w:rPr>
        <w:t xml:space="preserve"> where the applicant forms part of a larger corporate network, consolidated financial statements for the</w:t>
      </w:r>
      <w:r>
        <w:rPr>
          <w:rFonts w:asciiTheme="minorHAnsi" w:hAnsiTheme="minorHAnsi"/>
        </w:rPr>
        <w:t xml:space="preserve"> </w:t>
      </w:r>
      <w:r w:rsidRPr="00D67118">
        <w:rPr>
          <w:rFonts w:asciiTheme="minorHAnsi" w:hAnsiTheme="minorHAnsi"/>
        </w:rPr>
        <w:t>group</w:t>
      </w:r>
      <w:r>
        <w:rPr>
          <w:rFonts w:asciiTheme="minorHAnsi" w:hAnsiTheme="minorHAnsi"/>
        </w:rPr>
        <w:t>, as well as business and risk mitigation plans, budget forecasts, corporate structures and supporting information</w:t>
      </w:r>
      <w:r w:rsidRPr="00D67118">
        <w:rPr>
          <w:rFonts w:asciiTheme="minorHAnsi" w:hAnsiTheme="minorHAnsi"/>
        </w:rPr>
        <w:t xml:space="preserve">. Financial performance </w:t>
      </w:r>
      <w:r>
        <w:rPr>
          <w:rFonts w:asciiTheme="minorHAnsi" w:hAnsiTheme="minorHAnsi"/>
        </w:rPr>
        <w:t>assessments</w:t>
      </w:r>
      <w:r w:rsidRPr="00D67118">
        <w:rPr>
          <w:rFonts w:asciiTheme="minorHAnsi" w:hAnsiTheme="minorHAnsi"/>
        </w:rPr>
        <w:t xml:space="preserve"> ensure the provider</w:t>
      </w:r>
      <w:r>
        <w:rPr>
          <w:rFonts w:asciiTheme="minorHAnsi" w:hAnsiTheme="minorHAnsi"/>
        </w:rPr>
        <w:t xml:space="preserve"> meets the HESA requirement that it is financially viable and likely to remain so.</w:t>
      </w:r>
      <w:r w:rsidRPr="00D67118">
        <w:rPr>
          <w:rFonts w:asciiTheme="minorHAnsi" w:hAnsiTheme="minorHAnsi"/>
        </w:rPr>
        <w:t xml:space="preserve"> </w:t>
      </w:r>
    </w:p>
    <w:p w14:paraId="3753AD9B" w14:textId="77777777" w:rsidR="00850A69" w:rsidRDefault="00850A69" w:rsidP="00A92589">
      <w:pPr>
        <w:pStyle w:val="ListParagraph"/>
        <w:numPr>
          <w:ilvl w:val="0"/>
          <w:numId w:val="8"/>
        </w:numPr>
        <w:spacing w:after="60"/>
        <w:ind w:left="714" w:hanging="357"/>
        <w:contextualSpacing w:val="0"/>
        <w:jc w:val="both"/>
        <w:rPr>
          <w:rFonts w:asciiTheme="minorHAnsi" w:hAnsiTheme="minorHAnsi"/>
        </w:rPr>
      </w:pPr>
      <w:r w:rsidRPr="00D1578B">
        <w:rPr>
          <w:rFonts w:asciiTheme="minorHAnsi" w:hAnsiTheme="minorHAnsi"/>
          <w:b/>
        </w:rPr>
        <w:t xml:space="preserve">Assessment of fit and proper person requirements </w:t>
      </w:r>
      <w:r w:rsidRPr="00682ADD">
        <w:rPr>
          <w:rFonts w:asciiTheme="minorHAnsi" w:hAnsiTheme="minorHAnsi"/>
        </w:rPr>
        <w:t>-</w:t>
      </w:r>
      <w:r w:rsidRPr="00D67118">
        <w:rPr>
          <w:rFonts w:asciiTheme="minorHAnsi" w:hAnsiTheme="minorHAnsi"/>
        </w:rPr>
        <w:t xml:space="preserve"> An integrity check </w:t>
      </w:r>
      <w:proofErr w:type="gramStart"/>
      <w:r w:rsidRPr="00D67118">
        <w:rPr>
          <w:rFonts w:asciiTheme="minorHAnsi" w:hAnsiTheme="minorHAnsi"/>
        </w:rPr>
        <w:t>is performed</w:t>
      </w:r>
      <w:proofErr w:type="gramEnd"/>
      <w:r w:rsidRPr="00D67118">
        <w:rPr>
          <w:rFonts w:asciiTheme="minorHAnsi" w:hAnsiTheme="minorHAnsi"/>
        </w:rPr>
        <w:t xml:space="preserve"> </w:t>
      </w:r>
      <w:r>
        <w:rPr>
          <w:rFonts w:asciiTheme="minorHAnsi" w:hAnsiTheme="minorHAnsi"/>
        </w:rPr>
        <w:t>on the applicant and all relevant senior staff, directors or persons of influence. This check</w:t>
      </w:r>
      <w:r w:rsidRPr="00D67118">
        <w:rPr>
          <w:rFonts w:asciiTheme="minorHAnsi" w:hAnsiTheme="minorHAnsi"/>
        </w:rPr>
        <w:t xml:space="preserve"> ensu</w:t>
      </w:r>
      <w:r>
        <w:rPr>
          <w:rFonts w:asciiTheme="minorHAnsi" w:hAnsiTheme="minorHAnsi"/>
        </w:rPr>
        <w:t>res</w:t>
      </w:r>
      <w:r w:rsidRPr="00D67118">
        <w:rPr>
          <w:rFonts w:asciiTheme="minorHAnsi" w:hAnsiTheme="minorHAnsi"/>
        </w:rPr>
        <w:t xml:space="preserve"> </w:t>
      </w:r>
      <w:r>
        <w:rPr>
          <w:rFonts w:asciiTheme="minorHAnsi" w:hAnsiTheme="minorHAnsi"/>
        </w:rPr>
        <w:t xml:space="preserve">that both the organisation and its relevant officers </w:t>
      </w:r>
      <w:r w:rsidRPr="00D67118">
        <w:rPr>
          <w:rFonts w:asciiTheme="minorHAnsi" w:hAnsiTheme="minorHAnsi"/>
        </w:rPr>
        <w:t xml:space="preserve">are well suited to deliver the program. </w:t>
      </w:r>
    </w:p>
    <w:p w14:paraId="2037E9A1" w14:textId="1007AF9C" w:rsidR="00850A69" w:rsidRDefault="00850A69" w:rsidP="00A92589">
      <w:pPr>
        <w:pStyle w:val="ListParagraph"/>
        <w:numPr>
          <w:ilvl w:val="0"/>
          <w:numId w:val="8"/>
        </w:numPr>
        <w:spacing w:after="60"/>
        <w:ind w:left="714" w:hanging="357"/>
        <w:contextualSpacing w:val="0"/>
        <w:jc w:val="both"/>
        <w:rPr>
          <w:rFonts w:asciiTheme="minorHAnsi" w:hAnsiTheme="minorHAnsi"/>
        </w:rPr>
      </w:pPr>
      <w:r w:rsidRPr="00D1578B">
        <w:rPr>
          <w:rFonts w:asciiTheme="minorHAnsi" w:hAnsiTheme="minorHAnsi"/>
          <w:b/>
        </w:rPr>
        <w:t>Regulator risk rating</w:t>
      </w:r>
      <w:r w:rsidRPr="00D67118">
        <w:rPr>
          <w:rFonts w:asciiTheme="minorHAnsi" w:hAnsiTheme="minorHAnsi"/>
        </w:rPr>
        <w:t xml:space="preserve"> - The department liaise</w:t>
      </w:r>
      <w:r>
        <w:rPr>
          <w:rFonts w:asciiTheme="minorHAnsi" w:hAnsiTheme="minorHAnsi"/>
        </w:rPr>
        <w:t>s</w:t>
      </w:r>
      <w:r w:rsidR="00974E84">
        <w:rPr>
          <w:rFonts w:asciiTheme="minorHAnsi" w:hAnsiTheme="minorHAnsi"/>
        </w:rPr>
        <w:t xml:space="preserve"> with </w:t>
      </w:r>
      <w:r w:rsidR="00A964F9" w:rsidRPr="009826D6">
        <w:rPr>
          <w:rFonts w:asciiTheme="minorHAnsi" w:hAnsiTheme="minorHAnsi" w:cstheme="minorHAnsi"/>
          <w:sz w:val="22"/>
          <w:szCs w:val="22"/>
        </w:rPr>
        <w:t>Tertiary Education Quality and Standards Agency</w:t>
      </w:r>
      <w:r w:rsidR="00A964F9">
        <w:rPr>
          <w:rFonts w:asciiTheme="minorHAnsi" w:hAnsiTheme="minorHAnsi"/>
        </w:rPr>
        <w:t xml:space="preserve"> (</w:t>
      </w:r>
      <w:r>
        <w:rPr>
          <w:rFonts w:asciiTheme="minorHAnsi" w:hAnsiTheme="minorHAnsi"/>
        </w:rPr>
        <w:t>TEQSA</w:t>
      </w:r>
      <w:r w:rsidR="00A964F9">
        <w:rPr>
          <w:rFonts w:asciiTheme="minorHAnsi" w:hAnsiTheme="minorHAnsi"/>
        </w:rPr>
        <w:t>)</w:t>
      </w:r>
      <w:r w:rsidRPr="00D67118">
        <w:rPr>
          <w:rFonts w:asciiTheme="minorHAnsi" w:hAnsiTheme="minorHAnsi"/>
        </w:rPr>
        <w:t xml:space="preserve"> to </w:t>
      </w:r>
      <w:r w:rsidRPr="00682ADD">
        <w:rPr>
          <w:rFonts w:asciiTheme="minorHAnsi" w:hAnsiTheme="minorHAnsi"/>
        </w:rPr>
        <w:t xml:space="preserve">determine </w:t>
      </w:r>
      <w:r w:rsidR="00120BE8">
        <w:rPr>
          <w:rFonts w:asciiTheme="minorHAnsi" w:hAnsiTheme="minorHAnsi"/>
        </w:rPr>
        <w:t xml:space="preserve">whether there are any significant outstanding issues in relation to the provider’s recent performance. </w:t>
      </w:r>
      <w:r w:rsidRPr="00D67118">
        <w:rPr>
          <w:rFonts w:asciiTheme="minorHAnsi" w:hAnsiTheme="minorHAnsi"/>
        </w:rPr>
        <w:t>This aid</w:t>
      </w:r>
      <w:r>
        <w:rPr>
          <w:rFonts w:asciiTheme="minorHAnsi" w:hAnsiTheme="minorHAnsi"/>
        </w:rPr>
        <w:t>s</w:t>
      </w:r>
      <w:r w:rsidRPr="00D67118">
        <w:rPr>
          <w:rFonts w:asciiTheme="minorHAnsi" w:hAnsiTheme="minorHAnsi"/>
        </w:rPr>
        <w:t xml:space="preserve"> in determining the applicant’s ability to provide quality </w:t>
      </w:r>
      <w:r>
        <w:rPr>
          <w:rFonts w:asciiTheme="minorHAnsi" w:hAnsiTheme="minorHAnsi"/>
        </w:rPr>
        <w:t>education</w:t>
      </w:r>
      <w:r w:rsidRPr="00D67118">
        <w:rPr>
          <w:rFonts w:asciiTheme="minorHAnsi" w:hAnsiTheme="minorHAnsi"/>
        </w:rPr>
        <w:t>.</w:t>
      </w:r>
    </w:p>
    <w:p w14:paraId="1C0A828F" w14:textId="43E9B703" w:rsidR="00850A69" w:rsidRDefault="00682ADD" w:rsidP="00A92589">
      <w:pPr>
        <w:pStyle w:val="ListParagraph"/>
        <w:numPr>
          <w:ilvl w:val="0"/>
          <w:numId w:val="8"/>
        </w:numPr>
        <w:spacing w:after="60"/>
        <w:ind w:left="714" w:hanging="357"/>
        <w:contextualSpacing w:val="0"/>
        <w:jc w:val="both"/>
        <w:rPr>
          <w:rFonts w:asciiTheme="minorHAnsi" w:hAnsiTheme="minorHAnsi"/>
        </w:rPr>
      </w:pPr>
      <w:r>
        <w:rPr>
          <w:rFonts w:asciiTheme="minorHAnsi" w:hAnsiTheme="minorHAnsi"/>
          <w:b/>
        </w:rPr>
        <w:t>Policy a</w:t>
      </w:r>
      <w:r w:rsidR="00850A69" w:rsidRPr="00D1578B">
        <w:rPr>
          <w:rFonts w:asciiTheme="minorHAnsi" w:hAnsiTheme="minorHAnsi"/>
          <w:b/>
        </w:rPr>
        <w:t>ssessment and moderation</w:t>
      </w:r>
      <w:r w:rsidR="00850A69" w:rsidRPr="00D67118">
        <w:rPr>
          <w:rFonts w:asciiTheme="minorHAnsi" w:hAnsiTheme="minorHAnsi"/>
        </w:rPr>
        <w:t xml:space="preserve"> - </w:t>
      </w:r>
      <w:r w:rsidR="00850A69">
        <w:rPr>
          <w:rFonts w:asciiTheme="minorHAnsi" w:hAnsiTheme="minorHAnsi"/>
        </w:rPr>
        <w:t>A</w:t>
      </w:r>
      <w:r w:rsidR="00850A69" w:rsidRPr="00D67118">
        <w:rPr>
          <w:rFonts w:asciiTheme="minorHAnsi" w:hAnsiTheme="minorHAnsi"/>
        </w:rPr>
        <w:t xml:space="preserve">ssessment of </w:t>
      </w:r>
      <w:r w:rsidR="00850A69">
        <w:rPr>
          <w:rFonts w:asciiTheme="minorHAnsi" w:hAnsiTheme="minorHAnsi"/>
        </w:rPr>
        <w:t xml:space="preserve">all policy documentation supplied by applicants to ensure consistency with the requirements of both HESA and the </w:t>
      </w:r>
      <w:r w:rsidR="00850A69" w:rsidRPr="00894B5B">
        <w:rPr>
          <w:rFonts w:asciiTheme="minorHAnsi" w:hAnsiTheme="minorHAnsi"/>
          <w:i/>
        </w:rPr>
        <w:t>Higher Education Provider Guidelines 2012</w:t>
      </w:r>
      <w:r w:rsidR="00850A69">
        <w:rPr>
          <w:rFonts w:asciiTheme="minorHAnsi" w:hAnsiTheme="minorHAnsi"/>
        </w:rPr>
        <w:t>.</w:t>
      </w:r>
    </w:p>
    <w:p w14:paraId="5A3F5CD9" w14:textId="0294CE70" w:rsidR="00850A69" w:rsidRDefault="00682ADD" w:rsidP="00A92589">
      <w:pPr>
        <w:pStyle w:val="ListParagraph"/>
        <w:numPr>
          <w:ilvl w:val="0"/>
          <w:numId w:val="8"/>
        </w:numPr>
        <w:spacing w:after="60"/>
        <w:ind w:left="714" w:hanging="357"/>
        <w:contextualSpacing w:val="0"/>
        <w:jc w:val="both"/>
        <w:rPr>
          <w:rFonts w:asciiTheme="minorHAnsi" w:hAnsiTheme="minorHAnsi"/>
        </w:rPr>
      </w:pPr>
      <w:r>
        <w:rPr>
          <w:rFonts w:asciiTheme="minorHAnsi" w:hAnsiTheme="minorHAnsi"/>
          <w:b/>
        </w:rPr>
        <w:t>Request for Further Information (RFI</w:t>
      </w:r>
      <w:r w:rsidR="00850A69" w:rsidRPr="00D1578B">
        <w:rPr>
          <w:rFonts w:asciiTheme="minorHAnsi" w:hAnsiTheme="minorHAnsi"/>
          <w:b/>
        </w:rPr>
        <w:t>), ongoing assessment and applicant engagement</w:t>
      </w:r>
      <w:r w:rsidR="00850A69" w:rsidRPr="00FE327D">
        <w:rPr>
          <w:rFonts w:asciiTheme="minorHAnsi" w:hAnsiTheme="minorHAnsi"/>
        </w:rPr>
        <w:t xml:space="preserve"> </w:t>
      </w:r>
      <w:r w:rsidR="00850A69" w:rsidRPr="00D67118">
        <w:rPr>
          <w:rFonts w:asciiTheme="minorHAnsi" w:hAnsiTheme="minorHAnsi"/>
        </w:rPr>
        <w:t>- The department</w:t>
      </w:r>
      <w:r w:rsidR="00850A69">
        <w:rPr>
          <w:rFonts w:asciiTheme="minorHAnsi" w:hAnsiTheme="minorHAnsi"/>
        </w:rPr>
        <w:t xml:space="preserve"> engages with applicants following the initial submission of an application and provides for the submission of additional information to address concerns or omissions found during the assessment proc</w:t>
      </w:r>
      <w:r>
        <w:rPr>
          <w:rFonts w:asciiTheme="minorHAnsi" w:hAnsiTheme="minorHAnsi"/>
        </w:rPr>
        <w:t xml:space="preserve">ess. This </w:t>
      </w:r>
      <w:proofErr w:type="gramStart"/>
      <w:r>
        <w:rPr>
          <w:rFonts w:asciiTheme="minorHAnsi" w:hAnsiTheme="minorHAnsi"/>
        </w:rPr>
        <w:t>is done</w:t>
      </w:r>
      <w:proofErr w:type="gramEnd"/>
      <w:r>
        <w:rPr>
          <w:rFonts w:asciiTheme="minorHAnsi" w:hAnsiTheme="minorHAnsi"/>
        </w:rPr>
        <w:t xml:space="preserve"> by issuing </w:t>
      </w:r>
      <w:r w:rsidR="00850A69">
        <w:rPr>
          <w:rFonts w:asciiTheme="minorHAnsi" w:hAnsiTheme="minorHAnsi"/>
        </w:rPr>
        <w:t xml:space="preserve">RFIs (formal notices under HESA requesting the provision of additional information) from applicants. Following the receipt of RFI responses, assessment processes relating to financial viability and policy documentation </w:t>
      </w:r>
      <w:proofErr w:type="gramStart"/>
      <w:r w:rsidR="00850A69">
        <w:rPr>
          <w:rFonts w:asciiTheme="minorHAnsi" w:hAnsiTheme="minorHAnsi"/>
        </w:rPr>
        <w:t>are repeated</w:t>
      </w:r>
      <w:proofErr w:type="gramEnd"/>
      <w:r w:rsidR="00850A69">
        <w:rPr>
          <w:rFonts w:asciiTheme="minorHAnsi" w:hAnsiTheme="minorHAnsi"/>
        </w:rPr>
        <w:t>. Applicants may receive multiple RFIs throughout the application process, with the department required to repeat assessment processes after each response to the requests.</w:t>
      </w:r>
    </w:p>
    <w:p w14:paraId="4BD9D3D0" w14:textId="29D72811" w:rsidR="00850A69" w:rsidRDefault="00682ADD" w:rsidP="00A92589">
      <w:pPr>
        <w:pStyle w:val="ListParagraph"/>
        <w:numPr>
          <w:ilvl w:val="0"/>
          <w:numId w:val="8"/>
        </w:numPr>
        <w:spacing w:after="60"/>
        <w:ind w:left="714" w:hanging="357"/>
        <w:contextualSpacing w:val="0"/>
        <w:jc w:val="both"/>
        <w:rPr>
          <w:rFonts w:asciiTheme="minorHAnsi" w:hAnsiTheme="minorHAnsi"/>
        </w:rPr>
      </w:pPr>
      <w:r>
        <w:rPr>
          <w:rFonts w:asciiTheme="minorHAnsi" w:hAnsiTheme="minorHAnsi"/>
          <w:b/>
        </w:rPr>
        <w:t>Conditional a</w:t>
      </w:r>
      <w:r w:rsidR="00850A69" w:rsidRPr="00D1578B">
        <w:rPr>
          <w:rFonts w:asciiTheme="minorHAnsi" w:hAnsiTheme="minorHAnsi"/>
          <w:b/>
        </w:rPr>
        <w:t>pproval, courses, caps and delivery modes</w:t>
      </w:r>
      <w:r w:rsidR="00850A69" w:rsidRPr="00D67118">
        <w:rPr>
          <w:rFonts w:asciiTheme="minorHAnsi" w:hAnsiTheme="minorHAnsi"/>
        </w:rPr>
        <w:t xml:space="preserve"> </w:t>
      </w:r>
      <w:r w:rsidR="00850A69">
        <w:rPr>
          <w:rFonts w:asciiTheme="minorHAnsi" w:hAnsiTheme="minorHAnsi"/>
        </w:rPr>
        <w:t>-</w:t>
      </w:r>
      <w:r w:rsidR="00850A69" w:rsidRPr="00D67118">
        <w:rPr>
          <w:rFonts w:asciiTheme="minorHAnsi" w:hAnsiTheme="minorHAnsi"/>
        </w:rPr>
        <w:t xml:space="preserve"> </w:t>
      </w:r>
      <w:r w:rsidR="00850A69">
        <w:rPr>
          <w:rFonts w:asciiTheme="minorHAnsi" w:hAnsiTheme="minorHAnsi"/>
        </w:rPr>
        <w:t>All approved higher education providers are subject to conditions to maintain their approval. These conditions must be determined during</w:t>
      </w:r>
      <w:r w:rsidR="0064062A">
        <w:rPr>
          <w:rFonts w:asciiTheme="minorHAnsi" w:hAnsiTheme="minorHAnsi"/>
        </w:rPr>
        <w:t xml:space="preserve"> an application assessment and </w:t>
      </w:r>
      <w:r w:rsidR="00850A69">
        <w:rPr>
          <w:rFonts w:asciiTheme="minorHAnsi" w:hAnsiTheme="minorHAnsi"/>
        </w:rPr>
        <w:t xml:space="preserve">agreed to by both the applicant and the Minister’s departmental delegate prior to the finalisation of an approval. Where it </w:t>
      </w:r>
      <w:proofErr w:type="gramStart"/>
      <w:r w:rsidR="00850A69">
        <w:rPr>
          <w:rFonts w:asciiTheme="minorHAnsi" w:hAnsiTheme="minorHAnsi"/>
        </w:rPr>
        <w:t>is deemed</w:t>
      </w:r>
      <w:proofErr w:type="gramEnd"/>
      <w:r w:rsidR="00850A69">
        <w:rPr>
          <w:rFonts w:asciiTheme="minorHAnsi" w:hAnsiTheme="minorHAnsi"/>
        </w:rPr>
        <w:t xml:space="preserve"> that additional compliance methods are required, such as caps on total loan values, delivery methods or student numbers, the additional compliance methods must be crafted specifically to address each applicant’s individual risk profile.</w:t>
      </w:r>
    </w:p>
    <w:p w14:paraId="7E9FAA60" w14:textId="5CA52FA5" w:rsidR="00850A69" w:rsidRPr="0064062A" w:rsidRDefault="00850A69" w:rsidP="00A92589">
      <w:pPr>
        <w:pStyle w:val="ListParagraph"/>
        <w:numPr>
          <w:ilvl w:val="0"/>
          <w:numId w:val="8"/>
        </w:numPr>
        <w:spacing w:after="60"/>
        <w:ind w:left="714" w:hanging="357"/>
        <w:contextualSpacing w:val="0"/>
        <w:jc w:val="both"/>
        <w:rPr>
          <w:rFonts w:asciiTheme="minorHAnsi" w:hAnsiTheme="minorHAnsi"/>
        </w:rPr>
      </w:pPr>
      <w:r w:rsidRPr="00D1578B">
        <w:rPr>
          <w:rFonts w:asciiTheme="minorHAnsi" w:hAnsiTheme="minorHAnsi"/>
          <w:b/>
        </w:rPr>
        <w:t>Decisions and notifications</w:t>
      </w:r>
      <w:r w:rsidRPr="00D67118">
        <w:rPr>
          <w:rFonts w:asciiTheme="minorHAnsi" w:hAnsiTheme="minorHAnsi"/>
        </w:rPr>
        <w:t xml:space="preserve"> </w:t>
      </w:r>
      <w:r w:rsidR="00682ADD">
        <w:rPr>
          <w:rFonts w:asciiTheme="minorHAnsi" w:hAnsiTheme="minorHAnsi"/>
        </w:rPr>
        <w:t>-</w:t>
      </w:r>
      <w:r w:rsidRPr="00D67118">
        <w:rPr>
          <w:rFonts w:asciiTheme="minorHAnsi" w:hAnsiTheme="minorHAnsi"/>
        </w:rPr>
        <w:t xml:space="preserve"> </w:t>
      </w:r>
      <w:r>
        <w:rPr>
          <w:rFonts w:asciiTheme="minorHAnsi" w:hAnsiTheme="minorHAnsi"/>
        </w:rPr>
        <w:t>the department notifies</w:t>
      </w:r>
      <w:r w:rsidRPr="00D67118">
        <w:rPr>
          <w:rFonts w:asciiTheme="minorHAnsi" w:hAnsiTheme="minorHAnsi"/>
        </w:rPr>
        <w:t xml:space="preserve"> the applicant </w:t>
      </w:r>
      <w:r w:rsidR="00682ADD">
        <w:rPr>
          <w:rFonts w:asciiTheme="minorHAnsi" w:hAnsiTheme="minorHAnsi"/>
        </w:rPr>
        <w:t>and other stakeholders of the decision</w:t>
      </w:r>
      <w:r w:rsidRPr="00D67118">
        <w:rPr>
          <w:rFonts w:asciiTheme="minorHAnsi" w:hAnsiTheme="minorHAnsi"/>
        </w:rPr>
        <w:t>. Internal notifications include input into</w:t>
      </w:r>
      <w:r>
        <w:rPr>
          <w:rFonts w:asciiTheme="minorHAnsi" w:hAnsiTheme="minorHAnsi"/>
        </w:rPr>
        <w:t xml:space="preserve"> </w:t>
      </w:r>
      <w:r w:rsidR="00E26ABE">
        <w:rPr>
          <w:rFonts w:asciiTheme="minorHAnsi" w:hAnsiTheme="minorHAnsi"/>
        </w:rPr>
        <w:t>the Higher Education Information Management System (</w:t>
      </w:r>
      <w:r w:rsidRPr="00D67118">
        <w:rPr>
          <w:rFonts w:asciiTheme="minorHAnsi" w:hAnsiTheme="minorHAnsi"/>
        </w:rPr>
        <w:t>HEIMS</w:t>
      </w:r>
      <w:r w:rsidR="00E26ABE">
        <w:rPr>
          <w:rFonts w:asciiTheme="minorHAnsi" w:hAnsiTheme="minorHAnsi"/>
        </w:rPr>
        <w:t>)</w:t>
      </w:r>
      <w:r w:rsidRPr="00D67118">
        <w:rPr>
          <w:rFonts w:asciiTheme="minorHAnsi" w:hAnsiTheme="minorHAnsi"/>
        </w:rPr>
        <w:t>, to payment systems</w:t>
      </w:r>
      <w:r>
        <w:rPr>
          <w:rFonts w:asciiTheme="minorHAnsi" w:hAnsiTheme="minorHAnsi"/>
        </w:rPr>
        <w:t xml:space="preserve"> and the </w:t>
      </w:r>
      <w:proofErr w:type="spellStart"/>
      <w:r w:rsidRPr="00D67118">
        <w:rPr>
          <w:rFonts w:asciiTheme="minorHAnsi" w:hAnsiTheme="minorHAnsi"/>
        </w:rPr>
        <w:t>StudyAssist</w:t>
      </w:r>
      <w:proofErr w:type="spellEnd"/>
      <w:r>
        <w:rPr>
          <w:rFonts w:asciiTheme="minorHAnsi" w:hAnsiTheme="minorHAnsi"/>
        </w:rPr>
        <w:t xml:space="preserve"> website</w:t>
      </w:r>
      <w:r w:rsidRPr="00D67118">
        <w:rPr>
          <w:rFonts w:asciiTheme="minorHAnsi" w:hAnsiTheme="minorHAnsi"/>
        </w:rPr>
        <w:t>. External notifications include to applicants</w:t>
      </w:r>
      <w:r>
        <w:rPr>
          <w:rFonts w:asciiTheme="minorHAnsi" w:hAnsiTheme="minorHAnsi"/>
        </w:rPr>
        <w:t>, TEQSA</w:t>
      </w:r>
      <w:r w:rsidRPr="00D67118">
        <w:rPr>
          <w:rFonts w:asciiTheme="minorHAnsi" w:hAnsiTheme="minorHAnsi"/>
        </w:rPr>
        <w:t xml:space="preserve"> and the</w:t>
      </w:r>
      <w:r>
        <w:rPr>
          <w:rFonts w:asciiTheme="minorHAnsi" w:hAnsiTheme="minorHAnsi"/>
        </w:rPr>
        <w:t xml:space="preserve"> </w:t>
      </w:r>
      <w:r w:rsidRPr="00D67118">
        <w:rPr>
          <w:rFonts w:asciiTheme="minorHAnsi" w:hAnsiTheme="minorHAnsi"/>
        </w:rPr>
        <w:t>ATO.</w:t>
      </w:r>
    </w:p>
    <w:p w14:paraId="4E582095" w14:textId="77777777" w:rsidR="00850A69" w:rsidRPr="00D1578B" w:rsidRDefault="00D1578B" w:rsidP="0064062A">
      <w:pPr>
        <w:shd w:val="clear" w:color="auto" w:fill="FFFFFF" w:themeFill="background1"/>
        <w:spacing w:before="240" w:after="120"/>
        <w:rPr>
          <w:rFonts w:asciiTheme="minorHAnsi" w:hAnsiTheme="minorHAnsi" w:cstheme="minorHAnsi"/>
          <w:b/>
        </w:rPr>
      </w:pPr>
      <w:r w:rsidRPr="00D1578B">
        <w:rPr>
          <w:rFonts w:asciiTheme="minorHAnsi" w:hAnsiTheme="minorHAnsi" w:cstheme="minorHAnsi"/>
          <w:b/>
        </w:rPr>
        <w:t xml:space="preserve">3.1.3 </w:t>
      </w:r>
      <w:r w:rsidR="0064062A">
        <w:rPr>
          <w:rFonts w:asciiTheme="minorHAnsi" w:hAnsiTheme="minorHAnsi" w:cstheme="minorHAnsi"/>
          <w:b/>
        </w:rPr>
        <w:tab/>
      </w:r>
      <w:r w:rsidR="00850A69" w:rsidRPr="00D1578B">
        <w:rPr>
          <w:rFonts w:asciiTheme="minorHAnsi" w:hAnsiTheme="minorHAnsi" w:cstheme="minorHAnsi"/>
          <w:b/>
        </w:rPr>
        <w:t>Ongoing Regulatory Activities</w:t>
      </w:r>
    </w:p>
    <w:p w14:paraId="25E6C9C6" w14:textId="192F4AE6" w:rsidR="00850A69" w:rsidRDefault="00850A69" w:rsidP="00657DEA">
      <w:p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To</w:t>
      </w:r>
      <w:r>
        <w:rPr>
          <w:rFonts w:asciiTheme="minorHAnsi" w:hAnsiTheme="minorHAnsi" w:cstheme="minorHAnsi"/>
        </w:rPr>
        <w:t xml:space="preserve"> maintain registration as a university or a NUHEP, entities must meet o</w:t>
      </w:r>
      <w:r w:rsidRPr="006171E7">
        <w:rPr>
          <w:rFonts w:asciiTheme="minorHAnsi" w:hAnsiTheme="minorHAnsi" w:cstheme="minorHAnsi"/>
        </w:rPr>
        <w:t>ngoing regulatory</w:t>
      </w:r>
      <w:r>
        <w:rPr>
          <w:rFonts w:asciiTheme="minorHAnsi" w:hAnsiTheme="minorHAnsi" w:cstheme="minorHAnsi"/>
        </w:rPr>
        <w:t xml:space="preserve"> obligations, such as financial viability, policy standards and probity of key staff. The department undertakes compliance and auditing activities, payments administration, responding to queries and complaints, and provider and student management as part of the regulatory activities for HECS-HELP and FEE-HELP. These activities ensure that approved providers continue to meet the requirements under HESA.</w:t>
      </w:r>
    </w:p>
    <w:p w14:paraId="21D77C03" w14:textId="5160C5E5" w:rsidR="00850A69" w:rsidRPr="00D1578B" w:rsidRDefault="00850A69" w:rsidP="00850A69">
      <w:pPr>
        <w:shd w:val="clear" w:color="auto" w:fill="FFFFFF" w:themeFill="background1"/>
        <w:spacing w:after="120"/>
        <w:rPr>
          <w:rFonts w:asciiTheme="minorHAnsi" w:hAnsiTheme="minorHAnsi" w:cstheme="minorHAnsi"/>
          <w:b/>
        </w:rPr>
      </w:pPr>
      <w:r w:rsidRPr="00D1578B">
        <w:rPr>
          <w:rFonts w:asciiTheme="minorHAnsi" w:hAnsiTheme="minorHAnsi" w:cstheme="minorHAnsi"/>
          <w:b/>
        </w:rPr>
        <w:t xml:space="preserve">Financial viability </w:t>
      </w:r>
      <w:r w:rsidR="00B613FD">
        <w:rPr>
          <w:rFonts w:asciiTheme="minorHAnsi" w:hAnsiTheme="minorHAnsi" w:cstheme="minorHAnsi"/>
          <w:b/>
        </w:rPr>
        <w:t>assessment</w:t>
      </w:r>
    </w:p>
    <w:p w14:paraId="386217E7" w14:textId="06615205" w:rsidR="00F66680" w:rsidRPr="00B8012F" w:rsidRDefault="00850A69" w:rsidP="00F66680">
      <w:pPr>
        <w:shd w:val="clear" w:color="auto" w:fill="FFFFFF" w:themeFill="background1"/>
        <w:spacing w:after="120"/>
        <w:jc w:val="both"/>
        <w:rPr>
          <w:rFonts w:asciiTheme="minorHAnsi" w:hAnsiTheme="minorHAnsi" w:cstheme="minorHAnsi"/>
        </w:rPr>
      </w:pPr>
      <w:r w:rsidRPr="00B8012F">
        <w:rPr>
          <w:rFonts w:asciiTheme="minorHAnsi" w:hAnsiTheme="minorHAnsi" w:cstheme="minorHAnsi"/>
        </w:rPr>
        <w:t>Providers must submit financial information to the department</w:t>
      </w:r>
      <w:r>
        <w:rPr>
          <w:rFonts w:asciiTheme="minorHAnsi" w:hAnsiTheme="minorHAnsi" w:cstheme="minorHAnsi"/>
        </w:rPr>
        <w:t xml:space="preserve">, to </w:t>
      </w:r>
      <w:proofErr w:type="gramStart"/>
      <w:r>
        <w:rPr>
          <w:rFonts w:asciiTheme="minorHAnsi" w:hAnsiTheme="minorHAnsi" w:cstheme="minorHAnsi"/>
        </w:rPr>
        <w:t>be assessed</w:t>
      </w:r>
      <w:proofErr w:type="gramEnd"/>
      <w:r>
        <w:rPr>
          <w:rFonts w:asciiTheme="minorHAnsi" w:hAnsiTheme="minorHAnsi" w:cstheme="minorHAnsi"/>
        </w:rPr>
        <w:t xml:space="preserve"> as being </w:t>
      </w:r>
      <w:r w:rsidRPr="00B8012F">
        <w:rPr>
          <w:rFonts w:asciiTheme="minorHAnsi" w:hAnsiTheme="minorHAnsi" w:cstheme="minorHAnsi"/>
        </w:rPr>
        <w:t xml:space="preserve">financially viable and likely to remain </w:t>
      </w:r>
      <w:r>
        <w:rPr>
          <w:rFonts w:asciiTheme="minorHAnsi" w:hAnsiTheme="minorHAnsi" w:cstheme="minorHAnsi"/>
        </w:rPr>
        <w:t>so</w:t>
      </w:r>
      <w:r w:rsidRPr="00B8012F">
        <w:rPr>
          <w:rFonts w:asciiTheme="minorHAnsi" w:hAnsiTheme="minorHAnsi" w:cstheme="minorHAnsi"/>
        </w:rPr>
        <w:t>.</w:t>
      </w:r>
      <w:r w:rsidR="00F66680" w:rsidRPr="00F66680">
        <w:rPr>
          <w:rFonts w:asciiTheme="minorHAnsi" w:hAnsiTheme="minorHAnsi" w:cstheme="minorHAnsi"/>
        </w:rPr>
        <w:t xml:space="preserve"> </w:t>
      </w:r>
      <w:r w:rsidR="00F66680" w:rsidRPr="00C30026">
        <w:rPr>
          <w:rFonts w:asciiTheme="minorHAnsi" w:hAnsiTheme="minorHAnsi" w:cstheme="minorHAnsi"/>
        </w:rPr>
        <w:t>A</w:t>
      </w:r>
      <w:r w:rsidR="00F66680">
        <w:rPr>
          <w:rFonts w:asciiTheme="minorHAnsi" w:hAnsiTheme="minorHAnsi" w:cstheme="minorHAnsi"/>
        </w:rPr>
        <w:t xml:space="preserve"> HEP</w:t>
      </w:r>
      <w:r w:rsidR="00F66680" w:rsidRPr="00C30026">
        <w:rPr>
          <w:rFonts w:asciiTheme="minorHAnsi" w:hAnsiTheme="minorHAnsi" w:cstheme="minorHAnsi"/>
        </w:rPr>
        <w:t xml:space="preserve"> must submit information that assists the Minister in assessing their financial viability, including audited financial statements, submitted on a commercial</w:t>
      </w:r>
      <w:r w:rsidR="00F66680" w:rsidRPr="00C30026">
        <w:rPr>
          <w:rFonts w:asciiTheme="minorHAnsi" w:hAnsiTheme="minorHAnsi" w:cstheme="minorHAnsi"/>
        </w:rPr>
        <w:noBreakHyphen/>
        <w:t>in</w:t>
      </w:r>
      <w:r w:rsidR="00F66680" w:rsidRPr="00C30026">
        <w:rPr>
          <w:rFonts w:asciiTheme="minorHAnsi" w:hAnsiTheme="minorHAnsi" w:cstheme="minorHAnsi"/>
        </w:rPr>
        <w:noBreakHyphen/>
        <w:t>confidence basis.</w:t>
      </w:r>
    </w:p>
    <w:p w14:paraId="0F4F7618" w14:textId="77777777" w:rsidR="00850A69" w:rsidRPr="00B8012F" w:rsidRDefault="00850A69" w:rsidP="00A92589">
      <w:pPr>
        <w:shd w:val="clear" w:color="auto" w:fill="FFFFFF" w:themeFill="background1"/>
        <w:spacing w:after="120"/>
        <w:jc w:val="both"/>
        <w:rPr>
          <w:rFonts w:asciiTheme="minorHAnsi" w:hAnsiTheme="minorHAnsi" w:cstheme="minorHAnsi"/>
        </w:rPr>
      </w:pPr>
      <w:r w:rsidRPr="00B8012F">
        <w:rPr>
          <w:rFonts w:asciiTheme="minorHAnsi" w:hAnsiTheme="minorHAnsi" w:cstheme="minorHAnsi"/>
        </w:rPr>
        <w:t xml:space="preserve">The department </w:t>
      </w:r>
      <w:r>
        <w:rPr>
          <w:rFonts w:asciiTheme="minorHAnsi" w:hAnsiTheme="minorHAnsi" w:cstheme="minorHAnsi"/>
        </w:rPr>
        <w:t>can review</w:t>
      </w:r>
      <w:r w:rsidRPr="00B8012F">
        <w:rPr>
          <w:rFonts w:asciiTheme="minorHAnsi" w:hAnsiTheme="minorHAnsi" w:cstheme="minorHAnsi"/>
        </w:rPr>
        <w:t xml:space="preserve"> a</w:t>
      </w:r>
      <w:r>
        <w:rPr>
          <w:rFonts w:asciiTheme="minorHAnsi" w:hAnsiTheme="minorHAnsi" w:cstheme="minorHAnsi"/>
        </w:rPr>
        <w:t xml:space="preserve"> range of</w:t>
      </w:r>
      <w:r w:rsidRPr="00B8012F">
        <w:rPr>
          <w:rFonts w:asciiTheme="minorHAnsi" w:hAnsiTheme="minorHAnsi" w:cstheme="minorHAnsi"/>
        </w:rPr>
        <w:t xml:space="preserve"> information when considering whether a provider meet</w:t>
      </w:r>
      <w:r>
        <w:rPr>
          <w:rFonts w:asciiTheme="minorHAnsi" w:hAnsiTheme="minorHAnsi" w:cstheme="minorHAnsi"/>
        </w:rPr>
        <w:t>s</w:t>
      </w:r>
      <w:r w:rsidRPr="00B8012F">
        <w:rPr>
          <w:rFonts w:asciiTheme="minorHAnsi" w:hAnsiTheme="minorHAnsi" w:cstheme="minorHAnsi"/>
        </w:rPr>
        <w:t xml:space="preserve"> financial viability requirements. The provider must meet these ongoing requirements, including alternative or additional arrangements requested by the Minister.</w:t>
      </w:r>
    </w:p>
    <w:p w14:paraId="137C20D7" w14:textId="79868C3E" w:rsidR="00850A69" w:rsidRPr="00B8012F" w:rsidRDefault="00850A69" w:rsidP="00A92589">
      <w:pPr>
        <w:shd w:val="clear" w:color="auto" w:fill="FFFFFF" w:themeFill="background1"/>
        <w:spacing w:after="120"/>
        <w:jc w:val="both"/>
        <w:rPr>
          <w:rFonts w:asciiTheme="minorHAnsi" w:hAnsiTheme="minorHAnsi" w:cstheme="minorHAnsi"/>
        </w:rPr>
      </w:pPr>
      <w:r w:rsidRPr="00B8012F">
        <w:rPr>
          <w:rFonts w:asciiTheme="minorHAnsi" w:hAnsiTheme="minorHAnsi" w:cstheme="minorHAnsi"/>
        </w:rPr>
        <w:t xml:space="preserve">The Financial Viability Instructions (FVI) advises </w:t>
      </w:r>
      <w:r w:rsidR="0064062A">
        <w:rPr>
          <w:rFonts w:asciiTheme="minorHAnsi" w:hAnsiTheme="minorHAnsi" w:cstheme="minorHAnsi"/>
        </w:rPr>
        <w:t>an approved provider</w:t>
      </w:r>
      <w:r>
        <w:rPr>
          <w:rFonts w:asciiTheme="minorHAnsi" w:hAnsiTheme="minorHAnsi" w:cstheme="minorHAnsi"/>
        </w:rPr>
        <w:t xml:space="preserve"> on required</w:t>
      </w:r>
      <w:r w:rsidRPr="00B8012F">
        <w:rPr>
          <w:rFonts w:asciiTheme="minorHAnsi" w:hAnsiTheme="minorHAnsi" w:cstheme="minorHAnsi"/>
        </w:rPr>
        <w:t xml:space="preserve"> financial information</w:t>
      </w:r>
      <w:r w:rsidR="00C30026">
        <w:rPr>
          <w:rFonts w:asciiTheme="minorHAnsi" w:hAnsiTheme="minorHAnsi" w:cstheme="minorHAnsi"/>
        </w:rPr>
        <w:t xml:space="preserve"> and how financial viability </w:t>
      </w:r>
      <w:proofErr w:type="gramStart"/>
      <w:r w:rsidR="00C30026">
        <w:rPr>
          <w:rFonts w:asciiTheme="minorHAnsi" w:hAnsiTheme="minorHAnsi" w:cstheme="minorHAnsi"/>
        </w:rPr>
        <w:t xml:space="preserve">is </w:t>
      </w:r>
      <w:r w:rsidRPr="00B8012F">
        <w:rPr>
          <w:rFonts w:asciiTheme="minorHAnsi" w:hAnsiTheme="minorHAnsi" w:cstheme="minorHAnsi"/>
        </w:rPr>
        <w:t>monitored</w:t>
      </w:r>
      <w:proofErr w:type="gramEnd"/>
      <w:r w:rsidRPr="00B8012F">
        <w:rPr>
          <w:rFonts w:asciiTheme="minorHAnsi" w:hAnsiTheme="minorHAnsi" w:cstheme="minorHAnsi"/>
        </w:rPr>
        <w:t xml:space="preserve">. The FVI is available from the department’s website at </w:t>
      </w:r>
      <w:hyperlink r:id="rId13" w:history="1">
        <w:r w:rsidRPr="004073E4">
          <w:rPr>
            <w:rStyle w:val="Hyperlink"/>
            <w:rFonts w:asciiTheme="minorHAnsi" w:hAnsiTheme="minorHAnsi" w:cstheme="minorHAnsi"/>
            <w:color w:val="4472C4" w:themeColor="accent1"/>
            <w:u w:val="single"/>
          </w:rPr>
          <w:t>http://www.education.gov.au/financial-reporting-requirements</w:t>
        </w:r>
      </w:hyperlink>
      <w:r w:rsidRPr="004073E4">
        <w:rPr>
          <w:rFonts w:asciiTheme="minorHAnsi" w:hAnsiTheme="minorHAnsi" w:cstheme="minorHAnsi"/>
        </w:rPr>
        <w:t>.</w:t>
      </w:r>
    </w:p>
    <w:p w14:paraId="1C049CF8" w14:textId="31FF0141" w:rsidR="00850A69" w:rsidRPr="006171E7"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All p</w:t>
      </w:r>
      <w:r w:rsidRPr="00B8012F">
        <w:rPr>
          <w:rFonts w:asciiTheme="minorHAnsi" w:hAnsiTheme="minorHAnsi" w:cstheme="minorHAnsi"/>
        </w:rPr>
        <w:t xml:space="preserve">roviders </w:t>
      </w:r>
      <w:proofErr w:type="gramStart"/>
      <w:r w:rsidRPr="00B8012F">
        <w:rPr>
          <w:rFonts w:asciiTheme="minorHAnsi" w:hAnsiTheme="minorHAnsi" w:cstheme="minorHAnsi"/>
        </w:rPr>
        <w:t xml:space="preserve">are </w:t>
      </w:r>
      <w:r>
        <w:rPr>
          <w:rFonts w:asciiTheme="minorHAnsi" w:hAnsiTheme="minorHAnsi" w:cstheme="minorHAnsi"/>
        </w:rPr>
        <w:t>assessed</w:t>
      </w:r>
      <w:proofErr w:type="gramEnd"/>
      <w:r w:rsidRPr="00B8012F">
        <w:rPr>
          <w:rFonts w:asciiTheme="minorHAnsi" w:hAnsiTheme="minorHAnsi" w:cstheme="minorHAnsi"/>
        </w:rPr>
        <w:t xml:space="preserve"> </w:t>
      </w:r>
      <w:r>
        <w:rPr>
          <w:rFonts w:asciiTheme="minorHAnsi" w:hAnsiTheme="minorHAnsi" w:cstheme="minorHAnsi"/>
        </w:rPr>
        <w:t>annually</w:t>
      </w:r>
      <w:r w:rsidRPr="00B8012F">
        <w:rPr>
          <w:rFonts w:asciiTheme="minorHAnsi" w:hAnsiTheme="minorHAnsi" w:cstheme="minorHAnsi"/>
        </w:rPr>
        <w:t xml:space="preserve"> to ensure that they remain financially viable. The effort </w:t>
      </w:r>
      <w:r w:rsidR="00A126E5">
        <w:rPr>
          <w:rFonts w:asciiTheme="minorHAnsi" w:hAnsiTheme="minorHAnsi" w:cstheme="minorHAnsi"/>
        </w:rPr>
        <w:t xml:space="preserve">of </w:t>
      </w:r>
      <w:r w:rsidR="00C30026">
        <w:rPr>
          <w:rFonts w:asciiTheme="minorHAnsi" w:hAnsiTheme="minorHAnsi" w:cstheme="minorHAnsi"/>
        </w:rPr>
        <w:t xml:space="preserve">conducting </w:t>
      </w:r>
      <w:r w:rsidR="00A126E5">
        <w:rPr>
          <w:rFonts w:asciiTheme="minorHAnsi" w:hAnsiTheme="minorHAnsi" w:cstheme="minorHAnsi"/>
        </w:rPr>
        <w:t xml:space="preserve">financial viability </w:t>
      </w:r>
      <w:r w:rsidR="00B613FD">
        <w:rPr>
          <w:rFonts w:asciiTheme="minorHAnsi" w:hAnsiTheme="minorHAnsi" w:cstheme="minorHAnsi"/>
        </w:rPr>
        <w:t>assessments</w:t>
      </w:r>
      <w:r w:rsidR="00A126E5">
        <w:rPr>
          <w:rFonts w:asciiTheme="minorHAnsi" w:hAnsiTheme="minorHAnsi" w:cstheme="minorHAnsi"/>
        </w:rPr>
        <w:t xml:space="preserve"> </w:t>
      </w:r>
      <w:r w:rsidR="00B613FD">
        <w:rPr>
          <w:rFonts w:asciiTheme="minorHAnsi" w:hAnsiTheme="minorHAnsi" w:cstheme="minorHAnsi"/>
        </w:rPr>
        <w:t>are</w:t>
      </w:r>
      <w:r w:rsidR="00A126E5">
        <w:rPr>
          <w:rFonts w:asciiTheme="minorHAnsi" w:hAnsiTheme="minorHAnsi" w:cstheme="minorHAnsi"/>
        </w:rPr>
        <w:t xml:space="preserve"> approximately the same per provider type, regardless of size or number of students</w:t>
      </w:r>
      <w:r w:rsidRPr="00B8012F">
        <w:rPr>
          <w:rFonts w:asciiTheme="minorHAnsi" w:hAnsiTheme="minorHAnsi" w:cstheme="minorHAnsi"/>
        </w:rPr>
        <w:t xml:space="preserve">. </w:t>
      </w:r>
    </w:p>
    <w:p w14:paraId="780686CB" w14:textId="77777777" w:rsidR="00850A69" w:rsidRPr="00D1578B" w:rsidRDefault="00850A69" w:rsidP="00850A69">
      <w:pPr>
        <w:shd w:val="clear" w:color="auto" w:fill="FFFFFF" w:themeFill="background1"/>
        <w:spacing w:after="120"/>
        <w:rPr>
          <w:rFonts w:asciiTheme="minorHAnsi" w:hAnsiTheme="minorHAnsi" w:cstheme="minorHAnsi"/>
          <w:b/>
        </w:rPr>
      </w:pPr>
      <w:r w:rsidRPr="00D1578B">
        <w:rPr>
          <w:rFonts w:asciiTheme="minorHAnsi" w:hAnsiTheme="minorHAnsi" w:cstheme="minorHAnsi"/>
          <w:b/>
        </w:rPr>
        <w:t>Desktop review of Provider Policies and Procedures</w:t>
      </w:r>
    </w:p>
    <w:p w14:paraId="2D6E1C7F" w14:textId="7DA84631" w:rsidR="00850A69" w:rsidRPr="006171E7" w:rsidRDefault="00850A69" w:rsidP="00A92589">
      <w:p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 xml:space="preserve">To be compliant with the requirements of HESA and related guidelines, </w:t>
      </w:r>
      <w:r>
        <w:rPr>
          <w:rFonts w:asciiTheme="minorHAnsi" w:hAnsiTheme="minorHAnsi" w:cstheme="minorHAnsi"/>
        </w:rPr>
        <w:t xml:space="preserve">all providers </w:t>
      </w:r>
      <w:r w:rsidRPr="006171E7">
        <w:rPr>
          <w:rFonts w:asciiTheme="minorHAnsi" w:hAnsiTheme="minorHAnsi" w:cstheme="minorHAnsi"/>
        </w:rPr>
        <w:t>must make publicly available the following policies and procedures:</w:t>
      </w:r>
    </w:p>
    <w:p w14:paraId="74480CA0" w14:textId="77777777" w:rsidR="00850A69" w:rsidRPr="006171E7" w:rsidRDefault="00850A69" w:rsidP="00A92589">
      <w:pPr>
        <w:pStyle w:val="ListParagraph"/>
        <w:numPr>
          <w:ilvl w:val="0"/>
          <w:numId w:val="6"/>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Fair treatment and equal opportunity procedures</w:t>
      </w:r>
      <w:r>
        <w:rPr>
          <w:rFonts w:asciiTheme="minorHAnsi" w:hAnsiTheme="minorHAnsi" w:cstheme="minorHAnsi"/>
        </w:rPr>
        <w:t>;</w:t>
      </w:r>
    </w:p>
    <w:p w14:paraId="0B1943D3" w14:textId="77777777" w:rsidR="00850A69" w:rsidRPr="006171E7" w:rsidRDefault="00850A69" w:rsidP="00A92589">
      <w:pPr>
        <w:pStyle w:val="ListParagraph"/>
        <w:numPr>
          <w:ilvl w:val="0"/>
          <w:numId w:val="6"/>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Student grievance procedures</w:t>
      </w:r>
      <w:r>
        <w:rPr>
          <w:rFonts w:asciiTheme="minorHAnsi" w:hAnsiTheme="minorHAnsi" w:cstheme="minorHAnsi"/>
        </w:rPr>
        <w:t>;</w:t>
      </w:r>
    </w:p>
    <w:p w14:paraId="634BA621" w14:textId="77777777" w:rsidR="00850A69" w:rsidRPr="006171E7" w:rsidRDefault="00850A69" w:rsidP="00A92589">
      <w:pPr>
        <w:pStyle w:val="ListParagraph"/>
        <w:numPr>
          <w:ilvl w:val="0"/>
          <w:numId w:val="6"/>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 xml:space="preserve">Student refund </w:t>
      </w:r>
      <w:r>
        <w:rPr>
          <w:rFonts w:asciiTheme="minorHAnsi" w:hAnsiTheme="minorHAnsi" w:cstheme="minorHAnsi"/>
        </w:rPr>
        <w:t>and</w:t>
      </w:r>
      <w:r w:rsidRPr="006171E7">
        <w:rPr>
          <w:rFonts w:asciiTheme="minorHAnsi" w:hAnsiTheme="minorHAnsi" w:cstheme="minorHAnsi"/>
        </w:rPr>
        <w:t xml:space="preserve"> review procedures</w:t>
      </w:r>
      <w:r>
        <w:rPr>
          <w:rFonts w:asciiTheme="minorHAnsi" w:hAnsiTheme="minorHAnsi" w:cstheme="minorHAnsi"/>
        </w:rPr>
        <w:t>;</w:t>
      </w:r>
    </w:p>
    <w:p w14:paraId="68312DD5" w14:textId="77777777" w:rsidR="00850A69" w:rsidRPr="006171E7" w:rsidRDefault="00850A69" w:rsidP="00A92589">
      <w:pPr>
        <w:pStyle w:val="ListParagraph"/>
        <w:numPr>
          <w:ilvl w:val="0"/>
          <w:numId w:val="6"/>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Statement of tuition assurance</w:t>
      </w:r>
      <w:r>
        <w:rPr>
          <w:rFonts w:asciiTheme="minorHAnsi" w:hAnsiTheme="minorHAnsi" w:cstheme="minorHAnsi"/>
        </w:rPr>
        <w:t xml:space="preserve"> (mainly NUHEPs);</w:t>
      </w:r>
    </w:p>
    <w:p w14:paraId="41B82928" w14:textId="77777777" w:rsidR="00850A69" w:rsidRPr="006171E7" w:rsidRDefault="00850A69" w:rsidP="00A92589">
      <w:pPr>
        <w:pStyle w:val="ListParagraph"/>
        <w:numPr>
          <w:ilvl w:val="0"/>
          <w:numId w:val="6"/>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Personal information procedures</w:t>
      </w:r>
      <w:r>
        <w:rPr>
          <w:rFonts w:asciiTheme="minorHAnsi" w:hAnsiTheme="minorHAnsi" w:cstheme="minorHAnsi"/>
        </w:rPr>
        <w:t>; and</w:t>
      </w:r>
    </w:p>
    <w:p w14:paraId="510FC922" w14:textId="77777777" w:rsidR="00850A69" w:rsidRDefault="00850A69" w:rsidP="00A92589">
      <w:pPr>
        <w:pStyle w:val="ListParagraph"/>
        <w:numPr>
          <w:ilvl w:val="0"/>
          <w:numId w:val="6"/>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Schedule of tuition fees.</w:t>
      </w:r>
    </w:p>
    <w:p w14:paraId="65A402E1" w14:textId="73D211CF" w:rsidR="00850A69" w:rsidRPr="00275283" w:rsidRDefault="00850A69"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 xml:space="preserve">Also, within this set and additional to it, there may be examination for new or focused issues (depending on policy and legislative changes to HESA). Providers </w:t>
      </w:r>
      <w:proofErr w:type="gramStart"/>
      <w:r>
        <w:rPr>
          <w:rFonts w:asciiTheme="minorHAnsi" w:hAnsiTheme="minorHAnsi" w:cstheme="minorHAnsi"/>
        </w:rPr>
        <w:t>are informed</w:t>
      </w:r>
      <w:proofErr w:type="gramEnd"/>
      <w:r>
        <w:rPr>
          <w:rFonts w:asciiTheme="minorHAnsi" w:hAnsiTheme="minorHAnsi" w:cstheme="minorHAnsi"/>
        </w:rPr>
        <w:t xml:space="preserve"> of changes to the department’s focus at the start of the academic cycle.</w:t>
      </w:r>
    </w:p>
    <w:p w14:paraId="600F504C" w14:textId="77777777" w:rsidR="00850A69" w:rsidRPr="00275283" w:rsidRDefault="00850A69"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Currently the department undertakes an annual review of relevant NUHEP websites to ensure that the required information is available. The effort of this activity varies according to provider compliance with existing and new requirements.</w:t>
      </w:r>
    </w:p>
    <w:p w14:paraId="4688564A" w14:textId="77777777" w:rsidR="00850A69" w:rsidRPr="00D1578B" w:rsidRDefault="00850A69" w:rsidP="00A92589">
      <w:pPr>
        <w:shd w:val="clear" w:color="auto" w:fill="FFFFFF" w:themeFill="background1"/>
        <w:spacing w:after="120"/>
        <w:jc w:val="both"/>
        <w:rPr>
          <w:rFonts w:asciiTheme="minorHAnsi" w:hAnsiTheme="minorHAnsi" w:cstheme="minorHAnsi"/>
          <w:b/>
        </w:rPr>
      </w:pPr>
      <w:r w:rsidRPr="00D1578B">
        <w:rPr>
          <w:rFonts w:asciiTheme="minorHAnsi" w:hAnsiTheme="minorHAnsi" w:cstheme="minorHAnsi"/>
          <w:b/>
        </w:rPr>
        <w:t>Provider Payments and Reconciliation</w:t>
      </w:r>
    </w:p>
    <w:p w14:paraId="77633730" w14:textId="564F5BDA" w:rsidR="00850A69" w:rsidRPr="00284DD1" w:rsidRDefault="00850A69" w:rsidP="00657DEA">
      <w:pPr>
        <w:shd w:val="clear" w:color="auto" w:fill="FFFFFF" w:themeFill="background1"/>
        <w:spacing w:after="120"/>
        <w:jc w:val="both"/>
        <w:rPr>
          <w:rFonts w:asciiTheme="minorHAnsi" w:hAnsiTheme="minorHAnsi" w:cstheme="minorHAnsi"/>
        </w:rPr>
      </w:pPr>
      <w:r w:rsidRPr="00284DD1">
        <w:rPr>
          <w:rFonts w:asciiTheme="minorHAnsi" w:hAnsiTheme="minorHAnsi" w:cstheme="minorHAnsi"/>
        </w:rPr>
        <w:t xml:space="preserve">HELP payments </w:t>
      </w:r>
      <w:proofErr w:type="gramStart"/>
      <w:r w:rsidRPr="00284DD1">
        <w:rPr>
          <w:rFonts w:asciiTheme="minorHAnsi" w:hAnsiTheme="minorHAnsi" w:cstheme="minorHAnsi"/>
        </w:rPr>
        <w:t>are made</w:t>
      </w:r>
      <w:proofErr w:type="gramEnd"/>
      <w:r w:rsidRPr="00284DD1">
        <w:rPr>
          <w:rFonts w:asciiTheme="minorHAnsi" w:hAnsiTheme="minorHAnsi" w:cstheme="minorHAnsi"/>
        </w:rPr>
        <w:t xml:space="preserve"> to providers in advance based on</w:t>
      </w:r>
      <w:r>
        <w:rPr>
          <w:rFonts w:asciiTheme="minorHAnsi" w:hAnsiTheme="minorHAnsi" w:cstheme="minorHAnsi"/>
        </w:rPr>
        <w:t xml:space="preserve"> provider</w:t>
      </w:r>
      <w:r w:rsidRPr="00284DD1">
        <w:rPr>
          <w:rFonts w:asciiTheme="minorHAnsi" w:hAnsiTheme="minorHAnsi" w:cstheme="minorHAnsi"/>
        </w:rPr>
        <w:t xml:space="preserve"> estimates</w:t>
      </w:r>
      <w:r>
        <w:rPr>
          <w:rFonts w:asciiTheme="minorHAnsi" w:hAnsiTheme="minorHAnsi" w:cstheme="minorHAnsi"/>
        </w:rPr>
        <w:t xml:space="preserve"> of student loan amounts, and estimates</w:t>
      </w:r>
      <w:r w:rsidRPr="00284DD1">
        <w:rPr>
          <w:rFonts w:asciiTheme="minorHAnsi" w:hAnsiTheme="minorHAnsi" w:cstheme="minorHAnsi"/>
        </w:rPr>
        <w:t xml:space="preserve"> </w:t>
      </w:r>
      <w:r>
        <w:rPr>
          <w:rFonts w:asciiTheme="minorHAnsi" w:hAnsiTheme="minorHAnsi" w:cstheme="minorHAnsi"/>
        </w:rPr>
        <w:t>can be revised during the middle and end of the year for universities, and end of March, June and September each year for NUHEPs.</w:t>
      </w:r>
      <w:r w:rsidRPr="00284DD1">
        <w:rPr>
          <w:rFonts w:asciiTheme="minorHAnsi" w:hAnsiTheme="minorHAnsi" w:cstheme="minorHAnsi"/>
        </w:rPr>
        <w:t xml:space="preserve"> They </w:t>
      </w:r>
      <w:proofErr w:type="gramStart"/>
      <w:r w:rsidRPr="00284DD1">
        <w:rPr>
          <w:rFonts w:asciiTheme="minorHAnsi" w:hAnsiTheme="minorHAnsi" w:cstheme="minorHAnsi"/>
        </w:rPr>
        <w:t>may also be</w:t>
      </w:r>
      <w:r>
        <w:rPr>
          <w:rFonts w:asciiTheme="minorHAnsi" w:hAnsiTheme="minorHAnsi" w:cstheme="minorHAnsi"/>
        </w:rPr>
        <w:t xml:space="preserve"> </w:t>
      </w:r>
      <w:r w:rsidRPr="00284DD1">
        <w:rPr>
          <w:rFonts w:asciiTheme="minorHAnsi" w:hAnsiTheme="minorHAnsi" w:cstheme="minorHAnsi"/>
        </w:rPr>
        <w:t>revised</w:t>
      </w:r>
      <w:proofErr w:type="gramEnd"/>
      <w:r w:rsidRPr="00284DD1">
        <w:rPr>
          <w:rFonts w:asciiTheme="minorHAnsi" w:hAnsiTheme="minorHAnsi" w:cstheme="minorHAnsi"/>
        </w:rPr>
        <w:t xml:space="preserve"> </w:t>
      </w:r>
      <w:r>
        <w:rPr>
          <w:rFonts w:asciiTheme="minorHAnsi" w:hAnsiTheme="minorHAnsi" w:cstheme="minorHAnsi"/>
        </w:rPr>
        <w:t>based on an annual reconciliation</w:t>
      </w:r>
      <w:r w:rsidRPr="00284DD1">
        <w:rPr>
          <w:rFonts w:asciiTheme="minorHAnsi" w:hAnsiTheme="minorHAnsi" w:cstheme="minorHAnsi"/>
        </w:rPr>
        <w:t xml:space="preserve"> submitted for prior years, including giving effect to</w:t>
      </w:r>
      <w:r>
        <w:rPr>
          <w:rFonts w:asciiTheme="minorHAnsi" w:hAnsiTheme="minorHAnsi" w:cstheme="minorHAnsi"/>
        </w:rPr>
        <w:t xml:space="preserve"> </w:t>
      </w:r>
      <w:r w:rsidR="00F66680">
        <w:rPr>
          <w:rFonts w:asciiTheme="minorHAnsi" w:hAnsiTheme="minorHAnsi" w:cstheme="minorHAnsi"/>
        </w:rPr>
        <w:t>remissions of HECS</w:t>
      </w:r>
      <w:r w:rsidR="00F66680">
        <w:rPr>
          <w:rFonts w:asciiTheme="minorHAnsi" w:hAnsiTheme="minorHAnsi" w:cstheme="minorHAnsi"/>
        </w:rPr>
        <w:noBreakHyphen/>
        <w:t>HELP and FEE</w:t>
      </w:r>
      <w:r w:rsidR="00F66680">
        <w:rPr>
          <w:rFonts w:asciiTheme="minorHAnsi" w:hAnsiTheme="minorHAnsi" w:cstheme="minorHAnsi"/>
        </w:rPr>
        <w:noBreakHyphen/>
      </w:r>
      <w:r w:rsidRPr="00284DD1">
        <w:rPr>
          <w:rFonts w:asciiTheme="minorHAnsi" w:hAnsiTheme="minorHAnsi" w:cstheme="minorHAnsi"/>
        </w:rPr>
        <w:t>HELP debts.</w:t>
      </w:r>
    </w:p>
    <w:p w14:paraId="34491244" w14:textId="0BAEE288" w:rsidR="00850A69" w:rsidRDefault="00850A69"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A provider must contact the department to request a variation when it becomes aware that the amount of advance payments differs materially from actual loan amounts.</w:t>
      </w:r>
      <w:r w:rsidR="00F66680">
        <w:rPr>
          <w:rFonts w:asciiTheme="minorHAnsi" w:hAnsiTheme="minorHAnsi" w:cstheme="minorHAnsi"/>
        </w:rPr>
        <w:t xml:space="preserve"> Additional variations for HECS</w:t>
      </w:r>
      <w:r w:rsidR="00F66680">
        <w:rPr>
          <w:rFonts w:asciiTheme="minorHAnsi" w:hAnsiTheme="minorHAnsi" w:cstheme="minorHAnsi"/>
        </w:rPr>
        <w:noBreakHyphen/>
        <w:t>HELP and FEE</w:t>
      </w:r>
      <w:r w:rsidR="00F66680">
        <w:rPr>
          <w:rFonts w:asciiTheme="minorHAnsi" w:hAnsiTheme="minorHAnsi" w:cstheme="minorHAnsi"/>
        </w:rPr>
        <w:noBreakHyphen/>
      </w:r>
      <w:r>
        <w:rPr>
          <w:rFonts w:asciiTheme="minorHAnsi" w:hAnsiTheme="minorHAnsi" w:cstheme="minorHAnsi"/>
        </w:rPr>
        <w:t xml:space="preserve">HELP advance payments can occur throughout the year. </w:t>
      </w:r>
    </w:p>
    <w:p w14:paraId="724E8ED8" w14:textId="77777777" w:rsidR="00850A69" w:rsidRDefault="00850A69" w:rsidP="00657DEA">
      <w:pPr>
        <w:shd w:val="clear" w:color="auto" w:fill="FFFFFF" w:themeFill="background1"/>
        <w:spacing w:after="120"/>
        <w:jc w:val="both"/>
        <w:rPr>
          <w:rFonts w:asciiTheme="minorHAnsi" w:hAnsiTheme="minorHAnsi" w:cstheme="minorHAnsi"/>
        </w:rPr>
      </w:pPr>
      <w:r>
        <w:rPr>
          <w:rFonts w:asciiTheme="minorHAnsi" w:hAnsiTheme="minorHAnsi" w:cstheme="minorHAnsi"/>
        </w:rPr>
        <w:t xml:space="preserve">The payment cycles for universities and NUHEPs follow distinctly different processes. The cost drivers for NUHEPs relate to the need to check and verify the accuracy of the estimates, due to the variability of enrolments (increases and decreases). Universities require a different level of scrutiny and the process utilises linked automated systems. </w:t>
      </w:r>
    </w:p>
    <w:p w14:paraId="4ACAF3FF" w14:textId="07BEEEB5" w:rsidR="00850A69" w:rsidRDefault="00850A69" w:rsidP="00657DEA">
      <w:pPr>
        <w:shd w:val="clear" w:color="auto" w:fill="FFFFFF" w:themeFill="background1"/>
        <w:spacing w:after="120"/>
        <w:jc w:val="both"/>
        <w:rPr>
          <w:rFonts w:asciiTheme="minorHAnsi" w:hAnsiTheme="minorHAnsi" w:cstheme="minorHAnsi"/>
        </w:rPr>
      </w:pPr>
      <w:r w:rsidRPr="00943CD9">
        <w:rPr>
          <w:rFonts w:asciiTheme="minorHAnsi" w:hAnsiTheme="minorHAnsi" w:cstheme="minorHAnsi"/>
        </w:rPr>
        <w:t>The Government has currently determined t</w:t>
      </w:r>
      <w:r>
        <w:rPr>
          <w:rFonts w:asciiTheme="minorHAnsi" w:hAnsiTheme="minorHAnsi" w:cstheme="minorHAnsi"/>
        </w:rPr>
        <w:t xml:space="preserve">he </w:t>
      </w:r>
      <w:r w:rsidRPr="00943CD9">
        <w:rPr>
          <w:rFonts w:asciiTheme="minorHAnsi" w:hAnsiTheme="minorHAnsi" w:cstheme="minorHAnsi"/>
        </w:rPr>
        <w:t>cost</w:t>
      </w:r>
      <w:r>
        <w:rPr>
          <w:rFonts w:asciiTheme="minorHAnsi" w:hAnsiTheme="minorHAnsi" w:cstheme="minorHAnsi"/>
        </w:rPr>
        <w:t>s</w:t>
      </w:r>
      <w:r w:rsidRPr="00943CD9">
        <w:rPr>
          <w:rFonts w:asciiTheme="minorHAnsi" w:hAnsiTheme="minorHAnsi" w:cstheme="minorHAnsi"/>
        </w:rPr>
        <w:t xml:space="preserve"> </w:t>
      </w:r>
      <w:r>
        <w:rPr>
          <w:rFonts w:asciiTheme="minorHAnsi" w:hAnsiTheme="minorHAnsi" w:cstheme="minorHAnsi"/>
        </w:rPr>
        <w:t xml:space="preserve">of </w:t>
      </w:r>
      <w:r w:rsidRPr="00943CD9">
        <w:rPr>
          <w:rFonts w:asciiTheme="minorHAnsi" w:hAnsiTheme="minorHAnsi" w:cstheme="minorHAnsi"/>
        </w:rPr>
        <w:t>administering payments</w:t>
      </w:r>
      <w:r w:rsidR="003D1B9A">
        <w:rPr>
          <w:rFonts w:asciiTheme="minorHAnsi" w:hAnsiTheme="minorHAnsi" w:cstheme="minorHAnsi"/>
        </w:rPr>
        <w:t xml:space="preserve"> and</w:t>
      </w:r>
      <w:r w:rsidRPr="00943CD9">
        <w:rPr>
          <w:rFonts w:asciiTheme="minorHAnsi" w:hAnsiTheme="minorHAnsi" w:cstheme="minorHAnsi"/>
        </w:rPr>
        <w:t xml:space="preserve"> general administration </w:t>
      </w:r>
      <w:proofErr w:type="gramStart"/>
      <w:r w:rsidRPr="00894B5B">
        <w:rPr>
          <w:rFonts w:asciiTheme="minorHAnsi" w:hAnsiTheme="minorHAnsi" w:cstheme="minorHAnsi"/>
          <w:u w:val="single"/>
        </w:rPr>
        <w:t>will not</w:t>
      </w:r>
      <w:r w:rsidRPr="00943CD9">
        <w:rPr>
          <w:rFonts w:asciiTheme="minorHAnsi" w:hAnsiTheme="minorHAnsi" w:cstheme="minorHAnsi"/>
        </w:rPr>
        <w:t xml:space="preserve"> be recovered</w:t>
      </w:r>
      <w:proofErr w:type="gramEnd"/>
      <w:r w:rsidRPr="00943CD9">
        <w:rPr>
          <w:rFonts w:asciiTheme="minorHAnsi" w:hAnsiTheme="minorHAnsi" w:cstheme="minorHAnsi"/>
        </w:rPr>
        <w:t xml:space="preserve"> from providers.</w:t>
      </w:r>
    </w:p>
    <w:p w14:paraId="66FF5D78" w14:textId="77777777" w:rsidR="00850A69" w:rsidRPr="00D1578B" w:rsidRDefault="00850A69" w:rsidP="00A92589">
      <w:pPr>
        <w:shd w:val="clear" w:color="auto" w:fill="FFFFFF" w:themeFill="background1"/>
        <w:spacing w:after="120"/>
        <w:jc w:val="both"/>
        <w:rPr>
          <w:rFonts w:asciiTheme="minorHAnsi" w:hAnsiTheme="minorHAnsi" w:cstheme="minorHAnsi"/>
          <w:b/>
        </w:rPr>
      </w:pPr>
      <w:r w:rsidRPr="00D1578B">
        <w:rPr>
          <w:rFonts w:asciiTheme="minorHAnsi" w:hAnsiTheme="minorHAnsi" w:cstheme="minorHAnsi"/>
          <w:b/>
        </w:rPr>
        <w:t>Reporting</w:t>
      </w:r>
    </w:p>
    <w:p w14:paraId="6DB1AAA5" w14:textId="633BE940" w:rsidR="00850A69" w:rsidRPr="006171E7"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To ensure ongoing compliance with HESA, a</w:t>
      </w:r>
      <w:r w:rsidRPr="006171E7">
        <w:rPr>
          <w:rFonts w:asciiTheme="minorHAnsi" w:hAnsiTheme="minorHAnsi" w:cstheme="minorHAnsi"/>
        </w:rPr>
        <w:t xml:space="preserve">ll providers must </w:t>
      </w:r>
      <w:r>
        <w:rPr>
          <w:rFonts w:asciiTheme="minorHAnsi" w:hAnsiTheme="minorHAnsi" w:cstheme="minorHAnsi"/>
        </w:rPr>
        <w:t>supply</w:t>
      </w:r>
      <w:r w:rsidRPr="006171E7">
        <w:rPr>
          <w:rFonts w:asciiTheme="minorHAnsi" w:hAnsiTheme="minorHAnsi" w:cstheme="minorHAnsi"/>
        </w:rPr>
        <w:t xml:space="preserve"> the department</w:t>
      </w:r>
      <w:r>
        <w:rPr>
          <w:rFonts w:asciiTheme="minorHAnsi" w:hAnsiTheme="minorHAnsi" w:cstheme="minorHAnsi"/>
        </w:rPr>
        <w:t xml:space="preserve"> with</w:t>
      </w:r>
      <w:r w:rsidRPr="006171E7">
        <w:rPr>
          <w:rFonts w:asciiTheme="minorHAnsi" w:hAnsiTheme="minorHAnsi" w:cstheme="minorHAnsi"/>
        </w:rPr>
        <w:t xml:space="preserve"> statistical </w:t>
      </w:r>
      <w:r>
        <w:rPr>
          <w:rFonts w:asciiTheme="minorHAnsi" w:hAnsiTheme="minorHAnsi" w:cstheme="minorHAnsi"/>
        </w:rPr>
        <w:t xml:space="preserve">information </w:t>
      </w:r>
      <w:r w:rsidRPr="006171E7">
        <w:rPr>
          <w:rFonts w:asciiTheme="minorHAnsi" w:hAnsiTheme="minorHAnsi" w:cstheme="minorHAnsi"/>
        </w:rPr>
        <w:t xml:space="preserve">and other </w:t>
      </w:r>
      <w:r>
        <w:rPr>
          <w:rFonts w:asciiTheme="minorHAnsi" w:hAnsiTheme="minorHAnsi" w:cstheme="minorHAnsi"/>
        </w:rPr>
        <w:t>data</w:t>
      </w:r>
      <w:r w:rsidRPr="006171E7">
        <w:rPr>
          <w:rFonts w:asciiTheme="minorHAnsi" w:hAnsiTheme="minorHAnsi" w:cstheme="minorHAnsi"/>
        </w:rPr>
        <w:t>, such as student enrolment and course information, to continue as an approved provider</w:t>
      </w:r>
      <w:r>
        <w:rPr>
          <w:rFonts w:asciiTheme="minorHAnsi" w:hAnsiTheme="minorHAnsi" w:cstheme="minorHAnsi"/>
        </w:rPr>
        <w:t xml:space="preserve"> under HESA</w:t>
      </w:r>
      <w:r w:rsidRPr="006171E7">
        <w:rPr>
          <w:rFonts w:asciiTheme="minorHAnsi" w:hAnsiTheme="minorHAnsi" w:cstheme="minorHAnsi"/>
        </w:rPr>
        <w:t>.</w:t>
      </w:r>
    </w:p>
    <w:p w14:paraId="53EC64EA" w14:textId="77777777" w:rsidR="00850A69" w:rsidRPr="009338C3"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 xml:space="preserve">Information </w:t>
      </w:r>
      <w:proofErr w:type="gramStart"/>
      <w:r>
        <w:rPr>
          <w:rFonts w:asciiTheme="minorHAnsi" w:hAnsiTheme="minorHAnsi" w:cstheme="minorHAnsi"/>
        </w:rPr>
        <w:t>required to be reported</w:t>
      </w:r>
      <w:proofErr w:type="gramEnd"/>
      <w:r>
        <w:rPr>
          <w:rFonts w:asciiTheme="minorHAnsi" w:hAnsiTheme="minorHAnsi" w:cstheme="minorHAnsi"/>
        </w:rPr>
        <w:t xml:space="preserve"> to the department includes: </w:t>
      </w:r>
    </w:p>
    <w:p w14:paraId="2EE85148" w14:textId="77777777" w:rsidR="00850A69" w:rsidRPr="006171E7" w:rsidRDefault="00850A69" w:rsidP="00A92589">
      <w:pPr>
        <w:pStyle w:val="ListParagraph"/>
        <w:numPr>
          <w:ilvl w:val="0"/>
          <w:numId w:val="7"/>
        </w:numPr>
        <w:shd w:val="clear" w:color="auto" w:fill="FFFFFF" w:themeFill="background1"/>
        <w:spacing w:after="120"/>
        <w:jc w:val="both"/>
        <w:rPr>
          <w:rFonts w:asciiTheme="minorHAnsi" w:hAnsiTheme="minorHAnsi" w:cstheme="minorHAnsi"/>
        </w:rPr>
      </w:pPr>
      <w:r>
        <w:rPr>
          <w:rFonts w:asciiTheme="minorHAnsi" w:hAnsiTheme="minorHAnsi" w:cstheme="minorHAnsi"/>
        </w:rPr>
        <w:t>C</w:t>
      </w:r>
      <w:r w:rsidRPr="006171E7">
        <w:rPr>
          <w:rFonts w:asciiTheme="minorHAnsi" w:hAnsiTheme="minorHAnsi" w:cstheme="minorHAnsi"/>
        </w:rPr>
        <w:t>ourses and student information that relate to all units of study with census dates from 1 January to 31 December of the reporting year.</w:t>
      </w:r>
    </w:p>
    <w:p w14:paraId="2182FCB1" w14:textId="12F6D276" w:rsidR="00850A69" w:rsidRPr="006171E7" w:rsidRDefault="00850A69" w:rsidP="00A92589">
      <w:pPr>
        <w:pStyle w:val="ListParagraph"/>
        <w:numPr>
          <w:ilvl w:val="0"/>
          <w:numId w:val="7"/>
        </w:numPr>
        <w:shd w:val="clear" w:color="auto" w:fill="FFFFFF" w:themeFill="background1"/>
        <w:spacing w:after="120"/>
        <w:jc w:val="both"/>
        <w:rPr>
          <w:rFonts w:asciiTheme="minorHAnsi" w:hAnsiTheme="minorHAnsi" w:cstheme="minorHAnsi"/>
        </w:rPr>
      </w:pPr>
      <w:r>
        <w:rPr>
          <w:rFonts w:asciiTheme="minorHAnsi" w:hAnsiTheme="minorHAnsi" w:cstheme="minorHAnsi"/>
        </w:rPr>
        <w:t>I</w:t>
      </w:r>
      <w:r w:rsidRPr="006171E7">
        <w:rPr>
          <w:rFonts w:asciiTheme="minorHAnsi" w:hAnsiTheme="minorHAnsi" w:cstheme="minorHAnsi"/>
        </w:rPr>
        <w:t>nformation about students who are in receipt of an OS</w:t>
      </w:r>
      <w:r w:rsidR="00F66680">
        <w:rPr>
          <w:rFonts w:ascii="Cambria Math" w:hAnsi="Cambria Math" w:cs="Cambria Math"/>
        </w:rPr>
        <w:noBreakHyphen/>
      </w:r>
      <w:r w:rsidRPr="006171E7">
        <w:rPr>
          <w:rFonts w:asciiTheme="minorHAnsi" w:hAnsiTheme="minorHAnsi" w:cstheme="minorHAnsi"/>
        </w:rPr>
        <w:t>HELP or SA</w:t>
      </w:r>
      <w:r w:rsidR="00F66680">
        <w:rPr>
          <w:rFonts w:ascii="Cambria Math" w:hAnsi="Cambria Math" w:cs="Cambria Math"/>
        </w:rPr>
        <w:noBreakHyphen/>
      </w:r>
      <w:r w:rsidRPr="006171E7">
        <w:rPr>
          <w:rFonts w:asciiTheme="minorHAnsi" w:hAnsiTheme="minorHAnsi" w:cstheme="minorHAnsi"/>
        </w:rPr>
        <w:t>HELP loan from 1</w:t>
      </w:r>
      <w:r w:rsidR="00F9179D">
        <w:rPr>
          <w:rFonts w:asciiTheme="minorHAnsi" w:hAnsiTheme="minorHAnsi" w:cstheme="minorHAnsi"/>
        </w:rPr>
        <w:t> </w:t>
      </w:r>
      <w:r w:rsidRPr="006171E7">
        <w:rPr>
          <w:rFonts w:asciiTheme="minorHAnsi" w:hAnsiTheme="minorHAnsi" w:cstheme="minorHAnsi"/>
        </w:rPr>
        <w:t>January to 31 December of the reporting year.</w:t>
      </w:r>
    </w:p>
    <w:p w14:paraId="3924DB5B" w14:textId="77777777" w:rsidR="00850A69" w:rsidRDefault="00850A69" w:rsidP="00A92589">
      <w:pPr>
        <w:pStyle w:val="ListParagraph"/>
        <w:numPr>
          <w:ilvl w:val="0"/>
          <w:numId w:val="7"/>
        </w:numPr>
        <w:shd w:val="clear" w:color="auto" w:fill="FFFFFF" w:themeFill="background1"/>
        <w:spacing w:after="120"/>
        <w:jc w:val="both"/>
        <w:rPr>
          <w:rFonts w:asciiTheme="minorHAnsi" w:hAnsiTheme="minorHAnsi" w:cstheme="minorHAnsi"/>
        </w:rPr>
      </w:pPr>
      <w:r>
        <w:rPr>
          <w:rFonts w:asciiTheme="minorHAnsi" w:hAnsiTheme="minorHAnsi" w:cstheme="minorHAnsi"/>
        </w:rPr>
        <w:t>I</w:t>
      </w:r>
      <w:r w:rsidRPr="006171E7">
        <w:rPr>
          <w:rFonts w:asciiTheme="minorHAnsi" w:hAnsiTheme="minorHAnsi" w:cstheme="minorHAnsi"/>
        </w:rPr>
        <w:t>nformation about students who commence or continue a Commonwealth Scholarship in the reporting year.</w:t>
      </w:r>
    </w:p>
    <w:p w14:paraId="56000FB8" w14:textId="3FC2A3DB" w:rsidR="00850A69" w:rsidRPr="00F92FAE"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 xml:space="preserve">For cost recovery purposes, in-scope activities </w:t>
      </w:r>
      <w:proofErr w:type="gramStart"/>
      <w:r>
        <w:rPr>
          <w:rFonts w:asciiTheme="minorHAnsi" w:hAnsiTheme="minorHAnsi" w:cstheme="minorHAnsi"/>
        </w:rPr>
        <w:t>are related</w:t>
      </w:r>
      <w:proofErr w:type="gramEnd"/>
      <w:r>
        <w:rPr>
          <w:rFonts w:asciiTheme="minorHAnsi" w:hAnsiTheme="minorHAnsi" w:cstheme="minorHAnsi"/>
        </w:rPr>
        <w:t xml:space="preserve"> only to the provisi</w:t>
      </w:r>
      <w:r w:rsidR="00F66680">
        <w:rPr>
          <w:rFonts w:asciiTheme="minorHAnsi" w:hAnsiTheme="minorHAnsi" w:cstheme="minorHAnsi"/>
        </w:rPr>
        <w:t>on of HECS</w:t>
      </w:r>
      <w:r w:rsidR="00F66680">
        <w:rPr>
          <w:rFonts w:asciiTheme="minorHAnsi" w:hAnsiTheme="minorHAnsi" w:cstheme="minorHAnsi"/>
        </w:rPr>
        <w:noBreakHyphen/>
        <w:t>HELP and FEE</w:t>
      </w:r>
      <w:r w:rsidR="00F66680">
        <w:rPr>
          <w:rFonts w:asciiTheme="minorHAnsi" w:hAnsiTheme="minorHAnsi" w:cstheme="minorHAnsi"/>
        </w:rPr>
        <w:noBreakHyphen/>
      </w:r>
      <w:r>
        <w:rPr>
          <w:rFonts w:asciiTheme="minorHAnsi" w:hAnsiTheme="minorHAnsi" w:cstheme="minorHAnsi"/>
        </w:rPr>
        <w:t>HELP loans.</w:t>
      </w:r>
    </w:p>
    <w:p w14:paraId="5B67E1A1" w14:textId="77777777" w:rsidR="00850A69" w:rsidRPr="00D1578B" w:rsidRDefault="00850A69" w:rsidP="00A92589">
      <w:pPr>
        <w:shd w:val="clear" w:color="auto" w:fill="FFFFFF" w:themeFill="background1"/>
        <w:spacing w:after="120"/>
        <w:jc w:val="both"/>
        <w:rPr>
          <w:rFonts w:asciiTheme="minorHAnsi" w:hAnsiTheme="minorHAnsi" w:cstheme="minorHAnsi"/>
          <w:b/>
        </w:rPr>
      </w:pPr>
      <w:r w:rsidRPr="00D1578B">
        <w:rPr>
          <w:rFonts w:asciiTheme="minorHAnsi" w:hAnsiTheme="minorHAnsi" w:cstheme="minorHAnsi"/>
          <w:b/>
        </w:rPr>
        <w:t>Managing and resolving student and provider queries</w:t>
      </w:r>
    </w:p>
    <w:p w14:paraId="3B47CAE2" w14:textId="0E1AF582" w:rsidR="00850A69" w:rsidRDefault="00850A69" w:rsidP="00657DEA">
      <w:pPr>
        <w:spacing w:after="120"/>
        <w:jc w:val="both"/>
        <w:rPr>
          <w:rFonts w:asciiTheme="minorHAnsi" w:hAnsiTheme="minorHAnsi" w:cstheme="minorHAnsi"/>
        </w:rPr>
      </w:pPr>
      <w:r>
        <w:rPr>
          <w:rFonts w:asciiTheme="minorHAnsi" w:hAnsiTheme="minorHAnsi" w:cstheme="minorHAnsi"/>
        </w:rPr>
        <w:t xml:space="preserve">The department manages a number of channels of communication with providers and students who may need to discuss their provider’s services. The department expects to be handling, on average, 6,000 enquiries per annum via telephone, email, </w:t>
      </w:r>
      <w:proofErr w:type="spellStart"/>
      <w:proofErr w:type="gramStart"/>
      <w:r>
        <w:rPr>
          <w:rFonts w:asciiTheme="minorHAnsi" w:hAnsiTheme="minorHAnsi" w:cstheme="minorHAnsi"/>
        </w:rPr>
        <w:t>webform</w:t>
      </w:r>
      <w:proofErr w:type="spellEnd"/>
      <w:proofErr w:type="gramEnd"/>
      <w:r>
        <w:rPr>
          <w:rFonts w:asciiTheme="minorHAnsi" w:hAnsiTheme="minorHAnsi" w:cstheme="minorHAnsi"/>
        </w:rPr>
        <w:t xml:space="preserve"> and thr</w:t>
      </w:r>
      <w:r w:rsidR="00F66680">
        <w:rPr>
          <w:rFonts w:asciiTheme="minorHAnsi" w:hAnsiTheme="minorHAnsi" w:cstheme="minorHAnsi"/>
        </w:rPr>
        <w:t>ough Ministerial correspondence</w:t>
      </w:r>
      <w:r>
        <w:rPr>
          <w:rFonts w:asciiTheme="minorHAnsi" w:hAnsiTheme="minorHAnsi" w:cstheme="minorHAnsi"/>
        </w:rPr>
        <w:t xml:space="preserve"> relating to universities and NUHEPs. This figure </w:t>
      </w:r>
      <w:proofErr w:type="gramStart"/>
      <w:r>
        <w:rPr>
          <w:rFonts w:asciiTheme="minorHAnsi" w:hAnsiTheme="minorHAnsi" w:cstheme="minorHAnsi"/>
        </w:rPr>
        <w:t>is based</w:t>
      </w:r>
      <w:proofErr w:type="gramEnd"/>
      <w:r>
        <w:rPr>
          <w:rFonts w:asciiTheme="minorHAnsi" w:hAnsiTheme="minorHAnsi" w:cstheme="minorHAnsi"/>
        </w:rPr>
        <w:t xml:space="preserve"> on historical data of the number of queries that are monitored and recorded by the c</w:t>
      </w:r>
      <w:r w:rsidR="00657DEA">
        <w:rPr>
          <w:rFonts w:asciiTheme="minorHAnsi" w:hAnsiTheme="minorHAnsi" w:cstheme="minorHAnsi"/>
        </w:rPr>
        <w:t>all centre and the department.</w:t>
      </w:r>
    </w:p>
    <w:p w14:paraId="4C3F216F" w14:textId="77777777" w:rsidR="00850A69" w:rsidRDefault="00850A69" w:rsidP="00A92589">
      <w:pPr>
        <w:spacing w:after="120"/>
        <w:jc w:val="both"/>
        <w:rPr>
          <w:rFonts w:asciiTheme="minorHAnsi" w:hAnsiTheme="minorHAnsi" w:cstheme="minorHAnsi"/>
        </w:rPr>
      </w:pPr>
      <w:r>
        <w:rPr>
          <w:rFonts w:asciiTheme="minorHAnsi" w:hAnsiTheme="minorHAnsi" w:cstheme="minorHAnsi"/>
        </w:rPr>
        <w:t xml:space="preserve">Simple queries can be resolved by directing people to the relevant information on the department’s or the provider’s website. </w:t>
      </w:r>
    </w:p>
    <w:p w14:paraId="2CF2774B" w14:textId="77777777" w:rsidR="00850A69" w:rsidRDefault="00850A69" w:rsidP="00A92589">
      <w:pPr>
        <w:spacing w:after="120"/>
        <w:jc w:val="both"/>
        <w:rPr>
          <w:rFonts w:asciiTheme="minorHAnsi" w:hAnsiTheme="minorHAnsi" w:cstheme="minorHAnsi"/>
        </w:rPr>
      </w:pPr>
      <w:r>
        <w:rPr>
          <w:rFonts w:asciiTheme="minorHAnsi" w:hAnsiTheme="minorHAnsi" w:cstheme="minorHAnsi"/>
        </w:rPr>
        <w:t xml:space="preserve">Complex queries may involve research and checking of information, and potentially escalation to a complaints or investigation process. </w:t>
      </w:r>
    </w:p>
    <w:p w14:paraId="6CD73529" w14:textId="77777777" w:rsidR="00850A69" w:rsidRPr="00D1578B" w:rsidRDefault="00850A69" w:rsidP="00A92589">
      <w:pPr>
        <w:spacing w:after="120"/>
        <w:jc w:val="both"/>
        <w:rPr>
          <w:rFonts w:asciiTheme="minorHAnsi" w:hAnsiTheme="minorHAnsi" w:cstheme="minorHAnsi"/>
          <w:b/>
        </w:rPr>
      </w:pPr>
      <w:r w:rsidRPr="00D1578B">
        <w:rPr>
          <w:rFonts w:asciiTheme="minorHAnsi" w:hAnsiTheme="minorHAnsi" w:cstheme="minorHAnsi"/>
          <w:b/>
        </w:rPr>
        <w:t>Delivery of legal services</w:t>
      </w:r>
    </w:p>
    <w:p w14:paraId="171F5996" w14:textId="77777777" w:rsidR="00850A69" w:rsidRPr="00404BDF" w:rsidRDefault="00850A69" w:rsidP="00A92589">
      <w:pPr>
        <w:spacing w:after="120"/>
        <w:jc w:val="both"/>
        <w:rPr>
          <w:rFonts w:asciiTheme="minorHAnsi" w:hAnsiTheme="minorHAnsi" w:cstheme="minorHAnsi"/>
        </w:rPr>
      </w:pPr>
      <w:r w:rsidRPr="00404BDF">
        <w:rPr>
          <w:rFonts w:asciiTheme="minorHAnsi" w:hAnsiTheme="minorHAnsi" w:cstheme="minorHAnsi"/>
        </w:rPr>
        <w:t>Where a student seeks</w:t>
      </w:r>
      <w:r>
        <w:rPr>
          <w:rFonts w:asciiTheme="minorHAnsi" w:hAnsiTheme="minorHAnsi" w:cstheme="minorHAnsi"/>
        </w:rPr>
        <w:t xml:space="preserve"> remission of </w:t>
      </w:r>
      <w:r w:rsidRPr="00404BDF">
        <w:rPr>
          <w:rFonts w:asciiTheme="minorHAnsi" w:hAnsiTheme="minorHAnsi" w:cstheme="minorHAnsi"/>
        </w:rPr>
        <w:t>their HELP debt, they must apply to their provider in the first instance</w:t>
      </w:r>
      <w:r>
        <w:rPr>
          <w:rFonts w:asciiTheme="minorHAnsi" w:hAnsiTheme="minorHAnsi" w:cstheme="minorHAnsi"/>
        </w:rPr>
        <w:t xml:space="preserve">, who </w:t>
      </w:r>
      <w:r w:rsidRPr="00404BDF">
        <w:rPr>
          <w:rFonts w:asciiTheme="minorHAnsi" w:hAnsiTheme="minorHAnsi" w:cstheme="minorHAnsi"/>
        </w:rPr>
        <w:t>as a delegate of the Secretary</w:t>
      </w:r>
      <w:r>
        <w:rPr>
          <w:rFonts w:asciiTheme="minorHAnsi" w:hAnsiTheme="minorHAnsi" w:cstheme="minorHAnsi"/>
        </w:rPr>
        <w:t xml:space="preserve">, </w:t>
      </w:r>
      <w:r w:rsidRPr="00404BDF">
        <w:rPr>
          <w:rFonts w:asciiTheme="minorHAnsi" w:hAnsiTheme="minorHAnsi" w:cstheme="minorHAnsi"/>
        </w:rPr>
        <w:t xml:space="preserve">decides </w:t>
      </w:r>
      <w:r>
        <w:rPr>
          <w:rFonts w:asciiTheme="minorHAnsi" w:hAnsiTheme="minorHAnsi" w:cstheme="minorHAnsi"/>
        </w:rPr>
        <w:t>on</w:t>
      </w:r>
      <w:r w:rsidRPr="00404BDF">
        <w:rPr>
          <w:rFonts w:asciiTheme="minorHAnsi" w:hAnsiTheme="minorHAnsi" w:cstheme="minorHAnsi"/>
        </w:rPr>
        <w:t xml:space="preserve"> the application. </w:t>
      </w:r>
      <w:r>
        <w:rPr>
          <w:rFonts w:asciiTheme="minorHAnsi" w:hAnsiTheme="minorHAnsi" w:cstheme="minorHAnsi"/>
        </w:rPr>
        <w:t>I</w:t>
      </w:r>
      <w:r w:rsidRPr="00404BDF">
        <w:rPr>
          <w:rFonts w:asciiTheme="minorHAnsi" w:hAnsiTheme="minorHAnsi" w:cstheme="minorHAnsi"/>
        </w:rPr>
        <w:t xml:space="preserve">f the student </w:t>
      </w:r>
      <w:r>
        <w:rPr>
          <w:rFonts w:asciiTheme="minorHAnsi" w:hAnsiTheme="minorHAnsi" w:cstheme="minorHAnsi"/>
        </w:rPr>
        <w:t xml:space="preserve">disputes </w:t>
      </w:r>
      <w:r w:rsidRPr="00404BDF">
        <w:rPr>
          <w:rFonts w:asciiTheme="minorHAnsi" w:hAnsiTheme="minorHAnsi" w:cstheme="minorHAnsi"/>
        </w:rPr>
        <w:t xml:space="preserve">the provider’s decision, they can apply for an internal review of the decision and this </w:t>
      </w:r>
      <w:proofErr w:type="gramStart"/>
      <w:r>
        <w:rPr>
          <w:rFonts w:asciiTheme="minorHAnsi" w:hAnsiTheme="minorHAnsi" w:cstheme="minorHAnsi"/>
        </w:rPr>
        <w:t>can be conducted and decided by</w:t>
      </w:r>
      <w:r w:rsidRPr="00404BDF">
        <w:rPr>
          <w:rFonts w:asciiTheme="minorHAnsi" w:hAnsiTheme="minorHAnsi" w:cstheme="minorHAnsi"/>
        </w:rPr>
        <w:t xml:space="preserve"> the provider</w:t>
      </w:r>
      <w:proofErr w:type="gramEnd"/>
      <w:r w:rsidRPr="00404BDF">
        <w:rPr>
          <w:rFonts w:asciiTheme="minorHAnsi" w:hAnsiTheme="minorHAnsi" w:cstheme="minorHAnsi"/>
        </w:rPr>
        <w:t xml:space="preserve">. </w:t>
      </w:r>
    </w:p>
    <w:p w14:paraId="28BC945A" w14:textId="77777777" w:rsidR="00850A69" w:rsidRDefault="00850A69" w:rsidP="00A92589">
      <w:pPr>
        <w:spacing w:after="120"/>
        <w:jc w:val="both"/>
        <w:rPr>
          <w:rFonts w:asciiTheme="minorHAnsi" w:hAnsiTheme="minorHAnsi" w:cstheme="minorHAnsi"/>
        </w:rPr>
      </w:pPr>
      <w:r w:rsidRPr="00404BDF">
        <w:rPr>
          <w:rFonts w:asciiTheme="minorHAnsi" w:hAnsiTheme="minorHAnsi" w:cstheme="minorHAnsi"/>
        </w:rPr>
        <w:t xml:space="preserve">If the student remains dissatisfied following </w:t>
      </w:r>
      <w:r>
        <w:rPr>
          <w:rFonts w:asciiTheme="minorHAnsi" w:hAnsiTheme="minorHAnsi" w:cstheme="minorHAnsi"/>
        </w:rPr>
        <w:t>internal review of the decision</w:t>
      </w:r>
      <w:r w:rsidRPr="00404BDF">
        <w:rPr>
          <w:rFonts w:asciiTheme="minorHAnsi" w:hAnsiTheme="minorHAnsi" w:cstheme="minorHAnsi"/>
        </w:rPr>
        <w:t xml:space="preserve">, they may apply to the </w:t>
      </w:r>
      <w:r>
        <w:rPr>
          <w:rFonts w:asciiTheme="minorHAnsi" w:hAnsiTheme="minorHAnsi" w:cstheme="minorHAnsi"/>
        </w:rPr>
        <w:t>Administrative Appeals Tribunal (AAT)</w:t>
      </w:r>
      <w:r w:rsidRPr="00404BDF">
        <w:rPr>
          <w:rFonts w:asciiTheme="minorHAnsi" w:hAnsiTheme="minorHAnsi" w:cstheme="minorHAnsi"/>
        </w:rPr>
        <w:t xml:space="preserve"> for </w:t>
      </w:r>
      <w:r>
        <w:rPr>
          <w:rFonts w:asciiTheme="minorHAnsi" w:hAnsiTheme="minorHAnsi" w:cstheme="minorHAnsi"/>
        </w:rPr>
        <w:t xml:space="preserve">an independent merits </w:t>
      </w:r>
      <w:r w:rsidRPr="00404BDF">
        <w:rPr>
          <w:rFonts w:asciiTheme="minorHAnsi" w:hAnsiTheme="minorHAnsi" w:cstheme="minorHAnsi"/>
        </w:rPr>
        <w:t>review</w:t>
      </w:r>
      <w:r>
        <w:rPr>
          <w:rFonts w:asciiTheme="minorHAnsi" w:hAnsiTheme="minorHAnsi" w:cstheme="minorHAnsi"/>
        </w:rPr>
        <w:t xml:space="preserve"> of the decision</w:t>
      </w:r>
      <w:r w:rsidRPr="00404BDF">
        <w:rPr>
          <w:rFonts w:asciiTheme="minorHAnsi" w:hAnsiTheme="minorHAnsi" w:cstheme="minorHAnsi"/>
        </w:rPr>
        <w:t xml:space="preserve">. </w:t>
      </w:r>
    </w:p>
    <w:p w14:paraId="659417C3" w14:textId="77777777" w:rsidR="00850A69" w:rsidRDefault="00850A69" w:rsidP="00A92589">
      <w:pPr>
        <w:shd w:val="clear" w:color="auto" w:fill="FFFFFF" w:themeFill="background1"/>
        <w:spacing w:after="120"/>
        <w:jc w:val="both"/>
        <w:rPr>
          <w:rFonts w:asciiTheme="minorHAnsi" w:hAnsiTheme="minorHAnsi" w:cstheme="minorHAnsi"/>
          <w:u w:val="single"/>
        </w:rPr>
      </w:pPr>
      <w:r>
        <w:rPr>
          <w:rFonts w:asciiTheme="minorHAnsi" w:hAnsiTheme="minorHAnsi" w:cstheme="minorHAnsi"/>
        </w:rPr>
        <w:t>Where</w:t>
      </w:r>
      <w:r w:rsidRPr="00404BDF">
        <w:rPr>
          <w:rFonts w:asciiTheme="minorHAnsi" w:hAnsiTheme="minorHAnsi" w:cstheme="minorHAnsi"/>
        </w:rPr>
        <w:t xml:space="preserve"> an application </w:t>
      </w:r>
      <w:proofErr w:type="gramStart"/>
      <w:r w:rsidRPr="00404BDF">
        <w:rPr>
          <w:rFonts w:asciiTheme="minorHAnsi" w:hAnsiTheme="minorHAnsi" w:cstheme="minorHAnsi"/>
        </w:rPr>
        <w:t>is made</w:t>
      </w:r>
      <w:proofErr w:type="gramEnd"/>
      <w:r w:rsidRPr="00404BDF">
        <w:rPr>
          <w:rFonts w:asciiTheme="minorHAnsi" w:hAnsiTheme="minorHAnsi" w:cstheme="minorHAnsi"/>
        </w:rPr>
        <w:t xml:space="preserve"> to the AAT, the Secretary is the respondent and the </w:t>
      </w:r>
      <w:r>
        <w:rPr>
          <w:rFonts w:asciiTheme="minorHAnsi" w:hAnsiTheme="minorHAnsi" w:cstheme="minorHAnsi"/>
        </w:rPr>
        <w:t>d</w:t>
      </w:r>
      <w:r w:rsidRPr="00404BDF">
        <w:rPr>
          <w:rFonts w:asciiTheme="minorHAnsi" w:hAnsiTheme="minorHAnsi" w:cstheme="minorHAnsi"/>
        </w:rPr>
        <w:t xml:space="preserve">epartment manages the matter on </w:t>
      </w:r>
      <w:r>
        <w:rPr>
          <w:rFonts w:asciiTheme="minorHAnsi" w:hAnsiTheme="minorHAnsi" w:cstheme="minorHAnsi"/>
        </w:rPr>
        <w:t>the Secretary’s</w:t>
      </w:r>
      <w:r w:rsidRPr="00404BDF">
        <w:rPr>
          <w:rFonts w:asciiTheme="minorHAnsi" w:hAnsiTheme="minorHAnsi" w:cstheme="minorHAnsi"/>
        </w:rPr>
        <w:t xml:space="preserve"> behalf. This ensure</w:t>
      </w:r>
      <w:r>
        <w:rPr>
          <w:rFonts w:asciiTheme="minorHAnsi" w:hAnsiTheme="minorHAnsi" w:cstheme="minorHAnsi"/>
        </w:rPr>
        <w:t>s</w:t>
      </w:r>
      <w:r w:rsidRPr="00404BDF">
        <w:rPr>
          <w:rFonts w:asciiTheme="minorHAnsi" w:hAnsiTheme="minorHAnsi" w:cstheme="minorHAnsi"/>
        </w:rPr>
        <w:t xml:space="preserve"> the quality and consistency of the submissions made to the AAT, and to ensure that submissions reflect the government’s policy </w:t>
      </w:r>
      <w:r>
        <w:rPr>
          <w:rFonts w:asciiTheme="minorHAnsi" w:hAnsiTheme="minorHAnsi" w:cstheme="minorHAnsi"/>
        </w:rPr>
        <w:t>on</w:t>
      </w:r>
      <w:r w:rsidRPr="00404BDF">
        <w:rPr>
          <w:rFonts w:asciiTheme="minorHAnsi" w:hAnsiTheme="minorHAnsi" w:cstheme="minorHAnsi"/>
        </w:rPr>
        <w:t xml:space="preserve"> how the ‘test’ for remitting a HELP debt should be applied.</w:t>
      </w:r>
      <w:r>
        <w:rPr>
          <w:rFonts w:asciiTheme="minorHAnsi" w:hAnsiTheme="minorHAnsi" w:cstheme="minorHAnsi"/>
        </w:rPr>
        <w:t xml:space="preserve"> </w:t>
      </w:r>
    </w:p>
    <w:p w14:paraId="7D607039" w14:textId="77777777" w:rsidR="00850A69" w:rsidRPr="00D1578B" w:rsidRDefault="00850A69" w:rsidP="00A92589">
      <w:pPr>
        <w:shd w:val="clear" w:color="auto" w:fill="FFFFFF" w:themeFill="background1"/>
        <w:spacing w:after="120"/>
        <w:jc w:val="both"/>
        <w:rPr>
          <w:rFonts w:asciiTheme="minorHAnsi" w:hAnsiTheme="minorHAnsi" w:cstheme="minorHAnsi"/>
          <w:b/>
        </w:rPr>
      </w:pPr>
      <w:r w:rsidRPr="00D1578B">
        <w:rPr>
          <w:rFonts w:asciiTheme="minorHAnsi" w:hAnsiTheme="minorHAnsi" w:cstheme="minorHAnsi"/>
          <w:b/>
        </w:rPr>
        <w:t>Activity Outputs</w:t>
      </w:r>
    </w:p>
    <w:p w14:paraId="77BE397C" w14:textId="33963DD1" w:rsidR="00850A69"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Based on the regulatory activities currently undertaken by the departme</w:t>
      </w:r>
      <w:r w:rsidR="00F66680">
        <w:rPr>
          <w:rFonts w:asciiTheme="minorHAnsi" w:hAnsiTheme="minorHAnsi" w:cstheme="minorHAnsi"/>
        </w:rPr>
        <w:t>nt in regards to HECS</w:t>
      </w:r>
      <w:r w:rsidR="00F66680">
        <w:rPr>
          <w:rFonts w:asciiTheme="minorHAnsi" w:hAnsiTheme="minorHAnsi" w:cstheme="minorHAnsi"/>
        </w:rPr>
        <w:noBreakHyphen/>
        <w:t>HELP and FEE</w:t>
      </w:r>
      <w:r w:rsidR="00F66680">
        <w:rPr>
          <w:rFonts w:asciiTheme="minorHAnsi" w:hAnsiTheme="minorHAnsi" w:cstheme="minorHAnsi"/>
        </w:rPr>
        <w:noBreakHyphen/>
      </w:r>
      <w:r>
        <w:rPr>
          <w:rFonts w:asciiTheme="minorHAnsi" w:hAnsiTheme="minorHAnsi" w:cstheme="minorHAnsi"/>
        </w:rPr>
        <w:t xml:space="preserve">HELP providers, below are the expected activity outputs to be included in the higher education regulatory charges. </w:t>
      </w:r>
    </w:p>
    <w:p w14:paraId="57B030C6" w14:textId="77777777" w:rsidR="00850A69" w:rsidRPr="006171E7" w:rsidRDefault="00850A69" w:rsidP="00A92589">
      <w:p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 xml:space="preserve">Applications to be a </w:t>
      </w:r>
      <w:r>
        <w:rPr>
          <w:rFonts w:asciiTheme="minorHAnsi" w:hAnsiTheme="minorHAnsi" w:cstheme="minorHAnsi"/>
        </w:rPr>
        <w:t>NUHEP to offer FEE-HELP assistance:</w:t>
      </w:r>
    </w:p>
    <w:p w14:paraId="1D4BF6F8" w14:textId="77777777" w:rsidR="00850A69" w:rsidRPr="00F42CE3" w:rsidRDefault="00850A69" w:rsidP="00A92589">
      <w:pPr>
        <w:pStyle w:val="ListParagraph"/>
        <w:numPr>
          <w:ilvl w:val="0"/>
          <w:numId w:val="5"/>
        </w:numPr>
        <w:shd w:val="clear" w:color="auto" w:fill="FFFFFF" w:themeFill="background1"/>
        <w:spacing w:after="120"/>
        <w:jc w:val="both"/>
        <w:rPr>
          <w:rFonts w:asciiTheme="minorHAnsi" w:hAnsiTheme="minorHAnsi" w:cstheme="minorHAnsi"/>
        </w:rPr>
      </w:pPr>
      <w:r w:rsidRPr="006171E7">
        <w:rPr>
          <w:rFonts w:asciiTheme="minorHAnsi" w:hAnsiTheme="minorHAnsi" w:cstheme="minorHAnsi"/>
        </w:rPr>
        <w:t xml:space="preserve">The decision on whether an applicant </w:t>
      </w:r>
      <w:proofErr w:type="gramStart"/>
      <w:r w:rsidRPr="006171E7">
        <w:rPr>
          <w:rFonts w:asciiTheme="minorHAnsi" w:hAnsiTheme="minorHAnsi" w:cstheme="minorHAnsi"/>
        </w:rPr>
        <w:t xml:space="preserve">can be </w:t>
      </w:r>
      <w:r>
        <w:rPr>
          <w:rFonts w:asciiTheme="minorHAnsi" w:hAnsiTheme="minorHAnsi" w:cstheme="minorHAnsi"/>
        </w:rPr>
        <w:t>approved</w:t>
      </w:r>
      <w:proofErr w:type="gramEnd"/>
      <w:r>
        <w:rPr>
          <w:rFonts w:asciiTheme="minorHAnsi" w:hAnsiTheme="minorHAnsi" w:cstheme="minorHAnsi"/>
        </w:rPr>
        <w:t xml:space="preserve"> as </w:t>
      </w:r>
      <w:r w:rsidRPr="006171E7">
        <w:rPr>
          <w:rFonts w:asciiTheme="minorHAnsi" w:hAnsiTheme="minorHAnsi" w:cstheme="minorHAnsi"/>
        </w:rPr>
        <w:t xml:space="preserve">a </w:t>
      </w:r>
      <w:r>
        <w:rPr>
          <w:rFonts w:asciiTheme="minorHAnsi" w:hAnsiTheme="minorHAnsi" w:cstheme="minorHAnsi"/>
        </w:rPr>
        <w:t>NUHEP.</w:t>
      </w:r>
    </w:p>
    <w:p w14:paraId="064E562C" w14:textId="77777777" w:rsidR="00850A69" w:rsidRPr="006171E7" w:rsidRDefault="00850A69" w:rsidP="00A92589">
      <w:pPr>
        <w:shd w:val="clear" w:color="auto" w:fill="FFFFFF" w:themeFill="background1"/>
        <w:spacing w:after="120"/>
        <w:jc w:val="both"/>
        <w:rPr>
          <w:rFonts w:asciiTheme="minorHAnsi" w:hAnsiTheme="minorHAnsi" w:cstheme="minorHAnsi"/>
        </w:rPr>
      </w:pPr>
      <w:r>
        <w:rPr>
          <w:rFonts w:asciiTheme="minorHAnsi" w:hAnsiTheme="minorHAnsi" w:cstheme="minorHAnsi"/>
        </w:rPr>
        <w:t>Activities undertaken by the department to ensure the o</w:t>
      </w:r>
      <w:r w:rsidRPr="006171E7">
        <w:rPr>
          <w:rFonts w:asciiTheme="minorHAnsi" w:hAnsiTheme="minorHAnsi" w:cstheme="minorHAnsi"/>
        </w:rPr>
        <w:t>ngoing compliance and monitoring of</w:t>
      </w:r>
      <w:r>
        <w:rPr>
          <w:rFonts w:asciiTheme="minorHAnsi" w:hAnsiTheme="minorHAnsi" w:cstheme="minorHAnsi"/>
        </w:rPr>
        <w:t xml:space="preserve"> higher education </w:t>
      </w:r>
      <w:r w:rsidRPr="006171E7">
        <w:rPr>
          <w:rFonts w:asciiTheme="minorHAnsi" w:hAnsiTheme="minorHAnsi" w:cstheme="minorHAnsi"/>
        </w:rPr>
        <w:t>providers</w:t>
      </w:r>
      <w:r>
        <w:rPr>
          <w:rFonts w:asciiTheme="minorHAnsi" w:hAnsiTheme="minorHAnsi" w:cstheme="minorHAnsi"/>
        </w:rPr>
        <w:t xml:space="preserve"> include:</w:t>
      </w:r>
    </w:p>
    <w:p w14:paraId="064C93CE" w14:textId="77777777" w:rsidR="00850A69" w:rsidRPr="006171E7" w:rsidRDefault="00850A69" w:rsidP="00657DEA">
      <w:pPr>
        <w:pStyle w:val="ListParagraph"/>
        <w:numPr>
          <w:ilvl w:val="0"/>
          <w:numId w:val="5"/>
        </w:numPr>
        <w:shd w:val="clear" w:color="auto" w:fill="FFFFFF" w:themeFill="background1"/>
        <w:spacing w:after="60"/>
        <w:ind w:left="714" w:hanging="357"/>
        <w:jc w:val="both"/>
        <w:rPr>
          <w:rFonts w:asciiTheme="minorHAnsi" w:hAnsiTheme="minorHAnsi" w:cstheme="minorHAnsi"/>
        </w:rPr>
      </w:pPr>
      <w:r w:rsidRPr="006171E7">
        <w:rPr>
          <w:rFonts w:asciiTheme="minorHAnsi" w:hAnsiTheme="minorHAnsi" w:cstheme="minorHAnsi"/>
        </w:rPr>
        <w:t xml:space="preserve">Financial viability </w:t>
      </w:r>
      <w:r w:rsidR="00B87EEB">
        <w:rPr>
          <w:rFonts w:asciiTheme="minorHAnsi" w:hAnsiTheme="minorHAnsi" w:cstheme="minorHAnsi"/>
        </w:rPr>
        <w:t>assessment</w:t>
      </w:r>
    </w:p>
    <w:p w14:paraId="42CEF3B1" w14:textId="77777777" w:rsidR="00850A69" w:rsidRPr="006171E7" w:rsidRDefault="00850A69" w:rsidP="00657DEA">
      <w:pPr>
        <w:pStyle w:val="ListParagraph"/>
        <w:numPr>
          <w:ilvl w:val="0"/>
          <w:numId w:val="5"/>
        </w:numPr>
        <w:shd w:val="clear" w:color="auto" w:fill="FFFFFF" w:themeFill="background1"/>
        <w:spacing w:after="60"/>
        <w:ind w:left="714" w:hanging="357"/>
        <w:jc w:val="both"/>
        <w:rPr>
          <w:rFonts w:asciiTheme="minorHAnsi" w:hAnsiTheme="minorHAnsi" w:cstheme="minorHAnsi"/>
        </w:rPr>
      </w:pPr>
      <w:r w:rsidRPr="006171E7">
        <w:rPr>
          <w:rFonts w:asciiTheme="minorHAnsi" w:hAnsiTheme="minorHAnsi" w:cstheme="minorHAnsi"/>
        </w:rPr>
        <w:t>Reviews of provider websites for policy standards and information to students</w:t>
      </w:r>
    </w:p>
    <w:p w14:paraId="1867AD70" w14:textId="77777777" w:rsidR="00850A69" w:rsidRDefault="00850A69" w:rsidP="00657DEA">
      <w:pPr>
        <w:pStyle w:val="ListParagraph"/>
        <w:numPr>
          <w:ilvl w:val="0"/>
          <w:numId w:val="5"/>
        </w:numPr>
        <w:shd w:val="clear" w:color="auto" w:fill="FFFFFF" w:themeFill="background1"/>
        <w:spacing w:after="60"/>
        <w:ind w:left="714" w:hanging="357"/>
        <w:jc w:val="both"/>
        <w:rPr>
          <w:rFonts w:asciiTheme="minorHAnsi" w:hAnsiTheme="minorHAnsi" w:cstheme="minorHAnsi"/>
        </w:rPr>
      </w:pPr>
      <w:r w:rsidRPr="006171E7">
        <w:rPr>
          <w:rFonts w:asciiTheme="minorHAnsi" w:hAnsiTheme="minorHAnsi" w:cstheme="minorHAnsi"/>
        </w:rPr>
        <w:t>Responses to queries and complaints</w:t>
      </w:r>
    </w:p>
    <w:p w14:paraId="5C7556E3" w14:textId="77777777" w:rsidR="00005D26" w:rsidRPr="00FA4D2D" w:rsidRDefault="00850A69" w:rsidP="00657DEA">
      <w:pPr>
        <w:pStyle w:val="ListParagraph"/>
        <w:numPr>
          <w:ilvl w:val="0"/>
          <w:numId w:val="5"/>
        </w:numPr>
        <w:shd w:val="clear" w:color="auto" w:fill="FFFFFF" w:themeFill="background1"/>
        <w:spacing w:after="60"/>
        <w:ind w:left="714" w:hanging="357"/>
        <w:jc w:val="both"/>
        <w:rPr>
          <w:rFonts w:asciiTheme="minorHAnsi" w:hAnsiTheme="minorHAnsi" w:cstheme="minorHAnsi"/>
        </w:rPr>
      </w:pPr>
      <w:r w:rsidRPr="00850A69">
        <w:rPr>
          <w:rFonts w:asciiTheme="minorHAnsi" w:hAnsiTheme="minorHAnsi" w:cstheme="minorHAnsi"/>
        </w:rPr>
        <w:t>Ongoing provider and student management</w:t>
      </w:r>
      <w:r>
        <w:t xml:space="preserve"> </w:t>
      </w:r>
    </w:p>
    <w:p w14:paraId="1C931AF5" w14:textId="77777777" w:rsidR="00FA4D2D" w:rsidRPr="00FA4D2D" w:rsidRDefault="00FA4D2D" w:rsidP="00FA4D2D">
      <w:pPr>
        <w:pStyle w:val="ListParagraph"/>
        <w:shd w:val="clear" w:color="auto" w:fill="FFFFFF" w:themeFill="background1"/>
        <w:spacing w:after="120"/>
        <w:rPr>
          <w:rFonts w:asciiTheme="minorHAnsi" w:hAnsiTheme="minorHAnsi" w:cstheme="minorHAnsi"/>
        </w:rPr>
      </w:pPr>
    </w:p>
    <w:p w14:paraId="527DF056" w14:textId="77777777" w:rsidR="00005D26" w:rsidRPr="00657DEA" w:rsidRDefault="00005D26" w:rsidP="00657DEA">
      <w:pPr>
        <w:spacing w:after="120"/>
        <w:rPr>
          <w:b/>
          <w:sz w:val="28"/>
          <w:szCs w:val="28"/>
        </w:rPr>
      </w:pPr>
      <w:r w:rsidRPr="00657DEA">
        <w:rPr>
          <w:rFonts w:asciiTheme="minorHAnsi" w:eastAsia="SimSun" w:hAnsiTheme="minorHAnsi"/>
          <w:b/>
          <w:sz w:val="28"/>
          <w:szCs w:val="28"/>
        </w:rPr>
        <w:t>3.2</w:t>
      </w:r>
      <w:r w:rsidRPr="00657DEA">
        <w:rPr>
          <w:rFonts w:asciiTheme="minorHAnsi" w:eastAsia="SimSun" w:hAnsiTheme="minorHAnsi"/>
          <w:b/>
          <w:sz w:val="28"/>
          <w:szCs w:val="28"/>
        </w:rPr>
        <w:tab/>
        <w:t>Costs of the regulatory charging activities</w:t>
      </w:r>
      <w:r w:rsidRPr="00657DEA">
        <w:rPr>
          <w:b/>
          <w:sz w:val="28"/>
          <w:szCs w:val="28"/>
        </w:rPr>
        <w:t xml:space="preserve"> </w:t>
      </w:r>
    </w:p>
    <w:p w14:paraId="1416157A" w14:textId="2F325EA1" w:rsidR="00005D26" w:rsidRDefault="00005D26" w:rsidP="00A92589">
      <w:pPr>
        <w:spacing w:after="120"/>
        <w:jc w:val="both"/>
        <w:rPr>
          <w:rFonts w:asciiTheme="minorHAnsi" w:hAnsiTheme="minorHAnsi"/>
        </w:rPr>
      </w:pPr>
      <w:r>
        <w:rPr>
          <w:rFonts w:asciiTheme="minorHAnsi" w:hAnsiTheme="minorHAnsi"/>
        </w:rPr>
        <w:t>In line with the Government decision (outlined in section 2 “Statutory and Policy Authority to Cost” of the CRIS above), the efficient costs of delivering t</w:t>
      </w:r>
      <w:r w:rsidR="00F66680">
        <w:rPr>
          <w:rFonts w:asciiTheme="minorHAnsi" w:hAnsiTheme="minorHAnsi"/>
        </w:rPr>
        <w:t>hese activities are shown in</w:t>
      </w:r>
      <w:r>
        <w:rPr>
          <w:rFonts w:asciiTheme="minorHAnsi" w:hAnsiTheme="minorHAnsi"/>
        </w:rPr>
        <w:t xml:space="preserve"> Tables 1 and 2. These costs relate to staffing and on-costs (worker’s compensation, direct </w:t>
      </w:r>
      <w:r w:rsidR="005921A2">
        <w:rPr>
          <w:rFonts w:asciiTheme="minorHAnsi" w:hAnsiTheme="minorHAnsi"/>
        </w:rPr>
        <w:t>Information and Communication Technologies (</w:t>
      </w:r>
      <w:r>
        <w:rPr>
          <w:rFonts w:asciiTheme="minorHAnsi" w:hAnsiTheme="minorHAnsi"/>
        </w:rPr>
        <w:t>ICT</w:t>
      </w:r>
      <w:r w:rsidR="005921A2">
        <w:rPr>
          <w:rFonts w:asciiTheme="minorHAnsi" w:hAnsiTheme="minorHAnsi"/>
        </w:rPr>
        <w:t>)</w:t>
      </w:r>
      <w:r>
        <w:rPr>
          <w:rFonts w:asciiTheme="minorHAnsi" w:hAnsiTheme="minorHAnsi"/>
        </w:rPr>
        <w:t>, superannuation) and relevant indirect c</w:t>
      </w:r>
      <w:r w:rsidRPr="00E257FB">
        <w:rPr>
          <w:rFonts w:asciiTheme="minorHAnsi" w:hAnsiTheme="minorHAnsi" w:cstheme="minorHAnsi"/>
        </w:rPr>
        <w:t xml:space="preserve">osts (desktop ICT expenses, </w:t>
      </w:r>
      <w:r>
        <w:rPr>
          <w:rFonts w:asciiTheme="minorHAnsi" w:hAnsiTheme="minorHAnsi" w:cstheme="minorHAnsi"/>
        </w:rPr>
        <w:t>human resources</w:t>
      </w:r>
      <w:r w:rsidRPr="00E257FB">
        <w:rPr>
          <w:rFonts w:asciiTheme="minorHAnsi" w:hAnsiTheme="minorHAnsi" w:cstheme="minorHAnsi"/>
        </w:rPr>
        <w:t xml:space="preserve"> support and organisation services and property costs)</w:t>
      </w:r>
      <w:r>
        <w:rPr>
          <w:rFonts w:asciiTheme="minorHAnsi" w:hAnsiTheme="minorHAnsi"/>
        </w:rPr>
        <w:t xml:space="preserve">. </w:t>
      </w:r>
    </w:p>
    <w:p w14:paraId="2E42A7BD" w14:textId="5026E9FC" w:rsidR="00005D26" w:rsidRDefault="00005D26" w:rsidP="00A92589">
      <w:pPr>
        <w:jc w:val="both"/>
        <w:rPr>
          <w:rFonts w:asciiTheme="minorHAnsi" w:hAnsiTheme="minorHAnsi"/>
        </w:rPr>
      </w:pPr>
      <w:r w:rsidRPr="00B61472">
        <w:rPr>
          <w:rFonts w:asciiTheme="minorHAnsi" w:hAnsiTheme="minorHAnsi"/>
        </w:rPr>
        <w:t>The CRG</w:t>
      </w:r>
      <w:r w:rsidRPr="00B613FD">
        <w:rPr>
          <w:rFonts w:asciiTheme="minorHAnsi" w:hAnsiTheme="minorHAnsi"/>
        </w:rPr>
        <w:t>s</w:t>
      </w:r>
      <w:r w:rsidRPr="00B61472">
        <w:rPr>
          <w:rFonts w:asciiTheme="minorHAnsi" w:hAnsiTheme="minorHAnsi"/>
        </w:rPr>
        <w:t xml:space="preserve"> </w:t>
      </w:r>
      <w:proofErr w:type="gramStart"/>
      <w:r w:rsidRPr="00B61472">
        <w:rPr>
          <w:rFonts w:asciiTheme="minorHAnsi" w:hAnsiTheme="minorHAnsi"/>
        </w:rPr>
        <w:t>note that</w:t>
      </w:r>
      <w:proofErr w:type="gramEnd"/>
      <w:r w:rsidRPr="00B61472">
        <w:rPr>
          <w:rFonts w:asciiTheme="minorHAnsi" w:hAnsiTheme="minorHAnsi"/>
        </w:rPr>
        <w:t xml:space="preserve"> “the efficient costs are the minimum costs necessary to provide the activity while achieving the policy outcomes and legislative functions of the Australian Government.”</w:t>
      </w:r>
      <w:r w:rsidRPr="00B61472">
        <w:rPr>
          <w:rStyle w:val="FootnoteReference"/>
        </w:rPr>
        <w:footnoteReference w:id="2"/>
      </w:r>
    </w:p>
    <w:p w14:paraId="4E29BCE6" w14:textId="77777777" w:rsidR="00FA4D2D" w:rsidRDefault="00FA4D2D" w:rsidP="00005D26">
      <w:pPr>
        <w:rPr>
          <w:rFonts w:asciiTheme="minorHAnsi" w:hAnsiTheme="minorHAnsi" w:cstheme="minorHAnsi"/>
          <w:b/>
        </w:rPr>
      </w:pPr>
    </w:p>
    <w:p w14:paraId="3240A915" w14:textId="77777777" w:rsidR="00005D26" w:rsidRDefault="00005D26" w:rsidP="00005D26">
      <w:pPr>
        <w:rPr>
          <w:rFonts w:asciiTheme="minorHAnsi" w:hAnsiTheme="minorHAnsi" w:cstheme="minorHAnsi"/>
          <w:b/>
        </w:rPr>
      </w:pPr>
      <w:r>
        <w:rPr>
          <w:rFonts w:asciiTheme="minorHAnsi" w:hAnsiTheme="minorHAnsi" w:cstheme="minorHAnsi"/>
          <w:b/>
        </w:rPr>
        <w:t>3.2.1 Application fee for new FEE-HELP providers</w:t>
      </w:r>
    </w:p>
    <w:p w14:paraId="75A3692F" w14:textId="77777777" w:rsidR="00005D26" w:rsidRDefault="00005D26" w:rsidP="00005D26">
      <w:pPr>
        <w:rPr>
          <w:rFonts w:asciiTheme="minorHAnsi" w:hAnsiTheme="minorHAnsi" w:cstheme="minorHAnsi"/>
          <w:b/>
        </w:rPr>
      </w:pPr>
    </w:p>
    <w:p w14:paraId="1907391F" w14:textId="77777777" w:rsidR="000E12AC" w:rsidRDefault="000E12AC" w:rsidP="00A92589">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HAnsi"/>
          <w:b/>
          <w:sz w:val="22"/>
          <w:szCs w:val="22"/>
        </w:rPr>
      </w:pPr>
      <w:r>
        <w:rPr>
          <w:rFonts w:asciiTheme="minorHAnsi" w:hAnsiTheme="minorHAnsi" w:cstheme="minorHAnsi"/>
          <w:b/>
          <w:sz w:val="22"/>
          <w:szCs w:val="22"/>
        </w:rPr>
        <w:t>Example 1: ‘Receive and register’ process</w:t>
      </w:r>
    </w:p>
    <w:p w14:paraId="45271647" w14:textId="77777777" w:rsidR="000E12AC" w:rsidRPr="00203EF7" w:rsidRDefault="000E12AC" w:rsidP="00A92589">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sidRPr="00203EF7">
        <w:rPr>
          <w:rFonts w:asciiTheme="minorHAnsi" w:hAnsiTheme="minorHAnsi" w:cstheme="minorHAnsi"/>
          <w:sz w:val="22"/>
          <w:szCs w:val="22"/>
        </w:rPr>
        <w:t>Receiving and registering a provider application would take one junior administration officer approximately two hours</w:t>
      </w:r>
      <w:r>
        <w:rPr>
          <w:rFonts w:asciiTheme="minorHAnsi" w:hAnsiTheme="minorHAnsi" w:cstheme="minorHAnsi"/>
          <w:sz w:val="22"/>
          <w:szCs w:val="22"/>
        </w:rPr>
        <w:t xml:space="preserve"> on average</w:t>
      </w:r>
      <w:r w:rsidRPr="00203EF7">
        <w:rPr>
          <w:rFonts w:asciiTheme="minorHAnsi" w:hAnsiTheme="minorHAnsi" w:cstheme="minorHAnsi"/>
          <w:sz w:val="22"/>
          <w:szCs w:val="22"/>
        </w:rPr>
        <w:t xml:space="preserve">. </w:t>
      </w:r>
    </w:p>
    <w:p w14:paraId="078E8E98" w14:textId="0D5F8669" w:rsidR="000E12AC" w:rsidRPr="00203EF7" w:rsidRDefault="000E12AC" w:rsidP="00A92589">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sidRPr="00203EF7">
        <w:rPr>
          <w:rFonts w:asciiTheme="minorHAnsi" w:hAnsiTheme="minorHAnsi" w:cstheme="minorHAnsi"/>
          <w:sz w:val="22"/>
          <w:szCs w:val="22"/>
        </w:rPr>
        <w:t>The hourly wage for a junior administration officer is $</w:t>
      </w:r>
      <w:r w:rsidR="007C5DB5">
        <w:rPr>
          <w:rFonts w:asciiTheme="minorHAnsi" w:hAnsiTheme="minorHAnsi" w:cstheme="minorHAnsi"/>
          <w:sz w:val="22"/>
          <w:szCs w:val="22"/>
        </w:rPr>
        <w:t>7</w:t>
      </w:r>
      <w:r w:rsidR="00126914">
        <w:rPr>
          <w:rFonts w:asciiTheme="minorHAnsi" w:hAnsiTheme="minorHAnsi" w:cstheme="minorHAnsi"/>
          <w:sz w:val="22"/>
          <w:szCs w:val="22"/>
        </w:rPr>
        <w:t>6.49</w:t>
      </w:r>
      <w:r w:rsidRPr="00203EF7">
        <w:rPr>
          <w:rFonts w:asciiTheme="minorHAnsi" w:hAnsiTheme="minorHAnsi" w:cstheme="minorHAnsi"/>
          <w:sz w:val="22"/>
          <w:szCs w:val="22"/>
        </w:rPr>
        <w:t xml:space="preserve"> (including on-costs</w:t>
      </w:r>
      <w:r w:rsidR="00D425BB">
        <w:rPr>
          <w:rFonts w:asciiTheme="minorHAnsi" w:hAnsiTheme="minorHAnsi" w:cstheme="minorHAnsi"/>
          <w:sz w:val="22"/>
          <w:szCs w:val="22"/>
        </w:rPr>
        <w:t xml:space="preserve"> and indirect costs</w:t>
      </w:r>
      <w:r w:rsidRPr="00203EF7">
        <w:rPr>
          <w:rFonts w:asciiTheme="minorHAnsi" w:hAnsiTheme="minorHAnsi" w:cstheme="minorHAnsi"/>
          <w:sz w:val="22"/>
          <w:szCs w:val="22"/>
        </w:rPr>
        <w:t xml:space="preserve">). </w:t>
      </w:r>
    </w:p>
    <w:p w14:paraId="030106CF" w14:textId="69ADBB23" w:rsidR="000E12AC" w:rsidRPr="00203EF7" w:rsidRDefault="000E12AC" w:rsidP="00A92589">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sidRPr="00203EF7">
        <w:rPr>
          <w:rFonts w:asciiTheme="minorHAnsi" w:hAnsiTheme="minorHAnsi" w:cstheme="minorHAnsi"/>
          <w:sz w:val="22"/>
          <w:szCs w:val="22"/>
        </w:rPr>
        <w:t>2 x $</w:t>
      </w:r>
      <w:r w:rsidR="007C5DB5">
        <w:rPr>
          <w:rFonts w:asciiTheme="minorHAnsi" w:hAnsiTheme="minorHAnsi" w:cstheme="minorHAnsi"/>
          <w:sz w:val="22"/>
          <w:szCs w:val="22"/>
        </w:rPr>
        <w:t>7</w:t>
      </w:r>
      <w:r w:rsidR="00126914">
        <w:rPr>
          <w:rFonts w:asciiTheme="minorHAnsi" w:hAnsiTheme="minorHAnsi" w:cstheme="minorHAnsi"/>
          <w:sz w:val="22"/>
          <w:szCs w:val="22"/>
        </w:rPr>
        <w:t>6.49</w:t>
      </w:r>
      <w:r w:rsidRPr="00203EF7">
        <w:rPr>
          <w:rFonts w:asciiTheme="minorHAnsi" w:hAnsiTheme="minorHAnsi" w:cstheme="minorHAnsi"/>
          <w:sz w:val="22"/>
          <w:szCs w:val="22"/>
        </w:rPr>
        <w:t xml:space="preserve"> = $</w:t>
      </w:r>
      <w:r w:rsidR="007C5DB5">
        <w:rPr>
          <w:rFonts w:asciiTheme="minorHAnsi" w:hAnsiTheme="minorHAnsi" w:cstheme="minorHAnsi"/>
          <w:sz w:val="22"/>
          <w:szCs w:val="22"/>
        </w:rPr>
        <w:t>15</w:t>
      </w:r>
      <w:r w:rsidR="00126914">
        <w:rPr>
          <w:rFonts w:asciiTheme="minorHAnsi" w:hAnsiTheme="minorHAnsi" w:cstheme="minorHAnsi"/>
          <w:sz w:val="22"/>
          <w:szCs w:val="22"/>
        </w:rPr>
        <w:t>2.98</w:t>
      </w:r>
    </w:p>
    <w:p w14:paraId="596EDF68" w14:textId="64BE0199" w:rsidR="000E12AC" w:rsidRPr="000E12AC" w:rsidRDefault="000E12AC" w:rsidP="00A92589">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sidRPr="00203EF7">
        <w:rPr>
          <w:rFonts w:asciiTheme="minorHAnsi" w:hAnsiTheme="minorHAnsi" w:cstheme="minorHAnsi"/>
          <w:sz w:val="22"/>
          <w:szCs w:val="22"/>
        </w:rPr>
        <w:t xml:space="preserve">The total cost of the ‘receive </w:t>
      </w:r>
      <w:r w:rsidR="007C5DB5">
        <w:rPr>
          <w:rFonts w:asciiTheme="minorHAnsi" w:hAnsiTheme="minorHAnsi" w:cstheme="minorHAnsi"/>
          <w:sz w:val="22"/>
          <w:szCs w:val="22"/>
        </w:rPr>
        <w:t>and register’ process is $15</w:t>
      </w:r>
      <w:r w:rsidR="00126914">
        <w:rPr>
          <w:rFonts w:asciiTheme="minorHAnsi" w:hAnsiTheme="minorHAnsi" w:cstheme="minorHAnsi"/>
          <w:sz w:val="22"/>
          <w:szCs w:val="22"/>
        </w:rPr>
        <w:t>2.98</w:t>
      </w:r>
      <w:r w:rsidRPr="00203EF7">
        <w:rPr>
          <w:rFonts w:asciiTheme="minorHAnsi" w:hAnsiTheme="minorHAnsi" w:cstheme="minorHAnsi"/>
          <w:sz w:val="22"/>
          <w:szCs w:val="22"/>
        </w:rPr>
        <w:t xml:space="preserve"> per application. </w:t>
      </w:r>
    </w:p>
    <w:p w14:paraId="0D7D7912" w14:textId="77777777" w:rsidR="000E12AC" w:rsidRPr="00A92589" w:rsidRDefault="000E12AC" w:rsidP="00005D26">
      <w:pPr>
        <w:rPr>
          <w:rFonts w:asciiTheme="minorHAnsi" w:hAnsiTheme="minorHAnsi" w:cstheme="minorHAnsi"/>
        </w:rPr>
      </w:pPr>
    </w:p>
    <w:p w14:paraId="219A5B51" w14:textId="7800C939" w:rsidR="000E12AC" w:rsidRPr="000E12AC" w:rsidRDefault="000E12AC" w:rsidP="00A92589">
      <w:pPr>
        <w:pBdr>
          <w:top w:val="single" w:sz="4" w:space="1" w:color="auto"/>
          <w:left w:val="single" w:sz="4" w:space="4" w:color="auto"/>
          <w:bottom w:val="single" w:sz="4" w:space="1" w:color="auto"/>
          <w:right w:val="single" w:sz="4" w:space="9" w:color="auto"/>
        </w:pBdr>
        <w:shd w:val="clear" w:color="auto" w:fill="D9E2F3" w:themeFill="accent1" w:themeFillTint="33"/>
        <w:rPr>
          <w:rFonts w:asciiTheme="minorHAnsi" w:hAnsiTheme="minorHAnsi" w:cstheme="minorHAnsi"/>
          <w:b/>
          <w:sz w:val="22"/>
          <w:szCs w:val="22"/>
        </w:rPr>
      </w:pPr>
      <w:r w:rsidRPr="000E12AC">
        <w:rPr>
          <w:rFonts w:asciiTheme="minorHAnsi" w:hAnsiTheme="minorHAnsi" w:cstheme="minorHAnsi"/>
          <w:b/>
          <w:sz w:val="22"/>
          <w:szCs w:val="22"/>
        </w:rPr>
        <w:t xml:space="preserve">Example 2: ‘Financial performance </w:t>
      </w:r>
      <w:r w:rsidR="0097161C">
        <w:rPr>
          <w:rFonts w:asciiTheme="minorHAnsi" w:hAnsiTheme="minorHAnsi" w:cstheme="minorHAnsi"/>
          <w:b/>
          <w:sz w:val="22"/>
          <w:szCs w:val="22"/>
        </w:rPr>
        <w:t>check</w:t>
      </w:r>
      <w:r w:rsidR="00333CCC" w:rsidRPr="000E12AC">
        <w:rPr>
          <w:rFonts w:asciiTheme="minorHAnsi" w:hAnsiTheme="minorHAnsi" w:cstheme="minorHAnsi"/>
          <w:b/>
          <w:sz w:val="22"/>
          <w:szCs w:val="22"/>
        </w:rPr>
        <w:t xml:space="preserve">’ </w:t>
      </w:r>
      <w:r w:rsidRPr="000E12AC">
        <w:rPr>
          <w:rFonts w:asciiTheme="minorHAnsi" w:hAnsiTheme="minorHAnsi" w:cstheme="minorHAnsi"/>
          <w:b/>
          <w:sz w:val="22"/>
          <w:szCs w:val="22"/>
        </w:rPr>
        <w:t>process</w:t>
      </w:r>
    </w:p>
    <w:p w14:paraId="39ADF99C" w14:textId="77777777"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sidRPr="00203EF7">
        <w:rPr>
          <w:rFonts w:asciiTheme="minorHAnsi" w:hAnsiTheme="minorHAnsi" w:cstheme="minorHAnsi"/>
          <w:sz w:val="22"/>
          <w:szCs w:val="22"/>
        </w:rPr>
        <w:t xml:space="preserve">It would </w:t>
      </w:r>
      <w:r w:rsidRPr="0073156E">
        <w:rPr>
          <w:rFonts w:asciiTheme="minorHAnsi" w:hAnsiTheme="minorHAnsi" w:cstheme="minorHAnsi"/>
          <w:sz w:val="22"/>
          <w:szCs w:val="22"/>
        </w:rPr>
        <w:t>take one</w:t>
      </w:r>
      <w:r>
        <w:rPr>
          <w:rFonts w:asciiTheme="minorHAnsi" w:hAnsiTheme="minorHAnsi" w:cstheme="minorHAnsi"/>
          <w:sz w:val="22"/>
          <w:szCs w:val="22"/>
        </w:rPr>
        <w:t xml:space="preserve"> senior</w:t>
      </w:r>
      <w:r w:rsidRPr="0073156E">
        <w:rPr>
          <w:rFonts w:asciiTheme="minorHAnsi" w:hAnsiTheme="minorHAnsi" w:cstheme="minorHAnsi"/>
          <w:sz w:val="22"/>
          <w:szCs w:val="22"/>
        </w:rPr>
        <w:t xml:space="preserve"> </w:t>
      </w:r>
      <w:r>
        <w:rPr>
          <w:rFonts w:asciiTheme="minorHAnsi" w:hAnsiTheme="minorHAnsi" w:cstheme="minorHAnsi"/>
          <w:sz w:val="22"/>
          <w:szCs w:val="22"/>
        </w:rPr>
        <w:t>administration</w:t>
      </w:r>
      <w:r w:rsidRPr="0073156E">
        <w:rPr>
          <w:rFonts w:asciiTheme="minorHAnsi" w:hAnsiTheme="minorHAnsi" w:cstheme="minorHAnsi"/>
          <w:sz w:val="22"/>
          <w:szCs w:val="22"/>
        </w:rPr>
        <w:t xml:space="preserve"> </w:t>
      </w:r>
      <w:r>
        <w:rPr>
          <w:rFonts w:asciiTheme="minorHAnsi" w:hAnsiTheme="minorHAnsi" w:cstheme="minorHAnsi"/>
          <w:sz w:val="22"/>
          <w:szCs w:val="22"/>
        </w:rPr>
        <w:t xml:space="preserve">officer and one junior executive-level officer on average, a combined effort of approximately 72 hours to analyse the applicant’s provided audited general purpose financial statements from the last three years and/or additional financial information as required. </w:t>
      </w:r>
    </w:p>
    <w:p w14:paraId="624D9E93" w14:textId="77777777"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 xml:space="preserve">The review would include analysis of data in the financial statements (financial ratio analysis including profitability, equity and liquidity) and budget analysis. </w:t>
      </w:r>
    </w:p>
    <w:p w14:paraId="56C9637D" w14:textId="77777777"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 xml:space="preserve">The review also includes analysis on the applicant’s business plans, student and staffing information and risk management plans. </w:t>
      </w:r>
    </w:p>
    <w:p w14:paraId="06FA9671" w14:textId="77777777"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 xml:space="preserve">The appraisal will provide a risk rating and conclusion stating any major inclusions or exclusions. </w:t>
      </w:r>
    </w:p>
    <w:p w14:paraId="566A3355" w14:textId="66B747B7"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 hourly wage rate of a senior</w:t>
      </w:r>
      <w:r w:rsidR="007C5DB5">
        <w:rPr>
          <w:rFonts w:asciiTheme="minorHAnsi" w:hAnsiTheme="minorHAnsi" w:cstheme="minorHAnsi"/>
          <w:sz w:val="22"/>
          <w:szCs w:val="22"/>
        </w:rPr>
        <w:t xml:space="preserve"> administration officer is $8</w:t>
      </w:r>
      <w:r w:rsidR="00126914">
        <w:rPr>
          <w:rFonts w:asciiTheme="minorHAnsi" w:hAnsiTheme="minorHAnsi" w:cstheme="minorHAnsi"/>
          <w:sz w:val="22"/>
          <w:szCs w:val="22"/>
        </w:rPr>
        <w:t>7.48</w:t>
      </w:r>
      <w:r>
        <w:rPr>
          <w:rFonts w:asciiTheme="minorHAnsi" w:hAnsiTheme="minorHAnsi" w:cstheme="minorHAnsi"/>
          <w:sz w:val="22"/>
          <w:szCs w:val="22"/>
        </w:rPr>
        <w:t xml:space="preserve"> (including on-costs</w:t>
      </w:r>
      <w:r w:rsidR="00D425BB">
        <w:rPr>
          <w:rFonts w:asciiTheme="minorHAnsi" w:hAnsiTheme="minorHAnsi" w:cstheme="minorHAnsi"/>
          <w:sz w:val="22"/>
          <w:szCs w:val="22"/>
        </w:rPr>
        <w:t xml:space="preserve"> and indirect costs</w:t>
      </w:r>
      <w:r>
        <w:rPr>
          <w:rFonts w:asciiTheme="minorHAnsi" w:hAnsiTheme="minorHAnsi" w:cstheme="minorHAnsi"/>
          <w:sz w:val="22"/>
          <w:szCs w:val="22"/>
        </w:rPr>
        <w:t xml:space="preserve">). </w:t>
      </w:r>
    </w:p>
    <w:p w14:paraId="43402C41" w14:textId="0FFF4E83"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 hourly wage rate for a junior ex</w:t>
      </w:r>
      <w:r w:rsidR="007C5DB5">
        <w:rPr>
          <w:rFonts w:asciiTheme="minorHAnsi" w:hAnsiTheme="minorHAnsi" w:cstheme="minorHAnsi"/>
          <w:sz w:val="22"/>
          <w:szCs w:val="22"/>
        </w:rPr>
        <w:t>ecutive level officer is $10</w:t>
      </w:r>
      <w:r w:rsidR="00126914">
        <w:rPr>
          <w:rFonts w:asciiTheme="minorHAnsi" w:hAnsiTheme="minorHAnsi" w:cstheme="minorHAnsi"/>
          <w:sz w:val="22"/>
          <w:szCs w:val="22"/>
        </w:rPr>
        <w:t>3.40</w:t>
      </w:r>
      <w:r>
        <w:rPr>
          <w:rFonts w:asciiTheme="minorHAnsi" w:hAnsiTheme="minorHAnsi" w:cstheme="minorHAnsi"/>
          <w:sz w:val="22"/>
          <w:szCs w:val="22"/>
        </w:rPr>
        <w:t xml:space="preserve"> (including on-costs</w:t>
      </w:r>
      <w:r w:rsidR="00D425BB">
        <w:rPr>
          <w:rFonts w:asciiTheme="minorHAnsi" w:hAnsiTheme="minorHAnsi" w:cstheme="minorHAnsi"/>
          <w:sz w:val="22"/>
          <w:szCs w:val="22"/>
        </w:rPr>
        <w:t xml:space="preserve"> and indirect costs</w:t>
      </w:r>
      <w:r>
        <w:rPr>
          <w:rFonts w:asciiTheme="minorHAnsi" w:hAnsiTheme="minorHAnsi" w:cstheme="minorHAnsi"/>
          <w:sz w:val="22"/>
          <w:szCs w:val="22"/>
        </w:rPr>
        <w:t xml:space="preserve">). </w:t>
      </w:r>
    </w:p>
    <w:p w14:paraId="0FEE946E" w14:textId="149DE518" w:rsidR="00E848A9" w:rsidRDefault="007C5DB5"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(60 x $8</w:t>
      </w:r>
      <w:r w:rsidR="00126914">
        <w:rPr>
          <w:rFonts w:asciiTheme="minorHAnsi" w:hAnsiTheme="minorHAnsi" w:cstheme="minorHAnsi"/>
          <w:sz w:val="22"/>
          <w:szCs w:val="22"/>
        </w:rPr>
        <w:t>7</w:t>
      </w:r>
      <w:r w:rsidR="00F75CBF">
        <w:rPr>
          <w:rFonts w:asciiTheme="minorHAnsi" w:hAnsiTheme="minorHAnsi" w:cstheme="minorHAnsi"/>
          <w:sz w:val="22"/>
          <w:szCs w:val="22"/>
        </w:rPr>
        <w:t>.</w:t>
      </w:r>
      <w:r w:rsidR="00126914">
        <w:rPr>
          <w:rFonts w:asciiTheme="minorHAnsi" w:hAnsiTheme="minorHAnsi" w:cstheme="minorHAnsi"/>
          <w:sz w:val="22"/>
          <w:szCs w:val="22"/>
        </w:rPr>
        <w:t>48</w:t>
      </w:r>
      <w:r w:rsidR="00113607">
        <w:rPr>
          <w:rFonts w:asciiTheme="minorHAnsi" w:hAnsiTheme="minorHAnsi" w:cstheme="minorHAnsi"/>
          <w:sz w:val="22"/>
          <w:szCs w:val="22"/>
        </w:rPr>
        <w:t>) + (12 x $10</w:t>
      </w:r>
      <w:r w:rsidR="001F32ED">
        <w:rPr>
          <w:rFonts w:asciiTheme="minorHAnsi" w:hAnsiTheme="minorHAnsi" w:cstheme="minorHAnsi"/>
          <w:sz w:val="22"/>
          <w:szCs w:val="22"/>
        </w:rPr>
        <w:t>3.40</w:t>
      </w:r>
      <w:r w:rsidR="00113607">
        <w:rPr>
          <w:rFonts w:asciiTheme="minorHAnsi" w:hAnsiTheme="minorHAnsi" w:cstheme="minorHAnsi"/>
          <w:sz w:val="22"/>
          <w:szCs w:val="22"/>
        </w:rPr>
        <w:t>) = $6,</w:t>
      </w:r>
      <w:r w:rsidR="001F32ED">
        <w:rPr>
          <w:rFonts w:asciiTheme="minorHAnsi" w:hAnsiTheme="minorHAnsi" w:cstheme="minorHAnsi"/>
          <w:sz w:val="22"/>
          <w:szCs w:val="22"/>
        </w:rPr>
        <w:t>489</w:t>
      </w:r>
      <w:r w:rsidR="00126914">
        <w:rPr>
          <w:rFonts w:asciiTheme="minorHAnsi" w:hAnsiTheme="minorHAnsi" w:cstheme="minorHAnsi"/>
          <w:sz w:val="22"/>
          <w:szCs w:val="22"/>
        </w:rPr>
        <w:t>.60</w:t>
      </w:r>
    </w:p>
    <w:p w14:paraId="4EC0F921" w14:textId="0B62CC65" w:rsidR="00E848A9" w:rsidRDefault="00E848A9" w:rsidP="00A92589">
      <w:pPr>
        <w:pStyle w:val="ListParagraph"/>
        <w:numPr>
          <w:ilvl w:val="0"/>
          <w:numId w:val="17"/>
        </w:numPr>
        <w:pBdr>
          <w:top w:val="single" w:sz="4" w:space="1" w:color="auto"/>
          <w:left w:val="single" w:sz="4" w:space="4" w:color="auto"/>
          <w:bottom w:val="single" w:sz="4" w:space="1" w:color="auto"/>
          <w:right w:val="single" w:sz="4" w:space="9"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 xml:space="preserve">The total cost of the ‘financial performance </w:t>
      </w:r>
      <w:r w:rsidR="00874B62">
        <w:rPr>
          <w:rFonts w:asciiTheme="minorHAnsi" w:hAnsiTheme="minorHAnsi" w:cstheme="minorHAnsi"/>
          <w:sz w:val="22"/>
          <w:szCs w:val="22"/>
        </w:rPr>
        <w:t>assessment</w:t>
      </w:r>
      <w:r w:rsidR="007C5DB5">
        <w:rPr>
          <w:rFonts w:asciiTheme="minorHAnsi" w:hAnsiTheme="minorHAnsi" w:cstheme="minorHAnsi"/>
          <w:sz w:val="22"/>
          <w:szCs w:val="22"/>
        </w:rPr>
        <w:t>’ is $6,</w:t>
      </w:r>
      <w:r w:rsidR="001F32ED">
        <w:rPr>
          <w:rFonts w:asciiTheme="minorHAnsi" w:hAnsiTheme="minorHAnsi" w:cstheme="minorHAnsi"/>
          <w:sz w:val="22"/>
          <w:szCs w:val="22"/>
        </w:rPr>
        <w:t>489</w:t>
      </w:r>
      <w:r w:rsidR="00126914">
        <w:rPr>
          <w:rFonts w:asciiTheme="minorHAnsi" w:hAnsiTheme="minorHAnsi" w:cstheme="minorHAnsi"/>
          <w:sz w:val="22"/>
          <w:szCs w:val="22"/>
        </w:rPr>
        <w:t>.60</w:t>
      </w:r>
      <w:r>
        <w:rPr>
          <w:rFonts w:asciiTheme="minorHAnsi" w:hAnsiTheme="minorHAnsi" w:cstheme="minorHAnsi"/>
          <w:sz w:val="22"/>
          <w:szCs w:val="22"/>
        </w:rPr>
        <w:t xml:space="preserve"> per application.   </w:t>
      </w:r>
    </w:p>
    <w:p w14:paraId="5C225787" w14:textId="28F642CC" w:rsidR="000E12AC" w:rsidRPr="00FD002C" w:rsidRDefault="00005D26" w:rsidP="0064062A">
      <w:pPr>
        <w:spacing w:before="240" w:after="60"/>
        <w:rPr>
          <w:rFonts w:asciiTheme="minorHAnsi" w:hAnsiTheme="minorHAnsi" w:cstheme="minorHAnsi"/>
          <w:b/>
        </w:rPr>
      </w:pPr>
      <w:r>
        <w:t xml:space="preserve"> </w:t>
      </w:r>
      <w:r w:rsidR="000E12AC">
        <w:rPr>
          <w:rFonts w:asciiTheme="minorHAnsi" w:hAnsiTheme="minorHAnsi" w:cstheme="minorHAnsi"/>
          <w:b/>
        </w:rPr>
        <w:t>Table</w:t>
      </w:r>
      <w:r w:rsidR="000E12AC" w:rsidRPr="003B5F6D">
        <w:rPr>
          <w:rFonts w:asciiTheme="minorHAnsi" w:hAnsiTheme="minorHAnsi" w:cstheme="minorHAnsi"/>
          <w:b/>
        </w:rPr>
        <w:t xml:space="preserve"> </w:t>
      </w:r>
      <w:r w:rsidR="000E12AC">
        <w:rPr>
          <w:rFonts w:asciiTheme="minorHAnsi" w:hAnsiTheme="minorHAnsi" w:cstheme="minorHAnsi"/>
          <w:b/>
        </w:rPr>
        <w:t>1</w:t>
      </w:r>
      <w:r w:rsidR="000E12AC" w:rsidRPr="003B5F6D">
        <w:rPr>
          <w:rFonts w:asciiTheme="minorHAnsi" w:hAnsiTheme="minorHAnsi" w:cstheme="minorHAnsi"/>
          <w:b/>
        </w:rPr>
        <w:t xml:space="preserve">: </w:t>
      </w:r>
      <w:r w:rsidR="000E12AC" w:rsidRPr="00E9391D">
        <w:rPr>
          <w:rFonts w:asciiTheme="minorHAnsi" w:hAnsiTheme="minorHAnsi" w:cstheme="minorHAnsi"/>
          <w:b/>
        </w:rPr>
        <w:t>Process and costs per application- 20</w:t>
      </w:r>
      <w:r w:rsidR="00E00FFE" w:rsidRPr="00892C3E">
        <w:rPr>
          <w:rFonts w:asciiTheme="minorHAnsi" w:hAnsiTheme="minorHAnsi" w:cstheme="minorHAnsi"/>
          <w:b/>
        </w:rPr>
        <w:t>20</w:t>
      </w:r>
    </w:p>
    <w:tbl>
      <w:tblPr>
        <w:tblStyle w:val="TableGrid"/>
        <w:tblW w:w="5189" w:type="pct"/>
        <w:tblInd w:w="-147" w:type="dxa"/>
        <w:tblLayout w:type="fixed"/>
        <w:tblLook w:val="04A0" w:firstRow="1" w:lastRow="0" w:firstColumn="1" w:lastColumn="0" w:noHBand="0" w:noVBand="1"/>
      </w:tblPr>
      <w:tblGrid>
        <w:gridCol w:w="6451"/>
        <w:gridCol w:w="2906"/>
      </w:tblGrid>
      <w:tr w:rsidR="000E12AC" w:rsidRPr="005A3314" w14:paraId="2B8D0D2E" w14:textId="77777777" w:rsidTr="00F9179D">
        <w:tc>
          <w:tcPr>
            <w:tcW w:w="3447" w:type="pct"/>
            <w:shd w:val="clear" w:color="auto" w:fill="D9E2F3" w:themeFill="accent1" w:themeFillTint="33"/>
          </w:tcPr>
          <w:p w14:paraId="2C84CF81" w14:textId="77777777" w:rsidR="000E12AC" w:rsidRPr="0053562D" w:rsidRDefault="000E12AC" w:rsidP="00BD772D">
            <w:pPr>
              <w:spacing w:before="60" w:after="60"/>
              <w:rPr>
                <w:rFonts w:asciiTheme="minorHAnsi" w:hAnsiTheme="minorHAnsi"/>
                <w:b/>
                <w:sz w:val="22"/>
                <w:szCs w:val="22"/>
              </w:rPr>
            </w:pPr>
            <w:r w:rsidRPr="0053562D">
              <w:rPr>
                <w:rFonts w:asciiTheme="minorHAnsi" w:hAnsiTheme="minorHAnsi"/>
                <w:b/>
                <w:sz w:val="22"/>
                <w:szCs w:val="22"/>
              </w:rPr>
              <w:t>Outputs and processes</w:t>
            </w:r>
          </w:p>
        </w:tc>
        <w:tc>
          <w:tcPr>
            <w:tcW w:w="1553" w:type="pct"/>
            <w:shd w:val="clear" w:color="auto" w:fill="D9E2F3" w:themeFill="accent1" w:themeFillTint="33"/>
          </w:tcPr>
          <w:p w14:paraId="7E194C32" w14:textId="77777777" w:rsidR="000E12AC" w:rsidRPr="0053562D" w:rsidRDefault="000E12AC" w:rsidP="00BD772D">
            <w:pPr>
              <w:spacing w:before="60" w:after="60"/>
              <w:jc w:val="right"/>
              <w:rPr>
                <w:rFonts w:asciiTheme="minorHAnsi" w:hAnsiTheme="minorHAnsi"/>
                <w:b/>
                <w:sz w:val="22"/>
                <w:szCs w:val="22"/>
              </w:rPr>
            </w:pPr>
            <w:r w:rsidRPr="0053562D">
              <w:rPr>
                <w:rFonts w:asciiTheme="minorHAnsi" w:hAnsiTheme="minorHAnsi"/>
                <w:b/>
                <w:sz w:val="22"/>
                <w:szCs w:val="22"/>
              </w:rPr>
              <w:t>Cost per application ($)</w:t>
            </w:r>
          </w:p>
        </w:tc>
      </w:tr>
      <w:tr w:rsidR="000E12AC" w:rsidRPr="005A3314" w14:paraId="65D1B9CA" w14:textId="77777777" w:rsidTr="00F9179D">
        <w:tc>
          <w:tcPr>
            <w:tcW w:w="5000" w:type="pct"/>
            <w:gridSpan w:val="2"/>
            <w:shd w:val="clear" w:color="auto" w:fill="F2F2F2" w:themeFill="background1" w:themeFillShade="F2"/>
            <w:vAlign w:val="center"/>
          </w:tcPr>
          <w:p w14:paraId="5D3F70A8" w14:textId="77777777" w:rsidR="000E12AC" w:rsidRPr="005A3314" w:rsidRDefault="000E12AC" w:rsidP="00BD772D">
            <w:pPr>
              <w:rPr>
                <w:rFonts w:asciiTheme="minorHAnsi" w:hAnsiTheme="minorHAnsi"/>
                <w:sz w:val="22"/>
                <w:szCs w:val="22"/>
              </w:rPr>
            </w:pPr>
            <w:r w:rsidRPr="005A3314">
              <w:rPr>
                <w:rFonts w:asciiTheme="minorHAnsi" w:hAnsiTheme="minorHAnsi"/>
                <w:sz w:val="22"/>
                <w:szCs w:val="22"/>
              </w:rPr>
              <w:t xml:space="preserve">Receive </w:t>
            </w:r>
          </w:p>
        </w:tc>
      </w:tr>
      <w:tr w:rsidR="000E12AC" w:rsidRPr="005A3314" w14:paraId="58913DDD" w14:textId="77777777" w:rsidTr="00F9179D">
        <w:tc>
          <w:tcPr>
            <w:tcW w:w="3447" w:type="pct"/>
            <w:shd w:val="clear" w:color="auto" w:fill="auto"/>
            <w:vAlign w:val="center"/>
          </w:tcPr>
          <w:p w14:paraId="39D175A4" w14:textId="77777777" w:rsidR="000E12AC" w:rsidRPr="00F05062" w:rsidRDefault="000E12AC" w:rsidP="00BD772D">
            <w:pPr>
              <w:ind w:left="205"/>
              <w:rPr>
                <w:rFonts w:asciiTheme="minorHAnsi" w:hAnsiTheme="minorHAnsi"/>
                <w:sz w:val="22"/>
                <w:szCs w:val="22"/>
              </w:rPr>
            </w:pPr>
            <w:r w:rsidRPr="00F05062">
              <w:rPr>
                <w:rFonts w:asciiTheme="minorHAnsi" w:hAnsiTheme="minorHAnsi"/>
                <w:sz w:val="22"/>
                <w:szCs w:val="22"/>
              </w:rPr>
              <w:t>Receive and register</w:t>
            </w:r>
          </w:p>
        </w:tc>
        <w:tc>
          <w:tcPr>
            <w:tcW w:w="1553" w:type="pct"/>
            <w:shd w:val="clear" w:color="auto" w:fill="auto"/>
            <w:vAlign w:val="center"/>
          </w:tcPr>
          <w:p w14:paraId="339AE6B3" w14:textId="29957F24" w:rsidR="000E12AC" w:rsidRPr="00113607" w:rsidRDefault="007C5DB5" w:rsidP="002D7B66">
            <w:pPr>
              <w:jc w:val="right"/>
              <w:rPr>
                <w:rFonts w:asciiTheme="minorHAnsi" w:hAnsiTheme="minorHAnsi"/>
                <w:sz w:val="22"/>
                <w:szCs w:val="22"/>
              </w:rPr>
            </w:pPr>
            <w:r w:rsidRPr="00113607">
              <w:rPr>
                <w:rFonts w:asciiTheme="minorHAnsi" w:hAnsiTheme="minorHAnsi"/>
                <w:sz w:val="22"/>
                <w:szCs w:val="22"/>
              </w:rPr>
              <w:t>$15</w:t>
            </w:r>
            <w:r w:rsidR="00755F25">
              <w:rPr>
                <w:rFonts w:asciiTheme="minorHAnsi" w:hAnsiTheme="minorHAnsi"/>
                <w:sz w:val="22"/>
                <w:szCs w:val="22"/>
              </w:rPr>
              <w:t>2.98</w:t>
            </w:r>
          </w:p>
        </w:tc>
      </w:tr>
      <w:tr w:rsidR="000E12AC" w:rsidRPr="005A3314" w14:paraId="14F436CF" w14:textId="77777777" w:rsidTr="00F9179D">
        <w:tc>
          <w:tcPr>
            <w:tcW w:w="5000" w:type="pct"/>
            <w:gridSpan w:val="2"/>
            <w:shd w:val="clear" w:color="auto" w:fill="F2F2F2" w:themeFill="background1" w:themeFillShade="F2"/>
            <w:vAlign w:val="center"/>
          </w:tcPr>
          <w:p w14:paraId="56FF2325" w14:textId="77777777" w:rsidR="000E12AC" w:rsidRPr="00113607" w:rsidRDefault="000E12AC" w:rsidP="00BD772D">
            <w:pPr>
              <w:rPr>
                <w:rFonts w:asciiTheme="minorHAnsi" w:hAnsiTheme="minorHAnsi"/>
                <w:sz w:val="22"/>
                <w:szCs w:val="22"/>
              </w:rPr>
            </w:pPr>
            <w:r w:rsidRPr="00113607">
              <w:rPr>
                <w:rFonts w:asciiTheme="minorHAnsi" w:hAnsiTheme="minorHAnsi"/>
                <w:sz w:val="22"/>
                <w:szCs w:val="22"/>
              </w:rPr>
              <w:t>Check</w:t>
            </w:r>
          </w:p>
        </w:tc>
      </w:tr>
      <w:tr w:rsidR="000E12AC" w:rsidRPr="005A3314" w14:paraId="33E8F0DD" w14:textId="77777777" w:rsidTr="00F9179D">
        <w:tc>
          <w:tcPr>
            <w:tcW w:w="3447" w:type="pct"/>
            <w:shd w:val="clear" w:color="auto" w:fill="auto"/>
            <w:vAlign w:val="center"/>
          </w:tcPr>
          <w:p w14:paraId="77E75A0B" w14:textId="35EB5FA7" w:rsidR="000E12AC" w:rsidRPr="00F05062" w:rsidRDefault="000E12AC" w:rsidP="00BD772D">
            <w:pPr>
              <w:ind w:left="205"/>
              <w:rPr>
                <w:rFonts w:asciiTheme="minorHAnsi" w:hAnsiTheme="minorHAnsi"/>
                <w:sz w:val="22"/>
                <w:szCs w:val="22"/>
              </w:rPr>
            </w:pPr>
            <w:r w:rsidRPr="00F05062">
              <w:rPr>
                <w:rFonts w:asciiTheme="minorHAnsi" w:hAnsiTheme="minorHAnsi"/>
                <w:sz w:val="22"/>
                <w:szCs w:val="22"/>
              </w:rPr>
              <w:t>Completeness</w:t>
            </w:r>
          </w:p>
        </w:tc>
        <w:tc>
          <w:tcPr>
            <w:tcW w:w="1553" w:type="pct"/>
            <w:shd w:val="clear" w:color="auto" w:fill="auto"/>
            <w:vAlign w:val="center"/>
          </w:tcPr>
          <w:p w14:paraId="017656B4" w14:textId="6B145275" w:rsidR="000E12AC" w:rsidRPr="00113607" w:rsidRDefault="007C5DB5" w:rsidP="00BD772D">
            <w:pPr>
              <w:jc w:val="right"/>
              <w:rPr>
                <w:rFonts w:asciiTheme="minorHAnsi" w:hAnsiTheme="minorHAnsi"/>
                <w:sz w:val="22"/>
                <w:szCs w:val="22"/>
              </w:rPr>
            </w:pPr>
            <w:r w:rsidRPr="00113607">
              <w:rPr>
                <w:rFonts w:asciiTheme="minorHAnsi" w:hAnsiTheme="minorHAnsi"/>
                <w:sz w:val="22"/>
                <w:szCs w:val="22"/>
              </w:rPr>
              <w:t>$2</w:t>
            </w:r>
            <w:r w:rsidR="00126914">
              <w:rPr>
                <w:rFonts w:asciiTheme="minorHAnsi" w:hAnsiTheme="minorHAnsi"/>
                <w:sz w:val="22"/>
                <w:szCs w:val="22"/>
              </w:rPr>
              <w:t>29.47</w:t>
            </w:r>
          </w:p>
        </w:tc>
      </w:tr>
      <w:tr w:rsidR="000E12AC" w:rsidRPr="005A3314" w14:paraId="14BDFDF0" w14:textId="77777777" w:rsidTr="00F9179D">
        <w:tc>
          <w:tcPr>
            <w:tcW w:w="5000" w:type="pct"/>
            <w:gridSpan w:val="2"/>
            <w:tcBorders>
              <w:bottom w:val="single" w:sz="4" w:space="0" w:color="auto"/>
            </w:tcBorders>
            <w:shd w:val="clear" w:color="auto" w:fill="F2F2F2" w:themeFill="background1" w:themeFillShade="F2"/>
            <w:vAlign w:val="center"/>
          </w:tcPr>
          <w:p w14:paraId="0A6D0DFB" w14:textId="77777777" w:rsidR="000E12AC" w:rsidRPr="00113607" w:rsidRDefault="000E12AC" w:rsidP="00BD772D">
            <w:pPr>
              <w:rPr>
                <w:rFonts w:asciiTheme="minorHAnsi" w:hAnsiTheme="minorHAnsi"/>
                <w:sz w:val="22"/>
                <w:szCs w:val="22"/>
              </w:rPr>
            </w:pPr>
            <w:r w:rsidRPr="00113607">
              <w:rPr>
                <w:rFonts w:asciiTheme="minorHAnsi" w:hAnsiTheme="minorHAnsi"/>
                <w:sz w:val="22"/>
                <w:szCs w:val="22"/>
              </w:rPr>
              <w:t>Assess</w:t>
            </w:r>
          </w:p>
        </w:tc>
      </w:tr>
      <w:tr w:rsidR="000E12AC" w:rsidRPr="005A3314" w14:paraId="53936C34" w14:textId="77777777" w:rsidTr="00F9179D">
        <w:tc>
          <w:tcPr>
            <w:tcW w:w="3447" w:type="pct"/>
            <w:tcBorders>
              <w:bottom w:val="single" w:sz="4" w:space="0" w:color="auto"/>
            </w:tcBorders>
            <w:shd w:val="clear" w:color="auto" w:fill="auto"/>
            <w:vAlign w:val="center"/>
          </w:tcPr>
          <w:p w14:paraId="57C38E4E" w14:textId="57C999BE" w:rsidR="000E12AC" w:rsidRPr="00F05062" w:rsidRDefault="00F66680" w:rsidP="00F66680">
            <w:pPr>
              <w:ind w:left="205"/>
              <w:rPr>
                <w:rFonts w:asciiTheme="minorHAnsi" w:hAnsiTheme="minorHAnsi"/>
                <w:sz w:val="22"/>
                <w:szCs w:val="22"/>
              </w:rPr>
            </w:pPr>
            <w:r>
              <w:rPr>
                <w:rFonts w:asciiTheme="minorHAnsi" w:hAnsiTheme="minorHAnsi"/>
                <w:sz w:val="22"/>
                <w:szCs w:val="22"/>
              </w:rPr>
              <w:t>Assessment of f</w:t>
            </w:r>
            <w:r w:rsidR="000E12AC" w:rsidRPr="00F05062">
              <w:rPr>
                <w:rFonts w:asciiTheme="minorHAnsi" w:hAnsiTheme="minorHAnsi"/>
                <w:sz w:val="22"/>
                <w:szCs w:val="22"/>
              </w:rPr>
              <w:t xml:space="preserve">inancial </w:t>
            </w:r>
            <w:r w:rsidR="000E12AC">
              <w:rPr>
                <w:rFonts w:asciiTheme="minorHAnsi" w:hAnsiTheme="minorHAnsi"/>
                <w:sz w:val="22"/>
                <w:szCs w:val="22"/>
              </w:rPr>
              <w:t>performance</w:t>
            </w:r>
          </w:p>
        </w:tc>
        <w:tc>
          <w:tcPr>
            <w:tcW w:w="1553" w:type="pct"/>
            <w:tcBorders>
              <w:bottom w:val="single" w:sz="4" w:space="0" w:color="auto"/>
            </w:tcBorders>
            <w:shd w:val="clear" w:color="auto" w:fill="auto"/>
            <w:vAlign w:val="center"/>
          </w:tcPr>
          <w:p w14:paraId="04372BAE" w14:textId="0BE58270" w:rsidR="000E12AC" w:rsidRPr="00C05307" w:rsidRDefault="00C05307" w:rsidP="0003249B">
            <w:pPr>
              <w:jc w:val="right"/>
              <w:rPr>
                <w:rFonts w:asciiTheme="minorHAnsi" w:hAnsiTheme="minorHAnsi"/>
                <w:sz w:val="22"/>
                <w:szCs w:val="22"/>
              </w:rPr>
            </w:pPr>
            <w:r w:rsidRPr="00C05307">
              <w:rPr>
                <w:rFonts w:asciiTheme="minorHAnsi" w:hAnsiTheme="minorHAnsi"/>
                <w:sz w:val="22"/>
                <w:szCs w:val="22"/>
              </w:rPr>
              <w:t>$6,</w:t>
            </w:r>
            <w:r w:rsidR="001F32ED">
              <w:rPr>
                <w:rFonts w:asciiTheme="minorHAnsi" w:hAnsiTheme="minorHAnsi"/>
                <w:sz w:val="22"/>
                <w:szCs w:val="22"/>
              </w:rPr>
              <w:t>489.60</w:t>
            </w:r>
          </w:p>
        </w:tc>
      </w:tr>
      <w:tr w:rsidR="000E12AC" w:rsidRPr="005A3314" w14:paraId="4E7EF9AE" w14:textId="77777777" w:rsidTr="00F9179D">
        <w:tc>
          <w:tcPr>
            <w:tcW w:w="3447" w:type="pct"/>
            <w:tcBorders>
              <w:bottom w:val="single" w:sz="4" w:space="0" w:color="auto"/>
            </w:tcBorders>
            <w:shd w:val="clear" w:color="auto" w:fill="auto"/>
            <w:vAlign w:val="center"/>
          </w:tcPr>
          <w:p w14:paraId="59AAF75B" w14:textId="10C03EAC" w:rsidR="000E12AC" w:rsidRPr="00F05062" w:rsidRDefault="000E12AC" w:rsidP="00BD772D">
            <w:pPr>
              <w:ind w:left="205"/>
              <w:rPr>
                <w:rFonts w:asciiTheme="minorHAnsi" w:hAnsiTheme="minorHAnsi"/>
                <w:sz w:val="22"/>
                <w:szCs w:val="22"/>
              </w:rPr>
            </w:pPr>
            <w:r w:rsidRPr="00F05062">
              <w:rPr>
                <w:rFonts w:asciiTheme="minorHAnsi" w:hAnsiTheme="minorHAnsi"/>
                <w:sz w:val="22"/>
                <w:szCs w:val="22"/>
              </w:rPr>
              <w:t>Assessment of fit and proper person</w:t>
            </w:r>
          </w:p>
        </w:tc>
        <w:tc>
          <w:tcPr>
            <w:tcW w:w="1553" w:type="pct"/>
            <w:tcBorders>
              <w:bottom w:val="single" w:sz="4" w:space="0" w:color="auto"/>
            </w:tcBorders>
            <w:shd w:val="clear" w:color="auto" w:fill="auto"/>
            <w:vAlign w:val="center"/>
          </w:tcPr>
          <w:p w14:paraId="0EE0508D" w14:textId="1A44B79C" w:rsidR="000E12AC" w:rsidRPr="00F05062" w:rsidRDefault="000E12AC" w:rsidP="00BD772D">
            <w:pPr>
              <w:jc w:val="right"/>
              <w:rPr>
                <w:rFonts w:asciiTheme="minorHAnsi" w:hAnsiTheme="minorHAnsi"/>
                <w:sz w:val="22"/>
                <w:szCs w:val="22"/>
              </w:rPr>
            </w:pPr>
            <w:r w:rsidRPr="00F05062">
              <w:rPr>
                <w:rFonts w:asciiTheme="minorHAnsi" w:hAnsiTheme="minorHAnsi"/>
                <w:sz w:val="22"/>
                <w:szCs w:val="22"/>
              </w:rPr>
              <w:t>$</w:t>
            </w:r>
            <w:r w:rsidR="00113607">
              <w:rPr>
                <w:rFonts w:asciiTheme="minorHAnsi" w:hAnsiTheme="minorHAnsi"/>
                <w:sz w:val="22"/>
                <w:szCs w:val="22"/>
              </w:rPr>
              <w:t>7</w:t>
            </w:r>
            <w:r w:rsidR="001F32ED">
              <w:rPr>
                <w:rFonts w:asciiTheme="minorHAnsi" w:hAnsiTheme="minorHAnsi"/>
                <w:sz w:val="22"/>
                <w:szCs w:val="22"/>
              </w:rPr>
              <w:t>6.49</w:t>
            </w:r>
          </w:p>
        </w:tc>
      </w:tr>
      <w:tr w:rsidR="000E12AC" w:rsidRPr="005A3314" w14:paraId="005443F3" w14:textId="77777777" w:rsidTr="00F9179D">
        <w:tc>
          <w:tcPr>
            <w:tcW w:w="3447" w:type="pct"/>
            <w:tcBorders>
              <w:bottom w:val="single" w:sz="4" w:space="0" w:color="auto"/>
            </w:tcBorders>
            <w:shd w:val="clear" w:color="auto" w:fill="auto"/>
            <w:vAlign w:val="center"/>
          </w:tcPr>
          <w:p w14:paraId="783D547C" w14:textId="5CDB1D2F" w:rsidR="000E12AC" w:rsidRPr="00F05062" w:rsidRDefault="00F66680" w:rsidP="00BD772D">
            <w:pPr>
              <w:ind w:left="205"/>
              <w:rPr>
                <w:rFonts w:asciiTheme="minorHAnsi" w:hAnsiTheme="minorHAnsi"/>
                <w:sz w:val="22"/>
                <w:szCs w:val="22"/>
              </w:rPr>
            </w:pPr>
            <w:r>
              <w:rPr>
                <w:rFonts w:asciiTheme="minorHAnsi" w:hAnsiTheme="minorHAnsi"/>
                <w:sz w:val="22"/>
                <w:szCs w:val="22"/>
              </w:rPr>
              <w:t>Assessment and m</w:t>
            </w:r>
            <w:r w:rsidR="000E12AC" w:rsidRPr="00F05062">
              <w:rPr>
                <w:rFonts w:asciiTheme="minorHAnsi" w:hAnsiTheme="minorHAnsi"/>
                <w:sz w:val="22"/>
                <w:szCs w:val="22"/>
              </w:rPr>
              <w:t>oderation</w:t>
            </w:r>
          </w:p>
        </w:tc>
        <w:tc>
          <w:tcPr>
            <w:tcW w:w="1553" w:type="pct"/>
            <w:tcBorders>
              <w:bottom w:val="single" w:sz="4" w:space="0" w:color="auto"/>
            </w:tcBorders>
            <w:shd w:val="clear" w:color="auto" w:fill="auto"/>
            <w:vAlign w:val="center"/>
          </w:tcPr>
          <w:p w14:paraId="63DF15CD" w14:textId="388D3B73" w:rsidR="000E12AC" w:rsidRPr="00F05062" w:rsidRDefault="000E12AC" w:rsidP="00BD772D">
            <w:pPr>
              <w:jc w:val="right"/>
              <w:rPr>
                <w:rFonts w:asciiTheme="minorHAnsi" w:hAnsiTheme="minorHAnsi"/>
                <w:sz w:val="22"/>
                <w:szCs w:val="22"/>
              </w:rPr>
            </w:pPr>
            <w:r w:rsidRPr="00F05062">
              <w:rPr>
                <w:rFonts w:asciiTheme="minorHAnsi" w:hAnsiTheme="minorHAnsi"/>
                <w:sz w:val="22"/>
                <w:szCs w:val="22"/>
              </w:rPr>
              <w:t>$</w:t>
            </w:r>
            <w:r w:rsidR="00113607">
              <w:rPr>
                <w:rFonts w:asciiTheme="minorHAnsi" w:hAnsiTheme="minorHAnsi"/>
                <w:sz w:val="22"/>
                <w:szCs w:val="22"/>
              </w:rPr>
              <w:t>4,</w:t>
            </w:r>
            <w:r w:rsidR="00755F25">
              <w:rPr>
                <w:rFonts w:asciiTheme="minorHAnsi" w:hAnsiTheme="minorHAnsi"/>
                <w:sz w:val="22"/>
                <w:szCs w:val="22"/>
              </w:rPr>
              <w:t>536.97</w:t>
            </w:r>
          </w:p>
        </w:tc>
      </w:tr>
      <w:tr w:rsidR="000E12AC" w:rsidRPr="005A3314" w14:paraId="07065791" w14:textId="77777777" w:rsidTr="00F9179D">
        <w:tc>
          <w:tcPr>
            <w:tcW w:w="3447" w:type="pct"/>
            <w:tcBorders>
              <w:bottom w:val="single" w:sz="4" w:space="0" w:color="auto"/>
            </w:tcBorders>
            <w:shd w:val="clear" w:color="auto" w:fill="auto"/>
            <w:vAlign w:val="center"/>
          </w:tcPr>
          <w:p w14:paraId="3BBF7906" w14:textId="77777777" w:rsidR="000E12AC" w:rsidRPr="00F05062" w:rsidRDefault="000E12AC" w:rsidP="00BD772D">
            <w:pPr>
              <w:ind w:left="205"/>
              <w:rPr>
                <w:rFonts w:asciiTheme="minorHAnsi" w:hAnsiTheme="minorHAnsi"/>
                <w:sz w:val="22"/>
                <w:szCs w:val="22"/>
              </w:rPr>
            </w:pPr>
            <w:r w:rsidRPr="00F05062">
              <w:rPr>
                <w:rFonts w:asciiTheme="minorHAnsi" w:hAnsiTheme="minorHAnsi"/>
                <w:sz w:val="22"/>
                <w:szCs w:val="22"/>
              </w:rPr>
              <w:t>Assessment oversight</w:t>
            </w:r>
          </w:p>
        </w:tc>
        <w:tc>
          <w:tcPr>
            <w:tcW w:w="1553" w:type="pct"/>
            <w:tcBorders>
              <w:bottom w:val="single" w:sz="4" w:space="0" w:color="auto"/>
            </w:tcBorders>
            <w:shd w:val="clear" w:color="auto" w:fill="auto"/>
            <w:vAlign w:val="center"/>
          </w:tcPr>
          <w:p w14:paraId="3B92BA6A" w14:textId="1D2E72DC" w:rsidR="000E12AC" w:rsidRPr="00F05062" w:rsidRDefault="000E12AC" w:rsidP="00BD772D">
            <w:pPr>
              <w:jc w:val="right"/>
              <w:rPr>
                <w:rFonts w:asciiTheme="minorHAnsi" w:hAnsiTheme="minorHAnsi"/>
                <w:sz w:val="22"/>
                <w:szCs w:val="22"/>
              </w:rPr>
            </w:pPr>
            <w:r w:rsidRPr="00F05062">
              <w:rPr>
                <w:rFonts w:asciiTheme="minorHAnsi" w:hAnsiTheme="minorHAnsi"/>
                <w:sz w:val="22"/>
                <w:szCs w:val="22"/>
              </w:rPr>
              <w:t>$</w:t>
            </w:r>
            <w:r w:rsidR="00113607">
              <w:rPr>
                <w:rFonts w:asciiTheme="minorHAnsi" w:hAnsiTheme="minorHAnsi"/>
                <w:sz w:val="22"/>
                <w:szCs w:val="22"/>
              </w:rPr>
              <w:t>1,0</w:t>
            </w:r>
            <w:r w:rsidR="001F32ED">
              <w:rPr>
                <w:rFonts w:asciiTheme="minorHAnsi" w:hAnsiTheme="minorHAnsi"/>
                <w:sz w:val="22"/>
                <w:szCs w:val="22"/>
              </w:rPr>
              <w:t>26.45</w:t>
            </w:r>
          </w:p>
        </w:tc>
      </w:tr>
      <w:tr w:rsidR="000E12AC" w:rsidRPr="005A3314" w14:paraId="3B87D447" w14:textId="77777777" w:rsidTr="00F9179D">
        <w:tc>
          <w:tcPr>
            <w:tcW w:w="3447" w:type="pct"/>
            <w:tcBorders>
              <w:bottom w:val="single" w:sz="4" w:space="0" w:color="auto"/>
            </w:tcBorders>
            <w:shd w:val="clear" w:color="auto" w:fill="auto"/>
            <w:vAlign w:val="center"/>
          </w:tcPr>
          <w:p w14:paraId="195A0E19" w14:textId="77777777" w:rsidR="000E12AC" w:rsidRPr="00F05062" w:rsidRDefault="000E12AC" w:rsidP="00BD772D">
            <w:pPr>
              <w:ind w:left="205"/>
              <w:rPr>
                <w:rFonts w:asciiTheme="minorHAnsi" w:hAnsiTheme="minorHAnsi"/>
                <w:sz w:val="22"/>
                <w:szCs w:val="22"/>
              </w:rPr>
            </w:pPr>
            <w:r w:rsidRPr="00F05062">
              <w:rPr>
                <w:rFonts w:asciiTheme="minorHAnsi" w:hAnsiTheme="minorHAnsi"/>
                <w:sz w:val="22"/>
                <w:szCs w:val="22"/>
              </w:rPr>
              <w:t>Decisions and notifications</w:t>
            </w:r>
          </w:p>
        </w:tc>
        <w:tc>
          <w:tcPr>
            <w:tcW w:w="1553" w:type="pct"/>
            <w:tcBorders>
              <w:bottom w:val="single" w:sz="4" w:space="0" w:color="auto"/>
            </w:tcBorders>
            <w:shd w:val="clear" w:color="auto" w:fill="auto"/>
            <w:vAlign w:val="center"/>
          </w:tcPr>
          <w:p w14:paraId="2EDBA64E" w14:textId="07F54AD8" w:rsidR="000E12AC" w:rsidRPr="00F05062" w:rsidRDefault="000E12AC" w:rsidP="00BD772D">
            <w:pPr>
              <w:jc w:val="right"/>
              <w:rPr>
                <w:rFonts w:asciiTheme="minorHAnsi" w:hAnsiTheme="minorHAnsi"/>
                <w:sz w:val="22"/>
                <w:szCs w:val="22"/>
              </w:rPr>
            </w:pPr>
            <w:r w:rsidRPr="00F05062">
              <w:rPr>
                <w:rFonts w:asciiTheme="minorHAnsi" w:hAnsiTheme="minorHAnsi"/>
                <w:sz w:val="22"/>
                <w:szCs w:val="22"/>
              </w:rPr>
              <w:t>$</w:t>
            </w:r>
            <w:r w:rsidR="00113607">
              <w:rPr>
                <w:rFonts w:asciiTheme="minorHAnsi" w:hAnsiTheme="minorHAnsi"/>
                <w:sz w:val="22"/>
                <w:szCs w:val="22"/>
              </w:rPr>
              <w:t>3</w:t>
            </w:r>
            <w:r w:rsidR="001F32ED">
              <w:rPr>
                <w:rFonts w:asciiTheme="minorHAnsi" w:hAnsiTheme="minorHAnsi"/>
                <w:sz w:val="22"/>
                <w:szCs w:val="22"/>
              </w:rPr>
              <w:t>05.96</w:t>
            </w:r>
          </w:p>
        </w:tc>
      </w:tr>
      <w:tr w:rsidR="000E12AC" w:rsidRPr="005A3314" w14:paraId="3E4E51F0" w14:textId="77777777" w:rsidTr="00F9179D">
        <w:tc>
          <w:tcPr>
            <w:tcW w:w="3447" w:type="pct"/>
            <w:tcBorders>
              <w:bottom w:val="single" w:sz="4" w:space="0" w:color="auto"/>
            </w:tcBorders>
            <w:shd w:val="clear" w:color="auto" w:fill="D9E2F3" w:themeFill="accent1" w:themeFillTint="33"/>
            <w:vAlign w:val="center"/>
          </w:tcPr>
          <w:p w14:paraId="64E78EBE" w14:textId="77777777" w:rsidR="000E12AC" w:rsidRPr="0053562D" w:rsidRDefault="000E12AC" w:rsidP="00BD772D">
            <w:pPr>
              <w:rPr>
                <w:rFonts w:asciiTheme="minorHAnsi" w:hAnsiTheme="minorHAnsi"/>
                <w:b/>
                <w:sz w:val="22"/>
                <w:szCs w:val="22"/>
              </w:rPr>
            </w:pPr>
            <w:r w:rsidRPr="0053562D">
              <w:rPr>
                <w:rFonts w:asciiTheme="minorHAnsi" w:hAnsiTheme="minorHAnsi"/>
                <w:b/>
                <w:sz w:val="22"/>
                <w:szCs w:val="22"/>
              </w:rPr>
              <w:t>TOTAL</w:t>
            </w:r>
          </w:p>
        </w:tc>
        <w:tc>
          <w:tcPr>
            <w:tcW w:w="1553" w:type="pct"/>
            <w:tcBorders>
              <w:bottom w:val="single" w:sz="4" w:space="0" w:color="auto"/>
            </w:tcBorders>
            <w:shd w:val="clear" w:color="auto" w:fill="D9E2F3" w:themeFill="accent1" w:themeFillTint="33"/>
            <w:vAlign w:val="center"/>
          </w:tcPr>
          <w:p w14:paraId="225BFEE5" w14:textId="2CFE7712" w:rsidR="000E12AC" w:rsidRPr="0053562D" w:rsidRDefault="00113607" w:rsidP="002D7B66">
            <w:pPr>
              <w:jc w:val="right"/>
              <w:rPr>
                <w:rFonts w:asciiTheme="minorHAnsi" w:hAnsiTheme="minorHAnsi"/>
                <w:b/>
                <w:sz w:val="22"/>
                <w:szCs w:val="22"/>
              </w:rPr>
            </w:pPr>
            <w:r>
              <w:rPr>
                <w:rFonts w:asciiTheme="minorHAnsi" w:hAnsiTheme="minorHAnsi"/>
                <w:b/>
                <w:sz w:val="22"/>
                <w:szCs w:val="22"/>
              </w:rPr>
              <w:t>$</w:t>
            </w:r>
            <w:r w:rsidR="001F32ED">
              <w:rPr>
                <w:rFonts w:asciiTheme="minorHAnsi" w:hAnsiTheme="minorHAnsi"/>
                <w:b/>
                <w:sz w:val="22"/>
                <w:szCs w:val="22"/>
              </w:rPr>
              <w:t>12,8</w:t>
            </w:r>
            <w:r w:rsidR="00C05307">
              <w:rPr>
                <w:rFonts w:asciiTheme="minorHAnsi" w:hAnsiTheme="minorHAnsi"/>
                <w:b/>
                <w:sz w:val="22"/>
                <w:szCs w:val="22"/>
              </w:rPr>
              <w:t>1</w:t>
            </w:r>
            <w:r w:rsidR="001F32ED">
              <w:rPr>
                <w:rFonts w:asciiTheme="minorHAnsi" w:hAnsiTheme="minorHAnsi"/>
                <w:b/>
                <w:sz w:val="22"/>
                <w:szCs w:val="22"/>
              </w:rPr>
              <w:t>7.92</w:t>
            </w:r>
          </w:p>
        </w:tc>
      </w:tr>
    </w:tbl>
    <w:p w14:paraId="5DAA273F" w14:textId="77777777" w:rsidR="000E12AC" w:rsidRDefault="000E12AC" w:rsidP="00005D26"/>
    <w:p w14:paraId="2705E582" w14:textId="77777777" w:rsidR="00714CCB" w:rsidRDefault="00714CCB">
      <w:pPr>
        <w:spacing w:after="160" w:line="259" w:lineRule="auto"/>
        <w:rPr>
          <w:rFonts w:asciiTheme="minorHAnsi" w:hAnsiTheme="minorHAnsi"/>
          <w:b/>
        </w:rPr>
      </w:pPr>
      <w:r>
        <w:rPr>
          <w:rFonts w:asciiTheme="minorHAnsi" w:hAnsiTheme="minorHAnsi"/>
          <w:b/>
        </w:rPr>
        <w:br w:type="page"/>
      </w:r>
    </w:p>
    <w:p w14:paraId="63B08B87" w14:textId="552C7EB6" w:rsidR="00FA4D2D" w:rsidRPr="0064062A" w:rsidRDefault="00FA4D2D" w:rsidP="0064062A">
      <w:pPr>
        <w:spacing w:after="240"/>
      </w:pPr>
      <w:r>
        <w:rPr>
          <w:rFonts w:asciiTheme="minorHAnsi" w:hAnsiTheme="minorHAnsi"/>
          <w:b/>
        </w:rPr>
        <w:t>3.2.2 Annual charge for HECS-HELP and FEE-HELP providers</w:t>
      </w:r>
      <w:r>
        <w:t xml:space="preserve"> </w:t>
      </w:r>
    </w:p>
    <w:p w14:paraId="06E5AC9D" w14:textId="0622E32C" w:rsidR="00FA4D2D" w:rsidRDefault="00FA4D2D" w:rsidP="00035BC9">
      <w:pPr>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asciiTheme="minorHAnsi" w:hAnsiTheme="minorHAnsi" w:cstheme="minorHAnsi"/>
          <w:b/>
          <w:sz w:val="22"/>
          <w:szCs w:val="22"/>
        </w:rPr>
      </w:pPr>
      <w:r w:rsidRPr="00203EF7">
        <w:rPr>
          <w:rFonts w:asciiTheme="minorHAnsi" w:hAnsiTheme="minorHAnsi" w:cstheme="minorHAnsi"/>
          <w:b/>
          <w:sz w:val="22"/>
          <w:szCs w:val="22"/>
        </w:rPr>
        <w:t xml:space="preserve">Example </w:t>
      </w:r>
      <w:r>
        <w:rPr>
          <w:rFonts w:asciiTheme="minorHAnsi" w:hAnsiTheme="minorHAnsi" w:cstheme="minorHAnsi"/>
          <w:b/>
          <w:sz w:val="22"/>
          <w:szCs w:val="22"/>
        </w:rPr>
        <w:t>3:</w:t>
      </w:r>
      <w:r w:rsidRPr="00203EF7">
        <w:rPr>
          <w:rFonts w:asciiTheme="minorHAnsi" w:hAnsiTheme="minorHAnsi" w:cstheme="minorHAnsi"/>
          <w:b/>
          <w:sz w:val="22"/>
          <w:szCs w:val="22"/>
        </w:rPr>
        <w:t xml:space="preserve"> ‘</w:t>
      </w:r>
      <w:r>
        <w:rPr>
          <w:rFonts w:asciiTheme="minorHAnsi" w:hAnsiTheme="minorHAnsi" w:cstheme="minorHAnsi"/>
          <w:b/>
          <w:sz w:val="22"/>
          <w:szCs w:val="22"/>
        </w:rPr>
        <w:t xml:space="preserve">NUHEP and Table C provider’s financial viability </w:t>
      </w:r>
      <w:r w:rsidR="00874B62">
        <w:rPr>
          <w:rFonts w:asciiTheme="minorHAnsi" w:hAnsiTheme="minorHAnsi" w:cstheme="minorHAnsi"/>
          <w:b/>
          <w:sz w:val="22"/>
          <w:szCs w:val="22"/>
        </w:rPr>
        <w:t>assessment’</w:t>
      </w:r>
      <w:r w:rsidR="00874B62" w:rsidRPr="0051024C">
        <w:rPr>
          <w:rFonts w:asciiTheme="minorHAnsi" w:hAnsiTheme="minorHAnsi" w:cstheme="minorHAnsi"/>
          <w:b/>
          <w:sz w:val="22"/>
          <w:szCs w:val="22"/>
        </w:rPr>
        <w:t xml:space="preserve"> </w:t>
      </w:r>
      <w:r w:rsidRPr="00203EF7">
        <w:rPr>
          <w:rFonts w:asciiTheme="minorHAnsi" w:hAnsiTheme="minorHAnsi" w:cstheme="minorHAnsi"/>
          <w:b/>
          <w:sz w:val="22"/>
          <w:szCs w:val="22"/>
        </w:rPr>
        <w:t>process</w:t>
      </w:r>
    </w:p>
    <w:p w14:paraId="341BAC19" w14:textId="77777777" w:rsidR="00FA4D2D" w:rsidRPr="00203EF7"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Pr>
          <w:rFonts w:asciiTheme="minorHAnsi" w:hAnsiTheme="minorHAnsi" w:cstheme="minorHAnsi"/>
          <w:sz w:val="22"/>
          <w:szCs w:val="22"/>
        </w:rPr>
        <w:t xml:space="preserve">This process would take </w:t>
      </w:r>
      <w:proofErr w:type="gramStart"/>
      <w:r>
        <w:rPr>
          <w:rFonts w:asciiTheme="minorHAnsi" w:hAnsiTheme="minorHAnsi" w:cstheme="minorHAnsi"/>
          <w:sz w:val="22"/>
          <w:szCs w:val="22"/>
        </w:rPr>
        <w:t>one</w:t>
      </w:r>
      <w:proofErr w:type="gramEnd"/>
      <w:r>
        <w:rPr>
          <w:rFonts w:asciiTheme="minorHAnsi" w:hAnsiTheme="minorHAnsi" w:cstheme="minorHAnsi"/>
          <w:sz w:val="22"/>
          <w:szCs w:val="22"/>
        </w:rPr>
        <w:t xml:space="preserve"> junior administrative officer, one senior administrative officer, one junior executive-level officer and one senior executive-level officer, 24 hours to complete an average. </w:t>
      </w:r>
    </w:p>
    <w:p w14:paraId="24A6033D" w14:textId="77777777" w:rsidR="00FA4D2D" w:rsidRPr="00203EF7"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Pr>
          <w:rFonts w:asciiTheme="minorHAnsi" w:hAnsiTheme="minorHAnsi" w:cstheme="minorHAnsi"/>
          <w:sz w:val="22"/>
          <w:szCs w:val="22"/>
        </w:rPr>
        <w:t xml:space="preserve">The process involves reviewing provider input including their financial statements and company information. Any follow up queries to providers occur in order to seek clarification of uncertainties or to seek additional information. </w:t>
      </w:r>
    </w:p>
    <w:p w14:paraId="0FD711EE" w14:textId="77777777" w:rsidR="00FA4D2D"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 department assigns and monitors follow up actions for providers arising</w:t>
      </w:r>
      <w:r w:rsidR="00BD772D">
        <w:rPr>
          <w:rFonts w:asciiTheme="minorHAnsi" w:hAnsiTheme="minorHAnsi" w:cstheme="minorHAnsi"/>
          <w:sz w:val="22"/>
          <w:szCs w:val="22"/>
        </w:rPr>
        <w:t xml:space="preserve"> from the financial and non-financial information provided.</w:t>
      </w:r>
      <w:r>
        <w:rPr>
          <w:rFonts w:asciiTheme="minorHAnsi" w:hAnsiTheme="minorHAnsi" w:cstheme="minorHAnsi"/>
          <w:sz w:val="22"/>
          <w:szCs w:val="22"/>
        </w:rPr>
        <w:t xml:space="preserve"> </w:t>
      </w:r>
    </w:p>
    <w:p w14:paraId="48D797F9" w14:textId="31609927" w:rsidR="00FA4D2D" w:rsidRPr="003006C9"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b/>
          <w:sz w:val="22"/>
          <w:szCs w:val="22"/>
        </w:rPr>
      </w:pPr>
      <w:r w:rsidRPr="003006C9">
        <w:rPr>
          <w:rFonts w:asciiTheme="minorHAnsi" w:hAnsiTheme="minorHAnsi" w:cstheme="minorHAnsi"/>
          <w:sz w:val="22"/>
          <w:szCs w:val="22"/>
        </w:rPr>
        <w:t>The hourly wage for a junior administration officer is $</w:t>
      </w:r>
      <w:r w:rsidR="00BB47D6">
        <w:rPr>
          <w:rFonts w:asciiTheme="minorHAnsi" w:hAnsiTheme="minorHAnsi" w:cstheme="minorHAnsi"/>
          <w:sz w:val="22"/>
          <w:szCs w:val="22"/>
        </w:rPr>
        <w:t>7</w:t>
      </w:r>
      <w:r w:rsidR="00A17F03">
        <w:rPr>
          <w:rFonts w:asciiTheme="minorHAnsi" w:hAnsiTheme="minorHAnsi" w:cstheme="minorHAnsi"/>
          <w:sz w:val="22"/>
          <w:szCs w:val="22"/>
        </w:rPr>
        <w:t>6.49</w:t>
      </w:r>
      <w:r w:rsidRPr="003006C9">
        <w:rPr>
          <w:rFonts w:asciiTheme="minorHAnsi" w:hAnsiTheme="minorHAnsi" w:cstheme="minorHAnsi"/>
          <w:sz w:val="22"/>
          <w:szCs w:val="22"/>
        </w:rPr>
        <w:t xml:space="preserve"> (including on-costs</w:t>
      </w:r>
      <w:r w:rsidR="00D425BB">
        <w:rPr>
          <w:rFonts w:asciiTheme="minorHAnsi" w:hAnsiTheme="minorHAnsi" w:cstheme="minorHAnsi"/>
          <w:sz w:val="22"/>
          <w:szCs w:val="22"/>
        </w:rPr>
        <w:t xml:space="preserve"> and indirect costs</w:t>
      </w:r>
      <w:r w:rsidRPr="003006C9">
        <w:rPr>
          <w:rFonts w:asciiTheme="minorHAnsi" w:hAnsiTheme="minorHAnsi" w:cstheme="minorHAnsi"/>
          <w:sz w:val="22"/>
          <w:szCs w:val="22"/>
        </w:rPr>
        <w:t xml:space="preserve">). </w:t>
      </w:r>
    </w:p>
    <w:p w14:paraId="11EE145C" w14:textId="61E0432F" w:rsidR="00FA4D2D"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 hourly wage rate of a senior administration officer is $8</w:t>
      </w:r>
      <w:r w:rsidR="00A17F03">
        <w:rPr>
          <w:rFonts w:asciiTheme="minorHAnsi" w:hAnsiTheme="minorHAnsi" w:cstheme="minorHAnsi"/>
          <w:sz w:val="22"/>
          <w:szCs w:val="22"/>
        </w:rPr>
        <w:t>7.48</w:t>
      </w:r>
      <w:r>
        <w:rPr>
          <w:rFonts w:asciiTheme="minorHAnsi" w:hAnsiTheme="minorHAnsi" w:cstheme="minorHAnsi"/>
          <w:sz w:val="22"/>
          <w:szCs w:val="22"/>
        </w:rPr>
        <w:t xml:space="preserve"> (including on-costs</w:t>
      </w:r>
      <w:r w:rsidR="00D425BB">
        <w:rPr>
          <w:rFonts w:asciiTheme="minorHAnsi" w:hAnsiTheme="minorHAnsi" w:cstheme="minorHAnsi"/>
          <w:sz w:val="22"/>
          <w:szCs w:val="22"/>
        </w:rPr>
        <w:t xml:space="preserve"> and indirect costs</w:t>
      </w:r>
      <w:r>
        <w:rPr>
          <w:rFonts w:asciiTheme="minorHAnsi" w:hAnsiTheme="minorHAnsi" w:cstheme="minorHAnsi"/>
          <w:sz w:val="22"/>
          <w:szCs w:val="22"/>
        </w:rPr>
        <w:t xml:space="preserve">). </w:t>
      </w:r>
    </w:p>
    <w:p w14:paraId="758FCC49" w14:textId="043AED42" w:rsidR="00FA4D2D"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 hourly wage rate for a junior executive level officer is $10</w:t>
      </w:r>
      <w:r w:rsidR="00A17F03">
        <w:rPr>
          <w:rFonts w:asciiTheme="minorHAnsi" w:hAnsiTheme="minorHAnsi" w:cstheme="minorHAnsi"/>
          <w:sz w:val="22"/>
          <w:szCs w:val="22"/>
        </w:rPr>
        <w:t>3.40</w:t>
      </w:r>
      <w:r>
        <w:rPr>
          <w:rFonts w:asciiTheme="minorHAnsi" w:hAnsiTheme="minorHAnsi" w:cstheme="minorHAnsi"/>
          <w:sz w:val="22"/>
          <w:szCs w:val="22"/>
        </w:rPr>
        <w:t xml:space="preserve"> (including on</w:t>
      </w:r>
      <w:r>
        <w:rPr>
          <w:rFonts w:asciiTheme="minorHAnsi" w:hAnsiTheme="minorHAnsi" w:cstheme="minorHAnsi"/>
          <w:sz w:val="22"/>
          <w:szCs w:val="22"/>
        </w:rPr>
        <w:noBreakHyphen/>
        <w:t>costs</w:t>
      </w:r>
      <w:r w:rsidR="00D425BB">
        <w:rPr>
          <w:rFonts w:asciiTheme="minorHAnsi" w:hAnsiTheme="minorHAnsi" w:cstheme="minorHAnsi"/>
          <w:sz w:val="22"/>
          <w:szCs w:val="22"/>
        </w:rPr>
        <w:t xml:space="preserve"> and indirect costs</w:t>
      </w:r>
      <w:r>
        <w:rPr>
          <w:rFonts w:asciiTheme="minorHAnsi" w:hAnsiTheme="minorHAnsi" w:cstheme="minorHAnsi"/>
          <w:sz w:val="22"/>
          <w:szCs w:val="22"/>
        </w:rPr>
        <w:t xml:space="preserve">). </w:t>
      </w:r>
    </w:p>
    <w:p w14:paraId="289CF592" w14:textId="62967B49" w:rsidR="00FA4D2D"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 hourly wage rate for a senior executive-level officer is $</w:t>
      </w:r>
      <w:r w:rsidR="00BB47D6">
        <w:rPr>
          <w:rFonts w:asciiTheme="minorHAnsi" w:hAnsiTheme="minorHAnsi" w:cstheme="minorHAnsi"/>
          <w:sz w:val="22"/>
          <w:szCs w:val="22"/>
        </w:rPr>
        <w:t>1</w:t>
      </w:r>
      <w:r w:rsidR="00A17F03">
        <w:rPr>
          <w:rFonts w:asciiTheme="minorHAnsi" w:hAnsiTheme="minorHAnsi" w:cstheme="minorHAnsi"/>
          <w:sz w:val="22"/>
          <w:szCs w:val="22"/>
        </w:rPr>
        <w:t>26.49</w:t>
      </w:r>
      <w:r>
        <w:rPr>
          <w:rFonts w:asciiTheme="minorHAnsi" w:hAnsiTheme="minorHAnsi" w:cstheme="minorHAnsi"/>
          <w:sz w:val="22"/>
          <w:szCs w:val="22"/>
        </w:rPr>
        <w:t xml:space="preserve"> (including on</w:t>
      </w:r>
      <w:r>
        <w:rPr>
          <w:rFonts w:asciiTheme="minorHAnsi" w:hAnsiTheme="minorHAnsi" w:cstheme="minorHAnsi"/>
          <w:sz w:val="22"/>
          <w:szCs w:val="22"/>
        </w:rPr>
        <w:noBreakHyphen/>
        <w:t>costs</w:t>
      </w:r>
      <w:r w:rsidR="00D425BB">
        <w:rPr>
          <w:rFonts w:asciiTheme="minorHAnsi" w:hAnsiTheme="minorHAnsi" w:cstheme="minorHAnsi"/>
          <w:sz w:val="22"/>
          <w:szCs w:val="22"/>
        </w:rPr>
        <w:t xml:space="preserve"> and indirect costs</w:t>
      </w:r>
      <w:r>
        <w:rPr>
          <w:rFonts w:asciiTheme="minorHAnsi" w:hAnsiTheme="minorHAnsi" w:cstheme="minorHAnsi"/>
          <w:sz w:val="22"/>
          <w:szCs w:val="22"/>
        </w:rPr>
        <w:t>)</w:t>
      </w:r>
    </w:p>
    <w:p w14:paraId="1F5EBC46" w14:textId="77777777" w:rsidR="006B12EC"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There are 94 providers in this category</w:t>
      </w:r>
      <w:r w:rsidR="00BD772D">
        <w:rPr>
          <w:rFonts w:asciiTheme="minorHAnsi" w:hAnsiTheme="minorHAnsi" w:cstheme="minorHAnsi"/>
          <w:sz w:val="22"/>
          <w:szCs w:val="22"/>
        </w:rPr>
        <w:t xml:space="preserve"> (estimated for </w:t>
      </w:r>
      <w:r w:rsidR="00BD772D" w:rsidRPr="00E00FFE">
        <w:rPr>
          <w:rFonts w:asciiTheme="minorHAnsi" w:hAnsiTheme="minorHAnsi" w:cstheme="minorHAnsi"/>
          <w:sz w:val="22"/>
          <w:szCs w:val="22"/>
        </w:rPr>
        <w:t>20</w:t>
      </w:r>
      <w:r w:rsidR="00E00FFE">
        <w:rPr>
          <w:rFonts w:asciiTheme="minorHAnsi" w:hAnsiTheme="minorHAnsi" w:cstheme="minorHAnsi"/>
          <w:sz w:val="22"/>
          <w:szCs w:val="22"/>
        </w:rPr>
        <w:t>20</w:t>
      </w:r>
      <w:r w:rsidR="00BD772D">
        <w:rPr>
          <w:rFonts w:asciiTheme="minorHAnsi" w:hAnsiTheme="minorHAnsi" w:cstheme="minorHAnsi"/>
          <w:sz w:val="22"/>
          <w:szCs w:val="22"/>
        </w:rPr>
        <w:t>)</w:t>
      </w:r>
      <w:r>
        <w:rPr>
          <w:rFonts w:asciiTheme="minorHAnsi" w:hAnsiTheme="minorHAnsi" w:cstheme="minorHAnsi"/>
          <w:sz w:val="22"/>
          <w:szCs w:val="22"/>
        </w:rPr>
        <w:t>.</w:t>
      </w:r>
    </w:p>
    <w:p w14:paraId="2B970EA8" w14:textId="6F86D3F4" w:rsidR="00FA4D2D"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 xml:space="preserve">It is assumed that, </w:t>
      </w:r>
      <w:r w:rsidRPr="00203EF7">
        <w:rPr>
          <w:rFonts w:asciiTheme="minorHAnsi" w:hAnsiTheme="minorHAnsi" w:cstheme="minorHAnsi"/>
          <w:sz w:val="22"/>
          <w:szCs w:val="22"/>
        </w:rPr>
        <w:t xml:space="preserve">the department </w:t>
      </w:r>
      <w:r w:rsidR="00BD772D">
        <w:rPr>
          <w:rFonts w:asciiTheme="minorHAnsi" w:hAnsiTheme="minorHAnsi" w:cstheme="minorHAnsi"/>
          <w:sz w:val="22"/>
          <w:szCs w:val="22"/>
        </w:rPr>
        <w:t xml:space="preserve">will record and assess the results of </w:t>
      </w:r>
      <w:r w:rsidR="00A126E5">
        <w:rPr>
          <w:rFonts w:asciiTheme="minorHAnsi" w:hAnsiTheme="minorHAnsi" w:cstheme="minorHAnsi"/>
          <w:sz w:val="22"/>
          <w:szCs w:val="22"/>
        </w:rPr>
        <w:t xml:space="preserve">approximately </w:t>
      </w:r>
      <w:r w:rsidR="00BD772D">
        <w:rPr>
          <w:rFonts w:asciiTheme="minorHAnsi" w:hAnsiTheme="minorHAnsi" w:cstheme="minorHAnsi"/>
          <w:sz w:val="22"/>
          <w:szCs w:val="22"/>
        </w:rPr>
        <w:t xml:space="preserve">87 providers, with the senior executive-level officer </w:t>
      </w:r>
      <w:r w:rsidR="009607A3">
        <w:rPr>
          <w:rFonts w:asciiTheme="minorHAnsi" w:hAnsiTheme="minorHAnsi" w:cstheme="minorHAnsi"/>
          <w:sz w:val="22"/>
          <w:szCs w:val="22"/>
        </w:rPr>
        <w:t xml:space="preserve">making direct contact with </w:t>
      </w:r>
      <w:r w:rsidR="00A126E5">
        <w:rPr>
          <w:rFonts w:asciiTheme="minorHAnsi" w:hAnsiTheme="minorHAnsi" w:cstheme="minorHAnsi"/>
          <w:sz w:val="22"/>
          <w:szCs w:val="22"/>
        </w:rPr>
        <w:t xml:space="preserve">the remaining </w:t>
      </w:r>
      <w:r w:rsidR="009607A3">
        <w:rPr>
          <w:rFonts w:asciiTheme="minorHAnsi" w:hAnsiTheme="minorHAnsi" w:cstheme="minorHAnsi"/>
          <w:sz w:val="22"/>
          <w:szCs w:val="22"/>
        </w:rPr>
        <w:t xml:space="preserve">providers’ Chief Financial Officer/Chief Executive Officer (around seven each year) to formally follow up on further analysis or clarification of information. </w:t>
      </w:r>
    </w:p>
    <w:p w14:paraId="6DB5CE5A" w14:textId="0EE65CBB" w:rsidR="008B139E" w:rsidRPr="00151A07" w:rsidRDefault="008B139E" w:rsidP="00151A07">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For approximately 87 providers, the total cost per assessment is (5 x $7</w:t>
      </w:r>
      <w:r w:rsidR="00A17F03">
        <w:rPr>
          <w:rFonts w:asciiTheme="minorHAnsi" w:hAnsiTheme="minorHAnsi" w:cstheme="minorHAnsi"/>
          <w:sz w:val="22"/>
          <w:szCs w:val="22"/>
        </w:rPr>
        <w:t>6.49</w:t>
      </w:r>
      <w:r>
        <w:rPr>
          <w:rFonts w:asciiTheme="minorHAnsi" w:hAnsiTheme="minorHAnsi" w:cstheme="minorHAnsi"/>
          <w:sz w:val="22"/>
          <w:szCs w:val="22"/>
        </w:rPr>
        <w:t>) + (10 x $8</w:t>
      </w:r>
      <w:r w:rsidR="00A17F03">
        <w:rPr>
          <w:rFonts w:asciiTheme="minorHAnsi" w:hAnsiTheme="minorHAnsi" w:cstheme="minorHAnsi"/>
          <w:sz w:val="22"/>
          <w:szCs w:val="22"/>
        </w:rPr>
        <w:t>7.48</w:t>
      </w:r>
      <w:r>
        <w:rPr>
          <w:rFonts w:asciiTheme="minorHAnsi" w:hAnsiTheme="minorHAnsi" w:cstheme="minorHAnsi"/>
          <w:sz w:val="22"/>
          <w:szCs w:val="22"/>
        </w:rPr>
        <w:t>) +</w:t>
      </w:r>
      <w:r w:rsidR="00151A07">
        <w:rPr>
          <w:rFonts w:asciiTheme="minorHAnsi" w:hAnsiTheme="minorHAnsi" w:cstheme="minorHAnsi"/>
          <w:sz w:val="22"/>
          <w:szCs w:val="22"/>
        </w:rPr>
        <w:t> </w:t>
      </w:r>
      <w:r w:rsidRPr="00151A07">
        <w:rPr>
          <w:rFonts w:asciiTheme="minorHAnsi" w:hAnsiTheme="minorHAnsi" w:cstheme="minorHAnsi"/>
          <w:sz w:val="22"/>
          <w:szCs w:val="22"/>
        </w:rPr>
        <w:t>(4</w:t>
      </w:r>
      <w:r w:rsidR="00151A07" w:rsidRPr="00151A07">
        <w:rPr>
          <w:rFonts w:asciiTheme="minorHAnsi" w:hAnsiTheme="minorHAnsi" w:cstheme="minorHAnsi"/>
          <w:sz w:val="22"/>
          <w:szCs w:val="22"/>
        </w:rPr>
        <w:t> </w:t>
      </w:r>
      <w:r w:rsidR="00287933">
        <w:rPr>
          <w:rFonts w:asciiTheme="minorHAnsi" w:hAnsiTheme="minorHAnsi" w:cstheme="minorHAnsi"/>
          <w:sz w:val="22"/>
          <w:szCs w:val="22"/>
        </w:rPr>
        <w:t>x $10</w:t>
      </w:r>
      <w:r w:rsidR="00A17F03">
        <w:rPr>
          <w:rFonts w:asciiTheme="minorHAnsi" w:hAnsiTheme="minorHAnsi" w:cstheme="minorHAnsi"/>
          <w:sz w:val="22"/>
          <w:szCs w:val="22"/>
        </w:rPr>
        <w:t>3</w:t>
      </w:r>
      <w:r w:rsidR="00287933">
        <w:rPr>
          <w:rFonts w:asciiTheme="minorHAnsi" w:hAnsiTheme="minorHAnsi" w:cstheme="minorHAnsi"/>
          <w:sz w:val="22"/>
          <w:szCs w:val="22"/>
        </w:rPr>
        <w:t>.</w:t>
      </w:r>
      <w:r w:rsidR="00A17F03">
        <w:rPr>
          <w:rFonts w:asciiTheme="minorHAnsi" w:hAnsiTheme="minorHAnsi" w:cstheme="minorHAnsi"/>
          <w:sz w:val="22"/>
          <w:szCs w:val="22"/>
        </w:rPr>
        <w:t>4</w:t>
      </w:r>
      <w:r w:rsidR="0065591C">
        <w:rPr>
          <w:rFonts w:asciiTheme="minorHAnsi" w:hAnsiTheme="minorHAnsi" w:cstheme="minorHAnsi"/>
          <w:sz w:val="22"/>
          <w:szCs w:val="22"/>
        </w:rPr>
        <w:t>0</w:t>
      </w:r>
      <w:r w:rsidR="00287933">
        <w:rPr>
          <w:rFonts w:asciiTheme="minorHAnsi" w:hAnsiTheme="minorHAnsi" w:cstheme="minorHAnsi"/>
          <w:sz w:val="22"/>
          <w:szCs w:val="22"/>
        </w:rPr>
        <w:t>) = $1,</w:t>
      </w:r>
      <w:r w:rsidR="00A17F03">
        <w:rPr>
          <w:rFonts w:asciiTheme="minorHAnsi" w:hAnsiTheme="minorHAnsi" w:cstheme="minorHAnsi"/>
          <w:sz w:val="22"/>
          <w:szCs w:val="22"/>
        </w:rPr>
        <w:t>670.85</w:t>
      </w:r>
    </w:p>
    <w:p w14:paraId="227E1D18" w14:textId="594EC82A" w:rsidR="008B139E" w:rsidRPr="00203EF7" w:rsidRDefault="008B139E"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heme="minorHAnsi" w:hAnsiTheme="minorHAnsi" w:cstheme="minorHAnsi"/>
          <w:sz w:val="22"/>
          <w:szCs w:val="22"/>
        </w:rPr>
      </w:pPr>
      <w:r>
        <w:rPr>
          <w:rFonts w:asciiTheme="minorHAnsi" w:hAnsiTheme="minorHAnsi" w:cstheme="minorHAnsi"/>
          <w:sz w:val="22"/>
          <w:szCs w:val="22"/>
        </w:rPr>
        <w:t xml:space="preserve">For approximately </w:t>
      </w:r>
      <w:r w:rsidR="009C7C43">
        <w:rPr>
          <w:rFonts w:asciiTheme="minorHAnsi" w:hAnsiTheme="minorHAnsi" w:cstheme="minorHAnsi"/>
          <w:sz w:val="22"/>
          <w:szCs w:val="22"/>
        </w:rPr>
        <w:t>seven</w:t>
      </w:r>
      <w:r>
        <w:rPr>
          <w:rFonts w:asciiTheme="minorHAnsi" w:hAnsiTheme="minorHAnsi" w:cstheme="minorHAnsi"/>
          <w:sz w:val="22"/>
          <w:szCs w:val="22"/>
        </w:rPr>
        <w:t xml:space="preserve"> providers who are contacted directly by the department’s senior executive-level officer</w:t>
      </w:r>
      <w:r w:rsidR="00151A07">
        <w:rPr>
          <w:rFonts w:asciiTheme="minorHAnsi" w:hAnsiTheme="minorHAnsi" w:cstheme="minorHAnsi"/>
          <w:sz w:val="22"/>
          <w:szCs w:val="22"/>
        </w:rPr>
        <w:t>,</w:t>
      </w:r>
      <w:r>
        <w:rPr>
          <w:rFonts w:asciiTheme="minorHAnsi" w:hAnsiTheme="minorHAnsi" w:cstheme="minorHAnsi"/>
          <w:sz w:val="22"/>
          <w:szCs w:val="22"/>
        </w:rPr>
        <w:t xml:space="preserve"> the total cost per assessment is </w:t>
      </w:r>
      <w:r w:rsidR="00151A07">
        <w:rPr>
          <w:rFonts w:asciiTheme="minorHAnsi" w:hAnsiTheme="minorHAnsi" w:cstheme="minorHAnsi"/>
          <w:sz w:val="22"/>
          <w:szCs w:val="22"/>
        </w:rPr>
        <w:t>(5 x $7</w:t>
      </w:r>
      <w:r w:rsidR="00A17F03">
        <w:rPr>
          <w:rFonts w:asciiTheme="minorHAnsi" w:hAnsiTheme="minorHAnsi" w:cstheme="minorHAnsi"/>
          <w:sz w:val="22"/>
          <w:szCs w:val="22"/>
        </w:rPr>
        <w:t>6.49</w:t>
      </w:r>
      <w:r w:rsidR="00151A07">
        <w:rPr>
          <w:rFonts w:asciiTheme="minorHAnsi" w:hAnsiTheme="minorHAnsi" w:cstheme="minorHAnsi"/>
          <w:sz w:val="22"/>
          <w:szCs w:val="22"/>
        </w:rPr>
        <w:t>) + (10 x $8</w:t>
      </w:r>
      <w:r w:rsidR="00A17F03">
        <w:rPr>
          <w:rFonts w:asciiTheme="minorHAnsi" w:hAnsiTheme="minorHAnsi" w:cstheme="minorHAnsi"/>
          <w:sz w:val="22"/>
          <w:szCs w:val="22"/>
        </w:rPr>
        <w:t>7.48</w:t>
      </w:r>
      <w:r w:rsidR="00151A07">
        <w:rPr>
          <w:rFonts w:asciiTheme="minorHAnsi" w:hAnsiTheme="minorHAnsi" w:cstheme="minorHAnsi"/>
          <w:sz w:val="22"/>
          <w:szCs w:val="22"/>
        </w:rPr>
        <w:t>) + (4 x $10</w:t>
      </w:r>
      <w:r w:rsidR="00A17F03">
        <w:rPr>
          <w:rFonts w:asciiTheme="minorHAnsi" w:hAnsiTheme="minorHAnsi" w:cstheme="minorHAnsi"/>
          <w:sz w:val="22"/>
          <w:szCs w:val="22"/>
        </w:rPr>
        <w:t>3.40</w:t>
      </w:r>
      <w:r w:rsidR="00151A07">
        <w:rPr>
          <w:rFonts w:asciiTheme="minorHAnsi" w:hAnsiTheme="minorHAnsi" w:cstheme="minorHAnsi"/>
          <w:sz w:val="22"/>
          <w:szCs w:val="22"/>
        </w:rPr>
        <w:t>) + (2 x 1</w:t>
      </w:r>
      <w:r w:rsidR="00A17F03">
        <w:rPr>
          <w:rFonts w:asciiTheme="minorHAnsi" w:hAnsiTheme="minorHAnsi" w:cstheme="minorHAnsi"/>
          <w:sz w:val="22"/>
          <w:szCs w:val="22"/>
        </w:rPr>
        <w:t>26.49</w:t>
      </w:r>
      <w:r w:rsidR="00151A07">
        <w:rPr>
          <w:rFonts w:asciiTheme="minorHAnsi" w:hAnsiTheme="minorHAnsi" w:cstheme="minorHAnsi"/>
          <w:sz w:val="22"/>
          <w:szCs w:val="22"/>
        </w:rPr>
        <w:t>) = $</w:t>
      </w:r>
      <w:r w:rsidR="00A17F03">
        <w:rPr>
          <w:rFonts w:asciiTheme="minorHAnsi" w:hAnsiTheme="minorHAnsi" w:cstheme="minorHAnsi"/>
          <w:sz w:val="22"/>
          <w:szCs w:val="22"/>
        </w:rPr>
        <w:t>1,923.83</w:t>
      </w:r>
    </w:p>
    <w:p w14:paraId="5D1A0857" w14:textId="09A552DD" w:rsidR="00FA4D2D" w:rsidRPr="00203EF7" w:rsidRDefault="00FA4D2D" w:rsidP="00A9258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E2F3" w:themeFill="accent1" w:themeFillTint="33"/>
        <w:spacing w:after="240"/>
        <w:jc w:val="both"/>
        <w:rPr>
          <w:rFonts w:asciiTheme="minorHAnsi" w:hAnsiTheme="minorHAnsi" w:cstheme="minorHAnsi"/>
          <w:sz w:val="22"/>
          <w:szCs w:val="22"/>
        </w:rPr>
      </w:pPr>
      <w:r>
        <w:rPr>
          <w:rFonts w:asciiTheme="minorHAnsi" w:hAnsiTheme="minorHAnsi" w:cstheme="minorHAnsi"/>
          <w:sz w:val="22"/>
          <w:szCs w:val="22"/>
        </w:rPr>
        <w:t xml:space="preserve">The total cost of the ‘NUHEP and Table C provider financial viability </w:t>
      </w:r>
      <w:r w:rsidR="00B613FD">
        <w:rPr>
          <w:rFonts w:asciiTheme="minorHAnsi" w:hAnsiTheme="minorHAnsi" w:cstheme="minorHAnsi"/>
          <w:sz w:val="22"/>
          <w:szCs w:val="22"/>
        </w:rPr>
        <w:t>assessment</w:t>
      </w:r>
      <w:r>
        <w:rPr>
          <w:rFonts w:asciiTheme="minorHAnsi" w:hAnsiTheme="minorHAnsi" w:cstheme="minorHAnsi"/>
          <w:sz w:val="22"/>
          <w:szCs w:val="22"/>
        </w:rPr>
        <w:t xml:space="preserve">’ is </w:t>
      </w:r>
      <w:r w:rsidRPr="003019BB">
        <w:rPr>
          <w:rFonts w:asciiTheme="minorHAnsi" w:hAnsiTheme="minorHAnsi" w:cstheme="minorHAnsi"/>
          <w:sz w:val="22"/>
          <w:szCs w:val="22"/>
        </w:rPr>
        <w:t>$</w:t>
      </w:r>
      <w:r w:rsidR="003D1B9A">
        <w:rPr>
          <w:rFonts w:asciiTheme="minorHAnsi" w:hAnsiTheme="minorHAnsi" w:cstheme="minorHAnsi"/>
          <w:sz w:val="22"/>
          <w:szCs w:val="22"/>
        </w:rPr>
        <w:t>1</w:t>
      </w:r>
      <w:r w:rsidR="00A17F03">
        <w:rPr>
          <w:rFonts w:asciiTheme="minorHAnsi" w:hAnsiTheme="minorHAnsi" w:cstheme="minorHAnsi"/>
          <w:sz w:val="22"/>
          <w:szCs w:val="22"/>
        </w:rPr>
        <w:t>58,830.76</w:t>
      </w:r>
    </w:p>
    <w:p w14:paraId="4D754511" w14:textId="77777777" w:rsidR="00A22DC8" w:rsidRDefault="00A22DC8">
      <w:pPr>
        <w:spacing w:after="160" w:line="259" w:lineRule="auto"/>
        <w:rPr>
          <w:rFonts w:asciiTheme="minorHAnsi" w:hAnsiTheme="minorHAnsi"/>
          <w:b/>
        </w:rPr>
      </w:pPr>
      <w:r>
        <w:rPr>
          <w:rFonts w:asciiTheme="minorHAnsi" w:hAnsiTheme="minorHAnsi"/>
          <w:b/>
        </w:rPr>
        <w:br w:type="page"/>
      </w:r>
    </w:p>
    <w:p w14:paraId="4ABECC1E" w14:textId="3A50EBDD" w:rsidR="00FA4D2D" w:rsidRPr="00FA4D2D" w:rsidRDefault="00FA4D2D" w:rsidP="0064062A">
      <w:pPr>
        <w:spacing w:before="240" w:after="120"/>
        <w:rPr>
          <w:rFonts w:asciiTheme="minorHAnsi" w:hAnsiTheme="minorHAnsi"/>
          <w:b/>
        </w:rPr>
      </w:pPr>
      <w:r w:rsidRPr="00E00FFE">
        <w:rPr>
          <w:rFonts w:asciiTheme="minorHAnsi" w:hAnsiTheme="minorHAnsi"/>
          <w:b/>
        </w:rPr>
        <w:t>Table 2: Process and costs per regulatory activity - 20</w:t>
      </w:r>
      <w:r w:rsidR="00E00FFE">
        <w:rPr>
          <w:rFonts w:asciiTheme="minorHAnsi" w:hAnsiTheme="minorHAnsi"/>
          <w:b/>
        </w:rPr>
        <w:t>20</w:t>
      </w:r>
    </w:p>
    <w:tbl>
      <w:tblPr>
        <w:tblStyle w:val="TableGrid"/>
        <w:tblW w:w="9356" w:type="dxa"/>
        <w:tblInd w:w="-147" w:type="dxa"/>
        <w:tblLayout w:type="fixed"/>
        <w:tblLook w:val="04A0" w:firstRow="1" w:lastRow="0" w:firstColumn="1" w:lastColumn="0" w:noHBand="0" w:noVBand="1"/>
      </w:tblPr>
      <w:tblGrid>
        <w:gridCol w:w="6414"/>
        <w:gridCol w:w="2942"/>
      </w:tblGrid>
      <w:tr w:rsidR="00FA4D2D" w:rsidRPr="003C60CC" w14:paraId="7F7D16A6" w14:textId="77777777" w:rsidTr="00A92589">
        <w:trPr>
          <w:trHeight w:hRule="exact" w:val="170"/>
        </w:trPr>
        <w:tc>
          <w:tcPr>
            <w:tcW w:w="3428" w:type="pct"/>
            <w:vMerge w:val="restart"/>
            <w:shd w:val="solid" w:color="D9E2F3" w:themeColor="accent1" w:themeTint="33" w:fill="D5DCE4" w:themeFill="text2" w:themeFillTint="33"/>
            <w:vAlign w:val="center"/>
          </w:tcPr>
          <w:p w14:paraId="14A984ED" w14:textId="77777777" w:rsidR="00FA4D2D" w:rsidRPr="0053562D" w:rsidRDefault="00FA4D2D" w:rsidP="00BD772D">
            <w:pPr>
              <w:rPr>
                <w:rFonts w:asciiTheme="minorHAnsi" w:hAnsiTheme="minorHAnsi"/>
                <w:b/>
                <w:sz w:val="22"/>
                <w:szCs w:val="22"/>
              </w:rPr>
            </w:pPr>
            <w:r w:rsidRPr="0053562D">
              <w:rPr>
                <w:rFonts w:asciiTheme="minorHAnsi" w:hAnsiTheme="minorHAnsi"/>
                <w:b/>
                <w:sz w:val="22"/>
                <w:szCs w:val="22"/>
              </w:rPr>
              <w:t>Activities and outputs</w:t>
            </w:r>
          </w:p>
        </w:tc>
        <w:tc>
          <w:tcPr>
            <w:tcW w:w="1572" w:type="pct"/>
            <w:vMerge w:val="restart"/>
            <w:shd w:val="solid" w:color="D9E2F3" w:themeColor="accent1" w:themeTint="33" w:fill="D5DCE4" w:themeFill="text2" w:themeFillTint="33"/>
            <w:vAlign w:val="center"/>
          </w:tcPr>
          <w:p w14:paraId="465D2C66" w14:textId="77777777" w:rsidR="00FA4D2D" w:rsidRPr="0053562D" w:rsidRDefault="00FA4D2D" w:rsidP="00BD772D">
            <w:pPr>
              <w:jc w:val="right"/>
              <w:rPr>
                <w:rFonts w:asciiTheme="minorHAnsi" w:hAnsiTheme="minorHAnsi"/>
                <w:b/>
                <w:sz w:val="22"/>
                <w:szCs w:val="22"/>
              </w:rPr>
            </w:pPr>
            <w:r w:rsidRPr="0053562D">
              <w:rPr>
                <w:rFonts w:asciiTheme="minorHAnsi" w:hAnsiTheme="minorHAnsi"/>
                <w:b/>
                <w:sz w:val="22"/>
                <w:szCs w:val="22"/>
              </w:rPr>
              <w:t>Direct costs ($)</w:t>
            </w:r>
          </w:p>
        </w:tc>
      </w:tr>
      <w:tr w:rsidR="00FA4D2D" w:rsidRPr="003C60CC" w14:paraId="5BB647D8" w14:textId="77777777" w:rsidTr="00A92589">
        <w:trPr>
          <w:trHeight w:val="269"/>
        </w:trPr>
        <w:tc>
          <w:tcPr>
            <w:tcW w:w="3428" w:type="pct"/>
            <w:vMerge/>
            <w:shd w:val="clear" w:color="auto" w:fill="auto"/>
            <w:vAlign w:val="center"/>
          </w:tcPr>
          <w:p w14:paraId="7CDAD716" w14:textId="77777777" w:rsidR="00FA4D2D" w:rsidRDefault="00FA4D2D" w:rsidP="00BD772D">
            <w:pPr>
              <w:rPr>
                <w:rFonts w:asciiTheme="minorHAnsi" w:hAnsiTheme="minorHAnsi"/>
                <w:sz w:val="22"/>
                <w:szCs w:val="22"/>
              </w:rPr>
            </w:pPr>
          </w:p>
        </w:tc>
        <w:tc>
          <w:tcPr>
            <w:tcW w:w="1572" w:type="pct"/>
            <w:vMerge/>
            <w:shd w:val="clear" w:color="auto" w:fill="auto"/>
            <w:vAlign w:val="center"/>
          </w:tcPr>
          <w:p w14:paraId="727A5FB3" w14:textId="77777777" w:rsidR="00FA4D2D" w:rsidRDefault="00FA4D2D" w:rsidP="00BD772D">
            <w:pPr>
              <w:jc w:val="right"/>
              <w:rPr>
                <w:rFonts w:asciiTheme="minorHAnsi" w:hAnsiTheme="minorHAnsi"/>
                <w:b/>
                <w:sz w:val="22"/>
                <w:szCs w:val="22"/>
              </w:rPr>
            </w:pPr>
          </w:p>
        </w:tc>
      </w:tr>
      <w:tr w:rsidR="00A17F03" w:rsidRPr="003C60CC" w14:paraId="5FC645DC" w14:textId="77777777" w:rsidTr="00F9179D">
        <w:trPr>
          <w:trHeight w:val="271"/>
        </w:trPr>
        <w:tc>
          <w:tcPr>
            <w:tcW w:w="3428" w:type="pct"/>
            <w:shd w:val="clear" w:color="auto" w:fill="auto"/>
            <w:vAlign w:val="center"/>
          </w:tcPr>
          <w:p w14:paraId="7AEF0002" w14:textId="77777777" w:rsidR="00A17F03" w:rsidRPr="0053562D" w:rsidRDefault="00A17F03" w:rsidP="00A17F03">
            <w:pPr>
              <w:rPr>
                <w:rFonts w:asciiTheme="minorHAnsi" w:hAnsiTheme="minorHAnsi"/>
                <w:b/>
                <w:sz w:val="22"/>
                <w:szCs w:val="22"/>
              </w:rPr>
            </w:pPr>
            <w:r w:rsidRPr="0053562D">
              <w:rPr>
                <w:rFonts w:asciiTheme="minorHAnsi" w:hAnsiTheme="minorHAnsi"/>
                <w:b/>
                <w:sz w:val="22"/>
                <w:szCs w:val="22"/>
              </w:rPr>
              <w:t>Enquiries</w:t>
            </w:r>
            <w:r>
              <w:rPr>
                <w:rFonts w:asciiTheme="minorHAnsi" w:hAnsiTheme="minorHAnsi"/>
                <w:b/>
                <w:sz w:val="22"/>
                <w:szCs w:val="22"/>
              </w:rPr>
              <w:t xml:space="preserve"> </w:t>
            </w:r>
            <w:r w:rsidRPr="0032218E">
              <w:rPr>
                <w:rFonts w:asciiTheme="minorHAnsi" w:hAnsiTheme="minorHAnsi"/>
                <w:b/>
                <w:sz w:val="22"/>
                <w:szCs w:val="22"/>
              </w:rPr>
              <w:t>(including telephone and email queries, and ministerial correspondence in relation to compliance of HEPs)</w:t>
            </w:r>
          </w:p>
        </w:tc>
        <w:tc>
          <w:tcPr>
            <w:tcW w:w="1572" w:type="pct"/>
            <w:shd w:val="clear" w:color="auto" w:fill="auto"/>
            <w:vAlign w:val="center"/>
          </w:tcPr>
          <w:p w14:paraId="3DE04510" w14:textId="6A1D1DFC" w:rsidR="00A17F03" w:rsidRPr="006E3631" w:rsidRDefault="00A17F03" w:rsidP="00A17F03">
            <w:pPr>
              <w:jc w:val="right"/>
              <w:rPr>
                <w:rFonts w:asciiTheme="minorHAnsi" w:hAnsiTheme="minorHAnsi"/>
                <w:b/>
                <w:sz w:val="22"/>
                <w:szCs w:val="22"/>
              </w:rPr>
            </w:pPr>
            <w:r>
              <w:rPr>
                <w:rFonts w:ascii="Calibri" w:hAnsi="Calibri" w:cs="Calibri"/>
                <w:b/>
                <w:bCs/>
                <w:color w:val="000000"/>
                <w:sz w:val="22"/>
                <w:szCs w:val="22"/>
              </w:rPr>
              <w:t>$1,078,322.79</w:t>
            </w:r>
          </w:p>
        </w:tc>
      </w:tr>
      <w:tr w:rsidR="00A17F03" w:rsidRPr="003C60CC" w14:paraId="16C729AB" w14:textId="77777777" w:rsidTr="00A92589">
        <w:trPr>
          <w:trHeight w:hRule="exact" w:val="283"/>
        </w:trPr>
        <w:tc>
          <w:tcPr>
            <w:tcW w:w="3428" w:type="pct"/>
            <w:shd w:val="clear" w:color="auto" w:fill="auto"/>
            <w:vAlign w:val="center"/>
          </w:tcPr>
          <w:p w14:paraId="5472FAF6" w14:textId="77777777" w:rsidR="00A17F03" w:rsidRPr="003C60CC" w:rsidRDefault="00A17F03" w:rsidP="00A17F03">
            <w:pPr>
              <w:ind w:left="205"/>
              <w:rPr>
                <w:rFonts w:asciiTheme="minorHAnsi" w:hAnsiTheme="minorHAnsi"/>
                <w:sz w:val="22"/>
                <w:szCs w:val="22"/>
              </w:rPr>
            </w:pPr>
            <w:r>
              <w:rPr>
                <w:rFonts w:asciiTheme="minorHAnsi" w:hAnsiTheme="minorHAnsi"/>
                <w:sz w:val="22"/>
                <w:szCs w:val="22"/>
              </w:rPr>
              <w:t>Standard enquiries</w:t>
            </w:r>
          </w:p>
        </w:tc>
        <w:tc>
          <w:tcPr>
            <w:tcW w:w="1572" w:type="pct"/>
            <w:shd w:val="clear" w:color="auto" w:fill="auto"/>
            <w:vAlign w:val="center"/>
          </w:tcPr>
          <w:p w14:paraId="5A129ABD" w14:textId="3CE46458" w:rsidR="00A17F03" w:rsidRPr="00123E7E" w:rsidRDefault="00A17F03" w:rsidP="00A17F03">
            <w:pPr>
              <w:jc w:val="right"/>
              <w:rPr>
                <w:rFonts w:asciiTheme="minorHAnsi" w:hAnsiTheme="minorHAnsi"/>
                <w:sz w:val="22"/>
                <w:szCs w:val="22"/>
              </w:rPr>
            </w:pPr>
            <w:r>
              <w:rPr>
                <w:rFonts w:ascii="Calibri" w:hAnsi="Calibri" w:cs="Calibri"/>
                <w:color w:val="000000"/>
                <w:sz w:val="22"/>
                <w:szCs w:val="22"/>
              </w:rPr>
              <w:t>$611,195.26</w:t>
            </w:r>
          </w:p>
        </w:tc>
      </w:tr>
      <w:tr w:rsidR="00A17F03" w:rsidRPr="003C60CC" w14:paraId="66CF8276" w14:textId="77777777" w:rsidTr="00A92589">
        <w:trPr>
          <w:trHeight w:hRule="exact" w:val="283"/>
        </w:trPr>
        <w:tc>
          <w:tcPr>
            <w:tcW w:w="3428" w:type="pct"/>
            <w:shd w:val="clear" w:color="auto" w:fill="auto"/>
            <w:vAlign w:val="center"/>
          </w:tcPr>
          <w:p w14:paraId="719632E6" w14:textId="77777777" w:rsidR="00A17F03" w:rsidRPr="003C60CC" w:rsidRDefault="00A17F03" w:rsidP="00A17F03">
            <w:pPr>
              <w:ind w:left="205"/>
              <w:rPr>
                <w:rFonts w:asciiTheme="minorHAnsi" w:hAnsiTheme="minorHAnsi"/>
                <w:sz w:val="22"/>
                <w:szCs w:val="22"/>
              </w:rPr>
            </w:pPr>
            <w:r>
              <w:rPr>
                <w:rFonts w:asciiTheme="minorHAnsi" w:hAnsiTheme="minorHAnsi"/>
                <w:sz w:val="22"/>
                <w:szCs w:val="22"/>
              </w:rPr>
              <w:t>NUHEP and Table C provider specific enquiries</w:t>
            </w:r>
          </w:p>
        </w:tc>
        <w:tc>
          <w:tcPr>
            <w:tcW w:w="1572" w:type="pct"/>
            <w:shd w:val="clear" w:color="auto" w:fill="auto"/>
            <w:vAlign w:val="center"/>
          </w:tcPr>
          <w:p w14:paraId="2A2BA116" w14:textId="2C060162" w:rsidR="00A17F03" w:rsidRPr="003C60CC" w:rsidRDefault="00A17F03" w:rsidP="00A17F03">
            <w:pPr>
              <w:jc w:val="right"/>
              <w:rPr>
                <w:rFonts w:asciiTheme="minorHAnsi" w:hAnsiTheme="minorHAnsi"/>
                <w:sz w:val="22"/>
                <w:szCs w:val="22"/>
              </w:rPr>
            </w:pPr>
            <w:r>
              <w:rPr>
                <w:rFonts w:ascii="Calibri" w:hAnsi="Calibri" w:cs="Calibri"/>
                <w:color w:val="000000"/>
                <w:sz w:val="22"/>
                <w:szCs w:val="22"/>
              </w:rPr>
              <w:t>$312,256.13</w:t>
            </w:r>
          </w:p>
        </w:tc>
      </w:tr>
      <w:tr w:rsidR="00A17F03" w:rsidRPr="003C60CC" w14:paraId="30397A2B" w14:textId="77777777" w:rsidTr="00A92589">
        <w:trPr>
          <w:trHeight w:hRule="exact" w:val="283"/>
        </w:trPr>
        <w:tc>
          <w:tcPr>
            <w:tcW w:w="3428" w:type="pct"/>
            <w:shd w:val="clear" w:color="auto" w:fill="auto"/>
            <w:vAlign w:val="center"/>
          </w:tcPr>
          <w:p w14:paraId="41CCCEEB" w14:textId="77777777" w:rsidR="00A17F03" w:rsidRDefault="00A17F03" w:rsidP="00A17F03">
            <w:pPr>
              <w:ind w:left="205"/>
              <w:rPr>
                <w:rFonts w:asciiTheme="minorHAnsi" w:hAnsiTheme="minorHAnsi"/>
                <w:sz w:val="22"/>
                <w:szCs w:val="22"/>
              </w:rPr>
            </w:pPr>
            <w:r>
              <w:rPr>
                <w:rFonts w:asciiTheme="minorHAnsi" w:hAnsiTheme="minorHAnsi"/>
                <w:sz w:val="22"/>
                <w:szCs w:val="22"/>
              </w:rPr>
              <w:t>University specific enquiries</w:t>
            </w:r>
          </w:p>
        </w:tc>
        <w:tc>
          <w:tcPr>
            <w:tcW w:w="1572" w:type="pct"/>
            <w:shd w:val="clear" w:color="auto" w:fill="auto"/>
            <w:vAlign w:val="center"/>
          </w:tcPr>
          <w:p w14:paraId="692AF658" w14:textId="2AD2EEF2" w:rsidR="00A17F03" w:rsidRPr="00123E7E" w:rsidRDefault="00A17F03" w:rsidP="00A17F03">
            <w:pPr>
              <w:jc w:val="right"/>
              <w:rPr>
                <w:rFonts w:asciiTheme="minorHAnsi" w:hAnsiTheme="minorHAnsi"/>
                <w:sz w:val="22"/>
                <w:szCs w:val="22"/>
              </w:rPr>
            </w:pPr>
            <w:r>
              <w:rPr>
                <w:rFonts w:ascii="Calibri" w:hAnsi="Calibri" w:cs="Calibri"/>
                <w:color w:val="000000"/>
                <w:sz w:val="22"/>
                <w:szCs w:val="22"/>
              </w:rPr>
              <w:t>$154,871.40</w:t>
            </w:r>
          </w:p>
        </w:tc>
      </w:tr>
      <w:tr w:rsidR="00A17F03" w:rsidRPr="003C60CC" w14:paraId="0C0BBC53" w14:textId="77777777" w:rsidTr="00A92589">
        <w:trPr>
          <w:trHeight w:hRule="exact" w:val="283"/>
        </w:trPr>
        <w:tc>
          <w:tcPr>
            <w:tcW w:w="3428" w:type="pct"/>
            <w:shd w:val="clear" w:color="auto" w:fill="auto"/>
            <w:vAlign w:val="center"/>
          </w:tcPr>
          <w:p w14:paraId="28108230" w14:textId="77777777" w:rsidR="00A17F03" w:rsidRPr="0053562D" w:rsidRDefault="00A17F03" w:rsidP="00A17F03">
            <w:pPr>
              <w:rPr>
                <w:rFonts w:asciiTheme="minorHAnsi" w:hAnsiTheme="minorHAnsi"/>
                <w:b/>
                <w:sz w:val="22"/>
                <w:szCs w:val="22"/>
              </w:rPr>
            </w:pPr>
            <w:r w:rsidRPr="0053562D">
              <w:rPr>
                <w:rFonts w:asciiTheme="minorHAnsi" w:hAnsiTheme="minorHAnsi"/>
                <w:b/>
                <w:sz w:val="22"/>
                <w:szCs w:val="22"/>
              </w:rPr>
              <w:t>Stakeholder engagement</w:t>
            </w:r>
          </w:p>
        </w:tc>
        <w:tc>
          <w:tcPr>
            <w:tcW w:w="1572" w:type="pct"/>
            <w:shd w:val="clear" w:color="auto" w:fill="auto"/>
            <w:vAlign w:val="center"/>
          </w:tcPr>
          <w:p w14:paraId="1C5F389E" w14:textId="6EE997FD" w:rsidR="00A17F03" w:rsidRPr="003C60CC" w:rsidRDefault="00A17F03" w:rsidP="00A17F03">
            <w:pPr>
              <w:jc w:val="right"/>
              <w:rPr>
                <w:rFonts w:asciiTheme="minorHAnsi" w:hAnsiTheme="minorHAnsi"/>
                <w:sz w:val="22"/>
                <w:szCs w:val="22"/>
              </w:rPr>
            </w:pPr>
            <w:r>
              <w:rPr>
                <w:rFonts w:ascii="Calibri" w:hAnsi="Calibri" w:cs="Calibri"/>
                <w:b/>
                <w:bCs/>
                <w:color w:val="000000"/>
                <w:sz w:val="22"/>
                <w:szCs w:val="22"/>
              </w:rPr>
              <w:t>$552,366.48</w:t>
            </w:r>
          </w:p>
        </w:tc>
      </w:tr>
      <w:tr w:rsidR="00A17F03" w:rsidRPr="003C60CC" w14:paraId="332D414E" w14:textId="77777777" w:rsidTr="00A92589">
        <w:trPr>
          <w:trHeight w:hRule="exact" w:val="283"/>
        </w:trPr>
        <w:tc>
          <w:tcPr>
            <w:tcW w:w="3428" w:type="pct"/>
            <w:shd w:val="clear" w:color="auto" w:fill="auto"/>
            <w:vAlign w:val="center"/>
          </w:tcPr>
          <w:p w14:paraId="39447519" w14:textId="77777777" w:rsidR="00A17F03" w:rsidRDefault="00A17F03" w:rsidP="00A17F03">
            <w:pPr>
              <w:ind w:left="205"/>
              <w:rPr>
                <w:rFonts w:asciiTheme="minorHAnsi" w:hAnsiTheme="minorHAnsi"/>
                <w:sz w:val="22"/>
                <w:szCs w:val="22"/>
              </w:rPr>
            </w:pPr>
            <w:r>
              <w:rPr>
                <w:rFonts w:asciiTheme="minorHAnsi" w:hAnsiTheme="minorHAnsi"/>
                <w:sz w:val="22"/>
                <w:szCs w:val="22"/>
              </w:rPr>
              <w:t>Published materials</w:t>
            </w:r>
          </w:p>
        </w:tc>
        <w:tc>
          <w:tcPr>
            <w:tcW w:w="1572" w:type="pct"/>
            <w:shd w:val="clear" w:color="auto" w:fill="auto"/>
            <w:vAlign w:val="center"/>
          </w:tcPr>
          <w:p w14:paraId="124D1BB9" w14:textId="611E61B2" w:rsidR="00A17F03" w:rsidRPr="003C60CC" w:rsidRDefault="00A17F03" w:rsidP="00A17F03">
            <w:pPr>
              <w:jc w:val="right"/>
              <w:rPr>
                <w:rFonts w:asciiTheme="minorHAnsi" w:hAnsiTheme="minorHAnsi"/>
                <w:sz w:val="22"/>
                <w:szCs w:val="22"/>
              </w:rPr>
            </w:pPr>
            <w:r>
              <w:rPr>
                <w:rFonts w:ascii="Calibri" w:hAnsi="Calibri" w:cs="Calibri"/>
                <w:color w:val="000000"/>
                <w:sz w:val="22"/>
                <w:szCs w:val="22"/>
              </w:rPr>
              <w:t>$397,683.21</w:t>
            </w:r>
          </w:p>
        </w:tc>
      </w:tr>
      <w:tr w:rsidR="00A17F03" w:rsidRPr="003C60CC" w14:paraId="09489D3B" w14:textId="77777777" w:rsidTr="00A92589">
        <w:trPr>
          <w:trHeight w:hRule="exact" w:val="283"/>
        </w:trPr>
        <w:tc>
          <w:tcPr>
            <w:tcW w:w="3428" w:type="pct"/>
            <w:shd w:val="clear" w:color="auto" w:fill="auto"/>
            <w:vAlign w:val="center"/>
          </w:tcPr>
          <w:p w14:paraId="6A2F108B" w14:textId="77777777" w:rsidR="00A17F03" w:rsidRDefault="00A17F03" w:rsidP="00A17F03">
            <w:pPr>
              <w:ind w:left="205"/>
              <w:rPr>
                <w:rFonts w:asciiTheme="minorHAnsi" w:hAnsiTheme="minorHAnsi"/>
                <w:sz w:val="22"/>
                <w:szCs w:val="22"/>
              </w:rPr>
            </w:pPr>
            <w:r>
              <w:rPr>
                <w:rFonts w:asciiTheme="minorHAnsi" w:hAnsiTheme="minorHAnsi"/>
                <w:sz w:val="22"/>
                <w:szCs w:val="22"/>
              </w:rPr>
              <w:t>HELP Provider Workshops and forum</w:t>
            </w:r>
          </w:p>
        </w:tc>
        <w:tc>
          <w:tcPr>
            <w:tcW w:w="1572" w:type="pct"/>
            <w:shd w:val="clear" w:color="auto" w:fill="auto"/>
            <w:vAlign w:val="center"/>
          </w:tcPr>
          <w:p w14:paraId="2A9AA214" w14:textId="64ABB3F7" w:rsidR="00A17F03" w:rsidRPr="003C60CC" w:rsidRDefault="00A17F03" w:rsidP="00A17F03">
            <w:pPr>
              <w:jc w:val="right"/>
              <w:rPr>
                <w:rFonts w:asciiTheme="minorHAnsi" w:hAnsiTheme="minorHAnsi"/>
                <w:sz w:val="22"/>
                <w:szCs w:val="22"/>
              </w:rPr>
            </w:pPr>
            <w:r>
              <w:rPr>
                <w:rFonts w:ascii="Calibri" w:hAnsi="Calibri" w:cs="Calibri"/>
                <w:color w:val="000000"/>
                <w:sz w:val="22"/>
                <w:szCs w:val="22"/>
              </w:rPr>
              <w:t>$154,683.27</w:t>
            </w:r>
          </w:p>
        </w:tc>
      </w:tr>
      <w:tr w:rsidR="00A17F03" w:rsidRPr="003C60CC" w14:paraId="70BB57EB" w14:textId="77777777" w:rsidTr="00A92589">
        <w:trPr>
          <w:trHeight w:hRule="exact" w:val="283"/>
        </w:trPr>
        <w:tc>
          <w:tcPr>
            <w:tcW w:w="3428" w:type="pct"/>
            <w:shd w:val="clear" w:color="auto" w:fill="auto"/>
            <w:vAlign w:val="center"/>
          </w:tcPr>
          <w:p w14:paraId="41C48A3E" w14:textId="77777777" w:rsidR="00A17F03" w:rsidRPr="0053562D" w:rsidRDefault="00A17F03" w:rsidP="00A17F03">
            <w:pPr>
              <w:rPr>
                <w:rFonts w:asciiTheme="minorHAnsi" w:hAnsiTheme="minorHAnsi"/>
                <w:b/>
                <w:sz w:val="22"/>
                <w:szCs w:val="22"/>
              </w:rPr>
            </w:pPr>
            <w:r w:rsidRPr="0053562D">
              <w:rPr>
                <w:rFonts w:asciiTheme="minorHAnsi" w:hAnsiTheme="minorHAnsi"/>
                <w:b/>
                <w:sz w:val="22"/>
                <w:szCs w:val="22"/>
              </w:rPr>
              <w:t>Provider management</w:t>
            </w:r>
            <w:r>
              <w:rPr>
                <w:rFonts w:asciiTheme="minorHAnsi" w:hAnsiTheme="minorHAnsi"/>
                <w:b/>
                <w:sz w:val="22"/>
                <w:szCs w:val="22"/>
              </w:rPr>
              <w:t xml:space="preserve"> and compliance</w:t>
            </w:r>
          </w:p>
        </w:tc>
        <w:tc>
          <w:tcPr>
            <w:tcW w:w="1572" w:type="pct"/>
            <w:shd w:val="clear" w:color="auto" w:fill="auto"/>
            <w:vAlign w:val="center"/>
          </w:tcPr>
          <w:p w14:paraId="2BF85400" w14:textId="31BF0682" w:rsidR="00A17F03" w:rsidRPr="006E3631" w:rsidRDefault="00A17F03" w:rsidP="00A17F03">
            <w:pPr>
              <w:jc w:val="right"/>
              <w:rPr>
                <w:rFonts w:asciiTheme="minorHAnsi" w:hAnsiTheme="minorHAnsi"/>
                <w:b/>
                <w:sz w:val="22"/>
                <w:szCs w:val="22"/>
              </w:rPr>
            </w:pPr>
            <w:r>
              <w:rPr>
                <w:rFonts w:ascii="Calibri" w:hAnsi="Calibri" w:cs="Calibri"/>
                <w:b/>
                <w:bCs/>
                <w:color w:val="000000"/>
                <w:sz w:val="22"/>
                <w:szCs w:val="22"/>
              </w:rPr>
              <w:t>$1,376,794.05</w:t>
            </w:r>
          </w:p>
        </w:tc>
      </w:tr>
      <w:tr w:rsidR="00A17F03" w:rsidRPr="003C60CC" w14:paraId="52D128A7" w14:textId="77777777" w:rsidTr="00A92589">
        <w:trPr>
          <w:trHeight w:hRule="exact" w:val="283"/>
        </w:trPr>
        <w:tc>
          <w:tcPr>
            <w:tcW w:w="3428" w:type="pct"/>
            <w:shd w:val="clear" w:color="auto" w:fill="auto"/>
            <w:vAlign w:val="center"/>
          </w:tcPr>
          <w:p w14:paraId="5E28BCFE" w14:textId="77777777" w:rsidR="00A17F03" w:rsidRPr="00F9380C" w:rsidRDefault="00A17F03" w:rsidP="00A17F03">
            <w:pPr>
              <w:ind w:left="205"/>
              <w:rPr>
                <w:rFonts w:asciiTheme="minorHAnsi" w:hAnsiTheme="minorHAnsi"/>
                <w:sz w:val="22"/>
                <w:szCs w:val="22"/>
              </w:rPr>
            </w:pPr>
            <w:r>
              <w:rPr>
                <w:rFonts w:asciiTheme="minorHAnsi" w:hAnsiTheme="minorHAnsi"/>
                <w:sz w:val="22"/>
                <w:szCs w:val="22"/>
              </w:rPr>
              <w:t xml:space="preserve">NUHEP and Table C providers - training, working groups  </w:t>
            </w:r>
          </w:p>
        </w:tc>
        <w:tc>
          <w:tcPr>
            <w:tcW w:w="1572" w:type="pct"/>
            <w:shd w:val="clear" w:color="auto" w:fill="auto"/>
            <w:vAlign w:val="center"/>
          </w:tcPr>
          <w:p w14:paraId="5BE74865" w14:textId="51AB024C" w:rsidR="00A17F03" w:rsidRPr="00F9380C" w:rsidRDefault="00A17F03" w:rsidP="00A17F03">
            <w:pPr>
              <w:jc w:val="right"/>
              <w:rPr>
                <w:rFonts w:asciiTheme="minorHAnsi" w:hAnsiTheme="minorHAnsi"/>
                <w:sz w:val="22"/>
                <w:szCs w:val="22"/>
              </w:rPr>
            </w:pPr>
            <w:r>
              <w:rPr>
                <w:rFonts w:ascii="Calibri" w:hAnsi="Calibri" w:cs="Calibri"/>
                <w:color w:val="000000"/>
                <w:sz w:val="22"/>
                <w:szCs w:val="22"/>
              </w:rPr>
              <w:t>$306,156.81</w:t>
            </w:r>
          </w:p>
        </w:tc>
      </w:tr>
      <w:tr w:rsidR="00A17F03" w:rsidRPr="003C60CC" w14:paraId="0A4A6D6A" w14:textId="77777777" w:rsidTr="00A92589">
        <w:trPr>
          <w:trHeight w:hRule="exact" w:val="283"/>
        </w:trPr>
        <w:tc>
          <w:tcPr>
            <w:tcW w:w="3428" w:type="pct"/>
            <w:shd w:val="clear" w:color="auto" w:fill="auto"/>
            <w:vAlign w:val="center"/>
          </w:tcPr>
          <w:p w14:paraId="3D115FF7" w14:textId="77777777" w:rsidR="00A17F03" w:rsidRPr="00F9380C" w:rsidRDefault="00A17F03" w:rsidP="00A17F03">
            <w:pPr>
              <w:ind w:left="205"/>
              <w:rPr>
                <w:rFonts w:asciiTheme="minorHAnsi" w:hAnsiTheme="minorHAnsi"/>
                <w:sz w:val="22"/>
                <w:szCs w:val="22"/>
              </w:rPr>
            </w:pPr>
            <w:r>
              <w:rPr>
                <w:rFonts w:asciiTheme="minorHAnsi" w:hAnsiTheme="minorHAnsi"/>
                <w:sz w:val="22"/>
                <w:szCs w:val="22"/>
              </w:rPr>
              <w:t>University - training, working groups</w:t>
            </w:r>
          </w:p>
        </w:tc>
        <w:tc>
          <w:tcPr>
            <w:tcW w:w="1572" w:type="pct"/>
            <w:shd w:val="clear" w:color="auto" w:fill="auto"/>
            <w:vAlign w:val="center"/>
          </w:tcPr>
          <w:p w14:paraId="5E9B63A4" w14:textId="6AA47DD8" w:rsidR="00A17F03" w:rsidRPr="00F9380C" w:rsidRDefault="00A17F03" w:rsidP="00A17F03">
            <w:pPr>
              <w:jc w:val="right"/>
              <w:rPr>
                <w:rFonts w:asciiTheme="minorHAnsi" w:hAnsiTheme="minorHAnsi"/>
                <w:sz w:val="22"/>
                <w:szCs w:val="22"/>
              </w:rPr>
            </w:pPr>
            <w:r>
              <w:rPr>
                <w:rFonts w:ascii="Calibri" w:hAnsi="Calibri" w:cs="Calibri"/>
                <w:color w:val="000000"/>
                <w:sz w:val="22"/>
                <w:szCs w:val="22"/>
              </w:rPr>
              <w:t>$409,525.85</w:t>
            </w:r>
          </w:p>
        </w:tc>
      </w:tr>
      <w:tr w:rsidR="00A17F03" w:rsidRPr="003C60CC" w14:paraId="7C0B6205" w14:textId="77777777" w:rsidTr="00A92589">
        <w:trPr>
          <w:trHeight w:hRule="exact" w:val="283"/>
        </w:trPr>
        <w:tc>
          <w:tcPr>
            <w:tcW w:w="3428" w:type="pct"/>
            <w:shd w:val="clear" w:color="auto" w:fill="auto"/>
            <w:vAlign w:val="center"/>
          </w:tcPr>
          <w:p w14:paraId="64541F06" w14:textId="77777777" w:rsidR="00A17F03" w:rsidRDefault="00A17F03" w:rsidP="00A17F03">
            <w:pPr>
              <w:ind w:left="205"/>
              <w:rPr>
                <w:rFonts w:asciiTheme="minorHAnsi" w:hAnsiTheme="minorHAnsi"/>
                <w:sz w:val="22"/>
                <w:szCs w:val="22"/>
              </w:rPr>
            </w:pPr>
            <w:r>
              <w:rPr>
                <w:rFonts w:asciiTheme="minorHAnsi" w:hAnsiTheme="minorHAnsi"/>
                <w:sz w:val="22"/>
                <w:szCs w:val="22"/>
              </w:rPr>
              <w:t>NUHEP and Table C providers - desktop audits</w:t>
            </w:r>
          </w:p>
        </w:tc>
        <w:tc>
          <w:tcPr>
            <w:tcW w:w="1572" w:type="pct"/>
            <w:shd w:val="clear" w:color="auto" w:fill="auto"/>
            <w:vAlign w:val="center"/>
          </w:tcPr>
          <w:p w14:paraId="0A3706C5" w14:textId="437CA834" w:rsidR="00A17F03" w:rsidRDefault="00A17F03" w:rsidP="00A17F03">
            <w:pPr>
              <w:jc w:val="right"/>
              <w:rPr>
                <w:rFonts w:asciiTheme="minorHAnsi" w:hAnsiTheme="minorHAnsi"/>
                <w:sz w:val="22"/>
                <w:szCs w:val="22"/>
              </w:rPr>
            </w:pPr>
            <w:r>
              <w:rPr>
                <w:rFonts w:ascii="Calibri" w:hAnsi="Calibri" w:cs="Calibri"/>
                <w:color w:val="000000"/>
                <w:sz w:val="22"/>
                <w:szCs w:val="22"/>
              </w:rPr>
              <w:t>$148,153.89</w:t>
            </w:r>
          </w:p>
        </w:tc>
      </w:tr>
      <w:tr w:rsidR="00A17F03" w:rsidRPr="003C60CC" w14:paraId="4001B91A" w14:textId="77777777" w:rsidTr="00A92589">
        <w:trPr>
          <w:trHeight w:hRule="exact" w:val="283"/>
        </w:trPr>
        <w:tc>
          <w:tcPr>
            <w:tcW w:w="3428" w:type="pct"/>
            <w:shd w:val="clear" w:color="auto" w:fill="auto"/>
            <w:vAlign w:val="center"/>
          </w:tcPr>
          <w:p w14:paraId="5BBC4B55" w14:textId="21A42F4C" w:rsidR="00A17F03" w:rsidRPr="00F9380C" w:rsidRDefault="00A17F03" w:rsidP="00A17F03">
            <w:pPr>
              <w:ind w:left="205"/>
              <w:rPr>
                <w:rFonts w:asciiTheme="minorHAnsi" w:hAnsiTheme="minorHAnsi"/>
                <w:sz w:val="22"/>
                <w:szCs w:val="22"/>
              </w:rPr>
            </w:pPr>
            <w:r>
              <w:rPr>
                <w:rFonts w:asciiTheme="minorHAnsi" w:hAnsiTheme="minorHAnsi"/>
                <w:sz w:val="22"/>
                <w:szCs w:val="22"/>
              </w:rPr>
              <w:t>NUHEP and Table C provider -investigations and forensic audits</w:t>
            </w:r>
          </w:p>
        </w:tc>
        <w:tc>
          <w:tcPr>
            <w:tcW w:w="1572" w:type="pct"/>
            <w:shd w:val="clear" w:color="auto" w:fill="auto"/>
            <w:vAlign w:val="center"/>
          </w:tcPr>
          <w:p w14:paraId="61A2DCE9" w14:textId="204D997A" w:rsidR="00A17F03" w:rsidRPr="00F9380C" w:rsidRDefault="00A17F03" w:rsidP="00A17F03">
            <w:pPr>
              <w:jc w:val="right"/>
              <w:rPr>
                <w:rFonts w:asciiTheme="minorHAnsi" w:hAnsiTheme="minorHAnsi"/>
                <w:sz w:val="22"/>
                <w:szCs w:val="22"/>
              </w:rPr>
            </w:pPr>
            <w:r>
              <w:rPr>
                <w:rFonts w:ascii="Calibri" w:hAnsi="Calibri" w:cs="Calibri"/>
                <w:color w:val="000000"/>
                <w:sz w:val="22"/>
                <w:szCs w:val="22"/>
              </w:rPr>
              <w:t>$194,701.55</w:t>
            </w:r>
          </w:p>
        </w:tc>
      </w:tr>
      <w:tr w:rsidR="00A17F03" w:rsidRPr="003C60CC" w14:paraId="29929558" w14:textId="77777777" w:rsidTr="00A92589">
        <w:trPr>
          <w:trHeight w:hRule="exact" w:val="283"/>
        </w:trPr>
        <w:tc>
          <w:tcPr>
            <w:tcW w:w="3428" w:type="pct"/>
            <w:shd w:val="clear" w:color="auto" w:fill="auto"/>
            <w:vAlign w:val="center"/>
          </w:tcPr>
          <w:p w14:paraId="1D26E7D9" w14:textId="77777777" w:rsidR="00A17F03" w:rsidRDefault="00A17F03" w:rsidP="00A17F03">
            <w:pPr>
              <w:ind w:left="205"/>
              <w:rPr>
                <w:rFonts w:asciiTheme="minorHAnsi" w:hAnsiTheme="minorHAnsi"/>
                <w:sz w:val="22"/>
                <w:szCs w:val="22"/>
              </w:rPr>
            </w:pPr>
            <w:r>
              <w:rPr>
                <w:rFonts w:asciiTheme="minorHAnsi" w:hAnsiTheme="minorHAnsi"/>
                <w:sz w:val="22"/>
                <w:szCs w:val="22"/>
              </w:rPr>
              <w:t>University - Investigations</w:t>
            </w:r>
          </w:p>
        </w:tc>
        <w:tc>
          <w:tcPr>
            <w:tcW w:w="1572" w:type="pct"/>
            <w:shd w:val="clear" w:color="auto" w:fill="auto"/>
            <w:vAlign w:val="center"/>
          </w:tcPr>
          <w:p w14:paraId="78993BA8" w14:textId="5C0594D7" w:rsidR="00A17F03" w:rsidRDefault="00A17F03" w:rsidP="00A17F03">
            <w:pPr>
              <w:jc w:val="right"/>
              <w:rPr>
                <w:rFonts w:asciiTheme="minorHAnsi" w:hAnsiTheme="minorHAnsi"/>
                <w:sz w:val="22"/>
                <w:szCs w:val="22"/>
              </w:rPr>
            </w:pPr>
            <w:r>
              <w:rPr>
                <w:rFonts w:ascii="Calibri" w:hAnsi="Calibri" w:cs="Calibri"/>
                <w:color w:val="000000"/>
                <w:sz w:val="22"/>
                <w:szCs w:val="22"/>
              </w:rPr>
              <w:t>$318,255.95</w:t>
            </w:r>
          </w:p>
        </w:tc>
      </w:tr>
      <w:tr w:rsidR="00A17F03" w:rsidRPr="003C60CC" w14:paraId="0466C029" w14:textId="77777777" w:rsidTr="00A92589">
        <w:trPr>
          <w:trHeight w:hRule="exact" w:val="283"/>
        </w:trPr>
        <w:tc>
          <w:tcPr>
            <w:tcW w:w="3428" w:type="pct"/>
            <w:shd w:val="clear" w:color="auto" w:fill="BFBFBF" w:themeFill="background1" w:themeFillShade="BF"/>
            <w:vAlign w:val="center"/>
          </w:tcPr>
          <w:p w14:paraId="77780770" w14:textId="77777777" w:rsidR="00A17F03" w:rsidRPr="0053562D" w:rsidRDefault="00A17F03" w:rsidP="00A17F03">
            <w:pPr>
              <w:rPr>
                <w:rFonts w:asciiTheme="minorHAnsi" w:hAnsiTheme="minorHAnsi"/>
                <w:b/>
                <w:sz w:val="22"/>
                <w:szCs w:val="22"/>
              </w:rPr>
            </w:pPr>
            <w:r w:rsidRPr="0053562D">
              <w:rPr>
                <w:rFonts w:asciiTheme="minorHAnsi" w:hAnsiTheme="minorHAnsi"/>
                <w:b/>
                <w:sz w:val="22"/>
                <w:szCs w:val="22"/>
              </w:rPr>
              <w:t>Management of the payment cycle*</w:t>
            </w:r>
          </w:p>
        </w:tc>
        <w:tc>
          <w:tcPr>
            <w:tcW w:w="1572" w:type="pct"/>
            <w:shd w:val="clear" w:color="auto" w:fill="BFBFBF" w:themeFill="background1" w:themeFillShade="BF"/>
            <w:vAlign w:val="center"/>
          </w:tcPr>
          <w:p w14:paraId="52C255E9" w14:textId="15A55A89" w:rsidR="00A17F03" w:rsidRPr="005B7B17" w:rsidRDefault="00A17F03" w:rsidP="00A17F03">
            <w:pPr>
              <w:jc w:val="right"/>
              <w:rPr>
                <w:rFonts w:asciiTheme="minorHAnsi" w:hAnsiTheme="minorHAnsi"/>
                <w:b/>
                <w:sz w:val="22"/>
                <w:szCs w:val="22"/>
              </w:rPr>
            </w:pPr>
            <w:r>
              <w:rPr>
                <w:rFonts w:ascii="Calibri" w:hAnsi="Calibri" w:cs="Calibri"/>
                <w:b/>
                <w:bCs/>
                <w:color w:val="000000"/>
                <w:sz w:val="22"/>
                <w:szCs w:val="22"/>
              </w:rPr>
              <w:t>$200,146.63</w:t>
            </w:r>
          </w:p>
        </w:tc>
      </w:tr>
      <w:tr w:rsidR="00A17F03" w:rsidRPr="003C60CC" w14:paraId="68CADF48" w14:textId="77777777" w:rsidTr="00A92589">
        <w:trPr>
          <w:trHeight w:hRule="exact" w:val="283"/>
        </w:trPr>
        <w:tc>
          <w:tcPr>
            <w:tcW w:w="3428" w:type="pct"/>
            <w:shd w:val="clear" w:color="auto" w:fill="BFBFBF" w:themeFill="background1" w:themeFillShade="BF"/>
            <w:vAlign w:val="center"/>
          </w:tcPr>
          <w:p w14:paraId="74E6A9AD" w14:textId="77777777" w:rsidR="00A17F03" w:rsidRPr="005B7B17" w:rsidRDefault="00A17F03" w:rsidP="00A17F03">
            <w:pPr>
              <w:ind w:left="205"/>
              <w:rPr>
                <w:rFonts w:asciiTheme="minorHAnsi" w:hAnsiTheme="minorHAnsi"/>
                <w:sz w:val="22"/>
                <w:szCs w:val="22"/>
              </w:rPr>
            </w:pPr>
            <w:r>
              <w:rPr>
                <w:rFonts w:asciiTheme="minorHAnsi" w:hAnsiTheme="minorHAnsi"/>
                <w:sz w:val="22"/>
                <w:szCs w:val="22"/>
              </w:rPr>
              <w:t>NUHEP and Table C provider</w:t>
            </w:r>
            <w:r w:rsidRPr="005B7B17">
              <w:rPr>
                <w:rFonts w:asciiTheme="minorHAnsi" w:hAnsiTheme="minorHAnsi"/>
                <w:sz w:val="22"/>
                <w:szCs w:val="22"/>
              </w:rPr>
              <w:t xml:space="preserve"> payment management*</w:t>
            </w:r>
          </w:p>
        </w:tc>
        <w:tc>
          <w:tcPr>
            <w:tcW w:w="1572" w:type="pct"/>
            <w:shd w:val="clear" w:color="auto" w:fill="BFBFBF" w:themeFill="background1" w:themeFillShade="BF"/>
            <w:vAlign w:val="center"/>
          </w:tcPr>
          <w:p w14:paraId="5008484F" w14:textId="4AED484A" w:rsidR="00A17F03" w:rsidRPr="005B7B17" w:rsidRDefault="00A17F03" w:rsidP="00A17F03">
            <w:pPr>
              <w:jc w:val="right"/>
              <w:rPr>
                <w:rFonts w:asciiTheme="minorHAnsi" w:hAnsiTheme="minorHAnsi"/>
                <w:sz w:val="22"/>
                <w:szCs w:val="22"/>
              </w:rPr>
            </w:pPr>
            <w:r>
              <w:rPr>
                <w:rFonts w:ascii="Calibri" w:hAnsi="Calibri" w:cs="Calibri"/>
                <w:color w:val="000000"/>
                <w:sz w:val="22"/>
                <w:szCs w:val="22"/>
              </w:rPr>
              <w:t>$191,743.03</w:t>
            </w:r>
          </w:p>
        </w:tc>
      </w:tr>
      <w:tr w:rsidR="00A17F03" w:rsidRPr="003C60CC" w14:paraId="75E1788B" w14:textId="77777777" w:rsidTr="00A92589">
        <w:trPr>
          <w:trHeight w:hRule="exact" w:val="283"/>
        </w:trPr>
        <w:tc>
          <w:tcPr>
            <w:tcW w:w="3428" w:type="pct"/>
            <w:shd w:val="clear" w:color="auto" w:fill="BFBFBF" w:themeFill="background1" w:themeFillShade="BF"/>
            <w:vAlign w:val="center"/>
          </w:tcPr>
          <w:p w14:paraId="49E4AC2A" w14:textId="77777777" w:rsidR="00A17F03" w:rsidRPr="005B7B17" w:rsidRDefault="00A17F03" w:rsidP="00A17F03">
            <w:pPr>
              <w:ind w:left="205"/>
              <w:rPr>
                <w:rFonts w:asciiTheme="minorHAnsi" w:hAnsiTheme="minorHAnsi"/>
                <w:sz w:val="22"/>
                <w:szCs w:val="22"/>
              </w:rPr>
            </w:pPr>
            <w:r>
              <w:rPr>
                <w:rFonts w:asciiTheme="minorHAnsi" w:hAnsiTheme="minorHAnsi"/>
                <w:sz w:val="22"/>
                <w:szCs w:val="22"/>
              </w:rPr>
              <w:t>University</w:t>
            </w:r>
            <w:r w:rsidRPr="005B7B17">
              <w:rPr>
                <w:rFonts w:asciiTheme="minorHAnsi" w:hAnsiTheme="minorHAnsi"/>
                <w:sz w:val="22"/>
                <w:szCs w:val="22"/>
              </w:rPr>
              <w:t xml:space="preserve"> payment management*</w:t>
            </w:r>
          </w:p>
        </w:tc>
        <w:tc>
          <w:tcPr>
            <w:tcW w:w="1572" w:type="pct"/>
            <w:shd w:val="clear" w:color="auto" w:fill="BFBFBF" w:themeFill="background1" w:themeFillShade="BF"/>
            <w:vAlign w:val="center"/>
          </w:tcPr>
          <w:p w14:paraId="64ADAD62" w14:textId="49BCCFC5" w:rsidR="00A17F03" w:rsidRPr="005B7B17" w:rsidRDefault="00A17F03" w:rsidP="00A17F03">
            <w:pPr>
              <w:jc w:val="right"/>
              <w:rPr>
                <w:rFonts w:asciiTheme="minorHAnsi" w:hAnsiTheme="minorHAnsi"/>
                <w:sz w:val="22"/>
                <w:szCs w:val="22"/>
              </w:rPr>
            </w:pPr>
            <w:r>
              <w:rPr>
                <w:rFonts w:ascii="Calibri" w:hAnsi="Calibri" w:cs="Calibri"/>
                <w:color w:val="000000"/>
                <w:sz w:val="22"/>
                <w:szCs w:val="22"/>
              </w:rPr>
              <w:t>$8,403.59</w:t>
            </w:r>
          </w:p>
        </w:tc>
      </w:tr>
      <w:tr w:rsidR="00A17F03" w:rsidRPr="003C60CC" w14:paraId="7492BB7E" w14:textId="77777777" w:rsidTr="00A92589">
        <w:trPr>
          <w:trHeight w:hRule="exact" w:val="283"/>
        </w:trPr>
        <w:tc>
          <w:tcPr>
            <w:tcW w:w="3428" w:type="pct"/>
            <w:shd w:val="clear" w:color="auto" w:fill="BFBFBF" w:themeFill="background1" w:themeFillShade="BF"/>
            <w:vAlign w:val="center"/>
          </w:tcPr>
          <w:p w14:paraId="65DA5492" w14:textId="77777777" w:rsidR="00A17F03" w:rsidRPr="00283608" w:rsidRDefault="00A17F03" w:rsidP="00A17F03">
            <w:pPr>
              <w:rPr>
                <w:rFonts w:asciiTheme="minorHAnsi" w:hAnsiTheme="minorHAnsi"/>
                <w:b/>
                <w:sz w:val="22"/>
                <w:szCs w:val="22"/>
                <w:highlight w:val="yellow"/>
              </w:rPr>
            </w:pPr>
            <w:r w:rsidRPr="00BF2492">
              <w:rPr>
                <w:rFonts w:asciiTheme="minorHAnsi" w:hAnsiTheme="minorHAnsi"/>
                <w:b/>
                <w:sz w:val="22"/>
                <w:szCs w:val="22"/>
              </w:rPr>
              <w:t>Program Administration*</w:t>
            </w:r>
          </w:p>
        </w:tc>
        <w:tc>
          <w:tcPr>
            <w:tcW w:w="1572" w:type="pct"/>
            <w:shd w:val="clear" w:color="auto" w:fill="BFBFBF" w:themeFill="background1" w:themeFillShade="BF"/>
            <w:vAlign w:val="center"/>
          </w:tcPr>
          <w:p w14:paraId="03EB4A6C" w14:textId="7FAF25CF" w:rsidR="00A17F03" w:rsidRPr="006E3631" w:rsidRDefault="00A17F03" w:rsidP="00A17F03">
            <w:pPr>
              <w:jc w:val="right"/>
              <w:rPr>
                <w:rFonts w:asciiTheme="minorHAnsi" w:hAnsiTheme="minorHAnsi"/>
                <w:b/>
                <w:sz w:val="22"/>
                <w:szCs w:val="22"/>
              </w:rPr>
            </w:pPr>
            <w:r>
              <w:rPr>
                <w:rFonts w:ascii="Calibri" w:hAnsi="Calibri" w:cs="Calibri"/>
                <w:b/>
                <w:bCs/>
                <w:color w:val="000000"/>
                <w:sz w:val="22"/>
                <w:szCs w:val="22"/>
              </w:rPr>
              <w:t>$108,369.08</w:t>
            </w:r>
          </w:p>
        </w:tc>
      </w:tr>
      <w:tr w:rsidR="00A17F03" w:rsidRPr="003C60CC" w14:paraId="5B139A15" w14:textId="77777777" w:rsidTr="00A92589">
        <w:trPr>
          <w:trHeight w:hRule="exact" w:val="283"/>
        </w:trPr>
        <w:tc>
          <w:tcPr>
            <w:tcW w:w="3428" w:type="pct"/>
            <w:shd w:val="clear" w:color="auto" w:fill="BFBFBF" w:themeFill="background1" w:themeFillShade="BF"/>
            <w:vAlign w:val="center"/>
          </w:tcPr>
          <w:p w14:paraId="3C2FBBB2" w14:textId="77777777" w:rsidR="00A17F03" w:rsidRPr="005B7B17" w:rsidRDefault="00A17F03" w:rsidP="00A17F03">
            <w:pPr>
              <w:ind w:left="205"/>
              <w:rPr>
                <w:rFonts w:asciiTheme="minorHAnsi" w:hAnsiTheme="minorHAnsi"/>
                <w:sz w:val="22"/>
                <w:szCs w:val="22"/>
              </w:rPr>
            </w:pPr>
            <w:r>
              <w:rPr>
                <w:rFonts w:asciiTheme="minorHAnsi" w:hAnsiTheme="minorHAnsi"/>
                <w:sz w:val="22"/>
                <w:szCs w:val="22"/>
              </w:rPr>
              <w:t>Program r</w:t>
            </w:r>
            <w:r w:rsidRPr="005B7B17">
              <w:rPr>
                <w:rFonts w:asciiTheme="minorHAnsi" w:hAnsiTheme="minorHAnsi"/>
                <w:sz w:val="22"/>
                <w:szCs w:val="22"/>
              </w:rPr>
              <w:t>isk management</w:t>
            </w:r>
            <w:r>
              <w:rPr>
                <w:rFonts w:asciiTheme="minorHAnsi" w:hAnsiTheme="minorHAnsi"/>
                <w:sz w:val="22"/>
                <w:szCs w:val="22"/>
              </w:rPr>
              <w:t>*</w:t>
            </w:r>
          </w:p>
        </w:tc>
        <w:tc>
          <w:tcPr>
            <w:tcW w:w="1572" w:type="pct"/>
            <w:shd w:val="clear" w:color="auto" w:fill="BFBFBF" w:themeFill="background1" w:themeFillShade="BF"/>
            <w:vAlign w:val="center"/>
          </w:tcPr>
          <w:p w14:paraId="0E407D4D" w14:textId="2DAD44C3" w:rsidR="00A17F03" w:rsidRPr="005B7B17" w:rsidRDefault="00A17F03" w:rsidP="00A17F03">
            <w:pPr>
              <w:jc w:val="right"/>
              <w:rPr>
                <w:rFonts w:asciiTheme="minorHAnsi" w:hAnsiTheme="minorHAnsi"/>
                <w:sz w:val="22"/>
                <w:szCs w:val="22"/>
              </w:rPr>
            </w:pPr>
            <w:r>
              <w:rPr>
                <w:rFonts w:ascii="Calibri" w:hAnsi="Calibri" w:cs="Calibri"/>
                <w:color w:val="000000"/>
                <w:sz w:val="22"/>
                <w:szCs w:val="22"/>
              </w:rPr>
              <w:t>$42,038.72</w:t>
            </w:r>
          </w:p>
        </w:tc>
      </w:tr>
      <w:tr w:rsidR="00A17F03" w:rsidRPr="003C60CC" w14:paraId="6C32A263" w14:textId="77777777" w:rsidTr="00A92589">
        <w:trPr>
          <w:trHeight w:hRule="exact" w:val="283"/>
        </w:trPr>
        <w:tc>
          <w:tcPr>
            <w:tcW w:w="3428" w:type="pct"/>
            <w:shd w:val="clear" w:color="auto" w:fill="BFBFBF" w:themeFill="background1" w:themeFillShade="BF"/>
            <w:vAlign w:val="center"/>
          </w:tcPr>
          <w:p w14:paraId="1A0B10CA" w14:textId="77777777" w:rsidR="00A17F03" w:rsidRDefault="00A17F03" w:rsidP="00A17F03">
            <w:pPr>
              <w:ind w:left="205"/>
              <w:rPr>
                <w:rFonts w:asciiTheme="minorHAnsi" w:hAnsiTheme="minorHAnsi"/>
                <w:sz w:val="22"/>
                <w:szCs w:val="22"/>
              </w:rPr>
            </w:pPr>
            <w:r>
              <w:rPr>
                <w:rFonts w:asciiTheme="minorHAnsi" w:hAnsiTheme="minorHAnsi"/>
                <w:sz w:val="22"/>
                <w:szCs w:val="22"/>
              </w:rPr>
              <w:t>Ministerial correspondence and communications*</w:t>
            </w:r>
          </w:p>
        </w:tc>
        <w:tc>
          <w:tcPr>
            <w:tcW w:w="1572" w:type="pct"/>
            <w:shd w:val="clear" w:color="auto" w:fill="BFBFBF" w:themeFill="background1" w:themeFillShade="BF"/>
            <w:vAlign w:val="center"/>
          </w:tcPr>
          <w:p w14:paraId="358FE435" w14:textId="38BF1C66" w:rsidR="00A17F03" w:rsidRPr="003C60CC" w:rsidRDefault="00A17F03" w:rsidP="00A17F03">
            <w:pPr>
              <w:jc w:val="right"/>
              <w:rPr>
                <w:rFonts w:asciiTheme="minorHAnsi" w:hAnsiTheme="minorHAnsi"/>
                <w:sz w:val="22"/>
                <w:szCs w:val="22"/>
              </w:rPr>
            </w:pPr>
            <w:r>
              <w:rPr>
                <w:rFonts w:ascii="Calibri" w:hAnsi="Calibri" w:cs="Calibri"/>
                <w:color w:val="000000"/>
                <w:sz w:val="22"/>
                <w:szCs w:val="22"/>
              </w:rPr>
              <w:t>$66,330.36</w:t>
            </w:r>
          </w:p>
        </w:tc>
      </w:tr>
      <w:tr w:rsidR="00A17F03" w:rsidRPr="003C60CC" w14:paraId="51609FCE" w14:textId="77777777" w:rsidTr="002D7B66">
        <w:trPr>
          <w:trHeight w:hRule="exact" w:val="283"/>
        </w:trPr>
        <w:tc>
          <w:tcPr>
            <w:tcW w:w="3428" w:type="pct"/>
            <w:shd w:val="clear" w:color="auto" w:fill="auto"/>
            <w:vAlign w:val="center"/>
          </w:tcPr>
          <w:p w14:paraId="6D8CA7B3" w14:textId="0371B474" w:rsidR="00A17F03" w:rsidRPr="0053562D" w:rsidRDefault="00A17F03" w:rsidP="00A17F03">
            <w:pPr>
              <w:rPr>
                <w:rFonts w:asciiTheme="minorHAnsi" w:hAnsiTheme="minorHAnsi"/>
                <w:b/>
                <w:sz w:val="22"/>
                <w:szCs w:val="22"/>
              </w:rPr>
            </w:pPr>
            <w:r w:rsidRPr="0053562D">
              <w:rPr>
                <w:rFonts w:asciiTheme="minorHAnsi" w:hAnsiTheme="minorHAnsi"/>
                <w:b/>
                <w:sz w:val="22"/>
                <w:szCs w:val="22"/>
              </w:rPr>
              <w:t xml:space="preserve">Financial viability </w:t>
            </w:r>
            <w:r>
              <w:rPr>
                <w:rFonts w:asciiTheme="minorHAnsi" w:hAnsiTheme="minorHAnsi"/>
                <w:b/>
                <w:sz w:val="22"/>
                <w:szCs w:val="22"/>
              </w:rPr>
              <w:t>assessment</w:t>
            </w:r>
          </w:p>
        </w:tc>
        <w:tc>
          <w:tcPr>
            <w:tcW w:w="1572" w:type="pct"/>
            <w:shd w:val="clear" w:color="auto" w:fill="auto"/>
            <w:vAlign w:val="center"/>
          </w:tcPr>
          <w:p w14:paraId="480A620E" w14:textId="15E1E133" w:rsidR="00A17F03" w:rsidRPr="006E3631" w:rsidRDefault="00A17F03" w:rsidP="00A17F03">
            <w:pPr>
              <w:jc w:val="right"/>
              <w:rPr>
                <w:rFonts w:asciiTheme="minorHAnsi" w:hAnsiTheme="minorHAnsi"/>
                <w:b/>
                <w:sz w:val="22"/>
                <w:szCs w:val="22"/>
              </w:rPr>
            </w:pPr>
            <w:r>
              <w:rPr>
                <w:rFonts w:ascii="Calibri" w:hAnsi="Calibri" w:cs="Calibri"/>
                <w:b/>
                <w:bCs/>
                <w:color w:val="000000"/>
                <w:sz w:val="22"/>
                <w:szCs w:val="22"/>
              </w:rPr>
              <w:t>$452,253.03</w:t>
            </w:r>
          </w:p>
        </w:tc>
      </w:tr>
      <w:tr w:rsidR="00A17F03" w:rsidRPr="003C60CC" w14:paraId="5D9F1754" w14:textId="77777777" w:rsidTr="00A92589">
        <w:trPr>
          <w:trHeight w:hRule="exact" w:val="283"/>
        </w:trPr>
        <w:tc>
          <w:tcPr>
            <w:tcW w:w="3428" w:type="pct"/>
            <w:shd w:val="clear" w:color="auto" w:fill="auto"/>
            <w:vAlign w:val="center"/>
          </w:tcPr>
          <w:p w14:paraId="02DF912F" w14:textId="77777777" w:rsidR="00A17F03" w:rsidRDefault="00A17F03" w:rsidP="00A17F03">
            <w:pPr>
              <w:ind w:left="205"/>
              <w:rPr>
                <w:rFonts w:asciiTheme="minorHAnsi" w:hAnsiTheme="minorHAnsi"/>
                <w:sz w:val="22"/>
                <w:szCs w:val="22"/>
              </w:rPr>
            </w:pPr>
            <w:r>
              <w:rPr>
                <w:rFonts w:asciiTheme="minorHAnsi" w:hAnsiTheme="minorHAnsi"/>
                <w:sz w:val="22"/>
                <w:szCs w:val="22"/>
              </w:rPr>
              <w:t xml:space="preserve">NUHEP and Table C providers </w:t>
            </w:r>
          </w:p>
        </w:tc>
        <w:tc>
          <w:tcPr>
            <w:tcW w:w="1572" w:type="pct"/>
            <w:shd w:val="clear" w:color="auto" w:fill="auto"/>
            <w:vAlign w:val="center"/>
          </w:tcPr>
          <w:p w14:paraId="55D16867" w14:textId="1C5422E8" w:rsidR="00A17F03" w:rsidRPr="003C60CC" w:rsidRDefault="00A17F03" w:rsidP="00A17F03">
            <w:pPr>
              <w:jc w:val="right"/>
              <w:rPr>
                <w:rFonts w:asciiTheme="minorHAnsi" w:hAnsiTheme="minorHAnsi"/>
                <w:sz w:val="22"/>
                <w:szCs w:val="22"/>
              </w:rPr>
            </w:pPr>
            <w:r>
              <w:rPr>
                <w:rFonts w:ascii="Calibri" w:hAnsi="Calibri" w:cs="Calibri"/>
                <w:color w:val="000000"/>
                <w:sz w:val="22"/>
                <w:szCs w:val="22"/>
              </w:rPr>
              <w:t>$158,830.76</w:t>
            </w:r>
          </w:p>
        </w:tc>
      </w:tr>
      <w:tr w:rsidR="00A17F03" w:rsidRPr="003C60CC" w14:paraId="0AC07EC0" w14:textId="77777777" w:rsidTr="00A92589">
        <w:trPr>
          <w:trHeight w:hRule="exact" w:val="283"/>
        </w:trPr>
        <w:tc>
          <w:tcPr>
            <w:tcW w:w="3428" w:type="pct"/>
            <w:tcBorders>
              <w:bottom w:val="single" w:sz="4" w:space="0" w:color="auto"/>
            </w:tcBorders>
            <w:shd w:val="clear" w:color="auto" w:fill="auto"/>
            <w:vAlign w:val="center"/>
          </w:tcPr>
          <w:p w14:paraId="3B4ECF2D" w14:textId="77777777" w:rsidR="00A17F03" w:rsidRPr="003C60CC" w:rsidRDefault="00A17F03" w:rsidP="00A17F03">
            <w:pPr>
              <w:ind w:left="205"/>
              <w:rPr>
                <w:rFonts w:asciiTheme="minorHAnsi" w:hAnsiTheme="minorHAnsi"/>
                <w:sz w:val="22"/>
                <w:szCs w:val="22"/>
              </w:rPr>
            </w:pPr>
            <w:r>
              <w:rPr>
                <w:rFonts w:asciiTheme="minorHAnsi" w:hAnsiTheme="minorHAnsi"/>
                <w:sz w:val="22"/>
                <w:szCs w:val="22"/>
              </w:rPr>
              <w:t>University</w:t>
            </w:r>
          </w:p>
        </w:tc>
        <w:tc>
          <w:tcPr>
            <w:tcW w:w="1572" w:type="pct"/>
            <w:tcBorders>
              <w:bottom w:val="single" w:sz="4" w:space="0" w:color="auto"/>
            </w:tcBorders>
            <w:shd w:val="clear" w:color="auto" w:fill="auto"/>
            <w:vAlign w:val="center"/>
          </w:tcPr>
          <w:p w14:paraId="596ECD22" w14:textId="32959406" w:rsidR="00A17F03" w:rsidRPr="003C60CC" w:rsidRDefault="00A17F03" w:rsidP="00A17F03">
            <w:pPr>
              <w:jc w:val="right"/>
              <w:rPr>
                <w:rFonts w:asciiTheme="minorHAnsi" w:hAnsiTheme="minorHAnsi"/>
                <w:sz w:val="22"/>
                <w:szCs w:val="22"/>
              </w:rPr>
            </w:pPr>
            <w:r>
              <w:rPr>
                <w:rFonts w:ascii="Calibri" w:hAnsi="Calibri" w:cs="Calibri"/>
                <w:color w:val="000000"/>
                <w:sz w:val="22"/>
                <w:szCs w:val="22"/>
              </w:rPr>
              <w:t>$293,422.27</w:t>
            </w:r>
          </w:p>
        </w:tc>
      </w:tr>
      <w:tr w:rsidR="00A17F03" w:rsidRPr="003C60CC" w14:paraId="61DE607A" w14:textId="77777777" w:rsidTr="00A92589">
        <w:trPr>
          <w:trHeight w:hRule="exact" w:val="283"/>
        </w:trPr>
        <w:tc>
          <w:tcPr>
            <w:tcW w:w="3428" w:type="pct"/>
            <w:shd w:val="clear" w:color="auto" w:fill="auto"/>
            <w:vAlign w:val="center"/>
          </w:tcPr>
          <w:p w14:paraId="15CB46B9" w14:textId="7F7AF278" w:rsidR="00A17F03" w:rsidRPr="009B346C" w:rsidRDefault="00A17F03" w:rsidP="00A17F03">
            <w:pPr>
              <w:rPr>
                <w:rFonts w:asciiTheme="minorHAnsi" w:hAnsiTheme="minorHAnsi"/>
                <w:b/>
                <w:sz w:val="22"/>
                <w:szCs w:val="22"/>
              </w:rPr>
            </w:pPr>
            <w:r w:rsidRPr="009B346C">
              <w:rPr>
                <w:rFonts w:asciiTheme="minorHAnsi" w:hAnsiTheme="minorHAnsi"/>
                <w:b/>
                <w:sz w:val="22"/>
                <w:szCs w:val="22"/>
              </w:rPr>
              <w:t>TOTAL</w:t>
            </w:r>
            <w:r>
              <w:rPr>
                <w:rFonts w:asciiTheme="minorHAnsi" w:hAnsiTheme="minorHAnsi"/>
                <w:b/>
                <w:sz w:val="22"/>
                <w:szCs w:val="22"/>
              </w:rPr>
              <w:t xml:space="preserve"> cost of activities</w:t>
            </w:r>
          </w:p>
        </w:tc>
        <w:tc>
          <w:tcPr>
            <w:tcW w:w="1572" w:type="pct"/>
            <w:shd w:val="clear" w:color="auto" w:fill="auto"/>
            <w:vAlign w:val="center"/>
          </w:tcPr>
          <w:p w14:paraId="3264D8D0" w14:textId="42202541" w:rsidR="00A17F03" w:rsidRPr="002D7B66" w:rsidRDefault="00A17F03" w:rsidP="00A17F03">
            <w:pPr>
              <w:jc w:val="right"/>
              <w:rPr>
                <w:rFonts w:asciiTheme="minorHAnsi" w:hAnsiTheme="minorHAnsi"/>
                <w:b/>
                <w:sz w:val="22"/>
                <w:szCs w:val="22"/>
              </w:rPr>
            </w:pPr>
            <w:r w:rsidRPr="002D7B66">
              <w:rPr>
                <w:rFonts w:ascii="Calibri" w:hAnsi="Calibri" w:cs="Calibri"/>
                <w:b/>
                <w:color w:val="000000"/>
                <w:sz w:val="22"/>
                <w:szCs w:val="22"/>
              </w:rPr>
              <w:t>$3,768,252.05</w:t>
            </w:r>
          </w:p>
        </w:tc>
      </w:tr>
      <w:tr w:rsidR="00A17F03" w:rsidRPr="003C60CC" w14:paraId="1CAFE06F" w14:textId="77777777" w:rsidTr="002D7B66">
        <w:trPr>
          <w:trHeight w:hRule="exact" w:val="145"/>
        </w:trPr>
        <w:tc>
          <w:tcPr>
            <w:tcW w:w="3428" w:type="pct"/>
            <w:shd w:val="clear" w:color="auto" w:fill="auto"/>
            <w:vAlign w:val="center"/>
          </w:tcPr>
          <w:p w14:paraId="6D9CC08F" w14:textId="77777777" w:rsidR="00A17F03" w:rsidRPr="009B346C" w:rsidRDefault="00A17F03" w:rsidP="00A17F03">
            <w:pPr>
              <w:rPr>
                <w:rFonts w:asciiTheme="minorHAnsi" w:hAnsiTheme="minorHAnsi"/>
                <w:b/>
                <w:sz w:val="22"/>
                <w:szCs w:val="22"/>
              </w:rPr>
            </w:pPr>
          </w:p>
        </w:tc>
        <w:tc>
          <w:tcPr>
            <w:tcW w:w="1572" w:type="pct"/>
            <w:shd w:val="clear" w:color="auto" w:fill="auto"/>
            <w:vAlign w:val="center"/>
          </w:tcPr>
          <w:p w14:paraId="31942DDA" w14:textId="502315EE" w:rsidR="00A17F03" w:rsidRPr="009B346C" w:rsidRDefault="00A17F03" w:rsidP="00A17F03">
            <w:pPr>
              <w:jc w:val="right"/>
              <w:rPr>
                <w:rFonts w:asciiTheme="minorHAnsi" w:hAnsiTheme="minorHAnsi"/>
                <w:b/>
                <w:sz w:val="22"/>
                <w:szCs w:val="22"/>
              </w:rPr>
            </w:pPr>
            <w:r>
              <w:rPr>
                <w:rFonts w:ascii="Calibri" w:hAnsi="Calibri" w:cs="Calibri"/>
                <w:color w:val="000000"/>
                <w:sz w:val="22"/>
                <w:szCs w:val="22"/>
              </w:rPr>
              <w:t> </w:t>
            </w:r>
          </w:p>
        </w:tc>
      </w:tr>
      <w:tr w:rsidR="00A17F03" w:rsidRPr="003C60CC" w14:paraId="6258456D" w14:textId="77777777" w:rsidTr="002D7B66">
        <w:trPr>
          <w:trHeight w:hRule="exact" w:val="283"/>
        </w:trPr>
        <w:tc>
          <w:tcPr>
            <w:tcW w:w="3428" w:type="pct"/>
            <w:shd w:val="clear" w:color="auto" w:fill="BFBFBF" w:themeFill="background1" w:themeFillShade="BF"/>
            <w:vAlign w:val="center"/>
          </w:tcPr>
          <w:p w14:paraId="3B6DBEB7" w14:textId="1BDEC003" w:rsidR="00A17F03" w:rsidRPr="009B346C" w:rsidRDefault="00A17F03" w:rsidP="00A17F03">
            <w:pPr>
              <w:rPr>
                <w:rFonts w:asciiTheme="minorHAnsi" w:hAnsiTheme="minorHAnsi"/>
                <w:b/>
                <w:sz w:val="22"/>
                <w:szCs w:val="22"/>
              </w:rPr>
            </w:pPr>
            <w:r>
              <w:rPr>
                <w:rFonts w:asciiTheme="minorHAnsi" w:hAnsiTheme="minorHAnsi"/>
                <w:b/>
                <w:sz w:val="22"/>
                <w:szCs w:val="22"/>
              </w:rPr>
              <w:t>Total cost of activates not subject to cost recovery*</w:t>
            </w:r>
          </w:p>
        </w:tc>
        <w:tc>
          <w:tcPr>
            <w:tcW w:w="1572" w:type="pct"/>
            <w:shd w:val="clear" w:color="auto" w:fill="BFBFBF" w:themeFill="background1" w:themeFillShade="BF"/>
            <w:vAlign w:val="center"/>
          </w:tcPr>
          <w:p w14:paraId="7C3A4439" w14:textId="2E4E1646" w:rsidR="00A17F03" w:rsidRPr="002D7B66" w:rsidRDefault="00A17F03" w:rsidP="00A17F03">
            <w:pPr>
              <w:jc w:val="right"/>
              <w:rPr>
                <w:rFonts w:asciiTheme="minorHAnsi" w:hAnsiTheme="minorHAnsi"/>
                <w:b/>
                <w:sz w:val="22"/>
                <w:szCs w:val="22"/>
              </w:rPr>
            </w:pPr>
            <w:r w:rsidRPr="002D7B66">
              <w:rPr>
                <w:rFonts w:ascii="Calibri" w:hAnsi="Calibri" w:cs="Calibri"/>
                <w:b/>
                <w:color w:val="000000"/>
                <w:sz w:val="22"/>
                <w:szCs w:val="22"/>
              </w:rPr>
              <w:t>$308,515.70</w:t>
            </w:r>
          </w:p>
        </w:tc>
      </w:tr>
      <w:tr w:rsidR="00A17F03" w:rsidRPr="003C60CC" w14:paraId="48523858" w14:textId="77777777" w:rsidTr="00A92589">
        <w:trPr>
          <w:trHeight w:hRule="exact" w:val="283"/>
        </w:trPr>
        <w:tc>
          <w:tcPr>
            <w:tcW w:w="3428" w:type="pct"/>
            <w:tcBorders>
              <w:bottom w:val="single" w:sz="4" w:space="0" w:color="auto"/>
            </w:tcBorders>
            <w:shd w:val="clear" w:color="auto" w:fill="D9E2F3" w:themeFill="accent1" w:themeFillTint="33"/>
            <w:vAlign w:val="center"/>
          </w:tcPr>
          <w:p w14:paraId="2B281C03" w14:textId="77777777" w:rsidR="00A17F03" w:rsidRPr="009B346C" w:rsidRDefault="00A17F03" w:rsidP="00A17F03">
            <w:pPr>
              <w:rPr>
                <w:rFonts w:asciiTheme="minorHAnsi" w:hAnsiTheme="minorHAnsi"/>
                <w:b/>
                <w:sz w:val="22"/>
                <w:szCs w:val="22"/>
              </w:rPr>
            </w:pPr>
            <w:r>
              <w:rPr>
                <w:rFonts w:asciiTheme="minorHAnsi" w:hAnsiTheme="minorHAnsi"/>
                <w:b/>
                <w:sz w:val="22"/>
                <w:szCs w:val="22"/>
              </w:rPr>
              <w:t>Total cost of activities subject to cost recovery</w:t>
            </w:r>
          </w:p>
        </w:tc>
        <w:tc>
          <w:tcPr>
            <w:tcW w:w="1572" w:type="pct"/>
            <w:tcBorders>
              <w:bottom w:val="single" w:sz="4" w:space="0" w:color="auto"/>
            </w:tcBorders>
            <w:shd w:val="clear" w:color="auto" w:fill="D9E2F3" w:themeFill="accent1" w:themeFillTint="33"/>
            <w:vAlign w:val="center"/>
          </w:tcPr>
          <w:p w14:paraId="3CC763F3" w14:textId="5CF2BE91" w:rsidR="00A17F03" w:rsidRPr="002D7B66" w:rsidRDefault="00A17F03" w:rsidP="00A17F03">
            <w:pPr>
              <w:jc w:val="right"/>
              <w:rPr>
                <w:rFonts w:asciiTheme="minorHAnsi" w:hAnsiTheme="minorHAnsi"/>
                <w:b/>
                <w:sz w:val="22"/>
                <w:szCs w:val="22"/>
              </w:rPr>
            </w:pPr>
            <w:r w:rsidRPr="002D7B66">
              <w:rPr>
                <w:rFonts w:ascii="Calibri" w:hAnsi="Calibri" w:cs="Calibri"/>
                <w:b/>
                <w:color w:val="000000"/>
                <w:sz w:val="22"/>
                <w:szCs w:val="22"/>
              </w:rPr>
              <w:t>$3,459,736.35</w:t>
            </w:r>
          </w:p>
        </w:tc>
      </w:tr>
    </w:tbl>
    <w:p w14:paraId="153ECF7A" w14:textId="2CC0EE1E" w:rsidR="00E3002F" w:rsidRPr="00F66680" w:rsidRDefault="00FA4D2D" w:rsidP="00F66680">
      <w:pPr>
        <w:spacing w:after="120"/>
        <w:rPr>
          <w:rFonts w:asciiTheme="minorHAnsi" w:hAnsiTheme="minorHAnsi"/>
          <w:sz w:val="20"/>
          <w:szCs w:val="20"/>
        </w:rPr>
      </w:pPr>
      <w:proofErr w:type="gramStart"/>
      <w:r w:rsidRPr="00F9179D">
        <w:rPr>
          <w:rFonts w:asciiTheme="minorHAnsi" w:hAnsiTheme="minorHAnsi"/>
          <w:sz w:val="20"/>
          <w:szCs w:val="20"/>
        </w:rPr>
        <w:t>*Not</w:t>
      </w:r>
      <w:proofErr w:type="gramEnd"/>
      <w:r w:rsidRPr="00F9179D">
        <w:rPr>
          <w:rFonts w:asciiTheme="minorHAnsi" w:hAnsiTheme="minorHAnsi"/>
          <w:sz w:val="20"/>
          <w:szCs w:val="20"/>
        </w:rPr>
        <w:t xml:space="preserve"> subject to cost recovery, as per Government decision.</w:t>
      </w:r>
    </w:p>
    <w:p w14:paraId="0EC0838A" w14:textId="2A022F4B" w:rsidR="00FA4D2D" w:rsidRDefault="00FA4D2D" w:rsidP="00657DEA">
      <w:pPr>
        <w:spacing w:after="120"/>
        <w:rPr>
          <w:rFonts w:asciiTheme="minorHAnsi" w:hAnsiTheme="minorHAnsi"/>
          <w:sz w:val="28"/>
          <w:szCs w:val="28"/>
        </w:rPr>
      </w:pPr>
      <w:r w:rsidRPr="00FA4D2D">
        <w:rPr>
          <w:rFonts w:asciiTheme="minorHAnsi" w:eastAsia="SimSun" w:hAnsiTheme="minorHAnsi"/>
          <w:b/>
          <w:sz w:val="28"/>
          <w:szCs w:val="28"/>
        </w:rPr>
        <w:t>3.3</w:t>
      </w:r>
      <w:r w:rsidRPr="00FA4D2D">
        <w:rPr>
          <w:rFonts w:asciiTheme="minorHAnsi" w:eastAsia="SimSun" w:hAnsiTheme="minorHAnsi"/>
          <w:b/>
          <w:sz w:val="28"/>
          <w:szCs w:val="28"/>
        </w:rPr>
        <w:tab/>
        <w:t>Design of cost recovery charges</w:t>
      </w:r>
      <w:r>
        <w:rPr>
          <w:rFonts w:asciiTheme="minorHAnsi" w:hAnsiTheme="minorHAnsi"/>
          <w:sz w:val="28"/>
          <w:szCs w:val="28"/>
        </w:rPr>
        <w:t xml:space="preserve"> </w:t>
      </w:r>
    </w:p>
    <w:p w14:paraId="0A830C3E" w14:textId="77777777" w:rsidR="00FA4D2D" w:rsidRPr="0064062A" w:rsidRDefault="0064062A" w:rsidP="00FA4D2D">
      <w:pPr>
        <w:shd w:val="clear" w:color="auto" w:fill="FFFFFF" w:themeFill="background1"/>
        <w:spacing w:after="120"/>
        <w:rPr>
          <w:rFonts w:asciiTheme="minorHAnsi" w:hAnsiTheme="minorHAnsi" w:cstheme="minorHAnsi"/>
          <w:b/>
        </w:rPr>
      </w:pPr>
      <w:r w:rsidRPr="0064062A">
        <w:rPr>
          <w:rFonts w:asciiTheme="minorHAnsi" w:hAnsiTheme="minorHAnsi" w:cstheme="minorHAnsi"/>
          <w:b/>
        </w:rPr>
        <w:t>3.3.1</w:t>
      </w:r>
      <w:r w:rsidRPr="0064062A">
        <w:rPr>
          <w:rFonts w:asciiTheme="minorHAnsi" w:hAnsiTheme="minorHAnsi" w:cstheme="minorHAnsi"/>
          <w:b/>
        </w:rPr>
        <w:tab/>
      </w:r>
      <w:r w:rsidR="00FA4D2D" w:rsidRPr="0064062A">
        <w:rPr>
          <w:rFonts w:asciiTheme="minorHAnsi" w:hAnsiTheme="minorHAnsi" w:cstheme="minorHAnsi"/>
          <w:b/>
        </w:rPr>
        <w:t>Applications to be an approved higher education provider</w:t>
      </w:r>
    </w:p>
    <w:p w14:paraId="60796875" w14:textId="44A54988" w:rsidR="00FA4D2D" w:rsidRPr="002063B3" w:rsidRDefault="00FA4D2D" w:rsidP="00657DEA">
      <w:pPr>
        <w:pStyle w:val="Pa12"/>
        <w:spacing w:after="120" w:line="240" w:lineRule="auto"/>
        <w:jc w:val="both"/>
      </w:pPr>
      <w:r>
        <w:rPr>
          <w:rFonts w:asciiTheme="minorHAnsi" w:eastAsia="Times New Roman" w:hAnsiTheme="minorHAnsi" w:cs="Times New Roman"/>
          <w:lang w:val="en-AU"/>
        </w:rPr>
        <w:t xml:space="preserve">Applications to become an approved higher education provider will be subject to a fee. This activity </w:t>
      </w:r>
      <w:proofErr w:type="gramStart"/>
      <w:r>
        <w:rPr>
          <w:rFonts w:asciiTheme="minorHAnsi" w:eastAsia="Times New Roman" w:hAnsiTheme="minorHAnsi" w:cs="Times New Roman"/>
          <w:lang w:val="en-AU"/>
        </w:rPr>
        <w:t>is carried out</w:t>
      </w:r>
      <w:proofErr w:type="gramEnd"/>
      <w:r>
        <w:rPr>
          <w:rFonts w:asciiTheme="minorHAnsi" w:eastAsia="Times New Roman" w:hAnsiTheme="minorHAnsi" w:cs="Times New Roman"/>
          <w:lang w:val="en-AU"/>
        </w:rPr>
        <w:t xml:space="preserve"> at the request of an individual or organisation and, if approved, enables the organisation to </w:t>
      </w:r>
      <w:r>
        <w:rPr>
          <w:rFonts w:asciiTheme="minorHAnsi" w:hAnsiTheme="minorHAnsi"/>
        </w:rPr>
        <w:t>become a higher educa</w:t>
      </w:r>
      <w:r w:rsidR="00F66680">
        <w:rPr>
          <w:rFonts w:asciiTheme="minorHAnsi" w:hAnsiTheme="minorHAnsi"/>
        </w:rPr>
        <w:t>tion provider able to offer FEE</w:t>
      </w:r>
      <w:r w:rsidR="00F66680">
        <w:rPr>
          <w:rFonts w:asciiTheme="minorHAnsi" w:hAnsiTheme="minorHAnsi"/>
        </w:rPr>
        <w:noBreakHyphen/>
      </w:r>
      <w:r>
        <w:rPr>
          <w:rFonts w:asciiTheme="minorHAnsi" w:hAnsiTheme="minorHAnsi"/>
        </w:rPr>
        <w:t xml:space="preserve">HELP assistance. Costs of this activity </w:t>
      </w:r>
      <w:proofErr w:type="gramStart"/>
      <w:r>
        <w:rPr>
          <w:rFonts w:asciiTheme="minorHAnsi" w:hAnsiTheme="minorHAnsi"/>
        </w:rPr>
        <w:t>can be attributed</w:t>
      </w:r>
      <w:proofErr w:type="gramEnd"/>
      <w:r>
        <w:rPr>
          <w:rFonts w:asciiTheme="minorHAnsi" w:hAnsiTheme="minorHAnsi"/>
        </w:rPr>
        <w:t xml:space="preserve"> directly to the applicant. </w:t>
      </w:r>
    </w:p>
    <w:p w14:paraId="2CA94AB7" w14:textId="732E0032" w:rsidR="00FA4D2D" w:rsidRPr="0064062A" w:rsidRDefault="00FA4D2D" w:rsidP="00657DEA">
      <w:pPr>
        <w:spacing w:after="120"/>
        <w:jc w:val="both"/>
        <w:rPr>
          <w:rFonts w:asciiTheme="minorHAnsi" w:hAnsiTheme="minorHAnsi" w:cstheme="minorHAnsi"/>
          <w:lang w:val="en-US"/>
        </w:rPr>
      </w:pPr>
      <w:r>
        <w:rPr>
          <w:rFonts w:asciiTheme="minorHAnsi" w:hAnsiTheme="minorHAnsi" w:cstheme="minorHAnsi"/>
          <w:lang w:val="en-US"/>
        </w:rPr>
        <w:t>The charge per application to be approved under HESA is fully reflective of the costs of delivering this activity</w:t>
      </w:r>
      <w:r w:rsidR="00000BE6">
        <w:rPr>
          <w:rFonts w:asciiTheme="minorHAnsi" w:hAnsiTheme="minorHAnsi" w:cstheme="minorHAnsi"/>
          <w:lang w:val="en-US"/>
        </w:rPr>
        <w:t xml:space="preserve"> as detailed in Table</w:t>
      </w:r>
      <w:r w:rsidR="008505A2">
        <w:rPr>
          <w:rFonts w:asciiTheme="minorHAnsi" w:hAnsiTheme="minorHAnsi" w:cstheme="minorHAnsi"/>
          <w:lang w:val="en-US"/>
        </w:rPr>
        <w:t xml:space="preserve"> 1</w:t>
      </w:r>
      <w:r>
        <w:rPr>
          <w:rFonts w:asciiTheme="minorHAnsi" w:hAnsiTheme="minorHAnsi" w:cstheme="minorHAnsi"/>
          <w:lang w:val="en-US"/>
        </w:rPr>
        <w:t xml:space="preserve">, however is rounded up to </w:t>
      </w:r>
      <w:r w:rsidR="00000BE6">
        <w:rPr>
          <w:rFonts w:asciiTheme="minorHAnsi" w:hAnsiTheme="minorHAnsi" w:cstheme="minorHAnsi"/>
          <w:lang w:val="en-US"/>
        </w:rPr>
        <w:t>the nearest dollar</w:t>
      </w:r>
      <w:r>
        <w:rPr>
          <w:rFonts w:asciiTheme="minorHAnsi" w:hAnsiTheme="minorHAnsi"/>
        </w:rPr>
        <w:t xml:space="preserve"> for administrative simplicity. </w:t>
      </w:r>
    </w:p>
    <w:p w14:paraId="75A40BC5" w14:textId="65EE81B7" w:rsidR="00FA4D2D" w:rsidRPr="0064062A" w:rsidRDefault="0064062A" w:rsidP="0064062A">
      <w:pPr>
        <w:shd w:val="clear" w:color="auto" w:fill="FFFFFF" w:themeFill="background1"/>
        <w:spacing w:before="240" w:after="120"/>
        <w:rPr>
          <w:rFonts w:asciiTheme="minorHAnsi" w:hAnsiTheme="minorHAnsi" w:cstheme="minorHAnsi"/>
          <w:b/>
        </w:rPr>
      </w:pPr>
      <w:r w:rsidRPr="0064062A">
        <w:rPr>
          <w:rFonts w:asciiTheme="minorHAnsi" w:hAnsiTheme="minorHAnsi" w:cstheme="minorHAnsi"/>
          <w:b/>
        </w:rPr>
        <w:t>3.3.2</w:t>
      </w:r>
      <w:r w:rsidRPr="0064062A">
        <w:rPr>
          <w:rFonts w:asciiTheme="minorHAnsi" w:hAnsiTheme="minorHAnsi" w:cstheme="minorHAnsi"/>
          <w:b/>
        </w:rPr>
        <w:tab/>
      </w:r>
      <w:r w:rsidR="00FA4D2D" w:rsidRPr="0064062A">
        <w:rPr>
          <w:rFonts w:asciiTheme="minorHAnsi" w:hAnsiTheme="minorHAnsi" w:cstheme="minorHAnsi"/>
          <w:b/>
        </w:rPr>
        <w:t>Ongoing</w:t>
      </w:r>
      <w:r w:rsidR="00F66680">
        <w:rPr>
          <w:rFonts w:asciiTheme="minorHAnsi" w:hAnsiTheme="minorHAnsi" w:cstheme="minorHAnsi"/>
          <w:b/>
        </w:rPr>
        <w:t xml:space="preserve"> regulatory a</w:t>
      </w:r>
      <w:r w:rsidR="00FA4D2D" w:rsidRPr="0064062A">
        <w:rPr>
          <w:rFonts w:asciiTheme="minorHAnsi" w:hAnsiTheme="minorHAnsi" w:cstheme="minorHAnsi"/>
          <w:b/>
        </w:rPr>
        <w:t>ctivities</w:t>
      </w:r>
    </w:p>
    <w:p w14:paraId="316474BC" w14:textId="1DA5970D" w:rsidR="00FA4D2D" w:rsidRDefault="00FA4D2D" w:rsidP="00657DEA">
      <w:pPr>
        <w:spacing w:after="120"/>
        <w:jc w:val="both"/>
        <w:rPr>
          <w:rFonts w:asciiTheme="minorHAnsi" w:hAnsiTheme="minorHAnsi"/>
        </w:rPr>
      </w:pPr>
      <w:r w:rsidRPr="00C324E9">
        <w:rPr>
          <w:rFonts w:asciiTheme="minorHAnsi" w:hAnsiTheme="minorHAnsi" w:cstheme="minorHAnsi"/>
        </w:rPr>
        <w:t>To</w:t>
      </w:r>
      <w:r>
        <w:rPr>
          <w:rFonts w:asciiTheme="minorHAnsi" w:hAnsiTheme="minorHAnsi" w:cstheme="minorHAnsi"/>
        </w:rPr>
        <w:t xml:space="preserve"> continue to offer HELP assistance to eligible students, higher education providers must </w:t>
      </w:r>
      <w:r>
        <w:rPr>
          <w:rFonts w:asciiTheme="minorHAnsi" w:hAnsiTheme="minorHAnsi"/>
        </w:rPr>
        <w:t xml:space="preserve">comply with HESA, including through financial viability </w:t>
      </w:r>
      <w:r w:rsidR="00063B33">
        <w:rPr>
          <w:rFonts w:asciiTheme="minorHAnsi" w:hAnsiTheme="minorHAnsi"/>
        </w:rPr>
        <w:t>assessment</w:t>
      </w:r>
      <w:r>
        <w:rPr>
          <w:rFonts w:asciiTheme="minorHAnsi" w:hAnsiTheme="minorHAnsi"/>
        </w:rPr>
        <w:t>, investigations and forensic audits.</w:t>
      </w:r>
    </w:p>
    <w:p w14:paraId="0CE797D2" w14:textId="77777777" w:rsidR="00FA4D2D" w:rsidRDefault="00FA4D2D" w:rsidP="00657DEA">
      <w:pPr>
        <w:spacing w:after="120"/>
        <w:jc w:val="both"/>
        <w:rPr>
          <w:rFonts w:asciiTheme="minorHAnsi" w:hAnsiTheme="minorHAnsi"/>
        </w:rPr>
      </w:pPr>
      <w:r>
        <w:rPr>
          <w:rFonts w:asciiTheme="minorHAnsi" w:hAnsiTheme="minorHAnsi"/>
        </w:rPr>
        <w:t>As per the Government decision, and per the requirements of the Australian Government Charging Framework, the direct costs and an appropriate share of the indirect costs of delivering compliance, monitoring, investigations, communications and advice activities are appropriate for inclusion in a levy on listed and approved higher education providers.</w:t>
      </w:r>
    </w:p>
    <w:p w14:paraId="50C83DC4" w14:textId="4FDC21A6" w:rsidR="00FA4D2D" w:rsidRDefault="00FA4D2D" w:rsidP="00657DEA">
      <w:pPr>
        <w:spacing w:after="120"/>
        <w:jc w:val="both"/>
        <w:rPr>
          <w:rFonts w:asciiTheme="minorHAnsi" w:hAnsiTheme="minorHAnsi"/>
        </w:rPr>
      </w:pPr>
      <w:r>
        <w:rPr>
          <w:rFonts w:asciiTheme="minorHAnsi" w:hAnsiTheme="minorHAnsi"/>
        </w:rPr>
        <w:t xml:space="preserve">The </w:t>
      </w:r>
      <w:r w:rsidR="00E6145A">
        <w:rPr>
          <w:rFonts w:asciiTheme="minorHAnsi" w:hAnsiTheme="minorHAnsi"/>
        </w:rPr>
        <w:t>annual charge</w:t>
      </w:r>
      <w:r w:rsidR="00C90B04">
        <w:rPr>
          <w:rFonts w:asciiTheme="minorHAnsi" w:hAnsiTheme="minorHAnsi"/>
        </w:rPr>
        <w:t xml:space="preserve"> comprises</w:t>
      </w:r>
      <w:r>
        <w:rPr>
          <w:rFonts w:asciiTheme="minorHAnsi" w:hAnsiTheme="minorHAnsi"/>
        </w:rPr>
        <w:t>:</w:t>
      </w:r>
    </w:p>
    <w:p w14:paraId="2CF674C7" w14:textId="77777777" w:rsidR="00FA4D2D" w:rsidRDefault="00FA4D2D" w:rsidP="00657DEA">
      <w:pPr>
        <w:pStyle w:val="ListParagraph"/>
        <w:numPr>
          <w:ilvl w:val="0"/>
          <w:numId w:val="14"/>
        </w:numPr>
        <w:spacing w:after="60"/>
        <w:ind w:left="765" w:hanging="357"/>
        <w:jc w:val="both"/>
        <w:rPr>
          <w:rFonts w:asciiTheme="minorHAnsi" w:hAnsiTheme="minorHAnsi"/>
        </w:rPr>
      </w:pPr>
      <w:proofErr w:type="gramStart"/>
      <w:r>
        <w:rPr>
          <w:rFonts w:asciiTheme="minorHAnsi" w:hAnsiTheme="minorHAnsi"/>
        </w:rPr>
        <w:t>a</w:t>
      </w:r>
      <w:proofErr w:type="gramEnd"/>
      <w:r>
        <w:rPr>
          <w:rFonts w:asciiTheme="minorHAnsi" w:hAnsiTheme="minorHAnsi"/>
        </w:rPr>
        <w:t xml:space="preserve"> student-based amount</w:t>
      </w:r>
      <w:r w:rsidR="00021F50">
        <w:rPr>
          <w:rFonts w:asciiTheme="minorHAnsi" w:hAnsiTheme="minorHAnsi"/>
        </w:rPr>
        <w:t xml:space="preserve"> for NUHEPs and Universities</w:t>
      </w:r>
      <w:r>
        <w:rPr>
          <w:rFonts w:asciiTheme="minorHAnsi" w:hAnsiTheme="minorHAnsi"/>
        </w:rPr>
        <w:t xml:space="preserve">, representing costs that are incurred in greater proportion for providers with more students, such as communications, enquiries and stakeholder engagement. </w:t>
      </w:r>
      <w:proofErr w:type="gramStart"/>
      <w:r w:rsidR="00127F38">
        <w:rPr>
          <w:rFonts w:asciiTheme="minorHAnsi" w:hAnsiTheme="minorHAnsi"/>
        </w:rPr>
        <w:t xml:space="preserve">A </w:t>
      </w:r>
      <w:r w:rsidR="00A126E5">
        <w:rPr>
          <w:rFonts w:asciiTheme="minorHAnsi" w:hAnsiTheme="minorHAnsi"/>
        </w:rPr>
        <w:t xml:space="preserve">portion </w:t>
      </w:r>
      <w:r w:rsidR="00127F38">
        <w:rPr>
          <w:rFonts w:asciiTheme="minorHAnsi" w:hAnsiTheme="minorHAnsi"/>
        </w:rPr>
        <w:t>of these costs are</w:t>
      </w:r>
      <w:proofErr w:type="gramEnd"/>
      <w:r w:rsidR="00127F38">
        <w:rPr>
          <w:rFonts w:asciiTheme="minorHAnsi" w:hAnsiTheme="minorHAnsi"/>
        </w:rPr>
        <w:t xml:space="preserve"> split into general enquiries </w:t>
      </w:r>
      <w:r w:rsidR="00A126E5">
        <w:rPr>
          <w:rFonts w:asciiTheme="minorHAnsi" w:hAnsiTheme="minorHAnsi"/>
        </w:rPr>
        <w:t>(applicable to all provider</w:t>
      </w:r>
      <w:r w:rsidR="001B4199">
        <w:rPr>
          <w:rFonts w:asciiTheme="minorHAnsi" w:hAnsiTheme="minorHAnsi"/>
        </w:rPr>
        <w:t>s</w:t>
      </w:r>
      <w:r w:rsidR="00A126E5">
        <w:rPr>
          <w:rFonts w:asciiTheme="minorHAnsi" w:hAnsiTheme="minorHAnsi"/>
        </w:rPr>
        <w:t>)</w:t>
      </w:r>
      <w:r w:rsidR="00A2662D">
        <w:rPr>
          <w:rFonts w:asciiTheme="minorHAnsi" w:hAnsiTheme="minorHAnsi"/>
        </w:rPr>
        <w:t xml:space="preserve">, </w:t>
      </w:r>
      <w:r w:rsidR="00127F38">
        <w:rPr>
          <w:rFonts w:asciiTheme="minorHAnsi" w:hAnsiTheme="minorHAnsi"/>
        </w:rPr>
        <w:t xml:space="preserve">NUHEP </w:t>
      </w:r>
      <w:r w:rsidR="00A2662D">
        <w:rPr>
          <w:rFonts w:asciiTheme="minorHAnsi" w:hAnsiTheme="minorHAnsi"/>
        </w:rPr>
        <w:t xml:space="preserve">and Table C provider specific enquiries </w:t>
      </w:r>
      <w:r w:rsidR="00127F38">
        <w:rPr>
          <w:rFonts w:asciiTheme="minorHAnsi" w:hAnsiTheme="minorHAnsi"/>
        </w:rPr>
        <w:t>and Universit</w:t>
      </w:r>
      <w:r w:rsidR="00A126E5">
        <w:rPr>
          <w:rFonts w:asciiTheme="minorHAnsi" w:hAnsiTheme="minorHAnsi"/>
        </w:rPr>
        <w:t>y specific</w:t>
      </w:r>
      <w:r w:rsidR="00127F38">
        <w:rPr>
          <w:rFonts w:asciiTheme="minorHAnsi" w:hAnsiTheme="minorHAnsi"/>
        </w:rPr>
        <w:t xml:space="preserve"> enquiries. </w:t>
      </w:r>
    </w:p>
    <w:p w14:paraId="05EAB157" w14:textId="323AC803" w:rsidR="00FA4D2D" w:rsidRDefault="00FA4D2D" w:rsidP="00657DEA">
      <w:pPr>
        <w:pStyle w:val="ListParagraph"/>
        <w:numPr>
          <w:ilvl w:val="0"/>
          <w:numId w:val="14"/>
        </w:numPr>
        <w:spacing w:after="60"/>
        <w:ind w:left="765" w:hanging="357"/>
        <w:jc w:val="both"/>
        <w:rPr>
          <w:rFonts w:asciiTheme="minorHAnsi" w:hAnsiTheme="minorHAnsi"/>
        </w:rPr>
      </w:pPr>
      <w:proofErr w:type="gramStart"/>
      <w:r>
        <w:rPr>
          <w:rFonts w:asciiTheme="minorHAnsi" w:hAnsiTheme="minorHAnsi"/>
        </w:rPr>
        <w:t>a</w:t>
      </w:r>
      <w:proofErr w:type="gramEnd"/>
      <w:r>
        <w:rPr>
          <w:rFonts w:asciiTheme="minorHAnsi" w:hAnsiTheme="minorHAnsi"/>
        </w:rPr>
        <w:t xml:space="preserve"> student-based amount for NUHEP and Table C</w:t>
      </w:r>
      <w:r w:rsidR="00A2662D">
        <w:rPr>
          <w:rFonts w:asciiTheme="minorHAnsi" w:hAnsiTheme="minorHAnsi"/>
        </w:rPr>
        <w:t xml:space="preserve"> providers</w:t>
      </w:r>
      <w:r>
        <w:rPr>
          <w:rFonts w:asciiTheme="minorHAnsi" w:hAnsiTheme="minorHAnsi"/>
        </w:rPr>
        <w:t xml:space="preserve"> specific costs, related to provider management activities such as provider training, working groups, system support and legal support, investigations</w:t>
      </w:r>
      <w:r w:rsidR="00A126E5">
        <w:rPr>
          <w:rFonts w:asciiTheme="minorHAnsi" w:hAnsiTheme="minorHAnsi"/>
        </w:rPr>
        <w:t>, compliance</w:t>
      </w:r>
      <w:r>
        <w:rPr>
          <w:rFonts w:asciiTheme="minorHAnsi" w:hAnsiTheme="minorHAnsi"/>
        </w:rPr>
        <w:t xml:space="preserve"> and audits representing costs that are incurred in greater proportion for NUHEPs and Table C</w:t>
      </w:r>
      <w:r w:rsidR="00A71CC8">
        <w:rPr>
          <w:rFonts w:asciiTheme="minorHAnsi" w:hAnsiTheme="minorHAnsi"/>
        </w:rPr>
        <w:t xml:space="preserve"> providers</w:t>
      </w:r>
      <w:r>
        <w:rPr>
          <w:rFonts w:asciiTheme="minorHAnsi" w:hAnsiTheme="minorHAnsi"/>
        </w:rPr>
        <w:t xml:space="preserve"> with more students.</w:t>
      </w:r>
    </w:p>
    <w:p w14:paraId="17A20F2E" w14:textId="6C59B002" w:rsidR="00A126E5" w:rsidRDefault="00A2662D" w:rsidP="00657DEA">
      <w:pPr>
        <w:pStyle w:val="ListParagraph"/>
        <w:numPr>
          <w:ilvl w:val="0"/>
          <w:numId w:val="14"/>
        </w:numPr>
        <w:spacing w:after="60"/>
        <w:ind w:left="765" w:hanging="357"/>
        <w:jc w:val="both"/>
        <w:rPr>
          <w:rFonts w:asciiTheme="minorHAnsi" w:hAnsiTheme="minorHAnsi"/>
        </w:rPr>
      </w:pPr>
      <w:r>
        <w:rPr>
          <w:rFonts w:asciiTheme="minorHAnsi" w:hAnsiTheme="minorHAnsi"/>
        </w:rPr>
        <w:t xml:space="preserve">NUHEP and Table C </w:t>
      </w:r>
      <w:r w:rsidR="00A71CC8">
        <w:rPr>
          <w:rFonts w:asciiTheme="minorHAnsi" w:hAnsiTheme="minorHAnsi"/>
        </w:rPr>
        <w:t xml:space="preserve">providers’ </w:t>
      </w:r>
      <w:r>
        <w:rPr>
          <w:rFonts w:asciiTheme="minorHAnsi" w:hAnsiTheme="minorHAnsi"/>
        </w:rPr>
        <w:t>specific costs</w:t>
      </w:r>
      <w:r w:rsidR="003842AB" w:rsidRPr="003842AB">
        <w:rPr>
          <w:rFonts w:asciiTheme="minorHAnsi" w:hAnsiTheme="minorHAnsi"/>
        </w:rPr>
        <w:t xml:space="preserve"> allocated on a flat rate basis. These costs are in </w:t>
      </w:r>
      <w:r w:rsidR="003842AB" w:rsidRPr="00741DDB">
        <w:rPr>
          <w:rFonts w:asciiTheme="minorHAnsi" w:hAnsiTheme="minorHAnsi"/>
        </w:rPr>
        <w:t xml:space="preserve">relation to the </w:t>
      </w:r>
      <w:r w:rsidR="00741DDB">
        <w:rPr>
          <w:rFonts w:asciiTheme="minorHAnsi" w:hAnsiTheme="minorHAnsi"/>
        </w:rPr>
        <w:t xml:space="preserve">financial viability </w:t>
      </w:r>
      <w:r w:rsidR="00A126E5">
        <w:rPr>
          <w:rFonts w:asciiTheme="minorHAnsi" w:hAnsiTheme="minorHAnsi"/>
        </w:rPr>
        <w:t>assessment</w:t>
      </w:r>
      <w:r w:rsidR="00741DDB">
        <w:rPr>
          <w:rFonts w:asciiTheme="minorHAnsi" w:hAnsiTheme="minorHAnsi"/>
        </w:rPr>
        <w:t xml:space="preserve"> of these providers. </w:t>
      </w:r>
    </w:p>
    <w:p w14:paraId="3F2D1082" w14:textId="43AC0C80" w:rsidR="000164D2" w:rsidRDefault="00FA4D2D" w:rsidP="00657DEA">
      <w:pPr>
        <w:pStyle w:val="ListParagraph"/>
        <w:numPr>
          <w:ilvl w:val="0"/>
          <w:numId w:val="14"/>
        </w:numPr>
        <w:spacing w:after="60"/>
        <w:ind w:left="765" w:hanging="357"/>
        <w:jc w:val="both"/>
        <w:rPr>
          <w:rFonts w:asciiTheme="minorHAnsi" w:hAnsiTheme="minorHAnsi"/>
        </w:rPr>
      </w:pPr>
      <w:proofErr w:type="gramStart"/>
      <w:r w:rsidRPr="003842AB">
        <w:rPr>
          <w:rFonts w:asciiTheme="minorHAnsi" w:hAnsiTheme="minorHAnsi"/>
        </w:rPr>
        <w:t>university</w:t>
      </w:r>
      <w:proofErr w:type="gramEnd"/>
      <w:r w:rsidRPr="003842AB">
        <w:rPr>
          <w:rFonts w:asciiTheme="minorHAnsi" w:hAnsiTheme="minorHAnsi"/>
        </w:rPr>
        <w:t xml:space="preserve"> specific costs are allocated on a flat rate basis. These costs are in relation to</w:t>
      </w:r>
      <w:r w:rsidRPr="008106AE">
        <w:rPr>
          <w:rFonts w:asciiTheme="minorHAnsi" w:hAnsiTheme="minorHAnsi"/>
        </w:rPr>
        <w:t xml:space="preserve"> provider management, financial viability </w:t>
      </w:r>
      <w:r w:rsidR="00A126E5">
        <w:rPr>
          <w:rFonts w:asciiTheme="minorHAnsi" w:hAnsiTheme="minorHAnsi"/>
        </w:rPr>
        <w:t>assessment</w:t>
      </w:r>
      <w:r w:rsidR="00A126E5" w:rsidRPr="008106AE">
        <w:rPr>
          <w:rFonts w:asciiTheme="minorHAnsi" w:hAnsiTheme="minorHAnsi"/>
        </w:rPr>
        <w:t xml:space="preserve"> </w:t>
      </w:r>
      <w:r w:rsidRPr="008106AE">
        <w:rPr>
          <w:rFonts w:asciiTheme="minorHAnsi" w:hAnsiTheme="minorHAnsi"/>
        </w:rPr>
        <w:t>and compliance of these providers</w:t>
      </w:r>
      <w:r w:rsidR="00C90B04">
        <w:rPr>
          <w:rFonts w:asciiTheme="minorHAnsi" w:hAnsiTheme="minorHAnsi"/>
        </w:rPr>
        <w:t>.</w:t>
      </w:r>
    </w:p>
    <w:p w14:paraId="55E9FFDC" w14:textId="77777777" w:rsidR="00A22DC8" w:rsidRDefault="00A22DC8" w:rsidP="002D7B66">
      <w:pPr>
        <w:spacing w:after="160" w:line="259" w:lineRule="auto"/>
        <w:rPr>
          <w:rFonts w:asciiTheme="minorHAnsi" w:hAnsiTheme="minorHAnsi"/>
          <w:b/>
        </w:rPr>
      </w:pPr>
    </w:p>
    <w:p w14:paraId="3A68617E" w14:textId="0B298FC4" w:rsidR="00EC7C39" w:rsidRPr="00283608" w:rsidRDefault="00A22DC8" w:rsidP="002D7B66">
      <w:pPr>
        <w:spacing w:after="160" w:line="259" w:lineRule="auto"/>
        <w:rPr>
          <w:rFonts w:asciiTheme="minorHAnsi" w:hAnsiTheme="minorHAnsi"/>
          <w:b/>
        </w:rPr>
      </w:pPr>
      <w:r>
        <w:rPr>
          <w:rFonts w:asciiTheme="minorHAnsi" w:hAnsiTheme="minorHAnsi"/>
          <w:b/>
        </w:rPr>
        <w:t>T</w:t>
      </w:r>
      <w:r w:rsidR="00F4179C" w:rsidRPr="00283608">
        <w:rPr>
          <w:rFonts w:asciiTheme="minorHAnsi" w:hAnsiTheme="minorHAnsi"/>
          <w:b/>
        </w:rPr>
        <w:t>able 3: Annual charge activities and costs by provider type</w:t>
      </w:r>
      <w:r w:rsidR="000178DD">
        <w:rPr>
          <w:rFonts w:asciiTheme="minorHAnsi" w:hAnsiTheme="minorHAnsi"/>
          <w:b/>
        </w:rPr>
        <w:t xml:space="preserve"> (cost subjected to recovery only)</w:t>
      </w:r>
    </w:p>
    <w:tbl>
      <w:tblPr>
        <w:tblStyle w:val="TableGrid"/>
        <w:tblW w:w="8931" w:type="dxa"/>
        <w:tblInd w:w="-5" w:type="dxa"/>
        <w:tblLayout w:type="fixed"/>
        <w:tblLook w:val="04A0" w:firstRow="1" w:lastRow="0" w:firstColumn="1" w:lastColumn="0" w:noHBand="0" w:noVBand="1"/>
      </w:tblPr>
      <w:tblGrid>
        <w:gridCol w:w="3261"/>
        <w:gridCol w:w="2551"/>
        <w:gridCol w:w="3119"/>
      </w:tblGrid>
      <w:tr w:rsidR="00FA4D2D" w14:paraId="4D431ECD" w14:textId="77777777" w:rsidTr="00A92589">
        <w:trPr>
          <w:trHeight w:val="355"/>
        </w:trPr>
        <w:tc>
          <w:tcPr>
            <w:tcW w:w="3261" w:type="dxa"/>
            <w:shd w:val="clear" w:color="auto" w:fill="D9E2F3" w:themeFill="accent1" w:themeFillTint="33"/>
          </w:tcPr>
          <w:p w14:paraId="0FCC23CD" w14:textId="77777777" w:rsidR="00FA4D2D" w:rsidRPr="0053562D" w:rsidRDefault="00FA4D2D" w:rsidP="00A92589">
            <w:pPr>
              <w:rPr>
                <w:rFonts w:asciiTheme="minorHAnsi" w:hAnsiTheme="minorHAnsi"/>
                <w:b/>
                <w:sz w:val="22"/>
                <w:szCs w:val="22"/>
              </w:rPr>
            </w:pPr>
            <w:r w:rsidRPr="0053562D">
              <w:rPr>
                <w:rFonts w:asciiTheme="minorHAnsi" w:hAnsiTheme="minorHAnsi"/>
                <w:b/>
                <w:sz w:val="22"/>
                <w:szCs w:val="22"/>
              </w:rPr>
              <w:t>Activities</w:t>
            </w:r>
          </w:p>
        </w:tc>
        <w:tc>
          <w:tcPr>
            <w:tcW w:w="2551" w:type="dxa"/>
            <w:shd w:val="clear" w:color="auto" w:fill="D9E2F3" w:themeFill="accent1" w:themeFillTint="33"/>
          </w:tcPr>
          <w:p w14:paraId="258631F0" w14:textId="77777777" w:rsidR="00FA4D2D" w:rsidRPr="0053562D" w:rsidRDefault="00FA4D2D" w:rsidP="00A92589">
            <w:pPr>
              <w:jc w:val="center"/>
              <w:rPr>
                <w:rFonts w:asciiTheme="minorHAnsi" w:hAnsiTheme="minorHAnsi"/>
                <w:b/>
                <w:sz w:val="22"/>
                <w:szCs w:val="22"/>
              </w:rPr>
            </w:pPr>
            <w:r w:rsidRPr="0053562D">
              <w:rPr>
                <w:rFonts w:asciiTheme="minorHAnsi" w:hAnsiTheme="minorHAnsi"/>
                <w:b/>
                <w:sz w:val="22"/>
                <w:szCs w:val="22"/>
              </w:rPr>
              <w:t>University</w:t>
            </w:r>
            <w:r>
              <w:rPr>
                <w:rFonts w:asciiTheme="minorHAnsi" w:hAnsiTheme="minorHAnsi"/>
                <w:b/>
                <w:sz w:val="22"/>
                <w:szCs w:val="22"/>
              </w:rPr>
              <w:t xml:space="preserve"> costs</w:t>
            </w:r>
          </w:p>
        </w:tc>
        <w:tc>
          <w:tcPr>
            <w:tcW w:w="3119" w:type="dxa"/>
            <w:shd w:val="clear" w:color="auto" w:fill="D9E2F3" w:themeFill="accent1" w:themeFillTint="33"/>
          </w:tcPr>
          <w:p w14:paraId="28367C16" w14:textId="77777777" w:rsidR="00FA4D2D" w:rsidRPr="0053562D" w:rsidRDefault="00FA4D2D" w:rsidP="00A92589">
            <w:pPr>
              <w:jc w:val="center"/>
              <w:rPr>
                <w:rFonts w:asciiTheme="minorHAnsi" w:hAnsiTheme="minorHAnsi"/>
                <w:b/>
                <w:sz w:val="22"/>
                <w:szCs w:val="22"/>
              </w:rPr>
            </w:pPr>
            <w:r w:rsidRPr="0053562D">
              <w:rPr>
                <w:rFonts w:asciiTheme="minorHAnsi" w:hAnsiTheme="minorHAnsi"/>
                <w:b/>
                <w:sz w:val="22"/>
                <w:szCs w:val="22"/>
              </w:rPr>
              <w:t>NUHEPs and Table C providers</w:t>
            </w:r>
            <w:r>
              <w:rPr>
                <w:rFonts w:asciiTheme="minorHAnsi" w:hAnsiTheme="minorHAnsi"/>
                <w:b/>
                <w:sz w:val="22"/>
                <w:szCs w:val="22"/>
              </w:rPr>
              <w:t xml:space="preserve"> costs</w:t>
            </w:r>
          </w:p>
        </w:tc>
      </w:tr>
      <w:tr w:rsidR="008106AE" w14:paraId="46C700DE" w14:textId="77777777" w:rsidTr="00A92589">
        <w:trPr>
          <w:trHeight w:hRule="exact" w:val="340"/>
        </w:trPr>
        <w:tc>
          <w:tcPr>
            <w:tcW w:w="3261" w:type="dxa"/>
          </w:tcPr>
          <w:p w14:paraId="23016AE7" w14:textId="77777777" w:rsidR="008106AE" w:rsidRPr="0053562D" w:rsidRDefault="008106AE" w:rsidP="00BD772D">
            <w:pPr>
              <w:spacing w:after="120"/>
              <w:rPr>
                <w:rFonts w:asciiTheme="minorHAnsi" w:hAnsiTheme="minorHAnsi"/>
                <w:sz w:val="22"/>
                <w:szCs w:val="22"/>
              </w:rPr>
            </w:pPr>
            <w:r>
              <w:rPr>
                <w:rFonts w:asciiTheme="minorHAnsi" w:hAnsiTheme="minorHAnsi"/>
                <w:sz w:val="22"/>
                <w:szCs w:val="22"/>
              </w:rPr>
              <w:t>Provider</w:t>
            </w:r>
            <w:r w:rsidR="002521A4">
              <w:rPr>
                <w:rFonts w:asciiTheme="minorHAnsi" w:hAnsiTheme="minorHAnsi"/>
                <w:sz w:val="22"/>
                <w:szCs w:val="22"/>
              </w:rPr>
              <w:t>-type</w:t>
            </w:r>
            <w:r>
              <w:rPr>
                <w:rFonts w:asciiTheme="minorHAnsi" w:hAnsiTheme="minorHAnsi"/>
                <w:sz w:val="22"/>
                <w:szCs w:val="22"/>
              </w:rPr>
              <w:t xml:space="preserve"> specific enquiries</w:t>
            </w:r>
          </w:p>
        </w:tc>
        <w:tc>
          <w:tcPr>
            <w:tcW w:w="2551" w:type="dxa"/>
            <w:vAlign w:val="center"/>
          </w:tcPr>
          <w:p w14:paraId="086EDDE3" w14:textId="547D1603" w:rsidR="008106AE" w:rsidRPr="0053562D" w:rsidRDefault="008106AE" w:rsidP="00E9391D">
            <w:pPr>
              <w:spacing w:after="120"/>
              <w:jc w:val="center"/>
              <w:rPr>
                <w:rFonts w:asciiTheme="minorHAnsi" w:hAnsiTheme="minorHAnsi"/>
                <w:sz w:val="22"/>
                <w:szCs w:val="22"/>
              </w:rPr>
            </w:pPr>
            <w:r>
              <w:rPr>
                <w:rFonts w:asciiTheme="minorHAnsi" w:hAnsiTheme="minorHAnsi"/>
                <w:sz w:val="22"/>
                <w:szCs w:val="22"/>
              </w:rPr>
              <w:t>$15</w:t>
            </w:r>
            <w:r w:rsidR="00A17F03">
              <w:rPr>
                <w:rFonts w:asciiTheme="minorHAnsi" w:hAnsiTheme="minorHAnsi"/>
                <w:sz w:val="22"/>
                <w:szCs w:val="22"/>
              </w:rPr>
              <w:t>4,871.40</w:t>
            </w:r>
          </w:p>
        </w:tc>
        <w:tc>
          <w:tcPr>
            <w:tcW w:w="3119" w:type="dxa"/>
            <w:vAlign w:val="center"/>
          </w:tcPr>
          <w:p w14:paraId="20430943" w14:textId="03F7A4A9" w:rsidR="008106AE" w:rsidRPr="0053562D" w:rsidRDefault="008106AE">
            <w:pPr>
              <w:spacing w:after="120"/>
              <w:jc w:val="center"/>
              <w:rPr>
                <w:rFonts w:asciiTheme="minorHAnsi" w:hAnsiTheme="minorHAnsi"/>
                <w:sz w:val="22"/>
                <w:szCs w:val="22"/>
              </w:rPr>
            </w:pPr>
            <w:r>
              <w:rPr>
                <w:rFonts w:asciiTheme="minorHAnsi" w:hAnsiTheme="minorHAnsi"/>
                <w:sz w:val="22"/>
                <w:szCs w:val="22"/>
              </w:rPr>
              <w:t>$3</w:t>
            </w:r>
            <w:r w:rsidR="00A17F03">
              <w:rPr>
                <w:rFonts w:asciiTheme="minorHAnsi" w:hAnsiTheme="minorHAnsi"/>
                <w:sz w:val="22"/>
                <w:szCs w:val="22"/>
              </w:rPr>
              <w:t>12,256.13</w:t>
            </w:r>
          </w:p>
        </w:tc>
      </w:tr>
      <w:tr w:rsidR="008106AE" w14:paraId="7AC66C68" w14:textId="77777777" w:rsidTr="00A92589">
        <w:trPr>
          <w:trHeight w:hRule="exact" w:val="340"/>
        </w:trPr>
        <w:tc>
          <w:tcPr>
            <w:tcW w:w="3261" w:type="dxa"/>
          </w:tcPr>
          <w:p w14:paraId="5B7920F5" w14:textId="3C618345" w:rsidR="008106AE" w:rsidRPr="0053562D" w:rsidRDefault="008106AE" w:rsidP="008106AE">
            <w:pPr>
              <w:spacing w:after="120"/>
              <w:rPr>
                <w:rFonts w:asciiTheme="minorHAnsi" w:hAnsiTheme="minorHAnsi"/>
                <w:sz w:val="22"/>
                <w:szCs w:val="22"/>
              </w:rPr>
            </w:pPr>
            <w:r>
              <w:rPr>
                <w:rFonts w:asciiTheme="minorHAnsi" w:hAnsiTheme="minorHAnsi"/>
                <w:sz w:val="22"/>
                <w:szCs w:val="22"/>
              </w:rPr>
              <w:t xml:space="preserve">Standard </w:t>
            </w:r>
            <w:r w:rsidR="006B4BFC">
              <w:rPr>
                <w:rFonts w:asciiTheme="minorHAnsi" w:hAnsiTheme="minorHAnsi"/>
                <w:sz w:val="22"/>
                <w:szCs w:val="22"/>
              </w:rPr>
              <w:t>e</w:t>
            </w:r>
            <w:r w:rsidRPr="0053562D">
              <w:rPr>
                <w:rFonts w:asciiTheme="minorHAnsi" w:hAnsiTheme="minorHAnsi"/>
                <w:sz w:val="22"/>
                <w:szCs w:val="22"/>
              </w:rPr>
              <w:t>nquiries</w:t>
            </w:r>
            <w:r>
              <w:rPr>
                <w:rFonts w:asciiTheme="minorHAnsi" w:hAnsiTheme="minorHAnsi"/>
                <w:sz w:val="22"/>
                <w:szCs w:val="22"/>
              </w:rPr>
              <w:t xml:space="preserve"> </w:t>
            </w:r>
          </w:p>
        </w:tc>
        <w:tc>
          <w:tcPr>
            <w:tcW w:w="5670" w:type="dxa"/>
            <w:gridSpan w:val="2"/>
            <w:vMerge w:val="restart"/>
            <w:vAlign w:val="center"/>
          </w:tcPr>
          <w:p w14:paraId="76745986" w14:textId="7214F5F9" w:rsidR="005374A9" w:rsidRDefault="000178DD" w:rsidP="002D7B66">
            <w:pPr>
              <w:jc w:val="center"/>
              <w:rPr>
                <w:rFonts w:asciiTheme="minorHAnsi" w:hAnsiTheme="minorHAnsi"/>
                <w:sz w:val="22"/>
                <w:szCs w:val="22"/>
              </w:rPr>
            </w:pPr>
            <w:r>
              <w:rPr>
                <w:rFonts w:asciiTheme="minorHAnsi" w:hAnsiTheme="minorHAnsi"/>
                <w:sz w:val="22"/>
                <w:szCs w:val="22"/>
              </w:rPr>
              <w:t>$1,163,561.74</w:t>
            </w:r>
          </w:p>
          <w:p w14:paraId="50F24ED0" w14:textId="4E749433" w:rsidR="008106AE" w:rsidRDefault="005374A9">
            <w:pPr>
              <w:spacing w:after="120"/>
              <w:jc w:val="center"/>
              <w:rPr>
                <w:rFonts w:asciiTheme="minorHAnsi" w:hAnsiTheme="minorHAnsi"/>
                <w:sz w:val="22"/>
                <w:szCs w:val="22"/>
              </w:rPr>
            </w:pPr>
            <w:r>
              <w:rPr>
                <w:rFonts w:asciiTheme="minorHAnsi" w:hAnsiTheme="minorHAnsi"/>
                <w:sz w:val="22"/>
                <w:szCs w:val="22"/>
              </w:rPr>
              <w:t>A</w:t>
            </w:r>
            <w:r w:rsidR="008106AE">
              <w:rPr>
                <w:rFonts w:asciiTheme="minorHAnsi" w:hAnsiTheme="minorHAnsi"/>
                <w:sz w:val="22"/>
                <w:szCs w:val="22"/>
              </w:rPr>
              <w:t>pportioned across all providers based on verified student numbers</w:t>
            </w:r>
          </w:p>
        </w:tc>
      </w:tr>
      <w:tr w:rsidR="008106AE" w14:paraId="4A087A83" w14:textId="77777777" w:rsidTr="002D7B66">
        <w:trPr>
          <w:trHeight w:hRule="exact" w:val="487"/>
        </w:trPr>
        <w:tc>
          <w:tcPr>
            <w:tcW w:w="3261" w:type="dxa"/>
          </w:tcPr>
          <w:p w14:paraId="2939D2BC" w14:textId="01BF0EC6" w:rsidR="008106AE" w:rsidRPr="0053562D" w:rsidRDefault="006B4BFC" w:rsidP="00BD772D">
            <w:pPr>
              <w:spacing w:after="120"/>
              <w:rPr>
                <w:rFonts w:asciiTheme="minorHAnsi" w:hAnsiTheme="minorHAnsi"/>
                <w:sz w:val="22"/>
                <w:szCs w:val="22"/>
              </w:rPr>
            </w:pPr>
            <w:r>
              <w:rPr>
                <w:rFonts w:asciiTheme="minorHAnsi" w:hAnsiTheme="minorHAnsi"/>
                <w:sz w:val="22"/>
                <w:szCs w:val="22"/>
              </w:rPr>
              <w:t>Stakeholder e</w:t>
            </w:r>
            <w:r w:rsidR="008106AE" w:rsidRPr="0053562D">
              <w:rPr>
                <w:rFonts w:asciiTheme="minorHAnsi" w:hAnsiTheme="minorHAnsi"/>
                <w:sz w:val="22"/>
                <w:szCs w:val="22"/>
              </w:rPr>
              <w:t>ngagement</w:t>
            </w:r>
          </w:p>
        </w:tc>
        <w:tc>
          <w:tcPr>
            <w:tcW w:w="5670" w:type="dxa"/>
            <w:gridSpan w:val="2"/>
            <w:vMerge/>
          </w:tcPr>
          <w:p w14:paraId="2A564101" w14:textId="77777777" w:rsidR="008106AE" w:rsidRPr="0053562D" w:rsidRDefault="008106AE" w:rsidP="00BD772D">
            <w:pPr>
              <w:spacing w:after="120"/>
              <w:rPr>
                <w:rFonts w:asciiTheme="minorHAnsi" w:hAnsiTheme="minorHAnsi"/>
                <w:sz w:val="22"/>
                <w:szCs w:val="22"/>
              </w:rPr>
            </w:pPr>
          </w:p>
        </w:tc>
      </w:tr>
      <w:tr w:rsidR="00FA4D2D" w14:paraId="2C370E4F" w14:textId="77777777" w:rsidTr="00A92589">
        <w:trPr>
          <w:trHeight w:hRule="exact" w:val="567"/>
        </w:trPr>
        <w:tc>
          <w:tcPr>
            <w:tcW w:w="3261" w:type="dxa"/>
          </w:tcPr>
          <w:p w14:paraId="4250C171" w14:textId="682D7BC3" w:rsidR="00FA4D2D" w:rsidRPr="0053562D" w:rsidRDefault="006B4BFC" w:rsidP="00BD772D">
            <w:pPr>
              <w:spacing w:after="120"/>
              <w:rPr>
                <w:rFonts w:asciiTheme="minorHAnsi" w:hAnsiTheme="minorHAnsi"/>
                <w:sz w:val="22"/>
                <w:szCs w:val="22"/>
              </w:rPr>
            </w:pPr>
            <w:r>
              <w:rPr>
                <w:rFonts w:asciiTheme="minorHAnsi" w:hAnsiTheme="minorHAnsi"/>
                <w:sz w:val="22"/>
                <w:szCs w:val="22"/>
              </w:rPr>
              <w:t>Provider m</w:t>
            </w:r>
            <w:r w:rsidR="00FA4D2D">
              <w:rPr>
                <w:rFonts w:asciiTheme="minorHAnsi" w:hAnsiTheme="minorHAnsi"/>
                <w:sz w:val="22"/>
                <w:szCs w:val="22"/>
              </w:rPr>
              <w:t>anagement and compliance</w:t>
            </w:r>
          </w:p>
        </w:tc>
        <w:tc>
          <w:tcPr>
            <w:tcW w:w="2551" w:type="dxa"/>
            <w:vAlign w:val="center"/>
          </w:tcPr>
          <w:p w14:paraId="2F19DB54" w14:textId="169EF8B3" w:rsidR="00FA4D2D" w:rsidRPr="0053562D" w:rsidRDefault="00FA4D2D" w:rsidP="00E9391D">
            <w:pPr>
              <w:spacing w:after="120"/>
              <w:jc w:val="center"/>
              <w:rPr>
                <w:rFonts w:asciiTheme="minorHAnsi" w:hAnsiTheme="minorHAnsi"/>
                <w:sz w:val="22"/>
                <w:szCs w:val="22"/>
              </w:rPr>
            </w:pPr>
            <w:r>
              <w:rPr>
                <w:rFonts w:asciiTheme="minorHAnsi" w:hAnsiTheme="minorHAnsi"/>
                <w:sz w:val="22"/>
                <w:szCs w:val="22"/>
              </w:rPr>
              <w:t>$</w:t>
            </w:r>
            <w:r w:rsidR="00240666">
              <w:rPr>
                <w:rFonts w:asciiTheme="minorHAnsi" w:hAnsiTheme="minorHAnsi"/>
                <w:sz w:val="22"/>
                <w:szCs w:val="22"/>
              </w:rPr>
              <w:t>7</w:t>
            </w:r>
            <w:r w:rsidR="000178DD">
              <w:rPr>
                <w:rFonts w:asciiTheme="minorHAnsi" w:hAnsiTheme="minorHAnsi"/>
                <w:sz w:val="22"/>
                <w:szCs w:val="22"/>
              </w:rPr>
              <w:t>27,781.80</w:t>
            </w:r>
          </w:p>
        </w:tc>
        <w:tc>
          <w:tcPr>
            <w:tcW w:w="3119" w:type="dxa"/>
            <w:vAlign w:val="center"/>
          </w:tcPr>
          <w:p w14:paraId="0DFFDFBD" w14:textId="580FD6EE" w:rsidR="00FA4D2D" w:rsidRPr="0053562D" w:rsidRDefault="00FA4D2D">
            <w:pPr>
              <w:spacing w:after="120"/>
              <w:jc w:val="center"/>
              <w:rPr>
                <w:rFonts w:asciiTheme="minorHAnsi" w:hAnsiTheme="minorHAnsi"/>
                <w:sz w:val="22"/>
                <w:szCs w:val="22"/>
              </w:rPr>
            </w:pPr>
            <w:r>
              <w:rPr>
                <w:rFonts w:asciiTheme="minorHAnsi" w:hAnsiTheme="minorHAnsi"/>
                <w:sz w:val="22"/>
                <w:szCs w:val="22"/>
              </w:rPr>
              <w:t>$6</w:t>
            </w:r>
            <w:r w:rsidR="000178DD">
              <w:rPr>
                <w:rFonts w:asciiTheme="minorHAnsi" w:hAnsiTheme="minorHAnsi"/>
                <w:sz w:val="22"/>
                <w:szCs w:val="22"/>
              </w:rPr>
              <w:t>49,012.25</w:t>
            </w:r>
          </w:p>
        </w:tc>
      </w:tr>
      <w:tr w:rsidR="00FA4D2D" w14:paraId="2529E5BC" w14:textId="77777777" w:rsidTr="00A92589">
        <w:trPr>
          <w:trHeight w:hRule="exact" w:val="340"/>
        </w:trPr>
        <w:tc>
          <w:tcPr>
            <w:tcW w:w="3261" w:type="dxa"/>
          </w:tcPr>
          <w:p w14:paraId="572CAC76" w14:textId="77777777" w:rsidR="00FA4D2D" w:rsidRDefault="00FA4D2D" w:rsidP="0032218E">
            <w:pPr>
              <w:spacing w:after="120"/>
              <w:rPr>
                <w:rFonts w:asciiTheme="minorHAnsi" w:hAnsiTheme="minorHAnsi"/>
                <w:sz w:val="22"/>
                <w:szCs w:val="22"/>
              </w:rPr>
            </w:pPr>
            <w:r>
              <w:rPr>
                <w:rFonts w:asciiTheme="minorHAnsi" w:hAnsiTheme="minorHAnsi"/>
                <w:sz w:val="22"/>
                <w:szCs w:val="22"/>
              </w:rPr>
              <w:t xml:space="preserve">Financial viability </w:t>
            </w:r>
            <w:r w:rsidR="0032218E">
              <w:rPr>
                <w:rFonts w:asciiTheme="minorHAnsi" w:hAnsiTheme="minorHAnsi"/>
                <w:sz w:val="22"/>
                <w:szCs w:val="22"/>
              </w:rPr>
              <w:t>assessment</w:t>
            </w:r>
          </w:p>
        </w:tc>
        <w:tc>
          <w:tcPr>
            <w:tcW w:w="2551" w:type="dxa"/>
            <w:vAlign w:val="center"/>
          </w:tcPr>
          <w:p w14:paraId="67E11ACF" w14:textId="6A00BCDE" w:rsidR="00FA4D2D" w:rsidRPr="00663AB9" w:rsidRDefault="00FA4D2D" w:rsidP="00E9391D">
            <w:pPr>
              <w:spacing w:after="120"/>
              <w:jc w:val="center"/>
              <w:rPr>
                <w:rFonts w:asciiTheme="minorHAnsi" w:hAnsiTheme="minorHAnsi"/>
                <w:sz w:val="22"/>
                <w:szCs w:val="22"/>
              </w:rPr>
            </w:pPr>
            <w:r>
              <w:rPr>
                <w:rFonts w:asciiTheme="minorHAnsi" w:hAnsiTheme="minorHAnsi"/>
                <w:sz w:val="22"/>
                <w:szCs w:val="22"/>
              </w:rPr>
              <w:t>$</w:t>
            </w:r>
            <w:r w:rsidR="000178DD">
              <w:rPr>
                <w:rFonts w:asciiTheme="minorHAnsi" w:hAnsiTheme="minorHAnsi"/>
                <w:sz w:val="22"/>
                <w:szCs w:val="22"/>
              </w:rPr>
              <w:t>293,422.27</w:t>
            </w:r>
          </w:p>
        </w:tc>
        <w:tc>
          <w:tcPr>
            <w:tcW w:w="3119" w:type="dxa"/>
            <w:vAlign w:val="center"/>
          </w:tcPr>
          <w:p w14:paraId="41CE5F46" w14:textId="5DA2A459" w:rsidR="00FA4D2D" w:rsidRPr="00663AB9" w:rsidRDefault="007770D6" w:rsidP="002D7B66">
            <w:pPr>
              <w:spacing w:after="120"/>
              <w:jc w:val="center"/>
              <w:rPr>
                <w:rFonts w:asciiTheme="minorHAnsi" w:hAnsiTheme="minorHAnsi"/>
                <w:sz w:val="22"/>
                <w:szCs w:val="22"/>
              </w:rPr>
            </w:pPr>
            <w:r>
              <w:rPr>
                <w:rFonts w:asciiTheme="minorHAnsi" w:hAnsiTheme="minorHAnsi"/>
                <w:sz w:val="22"/>
                <w:szCs w:val="22"/>
              </w:rPr>
              <w:t>$</w:t>
            </w:r>
            <w:r w:rsidR="000178DD">
              <w:rPr>
                <w:rFonts w:asciiTheme="minorHAnsi" w:hAnsiTheme="minorHAnsi"/>
                <w:sz w:val="22"/>
                <w:szCs w:val="22"/>
              </w:rPr>
              <w:t>158,830.76</w:t>
            </w:r>
          </w:p>
        </w:tc>
      </w:tr>
    </w:tbl>
    <w:p w14:paraId="5210B809" w14:textId="77777777" w:rsidR="003A3263" w:rsidRDefault="00FA4D2D" w:rsidP="00A92589">
      <w:pPr>
        <w:spacing w:before="240" w:after="120"/>
        <w:jc w:val="both"/>
        <w:rPr>
          <w:rFonts w:asciiTheme="minorHAnsi" w:hAnsiTheme="minorHAnsi"/>
        </w:rPr>
      </w:pPr>
      <w:r w:rsidRPr="006B556C">
        <w:rPr>
          <w:rFonts w:asciiTheme="minorHAnsi" w:hAnsiTheme="minorHAnsi"/>
        </w:rPr>
        <w:t>In May each year, the true costs of admini</w:t>
      </w:r>
      <w:r w:rsidR="006B4BFC">
        <w:rPr>
          <w:rFonts w:asciiTheme="minorHAnsi" w:hAnsiTheme="minorHAnsi"/>
        </w:rPr>
        <w:t>stering and regulating the HECS</w:t>
      </w:r>
      <w:r w:rsidR="006B4BFC">
        <w:rPr>
          <w:rFonts w:asciiTheme="minorHAnsi" w:hAnsiTheme="minorHAnsi"/>
        </w:rPr>
        <w:noBreakHyphen/>
      </w:r>
      <w:r w:rsidRPr="006B556C">
        <w:rPr>
          <w:rFonts w:asciiTheme="minorHAnsi" w:hAnsiTheme="minorHAnsi"/>
        </w:rPr>
        <w:t>HELP and FEE</w:t>
      </w:r>
      <w:r w:rsidRPr="006B556C">
        <w:rPr>
          <w:rFonts w:asciiTheme="minorHAnsi" w:hAnsiTheme="minorHAnsi"/>
        </w:rPr>
        <w:noBreakHyphen/>
        <w:t xml:space="preserve">HELP programs </w:t>
      </w:r>
      <w:proofErr w:type="gramStart"/>
      <w:r w:rsidRPr="006B556C">
        <w:rPr>
          <w:rFonts w:asciiTheme="minorHAnsi" w:hAnsiTheme="minorHAnsi"/>
        </w:rPr>
        <w:t>will be reviewed and assessed, and applied to providers</w:t>
      </w:r>
      <w:proofErr w:type="gramEnd"/>
      <w:r w:rsidRPr="006B556C">
        <w:rPr>
          <w:rFonts w:asciiTheme="minorHAnsi" w:hAnsiTheme="minorHAnsi"/>
        </w:rPr>
        <w:t xml:space="preserve"> based on verified student data for the relevant calendar year. Charging on a calendar year </w:t>
      </w:r>
      <w:r w:rsidRPr="00894B5B">
        <w:rPr>
          <w:rFonts w:asciiTheme="minorHAnsi" w:hAnsiTheme="minorHAnsi"/>
        </w:rPr>
        <w:t xml:space="preserve">basis </w:t>
      </w:r>
      <w:r w:rsidRPr="006B556C">
        <w:rPr>
          <w:rFonts w:asciiTheme="minorHAnsi" w:hAnsiTheme="minorHAnsi"/>
        </w:rPr>
        <w:t>reflects the business cycle of providers.</w:t>
      </w:r>
      <w:r>
        <w:rPr>
          <w:rFonts w:asciiTheme="minorHAnsi" w:hAnsiTheme="minorHAnsi"/>
        </w:rPr>
        <w:t xml:space="preserve"> The charge will occur in arrears based on provider’s verified prior year student data an</w:t>
      </w:r>
      <w:r w:rsidR="006B4BFC">
        <w:rPr>
          <w:rFonts w:asciiTheme="minorHAnsi" w:hAnsiTheme="minorHAnsi"/>
        </w:rPr>
        <w:t>d other activity driver costs.</w:t>
      </w:r>
    </w:p>
    <w:p w14:paraId="42EDB386" w14:textId="0E03793B" w:rsidR="00A22DC8" w:rsidRDefault="003A3263" w:rsidP="00A92589">
      <w:pPr>
        <w:spacing w:before="240" w:after="120"/>
        <w:jc w:val="both"/>
        <w:rPr>
          <w:rFonts w:asciiTheme="minorHAnsi" w:hAnsiTheme="minorHAnsi"/>
        </w:rPr>
      </w:pPr>
      <w:r>
        <w:rPr>
          <w:rFonts w:asciiTheme="minorHAnsi" w:hAnsiTheme="minorHAnsi"/>
        </w:rPr>
        <w:t xml:space="preserve">Therefore, the first annual charge to providers (i.e. annual charge for 2020) </w:t>
      </w:r>
      <w:proofErr w:type="gramStart"/>
      <w:r>
        <w:rPr>
          <w:rFonts w:asciiTheme="minorHAnsi" w:hAnsiTheme="minorHAnsi"/>
        </w:rPr>
        <w:t xml:space="preserve">will be </w:t>
      </w:r>
      <w:r w:rsidR="00890415">
        <w:rPr>
          <w:rFonts w:asciiTheme="minorHAnsi" w:hAnsiTheme="minorHAnsi"/>
        </w:rPr>
        <w:t>invoiced</w:t>
      </w:r>
      <w:proofErr w:type="gramEnd"/>
      <w:r w:rsidR="00890415">
        <w:rPr>
          <w:rFonts w:asciiTheme="minorHAnsi" w:hAnsiTheme="minorHAnsi"/>
        </w:rPr>
        <w:t xml:space="preserve"> to providers in May 2021 based on verified student data for payment by June 2021. </w:t>
      </w:r>
      <w:r>
        <w:rPr>
          <w:rFonts w:asciiTheme="minorHAnsi" w:hAnsiTheme="minorHAnsi"/>
        </w:rPr>
        <w:t xml:space="preserve"> Going forward, providers </w:t>
      </w:r>
      <w:proofErr w:type="gramStart"/>
      <w:r>
        <w:rPr>
          <w:rFonts w:asciiTheme="minorHAnsi" w:hAnsiTheme="minorHAnsi"/>
        </w:rPr>
        <w:t>will be invoiced</w:t>
      </w:r>
      <w:proofErr w:type="gramEnd"/>
      <w:r>
        <w:rPr>
          <w:rFonts w:asciiTheme="minorHAnsi" w:hAnsiTheme="minorHAnsi"/>
        </w:rPr>
        <w:t xml:space="preserve"> in May for payment in June for annual charge of the prior calendar year.</w:t>
      </w:r>
    </w:p>
    <w:p w14:paraId="0FD33C2F" w14:textId="77777777" w:rsidR="003A3263" w:rsidRPr="00151A07" w:rsidRDefault="003A3263" w:rsidP="00A92589">
      <w:pPr>
        <w:spacing w:before="240" w:after="120"/>
        <w:jc w:val="both"/>
        <w:rPr>
          <w:rFonts w:asciiTheme="minorHAnsi" w:hAnsiTheme="minorHAnsi"/>
        </w:rPr>
      </w:pPr>
    </w:p>
    <w:p w14:paraId="04662753" w14:textId="77777777" w:rsidR="00FA4D2D" w:rsidRPr="004F5A4F" w:rsidRDefault="00FA4D2D" w:rsidP="0064062A">
      <w:pPr>
        <w:spacing w:before="240" w:after="120"/>
        <w:rPr>
          <w:rFonts w:asciiTheme="minorHAnsi" w:hAnsiTheme="minorHAnsi"/>
          <w:b/>
        </w:rPr>
      </w:pPr>
      <w:r>
        <w:rPr>
          <w:rFonts w:asciiTheme="minorHAnsi" w:hAnsiTheme="minorHAnsi"/>
          <w:b/>
        </w:rPr>
        <w:t>Table</w:t>
      </w:r>
      <w:r w:rsidRPr="00132A48">
        <w:rPr>
          <w:rFonts w:asciiTheme="minorHAnsi" w:hAnsiTheme="minorHAnsi"/>
          <w:b/>
        </w:rPr>
        <w:t xml:space="preserve"> </w:t>
      </w:r>
      <w:r>
        <w:rPr>
          <w:rFonts w:asciiTheme="minorHAnsi" w:hAnsiTheme="minorHAnsi"/>
          <w:b/>
        </w:rPr>
        <w:t>4</w:t>
      </w:r>
      <w:r w:rsidRPr="00132A48">
        <w:rPr>
          <w:rFonts w:asciiTheme="minorHAnsi" w:hAnsiTheme="minorHAnsi"/>
          <w:b/>
        </w:rPr>
        <w:t xml:space="preserve">: </w:t>
      </w:r>
      <w:r w:rsidRPr="00E9391D">
        <w:rPr>
          <w:rFonts w:asciiTheme="minorHAnsi" w:hAnsiTheme="minorHAnsi"/>
          <w:b/>
        </w:rPr>
        <w:t>Annual charge for approved higher education providers</w:t>
      </w:r>
    </w:p>
    <w:tbl>
      <w:tblPr>
        <w:tblStyle w:val="TableGrid"/>
        <w:tblW w:w="8926" w:type="dxa"/>
        <w:tblLayout w:type="fixed"/>
        <w:tblLook w:val="04A0" w:firstRow="1" w:lastRow="0" w:firstColumn="1" w:lastColumn="0" w:noHBand="0" w:noVBand="1"/>
      </w:tblPr>
      <w:tblGrid>
        <w:gridCol w:w="2143"/>
        <w:gridCol w:w="1254"/>
        <w:gridCol w:w="2694"/>
        <w:gridCol w:w="2835"/>
      </w:tblGrid>
      <w:tr w:rsidR="00FA4D2D" w14:paraId="5C98B94D" w14:textId="77777777" w:rsidTr="00E3002F">
        <w:trPr>
          <w:trHeight w:val="20"/>
        </w:trPr>
        <w:tc>
          <w:tcPr>
            <w:tcW w:w="2143" w:type="dxa"/>
            <w:shd w:val="clear" w:color="auto" w:fill="D9E2F3" w:themeFill="accent1" w:themeFillTint="33"/>
          </w:tcPr>
          <w:p w14:paraId="5DFF55F8" w14:textId="77777777" w:rsidR="00FA4D2D" w:rsidRPr="00D47947" w:rsidRDefault="00FA4D2D" w:rsidP="00BD772D">
            <w:pPr>
              <w:widowControl w:val="0"/>
              <w:autoSpaceDE w:val="0"/>
              <w:autoSpaceDN w:val="0"/>
              <w:adjustRightInd w:val="0"/>
              <w:spacing w:line="241" w:lineRule="atLeast"/>
              <w:jc w:val="both"/>
              <w:rPr>
                <w:rFonts w:asciiTheme="minorHAnsi" w:eastAsia="SimSun" w:hAnsiTheme="minorHAnsi"/>
                <w:b/>
                <w:color w:val="000000" w:themeColor="text1"/>
                <w:sz w:val="22"/>
                <w:szCs w:val="22"/>
              </w:rPr>
            </w:pPr>
            <w:r w:rsidRPr="00D47947">
              <w:rPr>
                <w:rFonts w:asciiTheme="minorHAnsi" w:eastAsia="SimSun" w:hAnsiTheme="minorHAnsi"/>
                <w:b/>
                <w:color w:val="000000" w:themeColor="text1"/>
                <w:sz w:val="22"/>
                <w:szCs w:val="22"/>
              </w:rPr>
              <w:t>Activity Group</w:t>
            </w:r>
          </w:p>
        </w:tc>
        <w:tc>
          <w:tcPr>
            <w:tcW w:w="1254" w:type="dxa"/>
            <w:shd w:val="clear" w:color="auto" w:fill="D9E2F3" w:themeFill="accent1" w:themeFillTint="33"/>
          </w:tcPr>
          <w:p w14:paraId="2791FB7D" w14:textId="77777777" w:rsidR="00FA4D2D" w:rsidRPr="00D47947" w:rsidRDefault="00FA4D2D" w:rsidP="00BD772D">
            <w:pPr>
              <w:widowControl w:val="0"/>
              <w:autoSpaceDE w:val="0"/>
              <w:autoSpaceDN w:val="0"/>
              <w:adjustRightInd w:val="0"/>
              <w:spacing w:line="241" w:lineRule="atLeast"/>
              <w:jc w:val="both"/>
              <w:rPr>
                <w:rFonts w:asciiTheme="minorHAnsi" w:eastAsia="SimSun" w:hAnsiTheme="minorHAnsi"/>
                <w:b/>
                <w:color w:val="000000" w:themeColor="text1"/>
                <w:sz w:val="22"/>
                <w:szCs w:val="22"/>
              </w:rPr>
            </w:pPr>
            <w:r w:rsidRPr="00D47947">
              <w:rPr>
                <w:rFonts w:asciiTheme="minorHAnsi" w:eastAsia="SimSun" w:hAnsiTheme="minorHAnsi"/>
                <w:b/>
                <w:color w:val="000000" w:themeColor="text1"/>
                <w:sz w:val="22"/>
                <w:szCs w:val="22"/>
              </w:rPr>
              <w:t>Effort Cost</w:t>
            </w:r>
          </w:p>
        </w:tc>
        <w:tc>
          <w:tcPr>
            <w:tcW w:w="2694" w:type="dxa"/>
            <w:shd w:val="clear" w:color="auto" w:fill="D9E2F3" w:themeFill="accent1" w:themeFillTint="33"/>
          </w:tcPr>
          <w:p w14:paraId="2669AF92" w14:textId="77777777" w:rsidR="00FA4D2D" w:rsidRPr="00D47947" w:rsidRDefault="00FA4D2D" w:rsidP="00A92589">
            <w:pPr>
              <w:widowControl w:val="0"/>
              <w:autoSpaceDE w:val="0"/>
              <w:autoSpaceDN w:val="0"/>
              <w:adjustRightInd w:val="0"/>
              <w:spacing w:line="241" w:lineRule="atLeast"/>
              <w:jc w:val="right"/>
              <w:rPr>
                <w:rFonts w:asciiTheme="minorHAnsi" w:eastAsia="SimSun" w:hAnsiTheme="minorHAnsi"/>
                <w:b/>
                <w:color w:val="000000" w:themeColor="text1"/>
                <w:sz w:val="22"/>
                <w:szCs w:val="22"/>
              </w:rPr>
            </w:pPr>
            <w:r w:rsidRPr="00D47947">
              <w:rPr>
                <w:rFonts w:asciiTheme="minorHAnsi" w:eastAsia="SimSun" w:hAnsiTheme="minorHAnsi"/>
                <w:b/>
                <w:color w:val="000000" w:themeColor="text1"/>
                <w:sz w:val="22"/>
                <w:szCs w:val="22"/>
              </w:rPr>
              <w:t>Activity driver</w:t>
            </w:r>
            <w:r w:rsidR="00A92589">
              <w:rPr>
                <w:rFonts w:asciiTheme="minorHAnsi" w:eastAsia="SimSun" w:hAnsiTheme="minorHAnsi"/>
                <w:b/>
                <w:color w:val="000000" w:themeColor="text1"/>
                <w:sz w:val="22"/>
                <w:szCs w:val="22"/>
              </w:rPr>
              <w:t xml:space="preserve"> (HECS</w:t>
            </w:r>
            <w:r w:rsidR="00A92589">
              <w:rPr>
                <w:rFonts w:asciiTheme="minorHAnsi" w:eastAsia="SimSun" w:hAnsiTheme="minorHAnsi"/>
                <w:b/>
                <w:color w:val="000000" w:themeColor="text1"/>
                <w:sz w:val="22"/>
                <w:szCs w:val="22"/>
              </w:rPr>
              <w:noBreakHyphen/>
              <w:t>HELP and/or FEE-HELP only)</w:t>
            </w:r>
          </w:p>
        </w:tc>
        <w:tc>
          <w:tcPr>
            <w:tcW w:w="2835" w:type="dxa"/>
            <w:shd w:val="clear" w:color="auto" w:fill="D9E2F3" w:themeFill="accent1" w:themeFillTint="33"/>
          </w:tcPr>
          <w:p w14:paraId="3F81409E" w14:textId="77777777" w:rsidR="00FA4D2D" w:rsidRPr="00D47947" w:rsidRDefault="00FA4D2D" w:rsidP="00BD772D">
            <w:pPr>
              <w:widowControl w:val="0"/>
              <w:autoSpaceDE w:val="0"/>
              <w:autoSpaceDN w:val="0"/>
              <w:adjustRightInd w:val="0"/>
              <w:spacing w:line="241" w:lineRule="atLeast"/>
              <w:jc w:val="right"/>
              <w:rPr>
                <w:rFonts w:asciiTheme="minorHAnsi" w:eastAsia="SimSun" w:hAnsiTheme="minorHAnsi"/>
                <w:b/>
                <w:color w:val="000000" w:themeColor="text1"/>
                <w:sz w:val="22"/>
                <w:szCs w:val="22"/>
              </w:rPr>
            </w:pPr>
            <w:r>
              <w:rPr>
                <w:rFonts w:asciiTheme="minorHAnsi" w:eastAsia="SimSun" w:hAnsiTheme="minorHAnsi"/>
                <w:b/>
                <w:color w:val="000000" w:themeColor="text1"/>
                <w:sz w:val="22"/>
                <w:szCs w:val="22"/>
              </w:rPr>
              <w:t>Annual Charge</w:t>
            </w:r>
            <w:r w:rsidRPr="00D47947">
              <w:rPr>
                <w:rFonts w:asciiTheme="minorHAnsi" w:eastAsia="SimSun" w:hAnsiTheme="minorHAnsi"/>
                <w:b/>
                <w:color w:val="000000" w:themeColor="text1"/>
                <w:sz w:val="22"/>
                <w:szCs w:val="22"/>
              </w:rPr>
              <w:t xml:space="preserve"> Estimate</w:t>
            </w:r>
          </w:p>
        </w:tc>
      </w:tr>
      <w:tr w:rsidR="00FA4D2D" w14:paraId="174697E2" w14:textId="77777777" w:rsidTr="00E3002F">
        <w:trPr>
          <w:trHeight w:val="20"/>
        </w:trPr>
        <w:tc>
          <w:tcPr>
            <w:tcW w:w="2143" w:type="dxa"/>
            <w:vAlign w:val="center"/>
          </w:tcPr>
          <w:p w14:paraId="6A0998E2" w14:textId="3C6FCBF7" w:rsidR="00FA4D2D" w:rsidRPr="00D47947" w:rsidRDefault="00FA4D2D" w:rsidP="00344429">
            <w:pPr>
              <w:widowControl w:val="0"/>
              <w:autoSpaceDE w:val="0"/>
              <w:autoSpaceDN w:val="0"/>
              <w:adjustRightInd w:val="0"/>
              <w:spacing w:line="241" w:lineRule="atLeas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Stakeholder e</w:t>
            </w:r>
            <w:r w:rsidRPr="00D47947">
              <w:rPr>
                <w:rFonts w:asciiTheme="minorHAnsi" w:eastAsia="SimSun" w:hAnsiTheme="minorHAnsi"/>
                <w:color w:val="000000" w:themeColor="text1"/>
                <w:sz w:val="22"/>
                <w:szCs w:val="22"/>
              </w:rPr>
              <w:t>ngagement</w:t>
            </w:r>
            <w:r>
              <w:rPr>
                <w:rFonts w:asciiTheme="minorHAnsi" w:eastAsia="SimSun" w:hAnsiTheme="minorHAnsi"/>
                <w:color w:val="000000" w:themeColor="text1"/>
                <w:sz w:val="22"/>
                <w:szCs w:val="22"/>
              </w:rPr>
              <w:t xml:space="preserve"> and </w:t>
            </w:r>
            <w:r w:rsidR="006B4BFC">
              <w:rPr>
                <w:rFonts w:asciiTheme="minorHAnsi" w:eastAsia="SimSun" w:hAnsiTheme="minorHAnsi"/>
                <w:color w:val="000000" w:themeColor="text1"/>
                <w:sz w:val="22"/>
                <w:szCs w:val="22"/>
              </w:rPr>
              <w:t>s</w:t>
            </w:r>
            <w:r w:rsidR="00127F38">
              <w:rPr>
                <w:rFonts w:asciiTheme="minorHAnsi" w:eastAsia="SimSun" w:hAnsiTheme="minorHAnsi"/>
                <w:color w:val="000000" w:themeColor="text1"/>
                <w:sz w:val="22"/>
                <w:szCs w:val="22"/>
              </w:rPr>
              <w:t>tandard</w:t>
            </w:r>
            <w:r w:rsidR="00433444">
              <w:rPr>
                <w:rFonts w:asciiTheme="minorHAnsi" w:eastAsia="SimSun" w:hAnsiTheme="minorHAnsi"/>
                <w:color w:val="000000" w:themeColor="text1"/>
                <w:sz w:val="22"/>
                <w:szCs w:val="22"/>
              </w:rPr>
              <w:t xml:space="preserve"> e</w:t>
            </w:r>
            <w:r w:rsidRPr="00D47947">
              <w:rPr>
                <w:rFonts w:asciiTheme="minorHAnsi" w:eastAsia="SimSun" w:hAnsiTheme="minorHAnsi"/>
                <w:color w:val="000000" w:themeColor="text1"/>
                <w:sz w:val="22"/>
                <w:szCs w:val="22"/>
              </w:rPr>
              <w:t>nquiries</w:t>
            </w:r>
          </w:p>
        </w:tc>
        <w:tc>
          <w:tcPr>
            <w:tcW w:w="1254" w:type="dxa"/>
            <w:vAlign w:val="center"/>
          </w:tcPr>
          <w:p w14:paraId="0D3B151C" w14:textId="4387C6F2" w:rsidR="00FA4D2D" w:rsidRPr="00D47947" w:rsidRDefault="00FA4D2D" w:rsidP="00E9391D">
            <w:pPr>
              <w:widowControl w:val="0"/>
              <w:autoSpaceDE w:val="0"/>
              <w:autoSpaceDN w:val="0"/>
              <w:adjustRightInd w:val="0"/>
              <w:spacing w:line="241" w:lineRule="atLeast"/>
              <w:jc w:val="center"/>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w:t>
            </w:r>
            <w:r w:rsidR="00240666">
              <w:rPr>
                <w:rFonts w:asciiTheme="minorHAnsi" w:eastAsia="SimSun" w:hAnsiTheme="minorHAnsi"/>
                <w:color w:val="000000" w:themeColor="text1"/>
                <w:sz w:val="22"/>
                <w:szCs w:val="22"/>
              </w:rPr>
              <w:t>1.1</w:t>
            </w:r>
            <w:r w:rsidR="000178DD">
              <w:rPr>
                <w:rFonts w:asciiTheme="minorHAnsi" w:eastAsia="SimSun" w:hAnsiTheme="minorHAnsi"/>
                <w:color w:val="000000" w:themeColor="text1"/>
                <w:sz w:val="22"/>
                <w:szCs w:val="22"/>
              </w:rPr>
              <w:t>6</w:t>
            </w:r>
            <w:r>
              <w:rPr>
                <w:rFonts w:asciiTheme="minorHAnsi" w:eastAsia="SimSun" w:hAnsiTheme="minorHAnsi"/>
                <w:color w:val="000000" w:themeColor="text1"/>
                <w:sz w:val="22"/>
                <w:szCs w:val="22"/>
              </w:rPr>
              <w:t>m</w:t>
            </w:r>
          </w:p>
        </w:tc>
        <w:tc>
          <w:tcPr>
            <w:tcW w:w="2694" w:type="dxa"/>
          </w:tcPr>
          <w:p w14:paraId="2EA58214" w14:textId="77777777" w:rsidR="00FA4D2D" w:rsidRPr="00D47947" w:rsidRDefault="00FA4D2D" w:rsidP="00A87E3A">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 xml:space="preserve">Number of </w:t>
            </w:r>
            <w:r w:rsidR="00B46C25">
              <w:rPr>
                <w:rFonts w:asciiTheme="minorHAnsi" w:eastAsia="SimSun" w:hAnsiTheme="minorHAnsi"/>
                <w:color w:val="000000" w:themeColor="text1"/>
                <w:sz w:val="22"/>
                <w:szCs w:val="22"/>
              </w:rPr>
              <w:t>verified students enrolled</w:t>
            </w:r>
            <w:r>
              <w:rPr>
                <w:rFonts w:asciiTheme="minorHAnsi" w:eastAsia="SimSun" w:hAnsiTheme="minorHAnsi"/>
                <w:color w:val="000000" w:themeColor="text1"/>
                <w:sz w:val="22"/>
                <w:szCs w:val="22"/>
              </w:rPr>
              <w:t xml:space="preserve"> with a provider</w:t>
            </w:r>
            <w:r w:rsidR="00A87E3A">
              <w:rPr>
                <w:rFonts w:asciiTheme="minorHAnsi" w:eastAsia="SimSun" w:hAnsiTheme="minorHAnsi"/>
                <w:color w:val="000000" w:themeColor="text1"/>
                <w:sz w:val="22"/>
                <w:szCs w:val="22"/>
              </w:rPr>
              <w:t xml:space="preserve"> </w:t>
            </w:r>
          </w:p>
        </w:tc>
        <w:tc>
          <w:tcPr>
            <w:tcW w:w="2835" w:type="dxa"/>
          </w:tcPr>
          <w:p w14:paraId="1E7C07DE" w14:textId="4AE7F8DF" w:rsidR="00FA4D2D" w:rsidRPr="00D47947" w:rsidRDefault="00FA4D2D" w:rsidP="002D7B66">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$1.</w:t>
            </w:r>
            <w:r w:rsidR="00157A7F">
              <w:rPr>
                <w:rFonts w:asciiTheme="minorHAnsi" w:eastAsia="SimSun" w:hAnsiTheme="minorHAnsi"/>
                <w:color w:val="000000" w:themeColor="text1"/>
                <w:sz w:val="22"/>
                <w:szCs w:val="22"/>
              </w:rPr>
              <w:t>1</w:t>
            </w:r>
            <w:r w:rsidR="000178DD">
              <w:rPr>
                <w:rFonts w:asciiTheme="minorHAnsi" w:eastAsia="SimSun" w:hAnsiTheme="minorHAnsi"/>
                <w:color w:val="000000" w:themeColor="text1"/>
                <w:sz w:val="22"/>
                <w:szCs w:val="22"/>
              </w:rPr>
              <w:t>5</w:t>
            </w:r>
            <w:r>
              <w:rPr>
                <w:rFonts w:asciiTheme="minorHAnsi" w:eastAsia="SimSun" w:hAnsiTheme="minorHAnsi"/>
                <w:color w:val="000000" w:themeColor="text1"/>
                <w:sz w:val="22"/>
                <w:szCs w:val="22"/>
              </w:rPr>
              <w:t xml:space="preserve"> per </w:t>
            </w:r>
            <w:r w:rsidR="00B46C25">
              <w:rPr>
                <w:rFonts w:asciiTheme="minorHAnsi" w:eastAsia="SimSun" w:hAnsiTheme="minorHAnsi"/>
                <w:color w:val="000000" w:themeColor="text1"/>
                <w:sz w:val="22"/>
                <w:szCs w:val="22"/>
              </w:rPr>
              <w:t>verified</w:t>
            </w:r>
            <w:r>
              <w:rPr>
                <w:rFonts w:asciiTheme="minorHAnsi" w:eastAsia="SimSun" w:hAnsiTheme="minorHAnsi"/>
                <w:color w:val="000000" w:themeColor="text1"/>
                <w:sz w:val="22"/>
                <w:szCs w:val="22"/>
              </w:rPr>
              <w:t xml:space="preserve"> student for the provider</w:t>
            </w:r>
            <w:r w:rsidR="00A87E3A">
              <w:rPr>
                <w:rFonts w:asciiTheme="minorHAnsi" w:eastAsia="SimSun" w:hAnsiTheme="minorHAnsi"/>
                <w:color w:val="000000" w:themeColor="text1"/>
                <w:sz w:val="22"/>
                <w:szCs w:val="22"/>
              </w:rPr>
              <w:t xml:space="preserve"> (applicable to all providers)</w:t>
            </w:r>
          </w:p>
        </w:tc>
      </w:tr>
      <w:tr w:rsidR="00FA4D2D" w14:paraId="48581E96" w14:textId="77777777" w:rsidTr="00E3002F">
        <w:trPr>
          <w:trHeight w:val="20"/>
        </w:trPr>
        <w:tc>
          <w:tcPr>
            <w:tcW w:w="2143" w:type="dxa"/>
            <w:vAlign w:val="center"/>
          </w:tcPr>
          <w:p w14:paraId="0A3D707A" w14:textId="77777777" w:rsidR="00FA4D2D" w:rsidRDefault="00FA4D2D" w:rsidP="00BD772D">
            <w:pPr>
              <w:widowControl w:val="0"/>
              <w:autoSpaceDE w:val="0"/>
              <w:autoSpaceDN w:val="0"/>
              <w:adjustRightInd w:val="0"/>
              <w:spacing w:line="241" w:lineRule="atLeas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 xml:space="preserve">NUHEPs and Table C </w:t>
            </w:r>
            <w:r w:rsidR="00240666">
              <w:rPr>
                <w:rFonts w:asciiTheme="minorHAnsi" w:eastAsia="SimSun" w:hAnsiTheme="minorHAnsi"/>
                <w:color w:val="000000" w:themeColor="text1"/>
                <w:sz w:val="22"/>
                <w:szCs w:val="22"/>
              </w:rPr>
              <w:t xml:space="preserve">specific enquiries and </w:t>
            </w:r>
            <w:r>
              <w:rPr>
                <w:rFonts w:asciiTheme="minorHAnsi" w:eastAsia="SimSun" w:hAnsiTheme="minorHAnsi"/>
                <w:color w:val="000000" w:themeColor="text1"/>
                <w:sz w:val="22"/>
                <w:szCs w:val="22"/>
              </w:rPr>
              <w:t xml:space="preserve">provider management and compliance </w:t>
            </w:r>
          </w:p>
        </w:tc>
        <w:tc>
          <w:tcPr>
            <w:tcW w:w="1254" w:type="dxa"/>
            <w:vAlign w:val="center"/>
          </w:tcPr>
          <w:p w14:paraId="7210B4B6" w14:textId="40435D60" w:rsidR="00FA4D2D" w:rsidRDefault="00FA4D2D">
            <w:pPr>
              <w:widowControl w:val="0"/>
              <w:autoSpaceDE w:val="0"/>
              <w:autoSpaceDN w:val="0"/>
              <w:adjustRightInd w:val="0"/>
              <w:spacing w:line="241" w:lineRule="atLeast"/>
              <w:jc w:val="center"/>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$0.</w:t>
            </w:r>
            <w:r w:rsidR="00127F38">
              <w:rPr>
                <w:rFonts w:asciiTheme="minorHAnsi" w:eastAsia="SimSun" w:hAnsiTheme="minorHAnsi"/>
                <w:color w:val="000000" w:themeColor="text1"/>
                <w:sz w:val="22"/>
                <w:szCs w:val="22"/>
              </w:rPr>
              <w:t>9</w:t>
            </w:r>
            <w:r w:rsidR="000178DD">
              <w:rPr>
                <w:rFonts w:asciiTheme="minorHAnsi" w:eastAsia="SimSun" w:hAnsiTheme="minorHAnsi"/>
                <w:color w:val="000000" w:themeColor="text1"/>
                <w:sz w:val="22"/>
                <w:szCs w:val="22"/>
              </w:rPr>
              <w:t>6</w:t>
            </w:r>
            <w:r>
              <w:rPr>
                <w:rFonts w:asciiTheme="minorHAnsi" w:eastAsia="SimSun" w:hAnsiTheme="minorHAnsi"/>
                <w:color w:val="000000" w:themeColor="text1"/>
                <w:sz w:val="22"/>
                <w:szCs w:val="22"/>
              </w:rPr>
              <w:t>m</w:t>
            </w:r>
          </w:p>
        </w:tc>
        <w:tc>
          <w:tcPr>
            <w:tcW w:w="2694" w:type="dxa"/>
          </w:tcPr>
          <w:p w14:paraId="05F19365" w14:textId="77777777" w:rsidR="00FA4D2D" w:rsidRDefault="00FA4D2D" w:rsidP="00B46C25">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 xml:space="preserve">Number of </w:t>
            </w:r>
            <w:r w:rsidR="00B46C25">
              <w:rPr>
                <w:rFonts w:asciiTheme="minorHAnsi" w:eastAsia="SimSun" w:hAnsiTheme="minorHAnsi"/>
                <w:color w:val="000000" w:themeColor="text1"/>
                <w:sz w:val="22"/>
                <w:szCs w:val="22"/>
              </w:rPr>
              <w:t>verified students enrolled</w:t>
            </w:r>
            <w:r>
              <w:rPr>
                <w:rFonts w:asciiTheme="minorHAnsi" w:eastAsia="SimSun" w:hAnsiTheme="minorHAnsi"/>
                <w:color w:val="000000" w:themeColor="text1"/>
                <w:sz w:val="22"/>
                <w:szCs w:val="22"/>
              </w:rPr>
              <w:t xml:space="preserve"> with a NUHEP/Table</w:t>
            </w:r>
            <w:r w:rsidR="00B46C25">
              <w:rPr>
                <w:rFonts w:asciiTheme="minorHAnsi" w:eastAsia="SimSun" w:hAnsiTheme="minorHAnsi"/>
                <w:color w:val="000000" w:themeColor="text1"/>
                <w:sz w:val="22"/>
                <w:szCs w:val="22"/>
              </w:rPr>
              <w:t> </w:t>
            </w:r>
            <w:r>
              <w:rPr>
                <w:rFonts w:asciiTheme="minorHAnsi" w:eastAsia="SimSun" w:hAnsiTheme="minorHAnsi"/>
                <w:color w:val="000000" w:themeColor="text1"/>
                <w:sz w:val="22"/>
                <w:szCs w:val="22"/>
              </w:rPr>
              <w:t xml:space="preserve">C provider </w:t>
            </w:r>
          </w:p>
        </w:tc>
        <w:tc>
          <w:tcPr>
            <w:tcW w:w="2835" w:type="dxa"/>
          </w:tcPr>
          <w:p w14:paraId="1FB0451D" w14:textId="12D84B47" w:rsidR="00FA4D2D" w:rsidRDefault="00FA4D2D" w:rsidP="00E9391D">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w:t>
            </w:r>
            <w:r w:rsidR="000178DD">
              <w:rPr>
                <w:rFonts w:asciiTheme="minorHAnsi" w:eastAsia="SimSun" w:hAnsiTheme="minorHAnsi"/>
                <w:color w:val="000000" w:themeColor="text1"/>
                <w:sz w:val="22"/>
                <w:szCs w:val="22"/>
              </w:rPr>
              <w:t>19.49</w:t>
            </w:r>
            <w:r>
              <w:rPr>
                <w:rFonts w:asciiTheme="minorHAnsi" w:eastAsia="SimSun" w:hAnsiTheme="minorHAnsi"/>
                <w:color w:val="000000" w:themeColor="text1"/>
                <w:sz w:val="22"/>
                <w:szCs w:val="22"/>
              </w:rPr>
              <w:t xml:space="preserve"> per </w:t>
            </w:r>
            <w:r w:rsidR="00B46C25">
              <w:rPr>
                <w:rFonts w:asciiTheme="minorHAnsi" w:eastAsia="SimSun" w:hAnsiTheme="minorHAnsi"/>
                <w:color w:val="000000" w:themeColor="text1"/>
                <w:sz w:val="22"/>
                <w:szCs w:val="22"/>
              </w:rPr>
              <w:t>verified</w:t>
            </w:r>
            <w:r>
              <w:rPr>
                <w:rFonts w:asciiTheme="minorHAnsi" w:eastAsia="SimSun" w:hAnsiTheme="minorHAnsi"/>
                <w:color w:val="000000" w:themeColor="text1"/>
                <w:sz w:val="22"/>
                <w:szCs w:val="22"/>
              </w:rPr>
              <w:t xml:space="preserve"> student at the NUHEP/Table</w:t>
            </w:r>
            <w:r w:rsidR="00127F38">
              <w:rPr>
                <w:rFonts w:asciiTheme="minorHAnsi" w:eastAsia="SimSun" w:hAnsiTheme="minorHAnsi"/>
                <w:color w:val="000000" w:themeColor="text1"/>
                <w:sz w:val="22"/>
                <w:szCs w:val="22"/>
              </w:rPr>
              <w:t> </w:t>
            </w:r>
            <w:r>
              <w:rPr>
                <w:rFonts w:asciiTheme="minorHAnsi" w:eastAsia="SimSun" w:hAnsiTheme="minorHAnsi"/>
                <w:color w:val="000000" w:themeColor="text1"/>
                <w:sz w:val="22"/>
                <w:szCs w:val="22"/>
              </w:rPr>
              <w:t xml:space="preserve">C provider </w:t>
            </w:r>
          </w:p>
        </w:tc>
      </w:tr>
      <w:tr w:rsidR="00FA4D2D" w14:paraId="543A3578" w14:textId="77777777" w:rsidTr="00E3002F">
        <w:trPr>
          <w:trHeight w:val="20"/>
        </w:trPr>
        <w:tc>
          <w:tcPr>
            <w:tcW w:w="2143" w:type="dxa"/>
          </w:tcPr>
          <w:p w14:paraId="779A2B0B" w14:textId="77777777" w:rsidR="00FA4D2D" w:rsidRPr="00D47947" w:rsidRDefault="00FA4D2D" w:rsidP="00344429">
            <w:pPr>
              <w:widowControl w:val="0"/>
              <w:autoSpaceDE w:val="0"/>
              <w:autoSpaceDN w:val="0"/>
              <w:adjustRightInd w:val="0"/>
              <w:spacing w:line="241" w:lineRule="atLeas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NUHEPs and Table C  financial viability</w:t>
            </w:r>
          </w:p>
        </w:tc>
        <w:tc>
          <w:tcPr>
            <w:tcW w:w="1254" w:type="dxa"/>
            <w:vAlign w:val="center"/>
          </w:tcPr>
          <w:p w14:paraId="70723AEE" w14:textId="77777777" w:rsidR="00FA4D2D" w:rsidRPr="00D47947" w:rsidRDefault="00FA4D2D" w:rsidP="005E75EB">
            <w:pPr>
              <w:widowControl w:val="0"/>
              <w:autoSpaceDE w:val="0"/>
              <w:autoSpaceDN w:val="0"/>
              <w:adjustRightInd w:val="0"/>
              <w:spacing w:line="241" w:lineRule="atLeast"/>
              <w:jc w:val="center"/>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$0.1</w:t>
            </w:r>
            <w:r w:rsidR="005E75EB">
              <w:rPr>
                <w:rFonts w:asciiTheme="minorHAnsi" w:eastAsia="SimSun" w:hAnsiTheme="minorHAnsi"/>
                <w:color w:val="000000" w:themeColor="text1"/>
                <w:sz w:val="22"/>
                <w:szCs w:val="22"/>
              </w:rPr>
              <w:t>6</w:t>
            </w:r>
            <w:r>
              <w:rPr>
                <w:rFonts w:asciiTheme="minorHAnsi" w:eastAsia="SimSun" w:hAnsiTheme="minorHAnsi"/>
                <w:color w:val="000000" w:themeColor="text1"/>
                <w:sz w:val="22"/>
                <w:szCs w:val="22"/>
              </w:rPr>
              <w:t>m</w:t>
            </w:r>
          </w:p>
        </w:tc>
        <w:tc>
          <w:tcPr>
            <w:tcW w:w="2694" w:type="dxa"/>
          </w:tcPr>
          <w:p w14:paraId="694BB911" w14:textId="77777777" w:rsidR="00FA4D2D" w:rsidRPr="00D47947" w:rsidRDefault="00240666" w:rsidP="00BD772D">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Delivered equally across all NUHEP/Table C providers</w:t>
            </w:r>
          </w:p>
        </w:tc>
        <w:tc>
          <w:tcPr>
            <w:tcW w:w="2835" w:type="dxa"/>
          </w:tcPr>
          <w:p w14:paraId="19079DB7" w14:textId="5854B642" w:rsidR="00FA4D2D" w:rsidRPr="00D47947" w:rsidRDefault="00240666">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$1,</w:t>
            </w:r>
            <w:r w:rsidR="00C1665B">
              <w:rPr>
                <w:rFonts w:asciiTheme="minorHAnsi" w:eastAsia="SimSun" w:hAnsiTheme="minorHAnsi"/>
                <w:color w:val="000000" w:themeColor="text1"/>
                <w:sz w:val="22"/>
                <w:szCs w:val="22"/>
              </w:rPr>
              <w:t>689.69</w:t>
            </w:r>
            <w:r>
              <w:rPr>
                <w:rFonts w:asciiTheme="minorHAnsi" w:eastAsia="SimSun" w:hAnsiTheme="minorHAnsi"/>
                <w:color w:val="000000" w:themeColor="text1"/>
                <w:sz w:val="22"/>
                <w:szCs w:val="22"/>
              </w:rPr>
              <w:t xml:space="preserve"> per</w:t>
            </w:r>
            <w:r w:rsidR="00E14080">
              <w:rPr>
                <w:rFonts w:asciiTheme="minorHAnsi" w:eastAsia="SimSun" w:hAnsiTheme="minorHAnsi"/>
                <w:color w:val="000000" w:themeColor="text1"/>
                <w:sz w:val="22"/>
                <w:szCs w:val="22"/>
              </w:rPr>
              <w:t xml:space="preserve"> NUHEP/Table</w:t>
            </w:r>
            <w:r w:rsidR="00127F38">
              <w:rPr>
                <w:rFonts w:asciiTheme="minorHAnsi" w:eastAsia="SimSun" w:hAnsiTheme="minorHAnsi"/>
                <w:color w:val="000000" w:themeColor="text1"/>
                <w:sz w:val="22"/>
                <w:szCs w:val="22"/>
              </w:rPr>
              <w:t> </w:t>
            </w:r>
            <w:r w:rsidR="00E14080">
              <w:rPr>
                <w:rFonts w:asciiTheme="minorHAnsi" w:eastAsia="SimSun" w:hAnsiTheme="minorHAnsi"/>
                <w:color w:val="000000" w:themeColor="text1"/>
                <w:sz w:val="22"/>
                <w:szCs w:val="22"/>
              </w:rPr>
              <w:t>C provider</w:t>
            </w:r>
            <w:r>
              <w:rPr>
                <w:rFonts w:asciiTheme="minorHAnsi" w:eastAsia="SimSun" w:hAnsiTheme="minorHAnsi"/>
                <w:color w:val="000000" w:themeColor="text1"/>
                <w:sz w:val="22"/>
                <w:szCs w:val="22"/>
              </w:rPr>
              <w:t xml:space="preserve"> </w:t>
            </w:r>
          </w:p>
        </w:tc>
      </w:tr>
      <w:tr w:rsidR="00FA4D2D" w14:paraId="53837132" w14:textId="77777777" w:rsidTr="00E3002F">
        <w:trPr>
          <w:trHeight w:val="20"/>
        </w:trPr>
        <w:tc>
          <w:tcPr>
            <w:tcW w:w="2143" w:type="dxa"/>
            <w:vAlign w:val="center"/>
          </w:tcPr>
          <w:p w14:paraId="58221B14" w14:textId="77777777" w:rsidR="00FA4D2D" w:rsidRDefault="00FA4D2D" w:rsidP="00BD772D">
            <w:pPr>
              <w:widowControl w:val="0"/>
              <w:autoSpaceDE w:val="0"/>
              <w:autoSpaceDN w:val="0"/>
              <w:adjustRightInd w:val="0"/>
              <w:spacing w:line="241" w:lineRule="atLeas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University provider management, compliance and financial viability</w:t>
            </w:r>
          </w:p>
        </w:tc>
        <w:tc>
          <w:tcPr>
            <w:tcW w:w="1254" w:type="dxa"/>
            <w:vAlign w:val="center"/>
          </w:tcPr>
          <w:p w14:paraId="2F75A9FB" w14:textId="44E0D72C" w:rsidR="00FA4D2D" w:rsidRDefault="00E14080" w:rsidP="00BD772D">
            <w:pPr>
              <w:widowControl w:val="0"/>
              <w:autoSpaceDE w:val="0"/>
              <w:autoSpaceDN w:val="0"/>
              <w:adjustRightInd w:val="0"/>
              <w:spacing w:line="241" w:lineRule="atLeast"/>
              <w:jc w:val="center"/>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$1.</w:t>
            </w:r>
            <w:r w:rsidR="00FA4D2D">
              <w:rPr>
                <w:rFonts w:asciiTheme="minorHAnsi" w:eastAsia="SimSun" w:hAnsiTheme="minorHAnsi"/>
                <w:color w:val="000000" w:themeColor="text1"/>
                <w:sz w:val="22"/>
                <w:szCs w:val="22"/>
              </w:rPr>
              <w:t>0</w:t>
            </w:r>
            <w:r w:rsidR="00C1665B">
              <w:rPr>
                <w:rFonts w:asciiTheme="minorHAnsi" w:eastAsia="SimSun" w:hAnsiTheme="minorHAnsi"/>
                <w:color w:val="000000" w:themeColor="text1"/>
                <w:sz w:val="22"/>
                <w:szCs w:val="22"/>
              </w:rPr>
              <w:t>2</w:t>
            </w:r>
            <w:r w:rsidR="00FA4D2D">
              <w:rPr>
                <w:rFonts w:asciiTheme="minorHAnsi" w:eastAsia="SimSun" w:hAnsiTheme="minorHAnsi"/>
                <w:color w:val="000000" w:themeColor="text1"/>
                <w:sz w:val="22"/>
                <w:szCs w:val="22"/>
              </w:rPr>
              <w:t>m</w:t>
            </w:r>
          </w:p>
        </w:tc>
        <w:tc>
          <w:tcPr>
            <w:tcW w:w="2694" w:type="dxa"/>
          </w:tcPr>
          <w:p w14:paraId="5006C23F" w14:textId="77777777" w:rsidR="00FA4D2D" w:rsidRDefault="00FA4D2D" w:rsidP="00BD772D">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Delivered equally across all universities</w:t>
            </w:r>
          </w:p>
        </w:tc>
        <w:tc>
          <w:tcPr>
            <w:tcW w:w="2835" w:type="dxa"/>
          </w:tcPr>
          <w:p w14:paraId="2E56D057" w14:textId="00AB7A9F" w:rsidR="00FA4D2D" w:rsidRDefault="00FA4D2D" w:rsidP="00E9391D">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w:t>
            </w:r>
            <w:r w:rsidR="00E14080">
              <w:rPr>
                <w:rFonts w:asciiTheme="minorHAnsi" w:eastAsia="SimSun" w:hAnsiTheme="minorHAnsi"/>
                <w:color w:val="000000" w:themeColor="text1"/>
                <w:sz w:val="22"/>
                <w:szCs w:val="22"/>
              </w:rPr>
              <w:t>24,</w:t>
            </w:r>
            <w:r w:rsidR="00C1665B">
              <w:rPr>
                <w:rFonts w:asciiTheme="minorHAnsi" w:eastAsia="SimSun" w:hAnsiTheme="minorHAnsi"/>
                <w:color w:val="000000" w:themeColor="text1"/>
                <w:sz w:val="22"/>
                <w:szCs w:val="22"/>
              </w:rPr>
              <w:t>314.38</w:t>
            </w:r>
            <w:r>
              <w:rPr>
                <w:rFonts w:asciiTheme="minorHAnsi" w:eastAsia="SimSun" w:hAnsiTheme="minorHAnsi"/>
                <w:color w:val="000000" w:themeColor="text1"/>
                <w:sz w:val="22"/>
                <w:szCs w:val="22"/>
              </w:rPr>
              <w:t xml:space="preserve"> per university </w:t>
            </w:r>
          </w:p>
        </w:tc>
      </w:tr>
      <w:tr w:rsidR="0032218E" w14:paraId="129C203F" w14:textId="77777777" w:rsidTr="00E3002F">
        <w:trPr>
          <w:trHeight w:val="20"/>
        </w:trPr>
        <w:tc>
          <w:tcPr>
            <w:tcW w:w="2143" w:type="dxa"/>
          </w:tcPr>
          <w:p w14:paraId="749A71F6" w14:textId="77777777" w:rsidR="0032218E" w:rsidRDefault="0032218E" w:rsidP="00C803B4">
            <w:pPr>
              <w:widowControl w:val="0"/>
              <w:autoSpaceDE w:val="0"/>
              <w:autoSpaceDN w:val="0"/>
              <w:adjustRightInd w:val="0"/>
              <w:spacing w:line="241" w:lineRule="atLeas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University specific enquiries</w:t>
            </w:r>
          </w:p>
        </w:tc>
        <w:tc>
          <w:tcPr>
            <w:tcW w:w="1254" w:type="dxa"/>
          </w:tcPr>
          <w:p w14:paraId="6412F2A9" w14:textId="4D8BCBC0" w:rsidR="0032218E" w:rsidRDefault="0032218E" w:rsidP="00C803B4">
            <w:pPr>
              <w:widowControl w:val="0"/>
              <w:autoSpaceDE w:val="0"/>
              <w:autoSpaceDN w:val="0"/>
              <w:adjustRightInd w:val="0"/>
              <w:spacing w:line="241" w:lineRule="atLeast"/>
              <w:jc w:val="center"/>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$0.1</w:t>
            </w:r>
            <w:r w:rsidR="00C1665B">
              <w:rPr>
                <w:rFonts w:asciiTheme="minorHAnsi" w:eastAsia="SimSun" w:hAnsiTheme="minorHAnsi"/>
                <w:color w:val="000000" w:themeColor="text1"/>
                <w:sz w:val="22"/>
                <w:szCs w:val="22"/>
              </w:rPr>
              <w:t>5</w:t>
            </w:r>
            <w:r>
              <w:rPr>
                <w:rFonts w:asciiTheme="minorHAnsi" w:eastAsia="SimSun" w:hAnsiTheme="minorHAnsi"/>
                <w:color w:val="000000" w:themeColor="text1"/>
                <w:sz w:val="22"/>
                <w:szCs w:val="22"/>
              </w:rPr>
              <w:t>m</w:t>
            </w:r>
          </w:p>
        </w:tc>
        <w:tc>
          <w:tcPr>
            <w:tcW w:w="2694" w:type="dxa"/>
          </w:tcPr>
          <w:p w14:paraId="45F426D2" w14:textId="77777777" w:rsidR="0032218E" w:rsidRDefault="0032218E" w:rsidP="00C803B4">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 xml:space="preserve">Number of </w:t>
            </w:r>
            <w:r w:rsidR="00B46C25">
              <w:rPr>
                <w:rFonts w:asciiTheme="minorHAnsi" w:eastAsia="SimSun" w:hAnsiTheme="minorHAnsi"/>
                <w:color w:val="000000" w:themeColor="text1"/>
                <w:sz w:val="22"/>
                <w:szCs w:val="22"/>
              </w:rPr>
              <w:t>verified students enrolled</w:t>
            </w:r>
            <w:r>
              <w:rPr>
                <w:rFonts w:asciiTheme="minorHAnsi" w:eastAsia="SimSun" w:hAnsiTheme="minorHAnsi"/>
                <w:color w:val="000000" w:themeColor="text1"/>
                <w:sz w:val="22"/>
                <w:szCs w:val="22"/>
              </w:rPr>
              <w:t xml:space="preserve"> with a university </w:t>
            </w:r>
          </w:p>
        </w:tc>
        <w:tc>
          <w:tcPr>
            <w:tcW w:w="2835" w:type="dxa"/>
          </w:tcPr>
          <w:p w14:paraId="42820F92" w14:textId="0714621E" w:rsidR="0032218E" w:rsidRDefault="0032218E" w:rsidP="00E9391D">
            <w:pPr>
              <w:widowControl w:val="0"/>
              <w:autoSpaceDE w:val="0"/>
              <w:autoSpaceDN w:val="0"/>
              <w:adjustRightInd w:val="0"/>
              <w:spacing w:line="241" w:lineRule="atLeast"/>
              <w:jc w:val="right"/>
              <w:rPr>
                <w:rFonts w:asciiTheme="minorHAnsi" w:eastAsia="SimSun" w:hAnsiTheme="minorHAnsi"/>
                <w:color w:val="000000" w:themeColor="text1"/>
                <w:sz w:val="22"/>
                <w:szCs w:val="22"/>
              </w:rPr>
            </w:pPr>
            <w:r>
              <w:rPr>
                <w:rFonts w:asciiTheme="minorHAnsi" w:eastAsia="SimSun" w:hAnsiTheme="minorHAnsi"/>
                <w:color w:val="000000" w:themeColor="text1"/>
                <w:sz w:val="22"/>
                <w:szCs w:val="22"/>
              </w:rPr>
              <w:t>$0.1</w:t>
            </w:r>
            <w:r w:rsidR="00C1665B">
              <w:rPr>
                <w:rFonts w:asciiTheme="minorHAnsi" w:eastAsia="SimSun" w:hAnsiTheme="minorHAnsi"/>
                <w:color w:val="000000" w:themeColor="text1"/>
                <w:sz w:val="22"/>
                <w:szCs w:val="22"/>
              </w:rPr>
              <w:t>6</w:t>
            </w:r>
            <w:r>
              <w:rPr>
                <w:rFonts w:asciiTheme="minorHAnsi" w:eastAsia="SimSun" w:hAnsiTheme="minorHAnsi"/>
                <w:color w:val="000000" w:themeColor="text1"/>
                <w:sz w:val="22"/>
                <w:szCs w:val="22"/>
              </w:rPr>
              <w:t xml:space="preserve"> per </w:t>
            </w:r>
            <w:r w:rsidR="00B46C25">
              <w:rPr>
                <w:rFonts w:asciiTheme="minorHAnsi" w:eastAsia="SimSun" w:hAnsiTheme="minorHAnsi"/>
                <w:color w:val="000000" w:themeColor="text1"/>
                <w:sz w:val="22"/>
                <w:szCs w:val="22"/>
              </w:rPr>
              <w:t>verified</w:t>
            </w:r>
            <w:r>
              <w:rPr>
                <w:rFonts w:asciiTheme="minorHAnsi" w:eastAsia="SimSun" w:hAnsiTheme="minorHAnsi"/>
                <w:color w:val="000000" w:themeColor="text1"/>
                <w:sz w:val="22"/>
                <w:szCs w:val="22"/>
              </w:rPr>
              <w:t xml:space="preserve"> student for the provider</w:t>
            </w:r>
          </w:p>
        </w:tc>
      </w:tr>
    </w:tbl>
    <w:p w14:paraId="1DE86C6E" w14:textId="77777777" w:rsidR="00657DEA" w:rsidRPr="00657DEA" w:rsidRDefault="00657DEA" w:rsidP="00657DEA">
      <w:pPr>
        <w:spacing w:after="120"/>
        <w:jc w:val="both"/>
        <w:rPr>
          <w:rFonts w:asciiTheme="minorHAnsi" w:hAnsiTheme="minorHAnsi"/>
          <w:sz w:val="20"/>
          <w:szCs w:val="20"/>
        </w:rPr>
      </w:pPr>
    </w:p>
    <w:p w14:paraId="0A8DB9F3" w14:textId="69D4A5C5" w:rsidR="005B5105" w:rsidRDefault="00FA4D2D" w:rsidP="00657DEA">
      <w:pPr>
        <w:spacing w:after="120"/>
        <w:jc w:val="both"/>
        <w:rPr>
          <w:rFonts w:asciiTheme="minorHAnsi" w:hAnsiTheme="minorHAnsi"/>
          <w:b/>
        </w:rPr>
      </w:pPr>
      <w:r w:rsidRPr="00203EF7">
        <w:rPr>
          <w:rFonts w:asciiTheme="minorHAnsi" w:hAnsiTheme="minorHAnsi"/>
        </w:rPr>
        <w:t xml:space="preserve">Noting </w:t>
      </w:r>
      <w:r>
        <w:rPr>
          <w:rFonts w:asciiTheme="minorHAnsi" w:hAnsiTheme="minorHAnsi"/>
        </w:rPr>
        <w:t>T</w:t>
      </w:r>
      <w:r w:rsidRPr="00203EF7">
        <w:rPr>
          <w:rFonts w:asciiTheme="minorHAnsi" w:hAnsiTheme="minorHAnsi"/>
        </w:rPr>
        <w:t>able</w:t>
      </w:r>
      <w:r>
        <w:rPr>
          <w:rFonts w:asciiTheme="minorHAnsi" w:hAnsiTheme="minorHAnsi"/>
        </w:rPr>
        <w:t xml:space="preserve">s 1 and 2, the department can adjust the assessment of the application fee and annual charge based on changes in future policy/legislation. Due to the nature of the program being activity-based, the department will be charging on the efficient costs and will be </w:t>
      </w:r>
      <w:r w:rsidR="001B4199">
        <w:rPr>
          <w:rFonts w:asciiTheme="minorHAnsi" w:hAnsiTheme="minorHAnsi"/>
        </w:rPr>
        <w:t xml:space="preserve">reviewing </w:t>
      </w:r>
      <w:r>
        <w:rPr>
          <w:rFonts w:asciiTheme="minorHAnsi" w:hAnsiTheme="minorHAnsi"/>
        </w:rPr>
        <w:t>the annual charge on a yearly basis. Table 5 identifies changes in activities that could potentially create a chan</w:t>
      </w:r>
      <w:r w:rsidR="006B4BFC">
        <w:rPr>
          <w:rFonts w:asciiTheme="minorHAnsi" w:hAnsiTheme="minorHAnsi"/>
        </w:rPr>
        <w:t>ge in the regulatory charge.</w:t>
      </w:r>
    </w:p>
    <w:p w14:paraId="7F5DA3EF" w14:textId="77777777" w:rsidR="00A22DC8" w:rsidRDefault="00A22DC8" w:rsidP="002D7B66">
      <w:pPr>
        <w:spacing w:after="160" w:line="259" w:lineRule="auto"/>
        <w:rPr>
          <w:rFonts w:asciiTheme="minorHAnsi" w:hAnsiTheme="minorHAnsi"/>
          <w:b/>
        </w:rPr>
      </w:pPr>
    </w:p>
    <w:p w14:paraId="3B43E418" w14:textId="3E488686" w:rsidR="00FA4D2D" w:rsidRPr="004F5A4F" w:rsidRDefault="00FA4D2D" w:rsidP="002D7B66">
      <w:pPr>
        <w:spacing w:after="160" w:line="259" w:lineRule="auto"/>
        <w:rPr>
          <w:rFonts w:asciiTheme="minorHAnsi" w:hAnsiTheme="minorHAnsi"/>
          <w:b/>
        </w:rPr>
      </w:pPr>
      <w:r>
        <w:rPr>
          <w:rFonts w:asciiTheme="minorHAnsi" w:hAnsiTheme="minorHAnsi"/>
          <w:b/>
        </w:rPr>
        <w:t>Table</w:t>
      </w:r>
      <w:r w:rsidRPr="00132A48">
        <w:rPr>
          <w:rFonts w:asciiTheme="minorHAnsi" w:hAnsiTheme="minorHAnsi"/>
          <w:b/>
        </w:rPr>
        <w:t xml:space="preserve"> </w:t>
      </w:r>
      <w:r>
        <w:rPr>
          <w:rFonts w:asciiTheme="minorHAnsi" w:hAnsiTheme="minorHAnsi"/>
          <w:b/>
        </w:rPr>
        <w:t>5</w:t>
      </w:r>
      <w:r w:rsidRPr="00132A48">
        <w:rPr>
          <w:rFonts w:asciiTheme="minorHAnsi" w:hAnsiTheme="minorHAnsi"/>
          <w:b/>
        </w:rPr>
        <w:t xml:space="preserve">: </w:t>
      </w:r>
      <w:r>
        <w:rPr>
          <w:rFonts w:asciiTheme="minorHAnsi" w:hAnsiTheme="minorHAnsi"/>
          <w:b/>
        </w:rPr>
        <w:t>Potential change in future costs of the application fee and annual charge</w:t>
      </w:r>
    </w:p>
    <w:tbl>
      <w:tblPr>
        <w:tblStyle w:val="TableGrid"/>
        <w:tblW w:w="0" w:type="auto"/>
        <w:tblLayout w:type="fixed"/>
        <w:tblLook w:val="04A0" w:firstRow="1" w:lastRow="0" w:firstColumn="1" w:lastColumn="0" w:noHBand="0" w:noVBand="1"/>
      </w:tblPr>
      <w:tblGrid>
        <w:gridCol w:w="2122"/>
        <w:gridCol w:w="6724"/>
      </w:tblGrid>
      <w:tr w:rsidR="00FA4D2D" w14:paraId="600B8AE3" w14:textId="77777777" w:rsidTr="00B46C25">
        <w:trPr>
          <w:trHeight w:val="20"/>
        </w:trPr>
        <w:tc>
          <w:tcPr>
            <w:tcW w:w="2122" w:type="dxa"/>
            <w:shd w:val="clear" w:color="auto" w:fill="D9E2F3" w:themeFill="accent1" w:themeFillTint="33"/>
          </w:tcPr>
          <w:p w14:paraId="36922D62" w14:textId="77777777" w:rsidR="00FA4D2D" w:rsidRDefault="00FA4D2D" w:rsidP="00A92589">
            <w:pPr>
              <w:widowControl w:val="0"/>
              <w:autoSpaceDE w:val="0"/>
              <w:autoSpaceDN w:val="0"/>
              <w:adjustRightInd w:val="0"/>
              <w:spacing w:line="241" w:lineRule="atLeast"/>
              <w:rPr>
                <w:rFonts w:asciiTheme="minorHAnsi" w:eastAsia="SimSun" w:hAnsiTheme="minorHAnsi"/>
                <w:color w:val="0070C0"/>
                <w:sz w:val="28"/>
                <w:szCs w:val="28"/>
              </w:rPr>
            </w:pPr>
            <w:r>
              <w:rPr>
                <w:rFonts w:asciiTheme="minorHAnsi" w:hAnsiTheme="minorHAnsi"/>
                <w:b/>
                <w:sz w:val="22"/>
                <w:szCs w:val="22"/>
              </w:rPr>
              <w:t>Example a</w:t>
            </w:r>
            <w:r w:rsidRPr="0053562D">
              <w:rPr>
                <w:rFonts w:asciiTheme="minorHAnsi" w:hAnsiTheme="minorHAnsi"/>
                <w:b/>
                <w:sz w:val="22"/>
                <w:szCs w:val="22"/>
              </w:rPr>
              <w:t>ctivities</w:t>
            </w:r>
          </w:p>
        </w:tc>
        <w:tc>
          <w:tcPr>
            <w:tcW w:w="6724" w:type="dxa"/>
            <w:shd w:val="clear" w:color="auto" w:fill="D9E2F3" w:themeFill="accent1" w:themeFillTint="33"/>
          </w:tcPr>
          <w:p w14:paraId="20E3D914" w14:textId="77777777" w:rsidR="00FA4D2D" w:rsidRDefault="00FA4D2D" w:rsidP="00A92589">
            <w:pPr>
              <w:widowControl w:val="0"/>
              <w:autoSpaceDE w:val="0"/>
              <w:autoSpaceDN w:val="0"/>
              <w:adjustRightInd w:val="0"/>
              <w:spacing w:line="241" w:lineRule="atLeast"/>
              <w:jc w:val="both"/>
              <w:rPr>
                <w:rFonts w:asciiTheme="minorHAnsi" w:eastAsia="SimSun" w:hAnsiTheme="minorHAnsi"/>
                <w:color w:val="0070C0"/>
                <w:sz w:val="28"/>
                <w:szCs w:val="28"/>
              </w:rPr>
            </w:pPr>
            <w:r>
              <w:rPr>
                <w:rFonts w:asciiTheme="minorHAnsi" w:hAnsiTheme="minorHAnsi"/>
                <w:b/>
                <w:sz w:val="22"/>
                <w:szCs w:val="22"/>
              </w:rPr>
              <w:t>Reason for change in effort</w:t>
            </w:r>
          </w:p>
        </w:tc>
      </w:tr>
      <w:tr w:rsidR="00FA4D2D" w14:paraId="0C927AD5" w14:textId="77777777" w:rsidTr="00B46C25">
        <w:trPr>
          <w:trHeight w:val="20"/>
        </w:trPr>
        <w:tc>
          <w:tcPr>
            <w:tcW w:w="2122" w:type="dxa"/>
          </w:tcPr>
          <w:p w14:paraId="35DC1044" w14:textId="77777777" w:rsidR="00FA4D2D" w:rsidRPr="007E5B43" w:rsidRDefault="00FA4D2D" w:rsidP="00B46C25">
            <w:pPr>
              <w:spacing w:after="120"/>
              <w:rPr>
                <w:rFonts w:asciiTheme="minorHAnsi" w:hAnsiTheme="minorHAnsi"/>
                <w:sz w:val="22"/>
                <w:szCs w:val="22"/>
              </w:rPr>
            </w:pPr>
            <w:r w:rsidRPr="007E5B43">
              <w:rPr>
                <w:rFonts w:asciiTheme="minorHAnsi" w:hAnsiTheme="minorHAnsi"/>
                <w:sz w:val="22"/>
                <w:szCs w:val="22"/>
              </w:rPr>
              <w:t>Registration of applications</w:t>
            </w:r>
          </w:p>
        </w:tc>
        <w:tc>
          <w:tcPr>
            <w:tcW w:w="6724" w:type="dxa"/>
          </w:tcPr>
          <w:p w14:paraId="5668C676" w14:textId="22199131" w:rsidR="00FA4D2D" w:rsidRPr="007E5B43" w:rsidRDefault="00FA4D2D">
            <w:pPr>
              <w:spacing w:after="120"/>
              <w:jc w:val="both"/>
              <w:rPr>
                <w:rFonts w:asciiTheme="minorHAnsi" w:hAnsiTheme="minorHAnsi"/>
                <w:sz w:val="22"/>
                <w:szCs w:val="22"/>
              </w:rPr>
            </w:pPr>
            <w:r w:rsidRPr="007E5B43">
              <w:rPr>
                <w:rFonts w:asciiTheme="minorHAnsi" w:hAnsiTheme="minorHAnsi"/>
                <w:sz w:val="22"/>
                <w:szCs w:val="22"/>
              </w:rPr>
              <w:t xml:space="preserve">Potential providers </w:t>
            </w:r>
            <w:r w:rsidR="00B37A06">
              <w:rPr>
                <w:rFonts w:asciiTheme="minorHAnsi" w:hAnsiTheme="minorHAnsi"/>
                <w:sz w:val="22"/>
                <w:szCs w:val="22"/>
              </w:rPr>
              <w:t xml:space="preserve">may </w:t>
            </w:r>
            <w:r w:rsidRPr="007E5B43">
              <w:rPr>
                <w:rFonts w:asciiTheme="minorHAnsi" w:hAnsiTheme="minorHAnsi"/>
                <w:sz w:val="22"/>
                <w:szCs w:val="22"/>
              </w:rPr>
              <w:t xml:space="preserve">become more compliant and informed. They </w:t>
            </w:r>
            <w:r w:rsidR="00B37A06">
              <w:rPr>
                <w:rFonts w:asciiTheme="minorHAnsi" w:hAnsiTheme="minorHAnsi"/>
                <w:sz w:val="22"/>
                <w:szCs w:val="22"/>
              </w:rPr>
              <w:t xml:space="preserve">may be </w:t>
            </w:r>
            <w:r w:rsidRPr="007E5B43">
              <w:rPr>
                <w:rFonts w:asciiTheme="minorHAnsi" w:hAnsiTheme="minorHAnsi"/>
                <w:sz w:val="22"/>
                <w:szCs w:val="22"/>
              </w:rPr>
              <w:t>able to provide a more complete application with supporting documentation for approval</w:t>
            </w:r>
          </w:p>
        </w:tc>
      </w:tr>
      <w:tr w:rsidR="00FA4D2D" w14:paraId="0A5B304B" w14:textId="77777777" w:rsidTr="00B46C25">
        <w:trPr>
          <w:trHeight w:val="20"/>
        </w:trPr>
        <w:tc>
          <w:tcPr>
            <w:tcW w:w="2122" w:type="dxa"/>
          </w:tcPr>
          <w:p w14:paraId="6A7EE850" w14:textId="77777777" w:rsidR="00FA4D2D" w:rsidRDefault="00FA4D2D" w:rsidP="00BD772D">
            <w:pPr>
              <w:spacing w:after="120"/>
              <w:jc w:val="both"/>
              <w:rPr>
                <w:rFonts w:asciiTheme="minorHAnsi" w:eastAsia="SimSun" w:hAnsiTheme="minorHAnsi"/>
                <w:color w:val="0070C0"/>
                <w:sz w:val="28"/>
                <w:szCs w:val="28"/>
              </w:rPr>
            </w:pPr>
            <w:r w:rsidRPr="00203EF7">
              <w:rPr>
                <w:rFonts w:asciiTheme="minorHAnsi" w:hAnsiTheme="minorHAnsi"/>
                <w:sz w:val="22"/>
                <w:szCs w:val="22"/>
              </w:rPr>
              <w:t>Enquiries</w:t>
            </w:r>
          </w:p>
        </w:tc>
        <w:tc>
          <w:tcPr>
            <w:tcW w:w="6724" w:type="dxa"/>
          </w:tcPr>
          <w:p w14:paraId="21A321FA" w14:textId="0C3E6162" w:rsidR="00FA4D2D" w:rsidRPr="00203EF7" w:rsidRDefault="00B37A06">
            <w:pPr>
              <w:spacing w:after="120"/>
              <w:jc w:val="both"/>
              <w:rPr>
                <w:rFonts w:asciiTheme="minorHAnsi" w:hAnsiTheme="minorHAnsi"/>
                <w:sz w:val="22"/>
                <w:szCs w:val="22"/>
              </w:rPr>
            </w:pPr>
            <w:r>
              <w:rPr>
                <w:rFonts w:asciiTheme="minorHAnsi" w:hAnsiTheme="minorHAnsi"/>
                <w:sz w:val="22"/>
                <w:szCs w:val="22"/>
              </w:rPr>
              <w:t>As p</w:t>
            </w:r>
            <w:r w:rsidR="00FA4D2D" w:rsidRPr="00203EF7">
              <w:rPr>
                <w:rFonts w:asciiTheme="minorHAnsi" w:hAnsiTheme="minorHAnsi"/>
                <w:sz w:val="22"/>
                <w:szCs w:val="22"/>
              </w:rPr>
              <w:t>roviders become more informed</w:t>
            </w:r>
            <w:r>
              <w:rPr>
                <w:rFonts w:asciiTheme="minorHAnsi" w:hAnsiTheme="minorHAnsi"/>
                <w:sz w:val="22"/>
                <w:szCs w:val="22"/>
              </w:rPr>
              <w:t xml:space="preserve">, they </w:t>
            </w:r>
            <w:r w:rsidR="0096049C">
              <w:rPr>
                <w:rFonts w:asciiTheme="minorHAnsi" w:hAnsiTheme="minorHAnsi"/>
                <w:sz w:val="22"/>
                <w:szCs w:val="22"/>
              </w:rPr>
              <w:t xml:space="preserve">may </w:t>
            </w:r>
            <w:r w:rsidR="00FA4D2D" w:rsidRPr="00203EF7">
              <w:rPr>
                <w:rFonts w:asciiTheme="minorHAnsi" w:hAnsiTheme="minorHAnsi"/>
                <w:sz w:val="22"/>
                <w:szCs w:val="22"/>
              </w:rPr>
              <w:t>be</w:t>
            </w:r>
            <w:r>
              <w:rPr>
                <w:rFonts w:asciiTheme="minorHAnsi" w:hAnsiTheme="minorHAnsi"/>
                <w:sz w:val="22"/>
                <w:szCs w:val="22"/>
              </w:rPr>
              <w:t xml:space="preserve">come </w:t>
            </w:r>
            <w:r w:rsidR="0096049C">
              <w:rPr>
                <w:rFonts w:asciiTheme="minorHAnsi" w:hAnsiTheme="minorHAnsi"/>
                <w:sz w:val="22"/>
                <w:szCs w:val="22"/>
              </w:rPr>
              <w:t xml:space="preserve">more </w:t>
            </w:r>
            <w:r w:rsidR="00FA4D2D">
              <w:rPr>
                <w:rFonts w:asciiTheme="minorHAnsi" w:hAnsiTheme="minorHAnsi"/>
                <w:sz w:val="22"/>
                <w:szCs w:val="22"/>
              </w:rPr>
              <w:t>proactive in providing their students with</w:t>
            </w:r>
            <w:r w:rsidR="00FA4D2D" w:rsidRPr="00203EF7">
              <w:rPr>
                <w:rFonts w:asciiTheme="minorHAnsi" w:hAnsiTheme="minorHAnsi"/>
                <w:sz w:val="22"/>
                <w:szCs w:val="22"/>
              </w:rPr>
              <w:t xml:space="preserve"> </w:t>
            </w:r>
            <w:r w:rsidR="00FA4D2D">
              <w:rPr>
                <w:rFonts w:asciiTheme="minorHAnsi" w:hAnsiTheme="minorHAnsi"/>
                <w:sz w:val="22"/>
                <w:szCs w:val="22"/>
              </w:rPr>
              <w:t>better information on HELP</w:t>
            </w:r>
          </w:p>
        </w:tc>
      </w:tr>
      <w:tr w:rsidR="00FA4D2D" w14:paraId="4011F86B" w14:textId="77777777" w:rsidTr="00B46C25">
        <w:trPr>
          <w:trHeight w:val="20"/>
        </w:trPr>
        <w:tc>
          <w:tcPr>
            <w:tcW w:w="2122" w:type="dxa"/>
          </w:tcPr>
          <w:p w14:paraId="675850C3" w14:textId="77777777" w:rsidR="00FA4D2D" w:rsidRDefault="00FA4D2D" w:rsidP="00BD772D">
            <w:pPr>
              <w:spacing w:after="120"/>
              <w:jc w:val="both"/>
              <w:rPr>
                <w:rFonts w:asciiTheme="minorHAnsi" w:eastAsia="SimSun" w:hAnsiTheme="minorHAnsi"/>
                <w:color w:val="0070C0"/>
                <w:sz w:val="28"/>
                <w:szCs w:val="28"/>
              </w:rPr>
            </w:pPr>
            <w:r w:rsidRPr="00203EF7">
              <w:rPr>
                <w:rFonts w:asciiTheme="minorHAnsi" w:hAnsiTheme="minorHAnsi"/>
                <w:sz w:val="22"/>
                <w:szCs w:val="22"/>
              </w:rPr>
              <w:t>Desktop audits</w:t>
            </w:r>
          </w:p>
        </w:tc>
        <w:tc>
          <w:tcPr>
            <w:tcW w:w="6724" w:type="dxa"/>
          </w:tcPr>
          <w:p w14:paraId="421F266D" w14:textId="44EB28AE" w:rsidR="00FA4D2D" w:rsidRPr="00203EF7" w:rsidRDefault="00B37A06">
            <w:pPr>
              <w:spacing w:after="120"/>
              <w:jc w:val="both"/>
              <w:rPr>
                <w:rFonts w:asciiTheme="minorHAnsi" w:hAnsiTheme="minorHAnsi"/>
                <w:sz w:val="22"/>
                <w:szCs w:val="22"/>
              </w:rPr>
            </w:pPr>
            <w:r>
              <w:rPr>
                <w:rFonts w:asciiTheme="minorHAnsi" w:hAnsiTheme="minorHAnsi"/>
                <w:sz w:val="22"/>
                <w:szCs w:val="22"/>
              </w:rPr>
              <w:t xml:space="preserve">As </w:t>
            </w:r>
            <w:r w:rsidR="00FA4D2D" w:rsidRPr="00203EF7">
              <w:rPr>
                <w:rFonts w:asciiTheme="minorHAnsi" w:hAnsiTheme="minorHAnsi"/>
                <w:sz w:val="22"/>
                <w:szCs w:val="22"/>
              </w:rPr>
              <w:t>providers becoming more compliant with HELP policy/legislation</w:t>
            </w:r>
            <w:r>
              <w:rPr>
                <w:rFonts w:asciiTheme="minorHAnsi" w:hAnsiTheme="minorHAnsi"/>
                <w:sz w:val="22"/>
                <w:szCs w:val="22"/>
              </w:rPr>
              <w:t xml:space="preserve"> over time</w:t>
            </w:r>
            <w:r w:rsidR="00FA4D2D" w:rsidRPr="00203EF7">
              <w:rPr>
                <w:rFonts w:asciiTheme="minorHAnsi" w:hAnsiTheme="minorHAnsi"/>
                <w:sz w:val="22"/>
                <w:szCs w:val="22"/>
              </w:rPr>
              <w:t xml:space="preserve">, the department </w:t>
            </w:r>
            <w:r>
              <w:rPr>
                <w:rFonts w:asciiTheme="minorHAnsi" w:hAnsiTheme="minorHAnsi"/>
                <w:sz w:val="22"/>
                <w:szCs w:val="22"/>
              </w:rPr>
              <w:t xml:space="preserve">may be able to </w:t>
            </w:r>
            <w:r w:rsidR="00FA4D2D" w:rsidRPr="00203EF7">
              <w:rPr>
                <w:rFonts w:asciiTheme="minorHAnsi" w:hAnsiTheme="minorHAnsi"/>
                <w:sz w:val="22"/>
                <w:szCs w:val="22"/>
              </w:rPr>
              <w:t>conduct fewer</w:t>
            </w:r>
            <w:r w:rsidR="00FA4D2D">
              <w:rPr>
                <w:rFonts w:asciiTheme="minorHAnsi" w:hAnsiTheme="minorHAnsi"/>
                <w:sz w:val="22"/>
                <w:szCs w:val="22"/>
              </w:rPr>
              <w:t>,</w:t>
            </w:r>
            <w:r w:rsidR="00FA4D2D" w:rsidRPr="00203EF7">
              <w:rPr>
                <w:rFonts w:asciiTheme="minorHAnsi" w:hAnsiTheme="minorHAnsi"/>
                <w:sz w:val="22"/>
                <w:szCs w:val="22"/>
              </w:rPr>
              <w:t xml:space="preserve"> shorter</w:t>
            </w:r>
            <w:r w:rsidR="00FA4D2D">
              <w:rPr>
                <w:rFonts w:asciiTheme="minorHAnsi" w:hAnsiTheme="minorHAnsi"/>
                <w:sz w:val="22"/>
                <w:szCs w:val="22"/>
              </w:rPr>
              <w:t>, and less complex</w:t>
            </w:r>
            <w:r w:rsidR="00FA4D2D" w:rsidRPr="00203EF7">
              <w:rPr>
                <w:rFonts w:asciiTheme="minorHAnsi" w:hAnsiTheme="minorHAnsi"/>
                <w:sz w:val="22"/>
                <w:szCs w:val="22"/>
              </w:rPr>
              <w:t xml:space="preserve"> investigations and audits</w:t>
            </w:r>
          </w:p>
        </w:tc>
      </w:tr>
    </w:tbl>
    <w:p w14:paraId="0C73EC07" w14:textId="77777777" w:rsidR="004A7FE2" w:rsidRDefault="004A7FE2" w:rsidP="00FA4D2D"/>
    <w:p w14:paraId="56328323" w14:textId="77777777" w:rsidR="00FA4D2D" w:rsidRDefault="004A7FE2" w:rsidP="00FA4D2D">
      <w:r>
        <w:br w:type="page"/>
      </w:r>
    </w:p>
    <w:p w14:paraId="55E3E969" w14:textId="77777777" w:rsidR="00FA4D2D" w:rsidRPr="00FA4D2D" w:rsidRDefault="00FA4D2D" w:rsidP="007C67F3">
      <w:pPr>
        <w:spacing w:after="160" w:line="259" w:lineRule="auto"/>
      </w:pPr>
      <w:r w:rsidRPr="00317DDC">
        <w:rPr>
          <w:rFonts w:asciiTheme="minorHAnsi" w:hAnsiTheme="minorHAnsi"/>
          <w:b/>
          <w:sz w:val="28"/>
          <w:szCs w:val="28"/>
        </w:rPr>
        <w:t xml:space="preserve">4. </w:t>
      </w:r>
      <w:r w:rsidRPr="00317DDC">
        <w:rPr>
          <w:rFonts w:asciiTheme="minorHAnsi" w:hAnsiTheme="minorHAnsi"/>
          <w:b/>
          <w:sz w:val="28"/>
          <w:szCs w:val="28"/>
        </w:rPr>
        <w:tab/>
        <w:t>RISK ASSESSMENT</w:t>
      </w:r>
    </w:p>
    <w:p w14:paraId="40417DD6" w14:textId="16DE1439" w:rsidR="00FA4D2D" w:rsidRDefault="00FA4D2D" w:rsidP="00A92589">
      <w:pPr>
        <w:spacing w:after="120"/>
        <w:jc w:val="both"/>
        <w:rPr>
          <w:rFonts w:asciiTheme="minorHAnsi" w:hAnsiTheme="minorHAnsi"/>
        </w:rPr>
      </w:pPr>
      <w:r>
        <w:rPr>
          <w:rFonts w:asciiTheme="minorHAnsi" w:hAnsiTheme="minorHAnsi"/>
        </w:rPr>
        <w:t xml:space="preserve">There are specific risks regarding the implementation of cost recovery under HELP. Cost recovery for HECS-HELP and FEE-HELP programs </w:t>
      </w:r>
      <w:r w:rsidRPr="00813E2C">
        <w:rPr>
          <w:rFonts w:asciiTheme="minorHAnsi" w:hAnsiTheme="minorHAnsi"/>
        </w:rPr>
        <w:t xml:space="preserve">from approved higher education providers </w:t>
      </w:r>
      <w:r>
        <w:rPr>
          <w:rFonts w:asciiTheme="minorHAnsi" w:hAnsiTheme="minorHAnsi"/>
        </w:rPr>
        <w:t>is new, and there is a</w:t>
      </w:r>
      <w:r w:rsidR="00EC2524">
        <w:rPr>
          <w:rFonts w:asciiTheme="minorHAnsi" w:hAnsiTheme="minorHAnsi"/>
        </w:rPr>
        <w:t xml:space="preserve"> concern from </w:t>
      </w:r>
      <w:r w:rsidR="0044596F">
        <w:rPr>
          <w:rFonts w:asciiTheme="minorHAnsi" w:hAnsiTheme="minorHAnsi"/>
        </w:rPr>
        <w:t>sector</w:t>
      </w:r>
      <w:r w:rsidR="00EC2524">
        <w:rPr>
          <w:rFonts w:asciiTheme="minorHAnsi" w:hAnsiTheme="minorHAnsi"/>
        </w:rPr>
        <w:t xml:space="preserve"> </w:t>
      </w:r>
      <w:r>
        <w:rPr>
          <w:rFonts w:asciiTheme="minorHAnsi" w:hAnsiTheme="minorHAnsi"/>
        </w:rPr>
        <w:t xml:space="preserve">as to whether the charges reflect true and efficient costs of each business process. Due to this uncertainty, providers could be over or under charged when compared to the actual cost of the regulatory activity. There is also uncertainty around the numbers of providers that </w:t>
      </w:r>
      <w:proofErr w:type="gramStart"/>
      <w:r>
        <w:rPr>
          <w:rFonts w:asciiTheme="minorHAnsi" w:hAnsiTheme="minorHAnsi"/>
        </w:rPr>
        <w:t>will be approved</w:t>
      </w:r>
      <w:proofErr w:type="gramEnd"/>
      <w:r>
        <w:rPr>
          <w:rFonts w:asciiTheme="minorHAnsi" w:hAnsiTheme="minorHAnsi"/>
        </w:rPr>
        <w:t xml:space="preserve"> over time. Providers report student numbers based on a calendar year and due to this basis, the department will be recovering the annual charge in the following financial year. Even though charging in arrears will assist in mitigating this uncertainty, actual costs of providing regulatory activities </w:t>
      </w:r>
      <w:proofErr w:type="gramStart"/>
      <w:r>
        <w:rPr>
          <w:rFonts w:asciiTheme="minorHAnsi" w:hAnsiTheme="minorHAnsi"/>
        </w:rPr>
        <w:t>will not be known</w:t>
      </w:r>
      <w:proofErr w:type="gramEnd"/>
      <w:r>
        <w:rPr>
          <w:rFonts w:asciiTheme="minorHAnsi" w:hAnsiTheme="minorHAnsi"/>
        </w:rPr>
        <w:t xml:space="preserve"> until the end of the financial year. The uncertainty impacts on the total estimated revenue raised through the cost recovery mechanisms. </w:t>
      </w:r>
    </w:p>
    <w:p w14:paraId="2B8545BF" w14:textId="77777777" w:rsidR="00FA4D2D" w:rsidRDefault="00FA4D2D" w:rsidP="00A92589">
      <w:pPr>
        <w:spacing w:after="120"/>
        <w:jc w:val="both"/>
        <w:rPr>
          <w:rFonts w:asciiTheme="minorHAnsi" w:hAnsiTheme="minorHAnsi"/>
        </w:rPr>
      </w:pPr>
      <w:r>
        <w:rPr>
          <w:rFonts w:asciiTheme="minorHAnsi" w:hAnsiTheme="minorHAnsi"/>
        </w:rPr>
        <w:t xml:space="preserve">To mitigate these risks, cost drivers for the application activity and ongoing monitoring, compliance and management activities </w:t>
      </w:r>
      <w:proofErr w:type="gramStart"/>
      <w:r>
        <w:rPr>
          <w:rFonts w:asciiTheme="minorHAnsi" w:hAnsiTheme="minorHAnsi"/>
        </w:rPr>
        <w:t>will be reviewed</w:t>
      </w:r>
      <w:proofErr w:type="gramEnd"/>
      <w:r>
        <w:rPr>
          <w:rFonts w:asciiTheme="minorHAnsi" w:hAnsiTheme="minorHAnsi"/>
        </w:rPr>
        <w:t xml:space="preserve"> on an ongoing basis. This will ensure that the application fee and annual charge rates reflect the efficient costs, the drivers of those costs and will include consultation with stakeholders. </w:t>
      </w:r>
    </w:p>
    <w:p w14:paraId="32D18369" w14:textId="77777777" w:rsidR="00FA4D2D" w:rsidRDefault="00FA4D2D" w:rsidP="00A92589">
      <w:pPr>
        <w:spacing w:after="120"/>
        <w:jc w:val="both"/>
        <w:rPr>
          <w:rFonts w:asciiTheme="minorHAnsi" w:hAnsiTheme="minorHAnsi"/>
        </w:rPr>
      </w:pPr>
      <w:r>
        <w:rPr>
          <w:rFonts w:asciiTheme="minorHAnsi" w:hAnsiTheme="minorHAnsi"/>
        </w:rPr>
        <w:t xml:space="preserve">In the event of revenue not </w:t>
      </w:r>
      <w:proofErr w:type="gramStart"/>
      <w:r>
        <w:rPr>
          <w:rFonts w:asciiTheme="minorHAnsi" w:hAnsiTheme="minorHAnsi"/>
        </w:rPr>
        <w:t>being aligned</w:t>
      </w:r>
      <w:proofErr w:type="gramEnd"/>
      <w:r>
        <w:rPr>
          <w:rFonts w:asciiTheme="minorHAnsi" w:hAnsiTheme="minorHAnsi"/>
        </w:rPr>
        <w:t xml:space="preserve"> with actual costs, the department will aim to review its processes and prices; and reconcile this difference in the following year’s charges. </w:t>
      </w:r>
    </w:p>
    <w:p w14:paraId="2AAB1083" w14:textId="77777777" w:rsidR="00FA4D2D" w:rsidRDefault="00FA4D2D" w:rsidP="00A92589">
      <w:pPr>
        <w:spacing w:after="120"/>
        <w:jc w:val="both"/>
        <w:rPr>
          <w:rFonts w:asciiTheme="minorHAnsi" w:hAnsiTheme="minorHAnsi"/>
        </w:rPr>
      </w:pPr>
      <w:r>
        <w:rPr>
          <w:rFonts w:asciiTheme="minorHAnsi" w:hAnsiTheme="minorHAnsi"/>
        </w:rPr>
        <w:t>If there is:</w:t>
      </w:r>
    </w:p>
    <w:p w14:paraId="7FA5425C" w14:textId="77777777" w:rsidR="00FA4D2D" w:rsidRDefault="00FA4D2D" w:rsidP="00A92589">
      <w:pPr>
        <w:pStyle w:val="ListParagraph"/>
        <w:numPr>
          <w:ilvl w:val="0"/>
          <w:numId w:val="19"/>
        </w:numPr>
        <w:spacing w:after="120"/>
        <w:jc w:val="both"/>
        <w:rPr>
          <w:rFonts w:asciiTheme="minorHAnsi" w:hAnsiTheme="minorHAnsi"/>
        </w:rPr>
      </w:pPr>
      <w:r>
        <w:rPr>
          <w:rFonts w:asciiTheme="minorHAnsi" w:hAnsiTheme="minorHAnsi"/>
        </w:rPr>
        <w:t>a 10 per cent surplus/shortfall – the department will not undertake a review of the charge and its processes;</w:t>
      </w:r>
    </w:p>
    <w:p w14:paraId="01EFBC49" w14:textId="77777777" w:rsidR="00FA4D2D" w:rsidRDefault="00FA4D2D" w:rsidP="00A92589">
      <w:pPr>
        <w:pStyle w:val="ListParagraph"/>
        <w:numPr>
          <w:ilvl w:val="0"/>
          <w:numId w:val="19"/>
        </w:numPr>
        <w:spacing w:after="120"/>
        <w:jc w:val="both"/>
        <w:rPr>
          <w:rFonts w:asciiTheme="minorHAnsi" w:hAnsiTheme="minorHAnsi"/>
        </w:rPr>
      </w:pPr>
      <w:r>
        <w:rPr>
          <w:rFonts w:asciiTheme="minorHAnsi" w:hAnsiTheme="minorHAnsi"/>
        </w:rPr>
        <w:t>a shortfall/surplus between 10 per cent  and 20 per cent – the department will review its charges and reconcile this difference in the following year’s charge; and</w:t>
      </w:r>
    </w:p>
    <w:p w14:paraId="6516EF8B" w14:textId="77777777" w:rsidR="00FA4D2D" w:rsidRPr="00894B5B" w:rsidRDefault="00FA4D2D" w:rsidP="00A92589">
      <w:pPr>
        <w:pStyle w:val="ListParagraph"/>
        <w:numPr>
          <w:ilvl w:val="0"/>
          <w:numId w:val="19"/>
        </w:numPr>
        <w:spacing w:after="120"/>
        <w:jc w:val="both"/>
        <w:rPr>
          <w:rFonts w:asciiTheme="minorHAnsi" w:hAnsiTheme="minorHAnsi"/>
        </w:rPr>
      </w:pPr>
      <w:proofErr w:type="gramStart"/>
      <w:r>
        <w:rPr>
          <w:rFonts w:asciiTheme="minorHAnsi" w:hAnsiTheme="minorHAnsi"/>
        </w:rPr>
        <w:t>a</w:t>
      </w:r>
      <w:proofErr w:type="gramEnd"/>
      <w:r>
        <w:rPr>
          <w:rFonts w:asciiTheme="minorHAnsi" w:hAnsiTheme="minorHAnsi"/>
        </w:rPr>
        <w:t xml:space="preserve"> shortfall/surplus more than 20 per cent – the department will review its processes for the charge and reconcile this difference in the following year’s charge. </w:t>
      </w:r>
    </w:p>
    <w:p w14:paraId="3BF09C16" w14:textId="2552EF91" w:rsidR="00FA4D2D" w:rsidRDefault="00FA4D2D" w:rsidP="00A92589">
      <w:pPr>
        <w:jc w:val="both"/>
        <w:rPr>
          <w:rFonts w:asciiTheme="minorHAnsi" w:hAnsiTheme="minorHAnsi"/>
        </w:rPr>
      </w:pPr>
      <w:r>
        <w:rPr>
          <w:rFonts w:asciiTheme="minorHAnsi" w:hAnsiTheme="minorHAnsi"/>
        </w:rPr>
        <w:t>In the event of changes to the profile of the higher education sector, or legislative/policy changes, the department will review and assess the processes and implications to the annual charge and the application fee in order to ensure that the costs of providing regulatory activitie</w:t>
      </w:r>
      <w:r w:rsidR="006B4BFC">
        <w:rPr>
          <w:rFonts w:asciiTheme="minorHAnsi" w:hAnsiTheme="minorHAnsi"/>
        </w:rPr>
        <w:t>s remains consistent with the Charging Framework.</w:t>
      </w:r>
    </w:p>
    <w:p w14:paraId="18A0DAC0" w14:textId="77777777" w:rsidR="004A7FE2" w:rsidRDefault="004A7FE2">
      <w:pPr>
        <w:spacing w:after="160" w:line="259" w:lineRule="auto"/>
      </w:pPr>
      <w:r>
        <w:br w:type="page"/>
      </w:r>
    </w:p>
    <w:p w14:paraId="60A9C719" w14:textId="0E74A961" w:rsidR="00260247" w:rsidRDefault="006B4BFC" w:rsidP="006B4BFC">
      <w:pPr>
        <w:spacing w:after="160" w:line="259" w:lineRule="auto"/>
        <w:rPr>
          <w:rFonts w:asciiTheme="minorHAnsi" w:hAnsiTheme="minorHAnsi"/>
          <w:b/>
          <w:sz w:val="28"/>
          <w:szCs w:val="28"/>
        </w:rPr>
      </w:pPr>
      <w:r>
        <w:rPr>
          <w:rFonts w:asciiTheme="minorHAnsi" w:hAnsiTheme="minorHAnsi"/>
          <w:b/>
          <w:sz w:val="28"/>
          <w:szCs w:val="28"/>
        </w:rPr>
        <w:t>5.</w:t>
      </w:r>
      <w:r>
        <w:rPr>
          <w:rFonts w:asciiTheme="minorHAnsi" w:hAnsiTheme="minorHAnsi"/>
          <w:b/>
          <w:sz w:val="28"/>
          <w:szCs w:val="28"/>
        </w:rPr>
        <w:tab/>
      </w:r>
      <w:r w:rsidR="00260247" w:rsidRPr="00317DDC">
        <w:rPr>
          <w:rFonts w:asciiTheme="minorHAnsi" w:hAnsiTheme="minorHAnsi"/>
          <w:b/>
          <w:sz w:val="28"/>
          <w:szCs w:val="28"/>
        </w:rPr>
        <w:t>STAKEHOLDER ENGAGEMENT</w:t>
      </w:r>
    </w:p>
    <w:p w14:paraId="21F06D81" w14:textId="47F987C7" w:rsidR="00FA4D2D" w:rsidRDefault="00FA4D2D" w:rsidP="00A92589">
      <w:pPr>
        <w:spacing w:after="120"/>
        <w:jc w:val="both"/>
        <w:rPr>
          <w:rFonts w:asciiTheme="minorHAnsi" w:hAnsiTheme="minorHAnsi"/>
          <w:iCs/>
        </w:rPr>
      </w:pPr>
      <w:r>
        <w:rPr>
          <w:rFonts w:asciiTheme="minorHAnsi" w:hAnsiTheme="minorHAnsi"/>
          <w:iCs/>
        </w:rPr>
        <w:t xml:space="preserve">The HELP programs’ stakeholders in regards to the regulation of higher education include: </w:t>
      </w:r>
      <w:r w:rsidRPr="00D766B6">
        <w:rPr>
          <w:rFonts w:asciiTheme="minorHAnsi" w:hAnsiTheme="minorHAnsi"/>
          <w:iCs/>
        </w:rPr>
        <w:t>higher education providers and potential new entrants; peak bodies (Universities Australia, Australian Council for Private Education and Training, Council of Private Higher Education, TAFE Directors Australia, the International Education Association of Australia);</w:t>
      </w:r>
      <w:r w:rsidR="00EC7C39">
        <w:rPr>
          <w:rFonts w:asciiTheme="minorHAnsi" w:hAnsiTheme="minorHAnsi"/>
          <w:iCs/>
        </w:rPr>
        <w:t xml:space="preserve"> and students.</w:t>
      </w:r>
    </w:p>
    <w:p w14:paraId="1FA5BD37" w14:textId="50D5B532" w:rsidR="00FA4D2D" w:rsidRDefault="00FA4D2D" w:rsidP="00EC7C39">
      <w:pPr>
        <w:spacing w:after="120"/>
        <w:jc w:val="both"/>
        <w:rPr>
          <w:rFonts w:asciiTheme="minorHAnsi" w:hAnsiTheme="minorHAnsi"/>
          <w:iCs/>
        </w:rPr>
      </w:pPr>
      <w:r>
        <w:rPr>
          <w:rFonts w:asciiTheme="minorHAnsi" w:hAnsiTheme="minorHAnsi"/>
          <w:iCs/>
        </w:rPr>
        <w:t xml:space="preserve">The HELP programs’ stakeholders </w:t>
      </w:r>
      <w:proofErr w:type="gramStart"/>
      <w:r>
        <w:rPr>
          <w:rFonts w:asciiTheme="minorHAnsi" w:hAnsiTheme="minorHAnsi"/>
          <w:iCs/>
        </w:rPr>
        <w:t>will be consulted</w:t>
      </w:r>
      <w:proofErr w:type="gramEnd"/>
      <w:r>
        <w:rPr>
          <w:rFonts w:asciiTheme="minorHAnsi" w:hAnsiTheme="minorHAnsi"/>
          <w:iCs/>
        </w:rPr>
        <w:t xml:space="preserve"> regarding these charging arrangements on an ongoing basis, including on specific operational m</w:t>
      </w:r>
      <w:r w:rsidR="00EC7C39">
        <w:rPr>
          <w:rFonts w:asciiTheme="minorHAnsi" w:hAnsiTheme="minorHAnsi"/>
          <w:iCs/>
        </w:rPr>
        <w:t>atters on a case-by-case basis.</w:t>
      </w:r>
    </w:p>
    <w:p w14:paraId="31952FB5" w14:textId="77777777" w:rsidR="00A22DC8" w:rsidRDefault="00A22DC8" w:rsidP="00EC7C39">
      <w:pPr>
        <w:spacing w:after="120"/>
        <w:jc w:val="both"/>
        <w:rPr>
          <w:rFonts w:asciiTheme="minorHAnsi" w:hAnsiTheme="minorHAnsi"/>
          <w:iCs/>
        </w:rPr>
      </w:pPr>
    </w:p>
    <w:p w14:paraId="48385482" w14:textId="66CC368C" w:rsidR="00FB65C0" w:rsidRDefault="006B4BFC" w:rsidP="00203EF7">
      <w:pPr>
        <w:spacing w:after="160" w:line="259" w:lineRule="auto"/>
        <w:rPr>
          <w:rFonts w:asciiTheme="minorHAnsi" w:hAnsiTheme="minorHAnsi"/>
          <w:b/>
          <w:sz w:val="28"/>
          <w:szCs w:val="28"/>
        </w:rPr>
      </w:pPr>
      <w:r>
        <w:rPr>
          <w:rFonts w:asciiTheme="minorHAnsi" w:hAnsiTheme="minorHAnsi"/>
          <w:b/>
          <w:sz w:val="28"/>
          <w:szCs w:val="28"/>
        </w:rPr>
        <w:t>6.</w:t>
      </w:r>
      <w:r>
        <w:rPr>
          <w:rFonts w:asciiTheme="minorHAnsi" w:hAnsiTheme="minorHAnsi"/>
          <w:b/>
          <w:sz w:val="28"/>
          <w:szCs w:val="28"/>
        </w:rPr>
        <w:tab/>
      </w:r>
      <w:r w:rsidR="005B7224" w:rsidRPr="00E9391D">
        <w:rPr>
          <w:rFonts w:asciiTheme="minorHAnsi" w:hAnsiTheme="minorHAnsi"/>
          <w:b/>
          <w:sz w:val="28"/>
          <w:szCs w:val="28"/>
        </w:rPr>
        <w:t>STAKEHOLDER FEEDBACK</w:t>
      </w:r>
      <w:r w:rsidR="005B7224">
        <w:rPr>
          <w:rFonts w:asciiTheme="minorHAnsi" w:hAnsiTheme="minorHAnsi"/>
          <w:b/>
          <w:sz w:val="28"/>
          <w:szCs w:val="28"/>
        </w:rPr>
        <w:t xml:space="preserve"> </w:t>
      </w:r>
    </w:p>
    <w:p w14:paraId="340EE5BB" w14:textId="77777777" w:rsidR="00330420" w:rsidRDefault="00330420" w:rsidP="006B4BFC">
      <w:pPr>
        <w:spacing w:after="120"/>
        <w:jc w:val="both"/>
        <w:rPr>
          <w:rFonts w:asciiTheme="minorHAnsi" w:hAnsiTheme="minorHAnsi"/>
          <w:iCs/>
        </w:rPr>
      </w:pPr>
      <w:r>
        <w:rPr>
          <w:rFonts w:asciiTheme="minorHAnsi" w:hAnsiTheme="minorHAnsi"/>
          <w:iCs/>
        </w:rPr>
        <w:t xml:space="preserve">The Government undertook consultation with the higher education sector on the various aspects of the HELP charging measures outlined in the CRIS. </w:t>
      </w:r>
    </w:p>
    <w:p w14:paraId="3A8FFCFE" w14:textId="77777777" w:rsidR="00330420" w:rsidRDefault="00330420" w:rsidP="00330420">
      <w:pPr>
        <w:spacing w:after="160" w:line="259" w:lineRule="auto"/>
        <w:jc w:val="both"/>
        <w:rPr>
          <w:rFonts w:asciiTheme="minorHAnsi" w:hAnsiTheme="minorHAnsi"/>
          <w:iCs/>
        </w:rPr>
      </w:pPr>
      <w:r>
        <w:rPr>
          <w:rFonts w:asciiTheme="minorHAnsi" w:hAnsiTheme="minorHAnsi"/>
          <w:iCs/>
        </w:rPr>
        <w:t xml:space="preserve">Stakeholders who provided feedback and comments on the CRIS accepted the principle of the application fee. However, in relation to the annual charge, stakeholders mainly concluded that: </w:t>
      </w:r>
    </w:p>
    <w:p w14:paraId="40E96FBE"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there was little to no prior consultation with the higher education sector;</w:t>
      </w:r>
    </w:p>
    <w:p w14:paraId="5670B333"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it was unfair the government was seeking to shift costs of HELP regulation to the higher education sector;</w:t>
      </w:r>
    </w:p>
    <w:p w14:paraId="3C9789F0"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the CRIS did not present a convincing case for the need to recover costs from the higher education sector for the activities;</w:t>
      </w:r>
    </w:p>
    <w:p w14:paraId="1C9390EF" w14:textId="77777777" w:rsidR="00330420" w:rsidRPr="00C507DC"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the charging measures would create additional burden of providers’ capacity to deliver quality teaching, learning and research outcomes;</w:t>
      </w:r>
      <w:r w:rsidRPr="00C507DC">
        <w:rPr>
          <w:rFonts w:asciiTheme="minorHAnsi" w:hAnsiTheme="minorHAnsi"/>
          <w:iCs/>
        </w:rPr>
        <w:t xml:space="preserve"> </w:t>
      </w:r>
    </w:p>
    <w:p w14:paraId="642BE502"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the imposition of a risk levy that creates inequality between universities and NUHEPs;</w:t>
      </w:r>
    </w:p>
    <w:p w14:paraId="02FD62CF" w14:textId="77777777" w:rsidR="00330420" w:rsidRPr="00D92F11"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 xml:space="preserve">there be more clearly formulated and fairly distributed approach to the costs provided, including justification;  </w:t>
      </w:r>
    </w:p>
    <w:p w14:paraId="4DC453F3"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full cost calculations of all activities included in the annual charge were not provided;</w:t>
      </w:r>
    </w:p>
    <w:p w14:paraId="7FD56652"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the implementation date of 1 January 2019 is unreasonable given that most providers have already developed operational budgets for 2019;</w:t>
      </w:r>
    </w:p>
    <w:p w14:paraId="38C34EDA" w14:textId="77777777"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 xml:space="preserve">there is a significant difference in the Budget forecast and the revenue expected to be raised from the charging measures in the CRIS; </w:t>
      </w:r>
    </w:p>
    <w:p w14:paraId="37B4CCCC" w14:textId="405DF359" w:rsidR="00330420" w:rsidRDefault="00330420" w:rsidP="00330420">
      <w:pPr>
        <w:pStyle w:val="ListParagraph"/>
        <w:numPr>
          <w:ilvl w:val="0"/>
          <w:numId w:val="22"/>
        </w:numPr>
        <w:spacing w:after="160" w:line="259" w:lineRule="auto"/>
        <w:jc w:val="both"/>
        <w:rPr>
          <w:rFonts w:asciiTheme="minorHAnsi" w:hAnsiTheme="minorHAnsi"/>
          <w:iCs/>
        </w:rPr>
      </w:pPr>
      <w:r>
        <w:rPr>
          <w:rFonts w:asciiTheme="minorHAnsi" w:hAnsiTheme="minorHAnsi"/>
          <w:iCs/>
        </w:rPr>
        <w:t xml:space="preserve">there were certain references in the CRIS that were confusing due to the occurrence of these not occurring in HESA; and </w:t>
      </w:r>
    </w:p>
    <w:p w14:paraId="2E219284" w14:textId="77777777" w:rsidR="00330420" w:rsidRDefault="00330420" w:rsidP="00330420">
      <w:pPr>
        <w:spacing w:after="160" w:line="259" w:lineRule="auto"/>
        <w:jc w:val="both"/>
        <w:rPr>
          <w:rFonts w:asciiTheme="minorHAnsi" w:hAnsiTheme="minorHAnsi"/>
          <w:iCs/>
        </w:rPr>
      </w:pPr>
      <w:proofErr w:type="gramStart"/>
      <w:r>
        <w:rPr>
          <w:rFonts w:asciiTheme="minorHAnsi" w:hAnsiTheme="minorHAnsi"/>
          <w:iCs/>
        </w:rPr>
        <w:t>As a result</w:t>
      </w:r>
      <w:proofErr w:type="gramEnd"/>
      <w:r>
        <w:rPr>
          <w:rFonts w:asciiTheme="minorHAnsi" w:hAnsiTheme="minorHAnsi"/>
          <w:iCs/>
        </w:rPr>
        <w:t xml:space="preserve"> of this consultation, the Government has made the following changes to the CRIS:</w:t>
      </w:r>
    </w:p>
    <w:p w14:paraId="58FE94B7" w14:textId="77777777" w:rsidR="00330420" w:rsidRDefault="00330420" w:rsidP="00330420">
      <w:pPr>
        <w:pStyle w:val="ListParagraph"/>
        <w:numPr>
          <w:ilvl w:val="0"/>
          <w:numId w:val="23"/>
        </w:numPr>
        <w:spacing w:after="160" w:line="259" w:lineRule="auto"/>
        <w:jc w:val="both"/>
        <w:rPr>
          <w:rFonts w:asciiTheme="minorHAnsi" w:hAnsiTheme="minorHAnsi"/>
          <w:iCs/>
        </w:rPr>
      </w:pPr>
      <w:r>
        <w:rPr>
          <w:rFonts w:asciiTheme="minorHAnsi" w:hAnsiTheme="minorHAnsi"/>
          <w:iCs/>
        </w:rPr>
        <w:t xml:space="preserve">the risk levy in relation to NUHEP financial viability costs has been removed and a flat fee (based on the number of NUHEPs) created to account for NUHEP financial viability costs; </w:t>
      </w:r>
    </w:p>
    <w:p w14:paraId="399C0440" w14:textId="77777777" w:rsidR="00330420" w:rsidRPr="00C507DC" w:rsidRDefault="00330420" w:rsidP="00330420">
      <w:pPr>
        <w:pStyle w:val="ListParagraph"/>
        <w:numPr>
          <w:ilvl w:val="0"/>
          <w:numId w:val="23"/>
        </w:numPr>
        <w:spacing w:after="160" w:line="259" w:lineRule="auto"/>
        <w:jc w:val="both"/>
        <w:rPr>
          <w:rFonts w:asciiTheme="minorHAnsi" w:hAnsiTheme="minorHAnsi"/>
          <w:iCs/>
        </w:rPr>
      </w:pPr>
      <w:r>
        <w:rPr>
          <w:rFonts w:asciiTheme="minorHAnsi" w:hAnsiTheme="minorHAnsi"/>
          <w:iCs/>
        </w:rPr>
        <w:t>amending the CRIS to clearly outline the shared and individual provider type;</w:t>
      </w:r>
    </w:p>
    <w:p w14:paraId="315BE7F0" w14:textId="36271CBF" w:rsidR="00B46C25" w:rsidRPr="00330420" w:rsidRDefault="00330420" w:rsidP="00330420">
      <w:pPr>
        <w:pStyle w:val="ListParagraph"/>
        <w:numPr>
          <w:ilvl w:val="0"/>
          <w:numId w:val="23"/>
        </w:numPr>
        <w:spacing w:after="160" w:line="259" w:lineRule="auto"/>
        <w:jc w:val="both"/>
        <w:rPr>
          <w:rFonts w:asciiTheme="minorHAnsi" w:hAnsiTheme="minorHAnsi"/>
          <w:iCs/>
        </w:rPr>
      </w:pPr>
      <w:proofErr w:type="gramStart"/>
      <w:r>
        <w:rPr>
          <w:rFonts w:asciiTheme="minorHAnsi" w:hAnsiTheme="minorHAnsi"/>
          <w:iCs/>
        </w:rPr>
        <w:t>better</w:t>
      </w:r>
      <w:proofErr w:type="gramEnd"/>
      <w:r>
        <w:rPr>
          <w:rFonts w:asciiTheme="minorHAnsi" w:hAnsiTheme="minorHAnsi"/>
          <w:iCs/>
        </w:rPr>
        <w:t xml:space="preserve"> aligning references in the CRIS with HESA. </w:t>
      </w:r>
      <w:r w:rsidR="00B46C25" w:rsidRPr="00330420">
        <w:rPr>
          <w:rFonts w:asciiTheme="minorHAnsi" w:hAnsiTheme="minorHAnsi"/>
          <w:b/>
          <w:sz w:val="28"/>
          <w:szCs w:val="28"/>
        </w:rPr>
        <w:br w:type="page"/>
      </w:r>
    </w:p>
    <w:p w14:paraId="2DDDB01D" w14:textId="4666FE5B" w:rsidR="00E07822" w:rsidRPr="00E07822" w:rsidRDefault="003B1A0C" w:rsidP="00A92589">
      <w:pPr>
        <w:spacing w:after="160" w:line="259" w:lineRule="auto"/>
        <w:rPr>
          <w:rFonts w:asciiTheme="minorHAnsi" w:hAnsiTheme="minorHAnsi"/>
          <w:b/>
          <w:sz w:val="28"/>
          <w:szCs w:val="28"/>
        </w:rPr>
      </w:pPr>
      <w:r>
        <w:rPr>
          <w:rFonts w:asciiTheme="minorHAnsi" w:hAnsiTheme="minorHAnsi"/>
          <w:b/>
          <w:sz w:val="28"/>
          <w:szCs w:val="28"/>
        </w:rPr>
        <w:t>7</w:t>
      </w:r>
      <w:r w:rsidR="00260247" w:rsidRPr="00E757E5">
        <w:rPr>
          <w:rFonts w:asciiTheme="minorHAnsi" w:hAnsiTheme="minorHAnsi"/>
          <w:b/>
          <w:sz w:val="28"/>
          <w:szCs w:val="28"/>
        </w:rPr>
        <w:t>.</w:t>
      </w:r>
      <w:r w:rsidR="00260247" w:rsidRPr="00E757E5">
        <w:rPr>
          <w:rFonts w:asciiTheme="minorHAnsi" w:hAnsiTheme="minorHAnsi"/>
          <w:b/>
          <w:sz w:val="28"/>
          <w:szCs w:val="28"/>
        </w:rPr>
        <w:tab/>
        <w:t>FINANCIAL ESTIMATES</w:t>
      </w:r>
    </w:p>
    <w:p w14:paraId="2CBA1EC7" w14:textId="63FDF893" w:rsidR="00E07822" w:rsidRDefault="00E07822" w:rsidP="00A92589">
      <w:pPr>
        <w:spacing w:after="120"/>
        <w:jc w:val="both"/>
        <w:rPr>
          <w:rFonts w:asciiTheme="minorHAnsi" w:hAnsiTheme="minorHAnsi"/>
        </w:rPr>
      </w:pPr>
      <w:r w:rsidRPr="00E757E5">
        <w:rPr>
          <w:rFonts w:asciiTheme="minorHAnsi" w:hAnsiTheme="minorHAnsi"/>
        </w:rPr>
        <w:t xml:space="preserve">Financial performance for the FEE-HELP application fee </w:t>
      </w:r>
      <w:proofErr w:type="gramStart"/>
      <w:r w:rsidRPr="00E757E5">
        <w:rPr>
          <w:rFonts w:asciiTheme="minorHAnsi" w:hAnsiTheme="minorHAnsi"/>
        </w:rPr>
        <w:t>is provided</w:t>
      </w:r>
      <w:proofErr w:type="gramEnd"/>
      <w:r w:rsidRPr="00E757E5">
        <w:rPr>
          <w:rFonts w:asciiTheme="minorHAnsi" w:hAnsiTheme="minorHAnsi"/>
        </w:rPr>
        <w:t xml:space="preserve"> at </w:t>
      </w:r>
      <w:r>
        <w:rPr>
          <w:rFonts w:asciiTheme="minorHAnsi" w:hAnsiTheme="minorHAnsi"/>
        </w:rPr>
        <w:t>Table</w:t>
      </w:r>
      <w:r w:rsidRPr="00E757E5">
        <w:rPr>
          <w:rFonts w:asciiTheme="minorHAnsi" w:hAnsiTheme="minorHAnsi"/>
        </w:rPr>
        <w:t xml:space="preserve"> </w:t>
      </w:r>
      <w:r w:rsidR="00905AD5">
        <w:rPr>
          <w:rFonts w:asciiTheme="minorHAnsi" w:hAnsiTheme="minorHAnsi"/>
        </w:rPr>
        <w:t>6</w:t>
      </w:r>
      <w:r w:rsidRPr="00E757E5">
        <w:rPr>
          <w:rFonts w:asciiTheme="minorHAnsi" w:hAnsiTheme="minorHAnsi"/>
        </w:rPr>
        <w:t xml:space="preserve"> below. The 201</w:t>
      </w:r>
      <w:r w:rsidR="00965166">
        <w:rPr>
          <w:rFonts w:asciiTheme="minorHAnsi" w:hAnsiTheme="minorHAnsi"/>
        </w:rPr>
        <w:t>9-20</w:t>
      </w:r>
      <w:r w:rsidRPr="00E757E5">
        <w:rPr>
          <w:rFonts w:asciiTheme="minorHAnsi" w:hAnsiTheme="minorHAnsi"/>
        </w:rPr>
        <w:t xml:space="preserve"> financial year and </w:t>
      </w:r>
      <w:r w:rsidR="001331BC">
        <w:rPr>
          <w:rFonts w:asciiTheme="minorHAnsi" w:hAnsiTheme="minorHAnsi"/>
        </w:rPr>
        <w:t>four</w:t>
      </w:r>
      <w:r w:rsidRPr="00E757E5">
        <w:rPr>
          <w:rFonts w:asciiTheme="minorHAnsi" w:hAnsiTheme="minorHAnsi"/>
        </w:rPr>
        <w:t xml:space="preserve"> forward years </w:t>
      </w:r>
      <w:proofErr w:type="gramStart"/>
      <w:r w:rsidRPr="00E757E5">
        <w:rPr>
          <w:rFonts w:asciiTheme="minorHAnsi" w:hAnsiTheme="minorHAnsi"/>
        </w:rPr>
        <w:t>will be updated</w:t>
      </w:r>
      <w:proofErr w:type="gramEnd"/>
      <w:r w:rsidRPr="00E757E5">
        <w:rPr>
          <w:rFonts w:asciiTheme="minorHAnsi" w:hAnsiTheme="minorHAnsi"/>
        </w:rPr>
        <w:t xml:space="preserve"> each year as financial </w:t>
      </w:r>
      <w:r w:rsidR="00565156">
        <w:rPr>
          <w:rFonts w:asciiTheme="minorHAnsi" w:hAnsiTheme="minorHAnsi"/>
        </w:rPr>
        <w:t xml:space="preserve">information becomes available. </w:t>
      </w:r>
      <w:r>
        <w:rPr>
          <w:rFonts w:asciiTheme="minorHAnsi" w:hAnsiTheme="minorHAnsi"/>
        </w:rPr>
        <w:t>The department expects t</w:t>
      </w:r>
      <w:r w:rsidR="00565156">
        <w:rPr>
          <w:rFonts w:asciiTheme="minorHAnsi" w:hAnsiTheme="minorHAnsi"/>
        </w:rPr>
        <w:t>o receive and process seven FEE</w:t>
      </w:r>
      <w:r w:rsidR="00565156">
        <w:rPr>
          <w:rFonts w:asciiTheme="minorHAnsi" w:hAnsiTheme="minorHAnsi"/>
        </w:rPr>
        <w:noBreakHyphen/>
      </w:r>
      <w:r>
        <w:rPr>
          <w:rFonts w:asciiTheme="minorHAnsi" w:hAnsiTheme="minorHAnsi"/>
        </w:rPr>
        <w:t>HELP applications each year. The department has historically approved up to 60 per</w:t>
      </w:r>
      <w:r w:rsidR="006B4BFC">
        <w:rPr>
          <w:rFonts w:asciiTheme="minorHAnsi" w:hAnsiTheme="minorHAnsi"/>
        </w:rPr>
        <w:t> cent of applications received.</w:t>
      </w:r>
    </w:p>
    <w:p w14:paraId="7B3B94C0" w14:textId="7B73C05D" w:rsidR="00E07822" w:rsidRDefault="00E07822" w:rsidP="00E07822">
      <w:pPr>
        <w:spacing w:after="120"/>
        <w:rPr>
          <w:rFonts w:asciiTheme="minorHAnsi" w:hAnsiTheme="minorHAnsi"/>
          <w:b/>
        </w:rPr>
      </w:pPr>
      <w:r>
        <w:rPr>
          <w:rFonts w:asciiTheme="minorHAnsi" w:hAnsiTheme="minorHAnsi"/>
          <w:b/>
        </w:rPr>
        <w:t>Table</w:t>
      </w:r>
      <w:r w:rsidRPr="00132A48">
        <w:rPr>
          <w:rFonts w:asciiTheme="minorHAnsi" w:hAnsiTheme="minorHAnsi"/>
          <w:b/>
        </w:rPr>
        <w:t xml:space="preserve"> </w:t>
      </w:r>
      <w:r>
        <w:rPr>
          <w:rFonts w:asciiTheme="minorHAnsi" w:hAnsiTheme="minorHAnsi"/>
          <w:b/>
        </w:rPr>
        <w:t>6:</w:t>
      </w:r>
      <w:r w:rsidRPr="00132A48">
        <w:rPr>
          <w:rFonts w:asciiTheme="minorHAnsi" w:hAnsiTheme="minorHAnsi"/>
          <w:b/>
        </w:rPr>
        <w:t xml:space="preserve"> </w:t>
      </w:r>
      <w:r>
        <w:rPr>
          <w:rFonts w:asciiTheme="minorHAnsi" w:hAnsiTheme="minorHAnsi"/>
          <w:b/>
        </w:rPr>
        <w:t>A</w:t>
      </w:r>
      <w:r w:rsidRPr="00132A48">
        <w:rPr>
          <w:rFonts w:asciiTheme="minorHAnsi" w:hAnsiTheme="minorHAnsi"/>
          <w:b/>
        </w:rPr>
        <w:t xml:space="preserve">pplication fee for </w:t>
      </w:r>
      <w:r>
        <w:rPr>
          <w:rFonts w:asciiTheme="minorHAnsi" w:hAnsiTheme="minorHAnsi"/>
          <w:b/>
        </w:rPr>
        <w:t>new FEE-HELP providers</w:t>
      </w:r>
      <w:r w:rsidRPr="00132A48">
        <w:rPr>
          <w:rFonts w:asciiTheme="minorHAnsi" w:hAnsiTheme="minorHAnsi"/>
          <w:b/>
        </w:rPr>
        <w:t xml:space="preserve">, Expenses and </w:t>
      </w:r>
      <w:r>
        <w:rPr>
          <w:rFonts w:asciiTheme="minorHAnsi" w:hAnsiTheme="minorHAnsi"/>
          <w:b/>
        </w:rPr>
        <w:t>R</w:t>
      </w:r>
      <w:r w:rsidRPr="00132A48">
        <w:rPr>
          <w:rFonts w:asciiTheme="minorHAnsi" w:hAnsiTheme="minorHAnsi"/>
          <w:b/>
        </w:rPr>
        <w:t>evenue ($m)</w:t>
      </w:r>
      <w:r w:rsidR="00EA6A78">
        <w:rPr>
          <w:rFonts w:asciiTheme="minorHAnsi" w:hAnsiTheme="minorHAnsi"/>
          <w:b/>
        </w:rPr>
        <w:t xml:space="preserve"> </w:t>
      </w:r>
    </w:p>
    <w:tbl>
      <w:tblPr>
        <w:tblStyle w:val="TableGrid"/>
        <w:tblW w:w="8925" w:type="dxa"/>
        <w:tblLayout w:type="fixed"/>
        <w:tblLook w:val="04A0" w:firstRow="1" w:lastRow="0" w:firstColumn="1" w:lastColumn="0" w:noHBand="0" w:noVBand="1"/>
      </w:tblPr>
      <w:tblGrid>
        <w:gridCol w:w="2689"/>
        <w:gridCol w:w="1134"/>
        <w:gridCol w:w="1134"/>
        <w:gridCol w:w="992"/>
        <w:gridCol w:w="992"/>
        <w:gridCol w:w="992"/>
        <w:gridCol w:w="992"/>
      </w:tblGrid>
      <w:tr w:rsidR="002D265C" w14:paraId="7A5A91F1" w14:textId="15210372" w:rsidTr="002D7B66">
        <w:trPr>
          <w:trHeight w:val="295"/>
        </w:trPr>
        <w:tc>
          <w:tcPr>
            <w:tcW w:w="2689" w:type="dxa"/>
            <w:shd w:val="clear" w:color="auto" w:fill="D9E2F3" w:themeFill="accent1" w:themeFillTint="33"/>
          </w:tcPr>
          <w:p w14:paraId="37C68F7F" w14:textId="5A4088EE" w:rsidR="002D265C" w:rsidRPr="002D7B66" w:rsidRDefault="00EA6A78" w:rsidP="00920047">
            <w:pPr>
              <w:spacing w:after="120"/>
              <w:rPr>
                <w:rFonts w:asciiTheme="minorHAnsi" w:hAnsiTheme="minorHAnsi"/>
                <w:b/>
                <w:sz w:val="22"/>
                <w:szCs w:val="22"/>
              </w:rPr>
            </w:pPr>
            <w:r w:rsidRPr="002D7B66">
              <w:rPr>
                <w:rFonts w:asciiTheme="minorHAnsi" w:hAnsiTheme="minorHAnsi"/>
                <w:b/>
                <w:sz w:val="22"/>
                <w:szCs w:val="22"/>
              </w:rPr>
              <w:t>Calendar year</w:t>
            </w:r>
          </w:p>
        </w:tc>
        <w:tc>
          <w:tcPr>
            <w:tcW w:w="1134" w:type="dxa"/>
            <w:shd w:val="clear" w:color="auto" w:fill="D9E2F3" w:themeFill="accent1" w:themeFillTint="33"/>
          </w:tcPr>
          <w:p w14:paraId="45F97D3B" w14:textId="34F68982" w:rsidR="002D265C" w:rsidRPr="00283608" w:rsidRDefault="002D265C">
            <w:pPr>
              <w:spacing w:after="120"/>
              <w:jc w:val="right"/>
              <w:rPr>
                <w:rFonts w:asciiTheme="minorHAnsi" w:hAnsiTheme="minorHAnsi"/>
                <w:b/>
                <w:sz w:val="22"/>
                <w:szCs w:val="22"/>
              </w:rPr>
            </w:pPr>
            <w:r w:rsidRPr="00283608">
              <w:rPr>
                <w:rFonts w:asciiTheme="minorHAnsi" w:hAnsiTheme="minorHAnsi"/>
                <w:b/>
                <w:sz w:val="22"/>
                <w:szCs w:val="22"/>
              </w:rPr>
              <w:t>20</w:t>
            </w:r>
            <w:r>
              <w:rPr>
                <w:rFonts w:asciiTheme="minorHAnsi" w:hAnsiTheme="minorHAnsi"/>
                <w:b/>
                <w:sz w:val="22"/>
                <w:szCs w:val="22"/>
              </w:rPr>
              <w:t>20</w:t>
            </w:r>
          </w:p>
        </w:tc>
        <w:tc>
          <w:tcPr>
            <w:tcW w:w="1134" w:type="dxa"/>
            <w:shd w:val="clear" w:color="auto" w:fill="D9E2F3" w:themeFill="accent1" w:themeFillTint="33"/>
          </w:tcPr>
          <w:p w14:paraId="1136AC6A" w14:textId="1087C258" w:rsidR="002D265C" w:rsidRPr="00283608" w:rsidRDefault="002D265C">
            <w:pPr>
              <w:spacing w:after="120"/>
              <w:jc w:val="right"/>
              <w:rPr>
                <w:rFonts w:asciiTheme="minorHAnsi" w:hAnsiTheme="minorHAnsi"/>
                <w:b/>
                <w:sz w:val="22"/>
                <w:szCs w:val="22"/>
              </w:rPr>
            </w:pPr>
            <w:r w:rsidRPr="00283608">
              <w:rPr>
                <w:rFonts w:asciiTheme="minorHAnsi" w:hAnsiTheme="minorHAnsi"/>
                <w:b/>
                <w:sz w:val="22"/>
                <w:szCs w:val="22"/>
              </w:rPr>
              <w:t>202</w:t>
            </w:r>
            <w:r>
              <w:rPr>
                <w:rFonts w:asciiTheme="minorHAnsi" w:hAnsiTheme="minorHAnsi"/>
                <w:b/>
                <w:sz w:val="22"/>
                <w:szCs w:val="22"/>
              </w:rPr>
              <w:t>1</w:t>
            </w:r>
          </w:p>
        </w:tc>
        <w:tc>
          <w:tcPr>
            <w:tcW w:w="992" w:type="dxa"/>
            <w:shd w:val="clear" w:color="auto" w:fill="D9E2F3" w:themeFill="accent1" w:themeFillTint="33"/>
          </w:tcPr>
          <w:p w14:paraId="66768F68" w14:textId="77DA89B3" w:rsidR="002D265C" w:rsidRPr="00283608" w:rsidRDefault="002D265C">
            <w:pPr>
              <w:spacing w:after="120"/>
              <w:jc w:val="right"/>
              <w:rPr>
                <w:rFonts w:asciiTheme="minorHAnsi" w:hAnsiTheme="minorHAnsi"/>
                <w:b/>
                <w:sz w:val="22"/>
                <w:szCs w:val="22"/>
              </w:rPr>
            </w:pPr>
            <w:r w:rsidRPr="00283608">
              <w:rPr>
                <w:rFonts w:asciiTheme="minorHAnsi" w:hAnsiTheme="minorHAnsi"/>
                <w:b/>
                <w:sz w:val="22"/>
                <w:szCs w:val="22"/>
              </w:rPr>
              <w:t>2022</w:t>
            </w:r>
          </w:p>
        </w:tc>
        <w:tc>
          <w:tcPr>
            <w:tcW w:w="992" w:type="dxa"/>
            <w:shd w:val="clear" w:color="auto" w:fill="D9E2F3" w:themeFill="accent1" w:themeFillTint="33"/>
          </w:tcPr>
          <w:p w14:paraId="5E0B80D7" w14:textId="1DA03AB5" w:rsidR="002D265C" w:rsidRPr="00283608" w:rsidRDefault="002D265C">
            <w:pPr>
              <w:spacing w:after="120"/>
              <w:jc w:val="right"/>
              <w:rPr>
                <w:rFonts w:asciiTheme="minorHAnsi" w:hAnsiTheme="minorHAnsi"/>
                <w:b/>
                <w:sz w:val="22"/>
                <w:szCs w:val="22"/>
              </w:rPr>
            </w:pPr>
            <w:r w:rsidRPr="00283608">
              <w:rPr>
                <w:rFonts w:asciiTheme="minorHAnsi" w:hAnsiTheme="minorHAnsi"/>
                <w:b/>
                <w:sz w:val="22"/>
                <w:szCs w:val="22"/>
              </w:rPr>
              <w:t>2023</w:t>
            </w:r>
          </w:p>
        </w:tc>
        <w:tc>
          <w:tcPr>
            <w:tcW w:w="992" w:type="dxa"/>
            <w:shd w:val="clear" w:color="auto" w:fill="D9E2F3" w:themeFill="accent1" w:themeFillTint="33"/>
          </w:tcPr>
          <w:p w14:paraId="554B5891" w14:textId="3F8A11CA" w:rsidR="002D265C" w:rsidRPr="00283608" w:rsidRDefault="002D265C" w:rsidP="002D265C">
            <w:pPr>
              <w:spacing w:after="120"/>
              <w:jc w:val="right"/>
              <w:rPr>
                <w:rFonts w:asciiTheme="minorHAnsi" w:hAnsiTheme="minorHAnsi"/>
                <w:b/>
                <w:sz w:val="22"/>
                <w:szCs w:val="22"/>
              </w:rPr>
            </w:pPr>
            <w:r>
              <w:rPr>
                <w:rFonts w:asciiTheme="minorHAnsi" w:hAnsiTheme="minorHAnsi"/>
                <w:b/>
                <w:sz w:val="22"/>
                <w:szCs w:val="22"/>
              </w:rPr>
              <w:t>2024</w:t>
            </w:r>
          </w:p>
        </w:tc>
        <w:tc>
          <w:tcPr>
            <w:tcW w:w="992" w:type="dxa"/>
            <w:shd w:val="clear" w:color="auto" w:fill="D9E2F3" w:themeFill="accent1" w:themeFillTint="33"/>
          </w:tcPr>
          <w:p w14:paraId="2E8DEDE7" w14:textId="63B73E3B" w:rsidR="002D265C" w:rsidRPr="00283608" w:rsidRDefault="002D265C" w:rsidP="002D265C">
            <w:pPr>
              <w:spacing w:after="120"/>
              <w:jc w:val="right"/>
              <w:rPr>
                <w:rFonts w:asciiTheme="minorHAnsi" w:hAnsiTheme="minorHAnsi"/>
                <w:b/>
                <w:sz w:val="22"/>
                <w:szCs w:val="22"/>
              </w:rPr>
            </w:pPr>
            <w:r>
              <w:rPr>
                <w:rFonts w:asciiTheme="minorHAnsi" w:hAnsiTheme="minorHAnsi"/>
                <w:b/>
                <w:sz w:val="22"/>
                <w:szCs w:val="22"/>
              </w:rPr>
              <w:t>Total</w:t>
            </w:r>
            <w:r w:rsidR="00C30051">
              <w:rPr>
                <w:rFonts w:asciiTheme="minorHAnsi" w:hAnsiTheme="minorHAnsi"/>
                <w:b/>
                <w:sz w:val="22"/>
                <w:szCs w:val="22"/>
              </w:rPr>
              <w:t>*</w:t>
            </w:r>
          </w:p>
        </w:tc>
      </w:tr>
      <w:tr w:rsidR="002D265C" w14:paraId="7087E7D1" w14:textId="15EC8752" w:rsidTr="002D7B66">
        <w:tc>
          <w:tcPr>
            <w:tcW w:w="2689" w:type="dxa"/>
          </w:tcPr>
          <w:p w14:paraId="7F9DC295" w14:textId="54544988" w:rsidR="002D265C" w:rsidRPr="00203EF7" w:rsidRDefault="002D265C" w:rsidP="00920047">
            <w:pPr>
              <w:spacing w:after="120"/>
              <w:rPr>
                <w:rFonts w:asciiTheme="minorHAnsi" w:hAnsiTheme="minorHAnsi"/>
                <w:sz w:val="22"/>
                <w:szCs w:val="22"/>
              </w:rPr>
            </w:pPr>
            <w:r w:rsidRPr="00203EF7">
              <w:rPr>
                <w:rFonts w:asciiTheme="minorHAnsi" w:hAnsiTheme="minorHAnsi"/>
                <w:sz w:val="22"/>
                <w:szCs w:val="22"/>
              </w:rPr>
              <w:t xml:space="preserve">Expenses </w:t>
            </w:r>
            <w:r>
              <w:rPr>
                <w:rFonts w:asciiTheme="minorHAnsi" w:hAnsiTheme="minorHAnsi"/>
                <w:sz w:val="22"/>
                <w:szCs w:val="22"/>
              </w:rPr>
              <w:t>($m)</w:t>
            </w:r>
          </w:p>
        </w:tc>
        <w:tc>
          <w:tcPr>
            <w:tcW w:w="1134" w:type="dxa"/>
          </w:tcPr>
          <w:p w14:paraId="623ECE08" w14:textId="26F8E42F" w:rsidR="002D265C" w:rsidRPr="00203EF7" w:rsidRDefault="002D265C">
            <w:pPr>
              <w:spacing w:after="120"/>
              <w:jc w:val="right"/>
              <w:rPr>
                <w:rFonts w:asciiTheme="minorHAnsi" w:hAnsiTheme="minorHAnsi"/>
                <w:sz w:val="22"/>
                <w:szCs w:val="22"/>
              </w:rPr>
            </w:pPr>
            <w:r w:rsidRPr="00203EF7">
              <w:rPr>
                <w:rFonts w:asciiTheme="minorHAnsi" w:hAnsiTheme="minorHAnsi"/>
                <w:sz w:val="22"/>
                <w:szCs w:val="22"/>
              </w:rPr>
              <w:t>$0.0</w:t>
            </w:r>
            <w:r>
              <w:rPr>
                <w:rFonts w:asciiTheme="minorHAnsi" w:hAnsiTheme="minorHAnsi"/>
                <w:sz w:val="22"/>
                <w:szCs w:val="22"/>
              </w:rPr>
              <w:t>9</w:t>
            </w:r>
          </w:p>
        </w:tc>
        <w:tc>
          <w:tcPr>
            <w:tcW w:w="1134" w:type="dxa"/>
          </w:tcPr>
          <w:p w14:paraId="1E72E525" w14:textId="0B9E7B5A" w:rsidR="002D265C" w:rsidRPr="00203EF7" w:rsidRDefault="002D265C">
            <w:pPr>
              <w:spacing w:after="120"/>
              <w:jc w:val="right"/>
              <w:rPr>
                <w:rFonts w:asciiTheme="minorHAnsi" w:hAnsiTheme="minorHAnsi"/>
                <w:sz w:val="22"/>
                <w:szCs w:val="22"/>
              </w:rPr>
            </w:pPr>
            <w:r w:rsidRPr="00203EF7">
              <w:rPr>
                <w:rFonts w:asciiTheme="minorHAnsi" w:hAnsiTheme="minorHAnsi"/>
                <w:sz w:val="22"/>
                <w:szCs w:val="22"/>
              </w:rPr>
              <w:t>$0.</w:t>
            </w:r>
            <w:r>
              <w:rPr>
                <w:rFonts w:asciiTheme="minorHAnsi" w:hAnsiTheme="minorHAnsi"/>
                <w:sz w:val="22"/>
                <w:szCs w:val="22"/>
              </w:rPr>
              <w:t>09</w:t>
            </w:r>
          </w:p>
        </w:tc>
        <w:tc>
          <w:tcPr>
            <w:tcW w:w="992" w:type="dxa"/>
          </w:tcPr>
          <w:p w14:paraId="38CD86EC" w14:textId="35569BEB" w:rsidR="002D265C" w:rsidRPr="00203EF7" w:rsidRDefault="002D265C">
            <w:pPr>
              <w:spacing w:after="120"/>
              <w:jc w:val="right"/>
              <w:rPr>
                <w:rFonts w:asciiTheme="minorHAnsi" w:hAnsiTheme="minorHAnsi"/>
                <w:sz w:val="22"/>
                <w:szCs w:val="22"/>
              </w:rPr>
            </w:pPr>
            <w:r w:rsidRPr="00203EF7">
              <w:rPr>
                <w:rFonts w:asciiTheme="minorHAnsi" w:hAnsiTheme="minorHAnsi"/>
                <w:sz w:val="22"/>
                <w:szCs w:val="22"/>
              </w:rPr>
              <w:t>$0.</w:t>
            </w:r>
            <w:r w:rsidR="00C1665B">
              <w:rPr>
                <w:rFonts w:asciiTheme="minorHAnsi" w:hAnsiTheme="minorHAnsi"/>
                <w:sz w:val="22"/>
                <w:szCs w:val="22"/>
              </w:rPr>
              <w:t>09</w:t>
            </w:r>
          </w:p>
        </w:tc>
        <w:tc>
          <w:tcPr>
            <w:tcW w:w="992" w:type="dxa"/>
          </w:tcPr>
          <w:p w14:paraId="3FBDD457" w14:textId="11946AEB" w:rsidR="002D265C" w:rsidRPr="00203EF7" w:rsidRDefault="002D265C">
            <w:pPr>
              <w:spacing w:after="120"/>
              <w:jc w:val="right"/>
              <w:rPr>
                <w:rFonts w:asciiTheme="minorHAnsi" w:hAnsiTheme="minorHAnsi"/>
                <w:sz w:val="22"/>
                <w:szCs w:val="22"/>
              </w:rPr>
            </w:pPr>
            <w:r w:rsidRPr="00203EF7">
              <w:rPr>
                <w:rFonts w:asciiTheme="minorHAnsi" w:hAnsiTheme="minorHAnsi"/>
                <w:sz w:val="22"/>
                <w:szCs w:val="22"/>
              </w:rPr>
              <w:t>$0.</w:t>
            </w:r>
            <w:r w:rsidR="0097174E">
              <w:rPr>
                <w:rFonts w:asciiTheme="minorHAnsi" w:hAnsiTheme="minorHAnsi"/>
                <w:sz w:val="22"/>
                <w:szCs w:val="22"/>
              </w:rPr>
              <w:t>1</w:t>
            </w:r>
            <w:r>
              <w:rPr>
                <w:rFonts w:asciiTheme="minorHAnsi" w:hAnsiTheme="minorHAnsi"/>
                <w:sz w:val="22"/>
                <w:szCs w:val="22"/>
              </w:rPr>
              <w:t>0</w:t>
            </w:r>
          </w:p>
        </w:tc>
        <w:tc>
          <w:tcPr>
            <w:tcW w:w="992" w:type="dxa"/>
          </w:tcPr>
          <w:p w14:paraId="57F3BF32" w14:textId="35F4050E" w:rsidR="002D265C" w:rsidRPr="00203EF7" w:rsidRDefault="00C1665B" w:rsidP="002D265C">
            <w:pPr>
              <w:spacing w:after="120"/>
              <w:jc w:val="right"/>
              <w:rPr>
                <w:rFonts w:asciiTheme="minorHAnsi" w:hAnsiTheme="minorHAnsi"/>
                <w:sz w:val="22"/>
                <w:szCs w:val="22"/>
              </w:rPr>
            </w:pPr>
            <w:r w:rsidRPr="00203EF7">
              <w:rPr>
                <w:rFonts w:asciiTheme="minorHAnsi" w:hAnsiTheme="minorHAnsi"/>
                <w:sz w:val="22"/>
                <w:szCs w:val="22"/>
              </w:rPr>
              <w:t>$0.</w:t>
            </w:r>
            <w:r>
              <w:rPr>
                <w:rFonts w:asciiTheme="minorHAnsi" w:hAnsiTheme="minorHAnsi"/>
                <w:sz w:val="22"/>
                <w:szCs w:val="22"/>
              </w:rPr>
              <w:t>10</w:t>
            </w:r>
          </w:p>
        </w:tc>
        <w:tc>
          <w:tcPr>
            <w:tcW w:w="992" w:type="dxa"/>
          </w:tcPr>
          <w:p w14:paraId="2E100472" w14:textId="624F7682" w:rsidR="002D265C" w:rsidRPr="00203EF7" w:rsidRDefault="00EA6A78">
            <w:pPr>
              <w:spacing w:after="120"/>
              <w:jc w:val="right"/>
              <w:rPr>
                <w:rFonts w:asciiTheme="minorHAnsi" w:hAnsiTheme="minorHAnsi"/>
                <w:sz w:val="22"/>
                <w:szCs w:val="22"/>
              </w:rPr>
            </w:pPr>
            <w:r>
              <w:rPr>
                <w:rFonts w:asciiTheme="minorHAnsi" w:hAnsiTheme="minorHAnsi"/>
                <w:sz w:val="22"/>
                <w:szCs w:val="22"/>
              </w:rPr>
              <w:t>$</w:t>
            </w:r>
            <w:r w:rsidR="00C1665B">
              <w:rPr>
                <w:rFonts w:asciiTheme="minorHAnsi" w:hAnsiTheme="minorHAnsi"/>
                <w:sz w:val="22"/>
                <w:szCs w:val="22"/>
              </w:rPr>
              <w:t>0.47</w:t>
            </w:r>
          </w:p>
        </w:tc>
      </w:tr>
      <w:tr w:rsidR="002D265C" w14:paraId="1967DA86" w14:textId="378750F9" w:rsidTr="002D7B66">
        <w:tc>
          <w:tcPr>
            <w:tcW w:w="2689" w:type="dxa"/>
          </w:tcPr>
          <w:p w14:paraId="28D53171" w14:textId="4B61B957" w:rsidR="002D265C" w:rsidRPr="00203EF7" w:rsidRDefault="002D265C" w:rsidP="00920047">
            <w:pPr>
              <w:spacing w:after="120"/>
              <w:rPr>
                <w:rFonts w:asciiTheme="minorHAnsi" w:hAnsiTheme="minorHAnsi"/>
                <w:sz w:val="22"/>
                <w:szCs w:val="22"/>
              </w:rPr>
            </w:pPr>
            <w:r w:rsidRPr="00203EF7">
              <w:rPr>
                <w:rFonts w:asciiTheme="minorHAnsi" w:hAnsiTheme="minorHAnsi"/>
                <w:sz w:val="22"/>
                <w:szCs w:val="22"/>
              </w:rPr>
              <w:t xml:space="preserve">Revenue </w:t>
            </w:r>
            <w:r>
              <w:rPr>
                <w:rFonts w:asciiTheme="minorHAnsi" w:hAnsiTheme="minorHAnsi"/>
                <w:sz w:val="22"/>
                <w:szCs w:val="22"/>
              </w:rPr>
              <w:t>($m)</w:t>
            </w:r>
          </w:p>
        </w:tc>
        <w:tc>
          <w:tcPr>
            <w:tcW w:w="1134" w:type="dxa"/>
          </w:tcPr>
          <w:p w14:paraId="15D680EA" w14:textId="0DA1D7F0" w:rsidR="002D265C" w:rsidRPr="00203EF7" w:rsidRDefault="002D265C">
            <w:pPr>
              <w:spacing w:after="120"/>
              <w:jc w:val="right"/>
              <w:rPr>
                <w:rFonts w:asciiTheme="minorHAnsi" w:hAnsiTheme="minorHAnsi"/>
                <w:sz w:val="22"/>
                <w:szCs w:val="22"/>
              </w:rPr>
            </w:pPr>
            <w:r w:rsidRPr="00203EF7">
              <w:rPr>
                <w:rFonts w:asciiTheme="minorHAnsi" w:hAnsiTheme="minorHAnsi"/>
                <w:sz w:val="22"/>
                <w:szCs w:val="22"/>
              </w:rPr>
              <w:t>$0.</w:t>
            </w:r>
            <w:r>
              <w:rPr>
                <w:rFonts w:asciiTheme="minorHAnsi" w:hAnsiTheme="minorHAnsi"/>
                <w:sz w:val="22"/>
                <w:szCs w:val="22"/>
              </w:rPr>
              <w:t>09</w:t>
            </w:r>
          </w:p>
        </w:tc>
        <w:tc>
          <w:tcPr>
            <w:tcW w:w="1134" w:type="dxa"/>
          </w:tcPr>
          <w:p w14:paraId="611C41B6" w14:textId="6B34A745" w:rsidR="002D265C" w:rsidRPr="00203EF7" w:rsidRDefault="002D265C">
            <w:pPr>
              <w:spacing w:after="120"/>
              <w:jc w:val="right"/>
              <w:rPr>
                <w:rFonts w:asciiTheme="minorHAnsi" w:hAnsiTheme="minorHAnsi"/>
                <w:b/>
                <w:sz w:val="22"/>
                <w:szCs w:val="22"/>
              </w:rPr>
            </w:pPr>
            <w:r w:rsidRPr="00203EF7">
              <w:rPr>
                <w:rFonts w:asciiTheme="minorHAnsi" w:hAnsiTheme="minorHAnsi"/>
                <w:sz w:val="22"/>
                <w:szCs w:val="22"/>
              </w:rPr>
              <w:t>$0.</w:t>
            </w:r>
            <w:r>
              <w:rPr>
                <w:rFonts w:asciiTheme="minorHAnsi" w:hAnsiTheme="minorHAnsi"/>
                <w:sz w:val="22"/>
                <w:szCs w:val="22"/>
              </w:rPr>
              <w:t>09</w:t>
            </w:r>
          </w:p>
        </w:tc>
        <w:tc>
          <w:tcPr>
            <w:tcW w:w="992" w:type="dxa"/>
          </w:tcPr>
          <w:p w14:paraId="1411BF82" w14:textId="50BCBB52" w:rsidR="002D265C" w:rsidRPr="00203EF7" w:rsidRDefault="002D265C" w:rsidP="002D7B66">
            <w:pPr>
              <w:spacing w:after="120"/>
              <w:jc w:val="right"/>
              <w:rPr>
                <w:rFonts w:asciiTheme="minorHAnsi" w:hAnsiTheme="minorHAnsi"/>
                <w:b/>
                <w:sz w:val="22"/>
                <w:szCs w:val="22"/>
              </w:rPr>
            </w:pPr>
            <w:r w:rsidRPr="00203EF7">
              <w:rPr>
                <w:rFonts w:asciiTheme="minorHAnsi" w:hAnsiTheme="minorHAnsi"/>
                <w:sz w:val="22"/>
                <w:szCs w:val="22"/>
              </w:rPr>
              <w:t>$0</w:t>
            </w:r>
            <w:r w:rsidR="00C1665B">
              <w:rPr>
                <w:rFonts w:asciiTheme="minorHAnsi" w:hAnsiTheme="minorHAnsi"/>
                <w:sz w:val="22"/>
                <w:szCs w:val="22"/>
              </w:rPr>
              <w:t>.</w:t>
            </w:r>
            <w:r w:rsidR="0097174E">
              <w:rPr>
                <w:rFonts w:asciiTheme="minorHAnsi" w:hAnsiTheme="minorHAnsi"/>
                <w:sz w:val="22"/>
                <w:szCs w:val="22"/>
              </w:rPr>
              <w:t>0</w:t>
            </w:r>
            <w:r w:rsidR="00C1665B">
              <w:rPr>
                <w:rFonts w:asciiTheme="minorHAnsi" w:hAnsiTheme="minorHAnsi"/>
                <w:sz w:val="22"/>
                <w:szCs w:val="22"/>
              </w:rPr>
              <w:t>9</w:t>
            </w:r>
          </w:p>
        </w:tc>
        <w:tc>
          <w:tcPr>
            <w:tcW w:w="992" w:type="dxa"/>
          </w:tcPr>
          <w:p w14:paraId="07EC9048" w14:textId="70851BD3" w:rsidR="002D265C" w:rsidRPr="00203EF7" w:rsidRDefault="002D265C">
            <w:pPr>
              <w:spacing w:after="120"/>
              <w:jc w:val="right"/>
              <w:rPr>
                <w:rFonts w:asciiTheme="minorHAnsi" w:hAnsiTheme="minorHAnsi"/>
                <w:b/>
                <w:sz w:val="22"/>
                <w:szCs w:val="22"/>
              </w:rPr>
            </w:pPr>
            <w:r w:rsidRPr="00203EF7">
              <w:rPr>
                <w:rFonts w:asciiTheme="minorHAnsi" w:hAnsiTheme="minorHAnsi"/>
                <w:sz w:val="22"/>
                <w:szCs w:val="22"/>
              </w:rPr>
              <w:t>$0.</w:t>
            </w:r>
            <w:r w:rsidR="0097174E">
              <w:rPr>
                <w:rFonts w:asciiTheme="minorHAnsi" w:hAnsiTheme="minorHAnsi"/>
                <w:sz w:val="22"/>
                <w:szCs w:val="22"/>
              </w:rPr>
              <w:t>1</w:t>
            </w:r>
            <w:r>
              <w:rPr>
                <w:rFonts w:asciiTheme="minorHAnsi" w:hAnsiTheme="minorHAnsi"/>
                <w:sz w:val="22"/>
                <w:szCs w:val="22"/>
              </w:rPr>
              <w:t>0</w:t>
            </w:r>
          </w:p>
        </w:tc>
        <w:tc>
          <w:tcPr>
            <w:tcW w:w="992" w:type="dxa"/>
          </w:tcPr>
          <w:p w14:paraId="7988EB2C" w14:textId="35A0E487" w:rsidR="002D265C" w:rsidRPr="00203EF7" w:rsidRDefault="00C1665B" w:rsidP="00920047">
            <w:pPr>
              <w:spacing w:after="120"/>
              <w:jc w:val="right"/>
              <w:rPr>
                <w:rFonts w:asciiTheme="minorHAnsi" w:hAnsiTheme="minorHAnsi"/>
                <w:sz w:val="22"/>
                <w:szCs w:val="22"/>
              </w:rPr>
            </w:pPr>
            <w:r w:rsidRPr="00203EF7">
              <w:rPr>
                <w:rFonts w:asciiTheme="minorHAnsi" w:hAnsiTheme="minorHAnsi"/>
                <w:sz w:val="22"/>
                <w:szCs w:val="22"/>
              </w:rPr>
              <w:t>$0.</w:t>
            </w:r>
            <w:r>
              <w:rPr>
                <w:rFonts w:asciiTheme="minorHAnsi" w:hAnsiTheme="minorHAnsi"/>
                <w:sz w:val="22"/>
                <w:szCs w:val="22"/>
              </w:rPr>
              <w:t>10</w:t>
            </w:r>
          </w:p>
        </w:tc>
        <w:tc>
          <w:tcPr>
            <w:tcW w:w="992" w:type="dxa"/>
          </w:tcPr>
          <w:p w14:paraId="5D3A25D7" w14:textId="59FB5FDB" w:rsidR="002D265C" w:rsidRPr="00203EF7" w:rsidRDefault="00EA6A78">
            <w:pPr>
              <w:spacing w:after="120"/>
              <w:jc w:val="right"/>
              <w:rPr>
                <w:rFonts w:asciiTheme="minorHAnsi" w:hAnsiTheme="minorHAnsi"/>
                <w:sz w:val="22"/>
                <w:szCs w:val="22"/>
              </w:rPr>
            </w:pPr>
            <w:r>
              <w:rPr>
                <w:rFonts w:asciiTheme="minorHAnsi" w:hAnsiTheme="minorHAnsi"/>
                <w:sz w:val="22"/>
                <w:szCs w:val="22"/>
              </w:rPr>
              <w:t>$</w:t>
            </w:r>
            <w:r w:rsidR="00C1665B">
              <w:rPr>
                <w:rFonts w:asciiTheme="minorHAnsi" w:hAnsiTheme="minorHAnsi"/>
                <w:sz w:val="22"/>
                <w:szCs w:val="22"/>
              </w:rPr>
              <w:t>0.47</w:t>
            </w:r>
          </w:p>
        </w:tc>
      </w:tr>
      <w:tr w:rsidR="00C1665B" w14:paraId="1D24D7A3" w14:textId="1ACA8A97" w:rsidTr="002D7B66">
        <w:tc>
          <w:tcPr>
            <w:tcW w:w="2689" w:type="dxa"/>
          </w:tcPr>
          <w:p w14:paraId="4036FB48" w14:textId="66532F2F" w:rsidR="00C1665B" w:rsidRPr="00203EF7" w:rsidRDefault="00D334D3" w:rsidP="00C1665B">
            <w:pPr>
              <w:spacing w:after="120"/>
              <w:rPr>
                <w:rFonts w:asciiTheme="minorHAnsi" w:hAnsiTheme="minorHAnsi"/>
                <w:sz w:val="22"/>
                <w:szCs w:val="22"/>
              </w:rPr>
            </w:pPr>
            <w:r>
              <w:rPr>
                <w:rFonts w:asciiTheme="minorHAnsi" w:hAnsiTheme="minorHAnsi"/>
                <w:sz w:val="22"/>
                <w:szCs w:val="22"/>
              </w:rPr>
              <w:t>Expense less revenue</w:t>
            </w:r>
            <w:r w:rsidR="00C1665B" w:rsidRPr="00203EF7">
              <w:rPr>
                <w:rFonts w:asciiTheme="minorHAnsi" w:hAnsiTheme="minorHAnsi"/>
                <w:sz w:val="22"/>
                <w:szCs w:val="22"/>
              </w:rPr>
              <w:t xml:space="preserve">  </w:t>
            </w:r>
            <w:r w:rsidR="00C1665B">
              <w:rPr>
                <w:rFonts w:asciiTheme="minorHAnsi" w:hAnsiTheme="minorHAnsi"/>
                <w:sz w:val="22"/>
                <w:szCs w:val="22"/>
              </w:rPr>
              <w:t>($m)</w:t>
            </w:r>
          </w:p>
        </w:tc>
        <w:tc>
          <w:tcPr>
            <w:tcW w:w="1134" w:type="dxa"/>
          </w:tcPr>
          <w:p w14:paraId="1852C044" w14:textId="3D8972F3"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p>
        </w:tc>
        <w:tc>
          <w:tcPr>
            <w:tcW w:w="1134" w:type="dxa"/>
          </w:tcPr>
          <w:p w14:paraId="39A6B2A4" w14:textId="0C422AB8"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4B20116C" w14:textId="07762896"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28493FE4" w14:textId="5C7FE04E"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2D74A435" w14:textId="63C84EBF"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67338265" w14:textId="6C7BBF72"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r>
      <w:tr w:rsidR="00C1665B" w14:paraId="19B6AA8C" w14:textId="3E1E37BB" w:rsidTr="002D7B66">
        <w:tc>
          <w:tcPr>
            <w:tcW w:w="2689" w:type="dxa"/>
          </w:tcPr>
          <w:p w14:paraId="29713878" w14:textId="3A6956A5" w:rsidR="00C1665B" w:rsidRPr="00203EF7" w:rsidRDefault="00C1665B" w:rsidP="00D334D3">
            <w:pPr>
              <w:spacing w:after="120"/>
              <w:rPr>
                <w:rFonts w:asciiTheme="minorHAnsi" w:hAnsiTheme="minorHAnsi"/>
                <w:sz w:val="22"/>
                <w:szCs w:val="22"/>
              </w:rPr>
            </w:pPr>
            <w:r w:rsidRPr="00203EF7">
              <w:rPr>
                <w:rFonts w:asciiTheme="minorHAnsi" w:hAnsiTheme="minorHAnsi"/>
                <w:sz w:val="22"/>
                <w:szCs w:val="22"/>
              </w:rPr>
              <w:t xml:space="preserve">Cumulative </w:t>
            </w:r>
            <w:r w:rsidR="00D334D3">
              <w:rPr>
                <w:rFonts w:asciiTheme="minorHAnsi" w:hAnsiTheme="minorHAnsi"/>
                <w:sz w:val="22"/>
                <w:szCs w:val="22"/>
              </w:rPr>
              <w:t>expense less revenue,</w:t>
            </w:r>
            <w:r w:rsidRPr="00203EF7">
              <w:rPr>
                <w:rFonts w:asciiTheme="minorHAnsi" w:hAnsiTheme="minorHAnsi"/>
                <w:sz w:val="22"/>
                <w:szCs w:val="22"/>
              </w:rPr>
              <w:t xml:space="preserve"> funded by Government</w:t>
            </w:r>
            <w:r>
              <w:rPr>
                <w:rFonts w:asciiTheme="minorHAnsi" w:hAnsiTheme="minorHAnsi"/>
                <w:sz w:val="22"/>
                <w:szCs w:val="22"/>
              </w:rPr>
              <w:t xml:space="preserve"> ($m)</w:t>
            </w:r>
          </w:p>
        </w:tc>
        <w:tc>
          <w:tcPr>
            <w:tcW w:w="1134" w:type="dxa"/>
          </w:tcPr>
          <w:p w14:paraId="77902C88" w14:textId="6415ECA6"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1134" w:type="dxa"/>
          </w:tcPr>
          <w:p w14:paraId="71094E8C" w14:textId="5CED88C9"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0D17357E" w14:textId="68FAEC7D"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4E6BD427" w14:textId="6258B4AC"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2FFBDDD1" w14:textId="0F0B7DD2"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tcPr>
          <w:p w14:paraId="284CCF03" w14:textId="7398F6F5" w:rsidR="00C1665B" w:rsidRPr="00203EF7"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r>
      <w:tr w:rsidR="00EA6A78" w14:paraId="301505E2" w14:textId="77777777" w:rsidTr="002D7B66">
        <w:trPr>
          <w:trHeight w:val="171"/>
        </w:trPr>
        <w:tc>
          <w:tcPr>
            <w:tcW w:w="8925" w:type="dxa"/>
            <w:gridSpan w:val="7"/>
          </w:tcPr>
          <w:p w14:paraId="6A934D9A" w14:textId="77777777" w:rsidR="00EA6A78" w:rsidRPr="002D7B66" w:rsidRDefault="00EA6A78" w:rsidP="00920047">
            <w:pPr>
              <w:spacing w:after="120"/>
              <w:jc w:val="right"/>
              <w:rPr>
                <w:rFonts w:asciiTheme="minorHAnsi" w:hAnsiTheme="minorHAnsi"/>
                <w:sz w:val="10"/>
                <w:szCs w:val="10"/>
                <w:vertAlign w:val="subscript"/>
              </w:rPr>
            </w:pPr>
          </w:p>
        </w:tc>
      </w:tr>
      <w:tr w:rsidR="00EA6A78" w14:paraId="0940F0D4" w14:textId="77777777" w:rsidTr="002D7B66">
        <w:tc>
          <w:tcPr>
            <w:tcW w:w="2689" w:type="dxa"/>
            <w:shd w:val="clear" w:color="auto" w:fill="DEEAF6" w:themeFill="accent5" w:themeFillTint="33"/>
          </w:tcPr>
          <w:p w14:paraId="62ED3DCB" w14:textId="2FA5FF1D" w:rsidR="00EA6A78" w:rsidRPr="002D7B66" w:rsidRDefault="00EA6A78" w:rsidP="00920047">
            <w:pPr>
              <w:spacing w:after="120"/>
              <w:rPr>
                <w:rFonts w:asciiTheme="minorHAnsi" w:hAnsiTheme="minorHAnsi"/>
                <w:b/>
                <w:sz w:val="22"/>
                <w:szCs w:val="22"/>
              </w:rPr>
            </w:pPr>
            <w:r w:rsidRPr="002D7B66">
              <w:rPr>
                <w:rFonts w:asciiTheme="minorHAnsi" w:hAnsiTheme="minorHAnsi"/>
                <w:b/>
                <w:sz w:val="22"/>
                <w:szCs w:val="22"/>
              </w:rPr>
              <w:t>Financial year</w:t>
            </w:r>
          </w:p>
        </w:tc>
        <w:tc>
          <w:tcPr>
            <w:tcW w:w="1134" w:type="dxa"/>
            <w:shd w:val="clear" w:color="auto" w:fill="DEEAF6" w:themeFill="accent5" w:themeFillTint="33"/>
          </w:tcPr>
          <w:p w14:paraId="42688BA8" w14:textId="45015BE3" w:rsidR="00EA6A78" w:rsidRPr="002D7B66" w:rsidRDefault="00EA6A78" w:rsidP="00920047">
            <w:pPr>
              <w:spacing w:after="120"/>
              <w:jc w:val="right"/>
              <w:rPr>
                <w:rFonts w:asciiTheme="minorHAnsi" w:hAnsiTheme="minorHAnsi"/>
                <w:b/>
                <w:sz w:val="22"/>
                <w:szCs w:val="22"/>
              </w:rPr>
            </w:pPr>
            <w:r w:rsidRPr="002D7B66">
              <w:rPr>
                <w:rFonts w:asciiTheme="minorHAnsi" w:hAnsiTheme="minorHAnsi"/>
                <w:b/>
                <w:sz w:val="22"/>
                <w:szCs w:val="22"/>
              </w:rPr>
              <w:t>2019-20</w:t>
            </w:r>
          </w:p>
        </w:tc>
        <w:tc>
          <w:tcPr>
            <w:tcW w:w="1134" w:type="dxa"/>
            <w:shd w:val="clear" w:color="auto" w:fill="DEEAF6" w:themeFill="accent5" w:themeFillTint="33"/>
          </w:tcPr>
          <w:p w14:paraId="3FC28FFC" w14:textId="7A810FAB" w:rsidR="00EA6A78" w:rsidRPr="002D7B66" w:rsidRDefault="00EA6A78" w:rsidP="00920047">
            <w:pPr>
              <w:spacing w:after="120"/>
              <w:jc w:val="right"/>
              <w:rPr>
                <w:rFonts w:asciiTheme="minorHAnsi" w:hAnsiTheme="minorHAnsi"/>
                <w:b/>
                <w:sz w:val="22"/>
                <w:szCs w:val="22"/>
              </w:rPr>
            </w:pPr>
            <w:r w:rsidRPr="002D7B66">
              <w:rPr>
                <w:rFonts w:asciiTheme="minorHAnsi" w:hAnsiTheme="minorHAnsi"/>
                <w:b/>
                <w:sz w:val="22"/>
                <w:szCs w:val="22"/>
              </w:rPr>
              <w:t>2020-21</w:t>
            </w:r>
          </w:p>
        </w:tc>
        <w:tc>
          <w:tcPr>
            <w:tcW w:w="992" w:type="dxa"/>
            <w:shd w:val="clear" w:color="auto" w:fill="DEEAF6" w:themeFill="accent5" w:themeFillTint="33"/>
          </w:tcPr>
          <w:p w14:paraId="261A9C3A" w14:textId="18CC9925" w:rsidR="00EA6A78" w:rsidRPr="002D7B66" w:rsidRDefault="00EA6A78" w:rsidP="00920047">
            <w:pPr>
              <w:spacing w:after="120"/>
              <w:jc w:val="right"/>
              <w:rPr>
                <w:rFonts w:asciiTheme="minorHAnsi" w:hAnsiTheme="minorHAnsi"/>
                <w:b/>
                <w:sz w:val="22"/>
                <w:szCs w:val="22"/>
              </w:rPr>
            </w:pPr>
            <w:r w:rsidRPr="002D7B66">
              <w:rPr>
                <w:rFonts w:asciiTheme="minorHAnsi" w:hAnsiTheme="minorHAnsi"/>
                <w:b/>
                <w:sz w:val="22"/>
                <w:szCs w:val="22"/>
              </w:rPr>
              <w:t>2021-22</w:t>
            </w:r>
          </w:p>
        </w:tc>
        <w:tc>
          <w:tcPr>
            <w:tcW w:w="992" w:type="dxa"/>
            <w:shd w:val="clear" w:color="auto" w:fill="DEEAF6" w:themeFill="accent5" w:themeFillTint="33"/>
          </w:tcPr>
          <w:p w14:paraId="65E82334" w14:textId="142AD239" w:rsidR="00EA6A78" w:rsidRPr="002D7B66" w:rsidRDefault="00EA6A78" w:rsidP="00920047">
            <w:pPr>
              <w:spacing w:after="120"/>
              <w:jc w:val="right"/>
              <w:rPr>
                <w:rFonts w:asciiTheme="minorHAnsi" w:hAnsiTheme="minorHAnsi"/>
                <w:b/>
                <w:sz w:val="22"/>
                <w:szCs w:val="22"/>
              </w:rPr>
            </w:pPr>
            <w:r w:rsidRPr="002D7B66">
              <w:rPr>
                <w:rFonts w:asciiTheme="minorHAnsi" w:hAnsiTheme="minorHAnsi"/>
                <w:b/>
                <w:sz w:val="22"/>
                <w:szCs w:val="22"/>
              </w:rPr>
              <w:t>2022-23</w:t>
            </w:r>
          </w:p>
        </w:tc>
        <w:tc>
          <w:tcPr>
            <w:tcW w:w="992" w:type="dxa"/>
            <w:shd w:val="clear" w:color="auto" w:fill="DEEAF6" w:themeFill="accent5" w:themeFillTint="33"/>
          </w:tcPr>
          <w:p w14:paraId="159B5C55" w14:textId="64639CB5" w:rsidR="00EA6A78" w:rsidRPr="002D7B66" w:rsidRDefault="00EA6A78" w:rsidP="00920047">
            <w:pPr>
              <w:spacing w:after="120"/>
              <w:jc w:val="right"/>
              <w:rPr>
                <w:rFonts w:asciiTheme="minorHAnsi" w:hAnsiTheme="minorHAnsi"/>
                <w:b/>
                <w:sz w:val="22"/>
                <w:szCs w:val="22"/>
              </w:rPr>
            </w:pPr>
            <w:r w:rsidRPr="002D7B66">
              <w:rPr>
                <w:rFonts w:asciiTheme="minorHAnsi" w:hAnsiTheme="minorHAnsi"/>
                <w:b/>
                <w:sz w:val="22"/>
                <w:szCs w:val="22"/>
              </w:rPr>
              <w:t>2023-24</w:t>
            </w:r>
          </w:p>
        </w:tc>
        <w:tc>
          <w:tcPr>
            <w:tcW w:w="992" w:type="dxa"/>
            <w:shd w:val="clear" w:color="auto" w:fill="DEEAF6" w:themeFill="accent5" w:themeFillTint="33"/>
          </w:tcPr>
          <w:p w14:paraId="0431E593" w14:textId="1107ED8C" w:rsidR="00EA6A78" w:rsidRPr="002D7B66" w:rsidRDefault="00EA6A78">
            <w:pPr>
              <w:spacing w:after="120"/>
              <w:jc w:val="right"/>
              <w:rPr>
                <w:rFonts w:asciiTheme="minorHAnsi" w:hAnsiTheme="minorHAnsi"/>
                <w:b/>
                <w:sz w:val="22"/>
                <w:szCs w:val="22"/>
              </w:rPr>
            </w:pPr>
            <w:r w:rsidRPr="002D7B66">
              <w:rPr>
                <w:rFonts w:asciiTheme="minorHAnsi" w:hAnsiTheme="minorHAnsi"/>
                <w:b/>
                <w:sz w:val="22"/>
                <w:szCs w:val="22"/>
              </w:rPr>
              <w:t>Total</w:t>
            </w:r>
            <w:r w:rsidR="00AA2D01">
              <w:rPr>
                <w:rFonts w:asciiTheme="minorHAnsi" w:hAnsiTheme="minorHAnsi"/>
                <w:b/>
                <w:sz w:val="22"/>
                <w:szCs w:val="22"/>
              </w:rPr>
              <w:t>*</w:t>
            </w:r>
          </w:p>
        </w:tc>
      </w:tr>
      <w:tr w:rsidR="00EA6A78" w14:paraId="4BF78041" w14:textId="77777777" w:rsidTr="002D7B66">
        <w:tc>
          <w:tcPr>
            <w:tcW w:w="2689" w:type="dxa"/>
            <w:shd w:val="clear" w:color="auto" w:fill="auto"/>
          </w:tcPr>
          <w:p w14:paraId="4E18232B" w14:textId="5EAF4CC5" w:rsidR="00EA6A78" w:rsidRPr="00EA6A78" w:rsidRDefault="00EA6A78" w:rsidP="00EA6A78">
            <w:pPr>
              <w:spacing w:after="120"/>
              <w:rPr>
                <w:rFonts w:asciiTheme="minorHAnsi" w:hAnsiTheme="minorHAnsi"/>
                <w:b/>
                <w:sz w:val="22"/>
                <w:szCs w:val="22"/>
              </w:rPr>
            </w:pPr>
            <w:r w:rsidRPr="00203EF7">
              <w:rPr>
                <w:rFonts w:asciiTheme="minorHAnsi" w:hAnsiTheme="minorHAnsi"/>
                <w:sz w:val="22"/>
                <w:szCs w:val="22"/>
              </w:rPr>
              <w:t xml:space="preserve">Expenses </w:t>
            </w:r>
            <w:r>
              <w:rPr>
                <w:rFonts w:asciiTheme="minorHAnsi" w:hAnsiTheme="minorHAnsi"/>
                <w:sz w:val="22"/>
                <w:szCs w:val="22"/>
              </w:rPr>
              <w:t>($m)</w:t>
            </w:r>
          </w:p>
        </w:tc>
        <w:tc>
          <w:tcPr>
            <w:tcW w:w="1134" w:type="dxa"/>
            <w:shd w:val="clear" w:color="auto" w:fill="auto"/>
          </w:tcPr>
          <w:p w14:paraId="0F0A0F47" w14:textId="646E7E9D" w:rsidR="00EA6A78" w:rsidRPr="002D7B66" w:rsidRDefault="00EA6A78">
            <w:pPr>
              <w:spacing w:after="120"/>
              <w:jc w:val="right"/>
              <w:rPr>
                <w:rFonts w:asciiTheme="minorHAnsi" w:hAnsiTheme="minorHAnsi"/>
                <w:sz w:val="22"/>
                <w:szCs w:val="22"/>
              </w:rPr>
            </w:pPr>
            <w:r w:rsidRPr="002D7B66">
              <w:rPr>
                <w:rFonts w:asciiTheme="minorHAnsi" w:hAnsiTheme="minorHAnsi"/>
                <w:sz w:val="22"/>
                <w:szCs w:val="22"/>
              </w:rPr>
              <w:t>$</w:t>
            </w:r>
            <w:r>
              <w:rPr>
                <w:rFonts w:asciiTheme="minorHAnsi" w:hAnsiTheme="minorHAnsi"/>
                <w:sz w:val="22"/>
                <w:szCs w:val="22"/>
              </w:rPr>
              <w:t>0.05</w:t>
            </w:r>
          </w:p>
        </w:tc>
        <w:tc>
          <w:tcPr>
            <w:tcW w:w="1134" w:type="dxa"/>
            <w:shd w:val="clear" w:color="auto" w:fill="auto"/>
          </w:tcPr>
          <w:p w14:paraId="0FF8C46D" w14:textId="0798DD35" w:rsidR="00EA6A78" w:rsidRPr="002D7B66" w:rsidRDefault="00EA6A78">
            <w:pPr>
              <w:spacing w:after="120"/>
              <w:jc w:val="right"/>
              <w:rPr>
                <w:rFonts w:asciiTheme="minorHAnsi" w:hAnsiTheme="minorHAnsi"/>
                <w:sz w:val="22"/>
                <w:szCs w:val="22"/>
              </w:rPr>
            </w:pPr>
            <w:r>
              <w:rPr>
                <w:rFonts w:asciiTheme="minorHAnsi" w:hAnsiTheme="minorHAnsi"/>
                <w:sz w:val="22"/>
                <w:szCs w:val="22"/>
              </w:rPr>
              <w:t>$0.09</w:t>
            </w:r>
          </w:p>
        </w:tc>
        <w:tc>
          <w:tcPr>
            <w:tcW w:w="992" w:type="dxa"/>
            <w:shd w:val="clear" w:color="auto" w:fill="auto"/>
          </w:tcPr>
          <w:p w14:paraId="559454D3" w14:textId="34218D9C" w:rsidR="00EA6A78" w:rsidRPr="002D7B66" w:rsidRDefault="00EA6A78">
            <w:pPr>
              <w:spacing w:after="120"/>
              <w:jc w:val="right"/>
              <w:rPr>
                <w:rFonts w:asciiTheme="minorHAnsi" w:hAnsiTheme="minorHAnsi"/>
                <w:sz w:val="22"/>
                <w:szCs w:val="22"/>
              </w:rPr>
            </w:pPr>
            <w:r>
              <w:rPr>
                <w:rFonts w:asciiTheme="minorHAnsi" w:hAnsiTheme="minorHAnsi"/>
                <w:sz w:val="22"/>
                <w:szCs w:val="22"/>
              </w:rPr>
              <w:t>$0.0</w:t>
            </w:r>
            <w:r w:rsidR="00C1665B">
              <w:rPr>
                <w:rFonts w:asciiTheme="minorHAnsi" w:hAnsiTheme="minorHAnsi"/>
                <w:sz w:val="22"/>
                <w:szCs w:val="22"/>
              </w:rPr>
              <w:t>9</w:t>
            </w:r>
          </w:p>
        </w:tc>
        <w:tc>
          <w:tcPr>
            <w:tcW w:w="992" w:type="dxa"/>
            <w:shd w:val="clear" w:color="auto" w:fill="auto"/>
          </w:tcPr>
          <w:p w14:paraId="36870A94" w14:textId="11491BCD" w:rsidR="00EA6A78" w:rsidRPr="002D7B66" w:rsidRDefault="00EA6A78" w:rsidP="002D7B66">
            <w:pPr>
              <w:spacing w:after="120"/>
              <w:jc w:val="right"/>
              <w:rPr>
                <w:rFonts w:asciiTheme="minorHAnsi" w:hAnsiTheme="minorHAnsi"/>
                <w:sz w:val="22"/>
                <w:szCs w:val="22"/>
              </w:rPr>
            </w:pPr>
            <w:r>
              <w:rPr>
                <w:rFonts w:asciiTheme="minorHAnsi" w:hAnsiTheme="minorHAnsi"/>
                <w:sz w:val="22"/>
                <w:szCs w:val="22"/>
              </w:rPr>
              <w:t>$0.0</w:t>
            </w:r>
            <w:r w:rsidR="00C1665B">
              <w:rPr>
                <w:rFonts w:asciiTheme="minorHAnsi" w:hAnsiTheme="minorHAnsi"/>
                <w:sz w:val="22"/>
                <w:szCs w:val="22"/>
              </w:rPr>
              <w:t>9</w:t>
            </w:r>
          </w:p>
        </w:tc>
        <w:tc>
          <w:tcPr>
            <w:tcW w:w="992" w:type="dxa"/>
            <w:shd w:val="clear" w:color="auto" w:fill="auto"/>
          </w:tcPr>
          <w:p w14:paraId="75ADA721" w14:textId="2EAFA19E" w:rsidR="00EA6A78" w:rsidRPr="002D7B66" w:rsidRDefault="00EA6A78" w:rsidP="002D7B66">
            <w:pPr>
              <w:spacing w:after="120"/>
              <w:jc w:val="right"/>
              <w:rPr>
                <w:rFonts w:asciiTheme="minorHAnsi" w:hAnsiTheme="minorHAnsi"/>
                <w:sz w:val="22"/>
                <w:szCs w:val="22"/>
              </w:rPr>
            </w:pPr>
            <w:r>
              <w:rPr>
                <w:rFonts w:asciiTheme="minorHAnsi" w:hAnsiTheme="minorHAnsi"/>
                <w:sz w:val="22"/>
                <w:szCs w:val="22"/>
              </w:rPr>
              <w:t>$0.</w:t>
            </w:r>
            <w:r w:rsidR="00C1665B">
              <w:rPr>
                <w:rFonts w:asciiTheme="minorHAnsi" w:hAnsiTheme="minorHAnsi"/>
                <w:sz w:val="22"/>
                <w:szCs w:val="22"/>
              </w:rPr>
              <w:t>10</w:t>
            </w:r>
          </w:p>
        </w:tc>
        <w:tc>
          <w:tcPr>
            <w:tcW w:w="992" w:type="dxa"/>
            <w:shd w:val="clear" w:color="auto" w:fill="auto"/>
          </w:tcPr>
          <w:p w14:paraId="21F19540" w14:textId="2674771F" w:rsidR="00EA6A78" w:rsidRPr="002D7B66" w:rsidRDefault="00EA6A78" w:rsidP="002D7B66">
            <w:pPr>
              <w:spacing w:after="120"/>
              <w:jc w:val="right"/>
              <w:rPr>
                <w:rFonts w:asciiTheme="minorHAnsi" w:hAnsiTheme="minorHAnsi"/>
                <w:sz w:val="22"/>
                <w:szCs w:val="22"/>
              </w:rPr>
            </w:pPr>
            <w:r>
              <w:rPr>
                <w:rFonts w:asciiTheme="minorHAnsi" w:hAnsiTheme="minorHAnsi"/>
                <w:sz w:val="22"/>
                <w:szCs w:val="22"/>
              </w:rPr>
              <w:t>$0.</w:t>
            </w:r>
            <w:r w:rsidR="00C1665B">
              <w:rPr>
                <w:rFonts w:asciiTheme="minorHAnsi" w:hAnsiTheme="minorHAnsi"/>
                <w:sz w:val="22"/>
                <w:szCs w:val="22"/>
              </w:rPr>
              <w:t>42</w:t>
            </w:r>
          </w:p>
        </w:tc>
      </w:tr>
      <w:tr w:rsidR="00EA6A78" w14:paraId="644FDB4D" w14:textId="77777777" w:rsidTr="00EA6A78">
        <w:tc>
          <w:tcPr>
            <w:tcW w:w="2689" w:type="dxa"/>
            <w:shd w:val="clear" w:color="auto" w:fill="auto"/>
          </w:tcPr>
          <w:p w14:paraId="6183E2EF" w14:textId="0621115D" w:rsidR="00EA6A78" w:rsidRPr="00EA6A78" w:rsidRDefault="00EA6A78" w:rsidP="00EA6A78">
            <w:pPr>
              <w:spacing w:after="120"/>
              <w:rPr>
                <w:rFonts w:asciiTheme="minorHAnsi" w:hAnsiTheme="minorHAnsi"/>
                <w:b/>
                <w:sz w:val="22"/>
                <w:szCs w:val="22"/>
              </w:rPr>
            </w:pPr>
            <w:r w:rsidRPr="00203EF7">
              <w:rPr>
                <w:rFonts w:asciiTheme="minorHAnsi" w:hAnsiTheme="minorHAnsi"/>
                <w:sz w:val="22"/>
                <w:szCs w:val="22"/>
              </w:rPr>
              <w:t xml:space="preserve">Revenue </w:t>
            </w:r>
            <w:r>
              <w:rPr>
                <w:rFonts w:asciiTheme="minorHAnsi" w:hAnsiTheme="minorHAnsi"/>
                <w:sz w:val="22"/>
                <w:szCs w:val="22"/>
              </w:rPr>
              <w:t>($m)</w:t>
            </w:r>
          </w:p>
        </w:tc>
        <w:tc>
          <w:tcPr>
            <w:tcW w:w="1134" w:type="dxa"/>
            <w:shd w:val="clear" w:color="auto" w:fill="auto"/>
          </w:tcPr>
          <w:p w14:paraId="1BA5C3EB" w14:textId="35A5FAE2" w:rsidR="00EA6A78" w:rsidRPr="002D7B66" w:rsidRDefault="00EA6A78">
            <w:pPr>
              <w:spacing w:after="120"/>
              <w:jc w:val="right"/>
              <w:rPr>
                <w:rFonts w:asciiTheme="minorHAnsi" w:hAnsiTheme="minorHAnsi"/>
                <w:sz w:val="22"/>
                <w:szCs w:val="22"/>
              </w:rPr>
            </w:pPr>
            <w:r w:rsidRPr="00353BEC">
              <w:rPr>
                <w:rFonts w:asciiTheme="minorHAnsi" w:hAnsiTheme="minorHAnsi"/>
                <w:sz w:val="22"/>
                <w:szCs w:val="22"/>
              </w:rPr>
              <w:t>$</w:t>
            </w:r>
            <w:r>
              <w:rPr>
                <w:rFonts w:asciiTheme="minorHAnsi" w:hAnsiTheme="minorHAnsi"/>
                <w:sz w:val="22"/>
                <w:szCs w:val="22"/>
              </w:rPr>
              <w:t>0.05</w:t>
            </w:r>
          </w:p>
        </w:tc>
        <w:tc>
          <w:tcPr>
            <w:tcW w:w="1134" w:type="dxa"/>
            <w:shd w:val="clear" w:color="auto" w:fill="auto"/>
          </w:tcPr>
          <w:p w14:paraId="4159C0B9" w14:textId="04568C9E" w:rsidR="00EA6A78" w:rsidRPr="002D7B66" w:rsidRDefault="00EA6A78">
            <w:pPr>
              <w:spacing w:after="120"/>
              <w:jc w:val="right"/>
              <w:rPr>
                <w:rFonts w:asciiTheme="minorHAnsi" w:hAnsiTheme="minorHAnsi"/>
                <w:sz w:val="22"/>
                <w:szCs w:val="22"/>
              </w:rPr>
            </w:pPr>
            <w:r>
              <w:rPr>
                <w:rFonts w:asciiTheme="minorHAnsi" w:hAnsiTheme="minorHAnsi"/>
                <w:sz w:val="22"/>
                <w:szCs w:val="22"/>
              </w:rPr>
              <w:t>$0.09</w:t>
            </w:r>
          </w:p>
        </w:tc>
        <w:tc>
          <w:tcPr>
            <w:tcW w:w="992" w:type="dxa"/>
            <w:shd w:val="clear" w:color="auto" w:fill="auto"/>
          </w:tcPr>
          <w:p w14:paraId="2B435572" w14:textId="460F68A7" w:rsidR="00EA6A78" w:rsidRPr="002D7B66" w:rsidRDefault="00EA6A78">
            <w:pPr>
              <w:spacing w:after="120"/>
              <w:jc w:val="right"/>
              <w:rPr>
                <w:rFonts w:asciiTheme="minorHAnsi" w:hAnsiTheme="minorHAnsi"/>
                <w:sz w:val="22"/>
                <w:szCs w:val="22"/>
              </w:rPr>
            </w:pPr>
            <w:r>
              <w:rPr>
                <w:rFonts w:asciiTheme="minorHAnsi" w:hAnsiTheme="minorHAnsi"/>
                <w:sz w:val="22"/>
                <w:szCs w:val="22"/>
              </w:rPr>
              <w:t>$0.</w:t>
            </w:r>
            <w:r w:rsidR="00C1665B">
              <w:rPr>
                <w:rFonts w:asciiTheme="minorHAnsi" w:hAnsiTheme="minorHAnsi"/>
                <w:sz w:val="22"/>
                <w:szCs w:val="22"/>
              </w:rPr>
              <w:t>09</w:t>
            </w:r>
          </w:p>
        </w:tc>
        <w:tc>
          <w:tcPr>
            <w:tcW w:w="992" w:type="dxa"/>
            <w:shd w:val="clear" w:color="auto" w:fill="auto"/>
          </w:tcPr>
          <w:p w14:paraId="5131C0E4" w14:textId="08A2AE84" w:rsidR="00EA6A78" w:rsidRPr="002D7B66" w:rsidRDefault="00EA6A78" w:rsidP="002D7B66">
            <w:pPr>
              <w:spacing w:after="120"/>
              <w:jc w:val="right"/>
              <w:rPr>
                <w:rFonts w:asciiTheme="minorHAnsi" w:hAnsiTheme="minorHAnsi"/>
                <w:sz w:val="22"/>
                <w:szCs w:val="22"/>
              </w:rPr>
            </w:pPr>
            <w:r>
              <w:rPr>
                <w:rFonts w:asciiTheme="minorHAnsi" w:hAnsiTheme="minorHAnsi"/>
                <w:sz w:val="22"/>
                <w:szCs w:val="22"/>
              </w:rPr>
              <w:t>$0.0</w:t>
            </w:r>
            <w:r w:rsidR="00C1665B">
              <w:rPr>
                <w:rFonts w:asciiTheme="minorHAnsi" w:hAnsiTheme="minorHAnsi"/>
                <w:sz w:val="22"/>
                <w:szCs w:val="22"/>
              </w:rPr>
              <w:t>9</w:t>
            </w:r>
          </w:p>
        </w:tc>
        <w:tc>
          <w:tcPr>
            <w:tcW w:w="992" w:type="dxa"/>
            <w:shd w:val="clear" w:color="auto" w:fill="auto"/>
          </w:tcPr>
          <w:p w14:paraId="7CC1D9CB" w14:textId="364838A8" w:rsidR="00EA6A78" w:rsidRPr="002D7B66" w:rsidRDefault="00EA6A78" w:rsidP="002D7B66">
            <w:pPr>
              <w:spacing w:after="120"/>
              <w:jc w:val="right"/>
              <w:rPr>
                <w:rFonts w:asciiTheme="minorHAnsi" w:hAnsiTheme="minorHAnsi"/>
                <w:sz w:val="22"/>
                <w:szCs w:val="22"/>
              </w:rPr>
            </w:pPr>
            <w:r>
              <w:rPr>
                <w:rFonts w:asciiTheme="minorHAnsi" w:hAnsiTheme="minorHAnsi"/>
                <w:sz w:val="22"/>
                <w:szCs w:val="22"/>
              </w:rPr>
              <w:t>$0.</w:t>
            </w:r>
            <w:r w:rsidR="00C1665B">
              <w:rPr>
                <w:rFonts w:asciiTheme="minorHAnsi" w:hAnsiTheme="minorHAnsi"/>
                <w:sz w:val="22"/>
                <w:szCs w:val="22"/>
              </w:rPr>
              <w:t>10</w:t>
            </w:r>
          </w:p>
        </w:tc>
        <w:tc>
          <w:tcPr>
            <w:tcW w:w="992" w:type="dxa"/>
            <w:shd w:val="clear" w:color="auto" w:fill="auto"/>
          </w:tcPr>
          <w:p w14:paraId="33CD4153" w14:textId="3EF064B5" w:rsidR="00EA6A78" w:rsidRPr="002D7B66" w:rsidRDefault="00EA6A78" w:rsidP="00EA6A78">
            <w:pPr>
              <w:spacing w:after="120"/>
              <w:jc w:val="right"/>
              <w:rPr>
                <w:rFonts w:asciiTheme="minorHAnsi" w:hAnsiTheme="minorHAnsi"/>
                <w:sz w:val="22"/>
                <w:szCs w:val="22"/>
              </w:rPr>
            </w:pPr>
            <w:r>
              <w:rPr>
                <w:rFonts w:asciiTheme="minorHAnsi" w:hAnsiTheme="minorHAnsi"/>
                <w:sz w:val="22"/>
                <w:szCs w:val="22"/>
              </w:rPr>
              <w:t>$</w:t>
            </w:r>
            <w:r w:rsidR="00C1665B">
              <w:rPr>
                <w:rFonts w:asciiTheme="minorHAnsi" w:hAnsiTheme="minorHAnsi"/>
                <w:sz w:val="22"/>
                <w:szCs w:val="22"/>
              </w:rPr>
              <w:t>0.42</w:t>
            </w:r>
          </w:p>
        </w:tc>
      </w:tr>
      <w:tr w:rsidR="00C1665B" w14:paraId="77948F6C" w14:textId="77777777" w:rsidTr="00EA6A78">
        <w:tc>
          <w:tcPr>
            <w:tcW w:w="2689" w:type="dxa"/>
            <w:shd w:val="clear" w:color="auto" w:fill="auto"/>
          </w:tcPr>
          <w:p w14:paraId="2AC50495" w14:textId="010E03C9" w:rsidR="00C1665B" w:rsidRPr="00EA6A78" w:rsidRDefault="00D334D3" w:rsidP="00C1665B">
            <w:pPr>
              <w:spacing w:after="120"/>
              <w:rPr>
                <w:rFonts w:asciiTheme="minorHAnsi" w:hAnsiTheme="minorHAnsi"/>
                <w:b/>
                <w:sz w:val="22"/>
                <w:szCs w:val="22"/>
              </w:rPr>
            </w:pPr>
            <w:r>
              <w:rPr>
                <w:rFonts w:asciiTheme="minorHAnsi" w:hAnsiTheme="minorHAnsi"/>
                <w:sz w:val="22"/>
                <w:szCs w:val="22"/>
              </w:rPr>
              <w:t>Expense less revenue</w:t>
            </w:r>
            <w:r w:rsidR="00C1665B" w:rsidRPr="00203EF7">
              <w:rPr>
                <w:rFonts w:asciiTheme="minorHAnsi" w:hAnsiTheme="minorHAnsi"/>
                <w:sz w:val="22"/>
                <w:szCs w:val="22"/>
              </w:rPr>
              <w:t xml:space="preserve">  </w:t>
            </w:r>
            <w:r w:rsidR="00C1665B">
              <w:rPr>
                <w:rFonts w:asciiTheme="minorHAnsi" w:hAnsiTheme="minorHAnsi"/>
                <w:sz w:val="22"/>
                <w:szCs w:val="22"/>
              </w:rPr>
              <w:t>($m)</w:t>
            </w:r>
          </w:p>
        </w:tc>
        <w:tc>
          <w:tcPr>
            <w:tcW w:w="1134" w:type="dxa"/>
            <w:shd w:val="clear" w:color="auto" w:fill="auto"/>
          </w:tcPr>
          <w:p w14:paraId="634D9D19" w14:textId="27B69143"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p>
        </w:tc>
        <w:tc>
          <w:tcPr>
            <w:tcW w:w="1134" w:type="dxa"/>
            <w:shd w:val="clear" w:color="auto" w:fill="auto"/>
          </w:tcPr>
          <w:p w14:paraId="3390A12C" w14:textId="7EB2A29A"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4E83EDB3" w14:textId="0DFAE2CB"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3642C844" w14:textId="32B31FEC"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3B09A32F" w14:textId="5C041DEE"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7BC60AAD" w14:textId="1BC95231"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r>
      <w:tr w:rsidR="00C1665B" w14:paraId="3D275CBB" w14:textId="77777777" w:rsidTr="00EA6A78">
        <w:tc>
          <w:tcPr>
            <w:tcW w:w="2689" w:type="dxa"/>
            <w:shd w:val="clear" w:color="auto" w:fill="auto"/>
          </w:tcPr>
          <w:p w14:paraId="5B10AB70" w14:textId="10F382AA" w:rsidR="00C1665B" w:rsidRPr="00EA6A78" w:rsidRDefault="00C1665B" w:rsidP="00D334D3">
            <w:pPr>
              <w:spacing w:after="120"/>
              <w:rPr>
                <w:rFonts w:asciiTheme="minorHAnsi" w:hAnsiTheme="minorHAnsi"/>
                <w:b/>
                <w:sz w:val="22"/>
                <w:szCs w:val="22"/>
              </w:rPr>
            </w:pPr>
            <w:r w:rsidRPr="00203EF7">
              <w:rPr>
                <w:rFonts w:asciiTheme="minorHAnsi" w:hAnsiTheme="minorHAnsi"/>
                <w:sz w:val="22"/>
                <w:szCs w:val="22"/>
              </w:rPr>
              <w:t xml:space="preserve">Cumulative </w:t>
            </w:r>
            <w:r w:rsidR="00D334D3">
              <w:rPr>
                <w:rFonts w:asciiTheme="minorHAnsi" w:hAnsiTheme="minorHAnsi"/>
                <w:sz w:val="22"/>
                <w:szCs w:val="22"/>
              </w:rPr>
              <w:t>expense less revenue,</w:t>
            </w:r>
            <w:r w:rsidRPr="00203EF7">
              <w:rPr>
                <w:rFonts w:asciiTheme="minorHAnsi" w:hAnsiTheme="minorHAnsi"/>
                <w:sz w:val="22"/>
                <w:szCs w:val="22"/>
              </w:rPr>
              <w:t xml:space="preserve"> funded by Government</w:t>
            </w:r>
            <w:r>
              <w:rPr>
                <w:rFonts w:asciiTheme="minorHAnsi" w:hAnsiTheme="minorHAnsi"/>
                <w:sz w:val="22"/>
                <w:szCs w:val="22"/>
              </w:rPr>
              <w:t xml:space="preserve"> ($m)</w:t>
            </w:r>
          </w:p>
        </w:tc>
        <w:tc>
          <w:tcPr>
            <w:tcW w:w="1134" w:type="dxa"/>
            <w:shd w:val="clear" w:color="auto" w:fill="auto"/>
          </w:tcPr>
          <w:p w14:paraId="298DC0B4" w14:textId="09BEE99C"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1134" w:type="dxa"/>
            <w:shd w:val="clear" w:color="auto" w:fill="auto"/>
          </w:tcPr>
          <w:p w14:paraId="3E268B23" w14:textId="444EAA1D"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67B49E12" w14:textId="0865200D"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17210902" w14:textId="3D52D5B7"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69635DDA" w14:textId="1D38BA86"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c>
          <w:tcPr>
            <w:tcW w:w="992" w:type="dxa"/>
            <w:shd w:val="clear" w:color="auto" w:fill="auto"/>
          </w:tcPr>
          <w:p w14:paraId="24146304" w14:textId="0BA855F3" w:rsidR="00C1665B" w:rsidRPr="002D7B66" w:rsidRDefault="00C1665B" w:rsidP="00C1665B">
            <w:pPr>
              <w:spacing w:after="120"/>
              <w:jc w:val="right"/>
              <w:rPr>
                <w:rFonts w:asciiTheme="minorHAnsi" w:hAnsiTheme="minorHAnsi"/>
                <w:sz w:val="22"/>
                <w:szCs w:val="22"/>
              </w:rPr>
            </w:pPr>
            <w:r>
              <w:rPr>
                <w:rFonts w:asciiTheme="minorHAnsi" w:hAnsiTheme="minorHAnsi"/>
                <w:sz w:val="22"/>
                <w:szCs w:val="22"/>
              </w:rPr>
              <w:t>$</w:t>
            </w:r>
            <w:r w:rsidRPr="00203EF7">
              <w:rPr>
                <w:rFonts w:asciiTheme="minorHAnsi" w:hAnsiTheme="minorHAnsi"/>
                <w:sz w:val="22"/>
                <w:szCs w:val="22"/>
              </w:rPr>
              <w:t>-</w:t>
            </w:r>
          </w:p>
        </w:tc>
      </w:tr>
      <w:tr w:rsidR="00C1665B" w14:paraId="49FE8DEA" w14:textId="77777777" w:rsidTr="002D7B66">
        <w:trPr>
          <w:trHeight w:val="197"/>
        </w:trPr>
        <w:tc>
          <w:tcPr>
            <w:tcW w:w="8925" w:type="dxa"/>
            <w:gridSpan w:val="7"/>
            <w:shd w:val="clear" w:color="auto" w:fill="auto"/>
          </w:tcPr>
          <w:p w14:paraId="6E22D97D" w14:textId="60BA9C7B" w:rsidR="00C1665B" w:rsidRPr="002D7B66" w:rsidRDefault="00C30051" w:rsidP="009952E4">
            <w:pPr>
              <w:pStyle w:val="ListParagraph"/>
              <w:spacing w:after="120"/>
              <w:ind w:left="22"/>
              <w:rPr>
                <w:rFonts w:asciiTheme="minorHAnsi" w:hAnsiTheme="minorHAnsi"/>
                <w:sz w:val="22"/>
                <w:szCs w:val="22"/>
              </w:rPr>
            </w:pPr>
            <w:r>
              <w:rPr>
                <w:rFonts w:asciiTheme="minorHAnsi" w:hAnsiTheme="minorHAnsi"/>
                <w:sz w:val="22"/>
                <w:szCs w:val="22"/>
              </w:rPr>
              <w:t xml:space="preserve">* </w:t>
            </w:r>
            <w:r w:rsidRPr="002D7B66">
              <w:rPr>
                <w:rFonts w:asciiTheme="minorHAnsi" w:hAnsiTheme="minorHAnsi"/>
                <w:sz w:val="20"/>
                <w:szCs w:val="20"/>
              </w:rPr>
              <w:t>Difference in total between calendar year and financial</w:t>
            </w:r>
            <w:r w:rsidR="003810EA">
              <w:rPr>
                <w:rFonts w:asciiTheme="minorHAnsi" w:hAnsiTheme="minorHAnsi"/>
                <w:sz w:val="20"/>
                <w:szCs w:val="20"/>
              </w:rPr>
              <w:t xml:space="preserve"> year</w:t>
            </w:r>
            <w:r w:rsidRPr="002D7B66">
              <w:rPr>
                <w:rFonts w:asciiTheme="minorHAnsi" w:hAnsiTheme="minorHAnsi"/>
                <w:sz w:val="20"/>
                <w:szCs w:val="20"/>
              </w:rPr>
              <w:t xml:space="preserve"> is due </w:t>
            </w:r>
            <w:r w:rsidR="00890415">
              <w:rPr>
                <w:rFonts w:asciiTheme="minorHAnsi" w:hAnsiTheme="minorHAnsi"/>
                <w:sz w:val="20"/>
                <w:szCs w:val="20"/>
              </w:rPr>
              <w:t xml:space="preserve">to </w:t>
            </w:r>
            <w:r w:rsidRPr="002D7B66">
              <w:rPr>
                <w:rFonts w:asciiTheme="minorHAnsi" w:hAnsiTheme="minorHAnsi"/>
                <w:sz w:val="20"/>
                <w:szCs w:val="20"/>
              </w:rPr>
              <w:t xml:space="preserve">the cost </w:t>
            </w:r>
            <w:r w:rsidR="003810EA">
              <w:rPr>
                <w:rFonts w:asciiTheme="minorHAnsi" w:hAnsiTheme="minorHAnsi"/>
                <w:sz w:val="20"/>
                <w:szCs w:val="20"/>
              </w:rPr>
              <w:t>for the last six months of</w:t>
            </w:r>
            <w:r w:rsidRPr="002D7B66">
              <w:rPr>
                <w:rFonts w:asciiTheme="minorHAnsi" w:hAnsiTheme="minorHAnsi"/>
                <w:sz w:val="20"/>
                <w:szCs w:val="20"/>
              </w:rPr>
              <w:t xml:space="preserve"> 20</w:t>
            </w:r>
            <w:r w:rsidR="00890415">
              <w:rPr>
                <w:rFonts w:asciiTheme="minorHAnsi" w:hAnsiTheme="minorHAnsi"/>
                <w:sz w:val="20"/>
                <w:szCs w:val="20"/>
              </w:rPr>
              <w:t>2</w:t>
            </w:r>
            <w:r w:rsidRPr="002D7B66">
              <w:rPr>
                <w:rFonts w:asciiTheme="minorHAnsi" w:hAnsiTheme="minorHAnsi"/>
                <w:sz w:val="20"/>
                <w:szCs w:val="20"/>
              </w:rPr>
              <w:t>4</w:t>
            </w:r>
            <w:r w:rsidR="003810EA">
              <w:rPr>
                <w:rFonts w:asciiTheme="minorHAnsi" w:hAnsiTheme="minorHAnsi"/>
                <w:sz w:val="20"/>
                <w:szCs w:val="20"/>
              </w:rPr>
              <w:t xml:space="preserve"> </w:t>
            </w:r>
            <w:proofErr w:type="gramStart"/>
            <w:r w:rsidRPr="002D7B66">
              <w:rPr>
                <w:rFonts w:asciiTheme="minorHAnsi" w:hAnsiTheme="minorHAnsi"/>
                <w:sz w:val="20"/>
                <w:szCs w:val="20"/>
              </w:rPr>
              <w:t>be</w:t>
            </w:r>
            <w:r w:rsidR="00E15B98">
              <w:rPr>
                <w:rFonts w:asciiTheme="minorHAnsi" w:hAnsiTheme="minorHAnsi"/>
                <w:sz w:val="20"/>
                <w:szCs w:val="20"/>
              </w:rPr>
              <w:t>ing</w:t>
            </w:r>
            <w:r w:rsidRPr="002D7B66">
              <w:rPr>
                <w:rFonts w:asciiTheme="minorHAnsi" w:hAnsiTheme="minorHAnsi"/>
                <w:sz w:val="20"/>
                <w:szCs w:val="20"/>
              </w:rPr>
              <w:t xml:space="preserve"> recovered</w:t>
            </w:r>
            <w:proofErr w:type="gramEnd"/>
            <w:r w:rsidRPr="002D7B66">
              <w:rPr>
                <w:rFonts w:asciiTheme="minorHAnsi" w:hAnsiTheme="minorHAnsi"/>
                <w:sz w:val="20"/>
                <w:szCs w:val="20"/>
              </w:rPr>
              <w:t xml:space="preserve"> in the 2024-25 financial year</w:t>
            </w:r>
            <w:r>
              <w:rPr>
                <w:rFonts w:asciiTheme="minorHAnsi" w:hAnsiTheme="minorHAnsi"/>
                <w:sz w:val="22"/>
                <w:szCs w:val="22"/>
              </w:rPr>
              <w:t>.</w:t>
            </w:r>
          </w:p>
        </w:tc>
      </w:tr>
    </w:tbl>
    <w:p w14:paraId="0FB97030" w14:textId="371534D0" w:rsidR="00E07822" w:rsidRDefault="00E07822" w:rsidP="00A92589">
      <w:pPr>
        <w:spacing w:before="240" w:after="120"/>
        <w:jc w:val="both"/>
        <w:rPr>
          <w:rFonts w:asciiTheme="minorHAnsi" w:hAnsiTheme="minorHAnsi"/>
        </w:rPr>
      </w:pPr>
      <w:r>
        <w:rPr>
          <w:rFonts w:asciiTheme="minorHAnsi" w:hAnsiTheme="minorHAnsi"/>
        </w:rPr>
        <w:t xml:space="preserve">Financial performance for the annual charge applied on higher education providers offering HECS-HELP and/or FEE-HELP assistance to students </w:t>
      </w:r>
      <w:proofErr w:type="gramStart"/>
      <w:r>
        <w:rPr>
          <w:rFonts w:asciiTheme="minorHAnsi" w:hAnsiTheme="minorHAnsi"/>
        </w:rPr>
        <w:t>is provided</w:t>
      </w:r>
      <w:proofErr w:type="gramEnd"/>
      <w:r>
        <w:rPr>
          <w:rFonts w:asciiTheme="minorHAnsi" w:hAnsiTheme="minorHAnsi"/>
        </w:rPr>
        <w:t xml:space="preserve"> at Table</w:t>
      </w:r>
      <w:r w:rsidRPr="00132A48">
        <w:rPr>
          <w:rFonts w:asciiTheme="minorHAnsi" w:hAnsiTheme="minorHAnsi"/>
        </w:rPr>
        <w:t xml:space="preserve"> </w:t>
      </w:r>
      <w:r w:rsidR="00905AD5">
        <w:rPr>
          <w:rFonts w:asciiTheme="minorHAnsi" w:hAnsiTheme="minorHAnsi"/>
        </w:rPr>
        <w:t>7</w:t>
      </w:r>
      <w:r w:rsidRPr="00132A48">
        <w:rPr>
          <w:rFonts w:asciiTheme="minorHAnsi" w:hAnsiTheme="minorHAnsi"/>
        </w:rPr>
        <w:t xml:space="preserve"> below</w:t>
      </w:r>
      <w:r w:rsidR="00565156">
        <w:rPr>
          <w:rFonts w:asciiTheme="minorHAnsi" w:hAnsiTheme="minorHAnsi"/>
        </w:rPr>
        <w:t xml:space="preserve">. The </w:t>
      </w:r>
      <w:r w:rsidR="00965166">
        <w:rPr>
          <w:rFonts w:asciiTheme="minorHAnsi" w:hAnsiTheme="minorHAnsi"/>
        </w:rPr>
        <w:t>2019-20</w:t>
      </w:r>
      <w:r>
        <w:rPr>
          <w:rFonts w:asciiTheme="minorHAnsi" w:hAnsiTheme="minorHAnsi"/>
        </w:rPr>
        <w:t xml:space="preserve"> financial year and </w:t>
      </w:r>
      <w:r w:rsidR="003810EA">
        <w:rPr>
          <w:rFonts w:asciiTheme="minorHAnsi" w:hAnsiTheme="minorHAnsi"/>
        </w:rPr>
        <w:t>four</w:t>
      </w:r>
      <w:r>
        <w:rPr>
          <w:rFonts w:asciiTheme="minorHAnsi" w:hAnsiTheme="minorHAnsi"/>
        </w:rPr>
        <w:t xml:space="preserve"> forward years </w:t>
      </w:r>
      <w:proofErr w:type="gramStart"/>
      <w:r>
        <w:rPr>
          <w:rFonts w:asciiTheme="minorHAnsi" w:hAnsiTheme="minorHAnsi"/>
        </w:rPr>
        <w:t>will be updated</w:t>
      </w:r>
      <w:proofErr w:type="gramEnd"/>
      <w:r>
        <w:rPr>
          <w:rFonts w:asciiTheme="minorHAnsi" w:hAnsiTheme="minorHAnsi"/>
        </w:rPr>
        <w:t xml:space="preserve"> each year as financial</w:t>
      </w:r>
      <w:r w:rsidR="00565156">
        <w:rPr>
          <w:rFonts w:asciiTheme="minorHAnsi" w:hAnsiTheme="minorHAnsi"/>
        </w:rPr>
        <w:t xml:space="preserve"> information becomes available.</w:t>
      </w:r>
    </w:p>
    <w:p w14:paraId="5811A52C" w14:textId="2E507D56" w:rsidR="00E07822" w:rsidRDefault="00E07822" w:rsidP="00A92589">
      <w:pPr>
        <w:spacing w:after="120"/>
        <w:jc w:val="both"/>
        <w:rPr>
          <w:rFonts w:asciiTheme="minorHAnsi" w:hAnsiTheme="minorHAnsi"/>
        </w:rPr>
      </w:pPr>
      <w:r>
        <w:rPr>
          <w:rFonts w:asciiTheme="minorHAnsi" w:hAnsiTheme="minorHAnsi"/>
        </w:rPr>
        <w:t xml:space="preserve">The annual charge assumes that seven applications </w:t>
      </w:r>
      <w:proofErr w:type="gramStart"/>
      <w:r>
        <w:rPr>
          <w:rFonts w:asciiTheme="minorHAnsi" w:hAnsiTheme="minorHAnsi"/>
        </w:rPr>
        <w:t>will be received</w:t>
      </w:r>
      <w:proofErr w:type="gramEnd"/>
      <w:r>
        <w:rPr>
          <w:rFonts w:asciiTheme="minorHAnsi" w:hAnsiTheme="minorHAnsi"/>
        </w:rPr>
        <w:t xml:space="preserve"> each year of which four providers will be approved (an estimated net growth in the number of higher education providers each year). Therefore, the growth in total expenses for the annual charge is attributable to the estimated growth in approved providers from </w:t>
      </w:r>
      <w:r w:rsidRPr="00920047">
        <w:rPr>
          <w:rFonts w:asciiTheme="minorHAnsi" w:hAnsiTheme="minorHAnsi"/>
        </w:rPr>
        <w:t>2019-202</w:t>
      </w:r>
      <w:r w:rsidR="00920047" w:rsidRPr="00283608">
        <w:rPr>
          <w:rFonts w:asciiTheme="minorHAnsi" w:hAnsiTheme="minorHAnsi"/>
        </w:rPr>
        <w:t>3</w:t>
      </w:r>
      <w:r>
        <w:rPr>
          <w:rFonts w:asciiTheme="minorHAnsi" w:hAnsiTheme="minorHAnsi"/>
        </w:rPr>
        <w:t>.</w:t>
      </w:r>
    </w:p>
    <w:p w14:paraId="60E50FC0" w14:textId="6EBA6AD6" w:rsidR="00A80CF5" w:rsidRDefault="00A80CF5" w:rsidP="00A92589">
      <w:pPr>
        <w:spacing w:after="120"/>
        <w:jc w:val="both"/>
        <w:rPr>
          <w:rFonts w:asciiTheme="minorHAnsi" w:hAnsiTheme="minorHAnsi"/>
        </w:rPr>
      </w:pPr>
    </w:p>
    <w:p w14:paraId="00A19419" w14:textId="3059D5F8" w:rsidR="00A80CF5" w:rsidRDefault="00A80CF5" w:rsidP="00A92589">
      <w:pPr>
        <w:spacing w:after="120"/>
        <w:jc w:val="both"/>
        <w:rPr>
          <w:rFonts w:asciiTheme="minorHAnsi" w:hAnsiTheme="minorHAnsi"/>
        </w:rPr>
      </w:pPr>
    </w:p>
    <w:p w14:paraId="01725B32" w14:textId="77777777" w:rsidR="003810EA" w:rsidRDefault="003810EA" w:rsidP="00A92589">
      <w:pPr>
        <w:spacing w:after="120"/>
        <w:jc w:val="both"/>
        <w:rPr>
          <w:rFonts w:asciiTheme="minorHAnsi" w:hAnsiTheme="minorHAnsi"/>
        </w:rPr>
      </w:pPr>
    </w:p>
    <w:p w14:paraId="247ADE81" w14:textId="7190673D" w:rsidR="00A80CF5" w:rsidRDefault="00A80CF5" w:rsidP="00A92589">
      <w:pPr>
        <w:spacing w:after="120"/>
        <w:jc w:val="both"/>
        <w:rPr>
          <w:rFonts w:asciiTheme="minorHAnsi" w:hAnsiTheme="minorHAnsi"/>
        </w:rPr>
      </w:pPr>
    </w:p>
    <w:p w14:paraId="4BD58279" w14:textId="7506593A" w:rsidR="00A80CF5" w:rsidRDefault="00A80CF5" w:rsidP="00A92589">
      <w:pPr>
        <w:spacing w:after="120"/>
        <w:jc w:val="both"/>
        <w:rPr>
          <w:rFonts w:asciiTheme="minorHAnsi" w:hAnsiTheme="minorHAnsi"/>
        </w:rPr>
      </w:pPr>
    </w:p>
    <w:p w14:paraId="0F99EEAC" w14:textId="0E270EBC" w:rsidR="00A80CF5" w:rsidRDefault="00A80CF5" w:rsidP="00A92589">
      <w:pPr>
        <w:spacing w:after="120"/>
        <w:jc w:val="both"/>
        <w:rPr>
          <w:rFonts w:asciiTheme="minorHAnsi" w:hAnsiTheme="minorHAnsi"/>
        </w:rPr>
      </w:pPr>
    </w:p>
    <w:p w14:paraId="37FA6A9E" w14:textId="63EC7263" w:rsidR="00E07822" w:rsidRPr="004F5A4F" w:rsidRDefault="00E07822" w:rsidP="00E07822">
      <w:pPr>
        <w:spacing w:after="120"/>
        <w:rPr>
          <w:rFonts w:asciiTheme="minorHAnsi" w:hAnsiTheme="minorHAnsi"/>
          <w:b/>
        </w:rPr>
      </w:pPr>
      <w:r>
        <w:rPr>
          <w:rFonts w:asciiTheme="minorHAnsi" w:hAnsiTheme="minorHAnsi"/>
          <w:b/>
        </w:rPr>
        <w:t>Table</w:t>
      </w:r>
      <w:r w:rsidRPr="00132A48">
        <w:rPr>
          <w:rFonts w:asciiTheme="minorHAnsi" w:hAnsiTheme="minorHAnsi"/>
          <w:b/>
        </w:rPr>
        <w:t xml:space="preserve"> </w:t>
      </w:r>
      <w:r>
        <w:rPr>
          <w:rFonts w:asciiTheme="minorHAnsi" w:hAnsiTheme="minorHAnsi"/>
          <w:b/>
        </w:rPr>
        <w:t>7</w:t>
      </w:r>
      <w:r w:rsidRPr="00132A48">
        <w:rPr>
          <w:rFonts w:asciiTheme="minorHAnsi" w:hAnsiTheme="minorHAnsi"/>
          <w:b/>
        </w:rPr>
        <w:t xml:space="preserve">: Annual charge for higher education providers, </w:t>
      </w:r>
      <w:r>
        <w:rPr>
          <w:rFonts w:asciiTheme="minorHAnsi" w:hAnsiTheme="minorHAnsi"/>
          <w:b/>
        </w:rPr>
        <w:t>E</w:t>
      </w:r>
      <w:r w:rsidRPr="00132A48">
        <w:rPr>
          <w:rFonts w:asciiTheme="minorHAnsi" w:hAnsiTheme="minorHAnsi"/>
          <w:b/>
        </w:rPr>
        <w:t xml:space="preserve">xpenses and </w:t>
      </w:r>
      <w:r>
        <w:rPr>
          <w:rFonts w:asciiTheme="minorHAnsi" w:hAnsiTheme="minorHAnsi"/>
          <w:b/>
        </w:rPr>
        <w:t>R</w:t>
      </w:r>
      <w:r w:rsidRPr="00132A48">
        <w:rPr>
          <w:rFonts w:asciiTheme="minorHAnsi" w:hAnsiTheme="minorHAnsi"/>
          <w:b/>
        </w:rPr>
        <w:t>evenue ($m)</w:t>
      </w:r>
      <w:r w:rsidR="00560856">
        <w:rPr>
          <w:rFonts w:asciiTheme="minorHAnsi" w:hAnsiTheme="minorHAnsi"/>
          <w:b/>
        </w:rPr>
        <w:t xml:space="preserve"> </w:t>
      </w:r>
    </w:p>
    <w:tbl>
      <w:tblPr>
        <w:tblStyle w:val="TableGrid"/>
        <w:tblW w:w="8925" w:type="dxa"/>
        <w:tblLayout w:type="fixed"/>
        <w:tblLook w:val="04A0" w:firstRow="1" w:lastRow="0" w:firstColumn="1" w:lastColumn="0" w:noHBand="0" w:noVBand="1"/>
      </w:tblPr>
      <w:tblGrid>
        <w:gridCol w:w="2972"/>
        <w:gridCol w:w="992"/>
        <w:gridCol w:w="993"/>
        <w:gridCol w:w="992"/>
        <w:gridCol w:w="992"/>
        <w:gridCol w:w="992"/>
        <w:gridCol w:w="992"/>
      </w:tblGrid>
      <w:tr w:rsidR="00EA6A78" w14:paraId="3D71726E" w14:textId="77777777" w:rsidTr="002D7B66">
        <w:trPr>
          <w:trHeight w:val="295"/>
        </w:trPr>
        <w:tc>
          <w:tcPr>
            <w:tcW w:w="2972" w:type="dxa"/>
            <w:shd w:val="clear" w:color="auto" w:fill="D9E2F3" w:themeFill="accent1" w:themeFillTint="33"/>
          </w:tcPr>
          <w:p w14:paraId="0F956C8E" w14:textId="77777777" w:rsidR="00EA6A78" w:rsidRPr="00353BEC" w:rsidRDefault="00EA6A78" w:rsidP="00560856">
            <w:pPr>
              <w:spacing w:after="120"/>
              <w:rPr>
                <w:rFonts w:asciiTheme="minorHAnsi" w:hAnsiTheme="minorHAnsi"/>
                <w:b/>
                <w:sz w:val="22"/>
                <w:szCs w:val="22"/>
              </w:rPr>
            </w:pPr>
            <w:r w:rsidRPr="00353BEC">
              <w:rPr>
                <w:rFonts w:asciiTheme="minorHAnsi" w:hAnsiTheme="minorHAnsi"/>
                <w:b/>
                <w:sz w:val="22"/>
                <w:szCs w:val="22"/>
              </w:rPr>
              <w:t>Calendar year</w:t>
            </w:r>
          </w:p>
        </w:tc>
        <w:tc>
          <w:tcPr>
            <w:tcW w:w="992" w:type="dxa"/>
            <w:shd w:val="clear" w:color="auto" w:fill="D9E2F3" w:themeFill="accent1" w:themeFillTint="33"/>
          </w:tcPr>
          <w:p w14:paraId="72723064" w14:textId="77777777" w:rsidR="00EA6A78" w:rsidRPr="00283608" w:rsidRDefault="00EA6A78" w:rsidP="00560856">
            <w:pPr>
              <w:spacing w:after="120"/>
              <w:jc w:val="right"/>
              <w:rPr>
                <w:rFonts w:asciiTheme="minorHAnsi" w:hAnsiTheme="minorHAnsi"/>
                <w:b/>
                <w:sz w:val="22"/>
                <w:szCs w:val="22"/>
              </w:rPr>
            </w:pPr>
            <w:r w:rsidRPr="00283608">
              <w:rPr>
                <w:rFonts w:asciiTheme="minorHAnsi" w:hAnsiTheme="minorHAnsi"/>
                <w:b/>
                <w:sz w:val="22"/>
                <w:szCs w:val="22"/>
              </w:rPr>
              <w:t>20</w:t>
            </w:r>
            <w:r>
              <w:rPr>
                <w:rFonts w:asciiTheme="minorHAnsi" w:hAnsiTheme="minorHAnsi"/>
                <w:b/>
                <w:sz w:val="22"/>
                <w:szCs w:val="22"/>
              </w:rPr>
              <w:t>20</w:t>
            </w:r>
          </w:p>
        </w:tc>
        <w:tc>
          <w:tcPr>
            <w:tcW w:w="993" w:type="dxa"/>
            <w:shd w:val="clear" w:color="auto" w:fill="D9E2F3" w:themeFill="accent1" w:themeFillTint="33"/>
          </w:tcPr>
          <w:p w14:paraId="21B75DFF" w14:textId="77777777" w:rsidR="00EA6A78" w:rsidRPr="00283608" w:rsidRDefault="00EA6A78" w:rsidP="00560856">
            <w:pPr>
              <w:spacing w:after="120"/>
              <w:jc w:val="right"/>
              <w:rPr>
                <w:rFonts w:asciiTheme="minorHAnsi" w:hAnsiTheme="minorHAnsi"/>
                <w:b/>
                <w:sz w:val="22"/>
                <w:szCs w:val="22"/>
              </w:rPr>
            </w:pPr>
            <w:r w:rsidRPr="00283608">
              <w:rPr>
                <w:rFonts w:asciiTheme="minorHAnsi" w:hAnsiTheme="minorHAnsi"/>
                <w:b/>
                <w:sz w:val="22"/>
                <w:szCs w:val="22"/>
              </w:rPr>
              <w:t>202</w:t>
            </w:r>
            <w:r>
              <w:rPr>
                <w:rFonts w:asciiTheme="minorHAnsi" w:hAnsiTheme="minorHAnsi"/>
                <w:b/>
                <w:sz w:val="22"/>
                <w:szCs w:val="22"/>
              </w:rPr>
              <w:t>1</w:t>
            </w:r>
          </w:p>
        </w:tc>
        <w:tc>
          <w:tcPr>
            <w:tcW w:w="992" w:type="dxa"/>
            <w:shd w:val="clear" w:color="auto" w:fill="D9E2F3" w:themeFill="accent1" w:themeFillTint="33"/>
          </w:tcPr>
          <w:p w14:paraId="129DC83F" w14:textId="77777777" w:rsidR="00EA6A78" w:rsidRPr="00283608" w:rsidRDefault="00EA6A78" w:rsidP="00560856">
            <w:pPr>
              <w:spacing w:after="120"/>
              <w:jc w:val="right"/>
              <w:rPr>
                <w:rFonts w:asciiTheme="minorHAnsi" w:hAnsiTheme="minorHAnsi"/>
                <w:b/>
                <w:sz w:val="22"/>
                <w:szCs w:val="22"/>
              </w:rPr>
            </w:pPr>
            <w:r w:rsidRPr="00283608">
              <w:rPr>
                <w:rFonts w:asciiTheme="minorHAnsi" w:hAnsiTheme="minorHAnsi"/>
                <w:b/>
                <w:sz w:val="22"/>
                <w:szCs w:val="22"/>
              </w:rPr>
              <w:t>2022</w:t>
            </w:r>
          </w:p>
        </w:tc>
        <w:tc>
          <w:tcPr>
            <w:tcW w:w="992" w:type="dxa"/>
            <w:shd w:val="clear" w:color="auto" w:fill="D9E2F3" w:themeFill="accent1" w:themeFillTint="33"/>
          </w:tcPr>
          <w:p w14:paraId="4A17CCBD" w14:textId="77777777" w:rsidR="00EA6A78" w:rsidRPr="00283608" w:rsidRDefault="00EA6A78" w:rsidP="00560856">
            <w:pPr>
              <w:spacing w:after="120"/>
              <w:jc w:val="right"/>
              <w:rPr>
                <w:rFonts w:asciiTheme="minorHAnsi" w:hAnsiTheme="minorHAnsi"/>
                <w:b/>
                <w:sz w:val="22"/>
                <w:szCs w:val="22"/>
              </w:rPr>
            </w:pPr>
            <w:r w:rsidRPr="00283608">
              <w:rPr>
                <w:rFonts w:asciiTheme="minorHAnsi" w:hAnsiTheme="minorHAnsi"/>
                <w:b/>
                <w:sz w:val="22"/>
                <w:szCs w:val="22"/>
              </w:rPr>
              <w:t>2023</w:t>
            </w:r>
          </w:p>
        </w:tc>
        <w:tc>
          <w:tcPr>
            <w:tcW w:w="992" w:type="dxa"/>
            <w:shd w:val="clear" w:color="auto" w:fill="D9E2F3" w:themeFill="accent1" w:themeFillTint="33"/>
          </w:tcPr>
          <w:p w14:paraId="0E163CD0" w14:textId="77777777" w:rsidR="00EA6A78" w:rsidRPr="00283608" w:rsidRDefault="00EA6A78" w:rsidP="00560856">
            <w:pPr>
              <w:spacing w:after="120"/>
              <w:jc w:val="right"/>
              <w:rPr>
                <w:rFonts w:asciiTheme="minorHAnsi" w:hAnsiTheme="minorHAnsi"/>
                <w:b/>
                <w:sz w:val="22"/>
                <w:szCs w:val="22"/>
              </w:rPr>
            </w:pPr>
            <w:r>
              <w:rPr>
                <w:rFonts w:asciiTheme="minorHAnsi" w:hAnsiTheme="minorHAnsi"/>
                <w:b/>
                <w:sz w:val="22"/>
                <w:szCs w:val="22"/>
              </w:rPr>
              <w:t>2024</w:t>
            </w:r>
          </w:p>
        </w:tc>
        <w:tc>
          <w:tcPr>
            <w:tcW w:w="992" w:type="dxa"/>
            <w:shd w:val="clear" w:color="auto" w:fill="D9E2F3" w:themeFill="accent1" w:themeFillTint="33"/>
          </w:tcPr>
          <w:p w14:paraId="0627BC5A" w14:textId="7A7C18B2" w:rsidR="00EA6A78" w:rsidRPr="00283608" w:rsidRDefault="00EA6A78" w:rsidP="00560856">
            <w:pPr>
              <w:spacing w:after="120"/>
              <w:jc w:val="right"/>
              <w:rPr>
                <w:rFonts w:asciiTheme="minorHAnsi" w:hAnsiTheme="minorHAnsi"/>
                <w:b/>
                <w:sz w:val="22"/>
                <w:szCs w:val="22"/>
              </w:rPr>
            </w:pPr>
            <w:r>
              <w:rPr>
                <w:rFonts w:asciiTheme="minorHAnsi" w:hAnsiTheme="minorHAnsi"/>
                <w:b/>
                <w:sz w:val="22"/>
                <w:szCs w:val="22"/>
              </w:rPr>
              <w:t>Total</w:t>
            </w:r>
            <w:r w:rsidR="00AA2D01">
              <w:rPr>
                <w:rFonts w:asciiTheme="minorHAnsi" w:hAnsiTheme="minorHAnsi"/>
                <w:b/>
                <w:sz w:val="22"/>
                <w:szCs w:val="22"/>
              </w:rPr>
              <w:t>*</w:t>
            </w:r>
          </w:p>
        </w:tc>
      </w:tr>
      <w:tr w:rsidR="00EA6A78" w14:paraId="769A9AA7" w14:textId="77777777" w:rsidTr="002D7B66">
        <w:tc>
          <w:tcPr>
            <w:tcW w:w="2972" w:type="dxa"/>
          </w:tcPr>
          <w:p w14:paraId="443FC678" w14:textId="3D325E89" w:rsidR="00EA6A78" w:rsidRPr="00203EF7" w:rsidRDefault="00EA6A78" w:rsidP="00560856">
            <w:pPr>
              <w:spacing w:after="120"/>
              <w:rPr>
                <w:rFonts w:asciiTheme="minorHAnsi" w:hAnsiTheme="minorHAnsi"/>
                <w:sz w:val="22"/>
                <w:szCs w:val="22"/>
              </w:rPr>
            </w:pPr>
            <w:r w:rsidRPr="00203EF7">
              <w:rPr>
                <w:rFonts w:asciiTheme="minorHAnsi" w:hAnsiTheme="minorHAnsi"/>
                <w:sz w:val="22"/>
                <w:szCs w:val="22"/>
              </w:rPr>
              <w:t>Expenses</w:t>
            </w:r>
            <w:r w:rsidR="00A56836">
              <w:rPr>
                <w:rFonts w:asciiTheme="minorHAnsi" w:hAnsiTheme="minorHAnsi"/>
                <w:sz w:val="22"/>
                <w:szCs w:val="22"/>
              </w:rPr>
              <w:t>, including not recovered activities</w:t>
            </w:r>
            <w:r w:rsidRPr="00203EF7">
              <w:rPr>
                <w:rFonts w:asciiTheme="minorHAnsi" w:hAnsiTheme="minorHAnsi"/>
                <w:sz w:val="22"/>
                <w:szCs w:val="22"/>
              </w:rPr>
              <w:t xml:space="preserve"> </w:t>
            </w:r>
            <w:r>
              <w:rPr>
                <w:rFonts w:asciiTheme="minorHAnsi" w:hAnsiTheme="minorHAnsi"/>
                <w:sz w:val="22"/>
                <w:szCs w:val="22"/>
              </w:rPr>
              <w:t>($m)</w:t>
            </w:r>
          </w:p>
        </w:tc>
        <w:tc>
          <w:tcPr>
            <w:tcW w:w="992" w:type="dxa"/>
          </w:tcPr>
          <w:p w14:paraId="5DADC1A2" w14:textId="659A0B1E" w:rsidR="00EA6A78" w:rsidRPr="00203EF7" w:rsidRDefault="00A56836" w:rsidP="002D7B66">
            <w:pPr>
              <w:spacing w:after="120"/>
              <w:jc w:val="right"/>
              <w:rPr>
                <w:rFonts w:asciiTheme="minorHAnsi" w:hAnsiTheme="minorHAnsi"/>
                <w:sz w:val="22"/>
                <w:szCs w:val="22"/>
              </w:rPr>
            </w:pPr>
            <w:r>
              <w:rPr>
                <w:rFonts w:asciiTheme="minorHAnsi" w:hAnsiTheme="minorHAnsi"/>
                <w:sz w:val="22"/>
                <w:szCs w:val="22"/>
              </w:rPr>
              <w:t>$3.</w:t>
            </w:r>
            <w:r w:rsidR="00BC6DA6">
              <w:rPr>
                <w:rFonts w:asciiTheme="minorHAnsi" w:hAnsiTheme="minorHAnsi"/>
                <w:sz w:val="22"/>
                <w:szCs w:val="22"/>
              </w:rPr>
              <w:t>77</w:t>
            </w:r>
          </w:p>
        </w:tc>
        <w:tc>
          <w:tcPr>
            <w:tcW w:w="993" w:type="dxa"/>
          </w:tcPr>
          <w:p w14:paraId="6DEA4E19" w14:textId="2A72998C" w:rsidR="00EA6A78" w:rsidRPr="00203EF7" w:rsidRDefault="00A56836" w:rsidP="002D7B66">
            <w:pPr>
              <w:spacing w:after="120"/>
              <w:jc w:val="right"/>
              <w:rPr>
                <w:rFonts w:asciiTheme="minorHAnsi" w:hAnsiTheme="minorHAnsi"/>
                <w:sz w:val="22"/>
                <w:szCs w:val="22"/>
              </w:rPr>
            </w:pPr>
            <w:r>
              <w:rPr>
                <w:rFonts w:asciiTheme="minorHAnsi" w:hAnsiTheme="minorHAnsi"/>
                <w:sz w:val="22"/>
                <w:szCs w:val="22"/>
              </w:rPr>
              <w:t>$</w:t>
            </w:r>
            <w:r w:rsidR="00BC6DA6">
              <w:rPr>
                <w:rFonts w:asciiTheme="minorHAnsi" w:hAnsiTheme="minorHAnsi"/>
                <w:sz w:val="22"/>
                <w:szCs w:val="22"/>
              </w:rPr>
              <w:t>3.96</w:t>
            </w:r>
          </w:p>
        </w:tc>
        <w:tc>
          <w:tcPr>
            <w:tcW w:w="992" w:type="dxa"/>
          </w:tcPr>
          <w:p w14:paraId="50C304A6" w14:textId="6D90AAAB" w:rsidR="00EA6A78" w:rsidRPr="00203EF7" w:rsidRDefault="00A56836">
            <w:pPr>
              <w:spacing w:after="120"/>
              <w:jc w:val="right"/>
              <w:rPr>
                <w:rFonts w:asciiTheme="minorHAnsi" w:hAnsiTheme="minorHAnsi"/>
                <w:sz w:val="22"/>
                <w:szCs w:val="22"/>
              </w:rPr>
            </w:pPr>
            <w:r>
              <w:rPr>
                <w:rFonts w:asciiTheme="minorHAnsi" w:hAnsiTheme="minorHAnsi"/>
                <w:sz w:val="22"/>
                <w:szCs w:val="22"/>
              </w:rPr>
              <w:t>$</w:t>
            </w:r>
            <w:r w:rsidR="00BC6DA6">
              <w:rPr>
                <w:rFonts w:asciiTheme="minorHAnsi" w:hAnsiTheme="minorHAnsi"/>
                <w:sz w:val="22"/>
                <w:szCs w:val="22"/>
              </w:rPr>
              <w:t>4.15</w:t>
            </w:r>
          </w:p>
        </w:tc>
        <w:tc>
          <w:tcPr>
            <w:tcW w:w="992" w:type="dxa"/>
          </w:tcPr>
          <w:p w14:paraId="64963FFA" w14:textId="167159CB" w:rsidR="00EA6A78" w:rsidRPr="00203EF7" w:rsidRDefault="00EA6A78">
            <w:pPr>
              <w:spacing w:after="120"/>
              <w:jc w:val="right"/>
              <w:rPr>
                <w:rFonts w:asciiTheme="minorHAnsi" w:hAnsiTheme="minorHAnsi"/>
                <w:sz w:val="22"/>
                <w:szCs w:val="22"/>
              </w:rPr>
            </w:pPr>
            <w:r w:rsidRPr="00203EF7">
              <w:rPr>
                <w:rFonts w:asciiTheme="minorHAnsi" w:hAnsiTheme="minorHAnsi"/>
                <w:sz w:val="22"/>
                <w:szCs w:val="22"/>
              </w:rPr>
              <w:t>$</w:t>
            </w:r>
            <w:r w:rsidR="00BC6DA6">
              <w:rPr>
                <w:rFonts w:asciiTheme="minorHAnsi" w:hAnsiTheme="minorHAnsi"/>
                <w:sz w:val="22"/>
                <w:szCs w:val="22"/>
              </w:rPr>
              <w:t>4.3</w:t>
            </w:r>
            <w:r w:rsidR="00560856">
              <w:rPr>
                <w:rFonts w:asciiTheme="minorHAnsi" w:hAnsiTheme="minorHAnsi"/>
                <w:sz w:val="22"/>
                <w:szCs w:val="22"/>
              </w:rPr>
              <w:t>5</w:t>
            </w:r>
          </w:p>
        </w:tc>
        <w:tc>
          <w:tcPr>
            <w:tcW w:w="992" w:type="dxa"/>
          </w:tcPr>
          <w:p w14:paraId="73213455" w14:textId="1DA2EA5E" w:rsidR="00EA6A78" w:rsidRPr="00203EF7" w:rsidRDefault="00C16082" w:rsidP="002D7B66">
            <w:pPr>
              <w:spacing w:after="120"/>
              <w:jc w:val="right"/>
              <w:rPr>
                <w:rFonts w:asciiTheme="minorHAnsi" w:hAnsiTheme="minorHAnsi"/>
                <w:sz w:val="22"/>
                <w:szCs w:val="22"/>
              </w:rPr>
            </w:pPr>
            <w:r w:rsidRPr="00203EF7">
              <w:rPr>
                <w:rFonts w:asciiTheme="minorHAnsi" w:hAnsiTheme="minorHAnsi"/>
                <w:sz w:val="22"/>
                <w:szCs w:val="22"/>
              </w:rPr>
              <w:t>$</w:t>
            </w:r>
            <w:r>
              <w:rPr>
                <w:rFonts w:asciiTheme="minorHAnsi" w:hAnsiTheme="minorHAnsi"/>
                <w:sz w:val="22"/>
                <w:szCs w:val="22"/>
              </w:rPr>
              <w:t>4.</w:t>
            </w:r>
            <w:r w:rsidR="00BC6DA6">
              <w:rPr>
                <w:rFonts w:asciiTheme="minorHAnsi" w:hAnsiTheme="minorHAnsi"/>
                <w:sz w:val="22"/>
                <w:szCs w:val="22"/>
              </w:rPr>
              <w:t>5</w:t>
            </w:r>
            <w:r>
              <w:rPr>
                <w:rFonts w:asciiTheme="minorHAnsi" w:hAnsiTheme="minorHAnsi"/>
                <w:sz w:val="22"/>
                <w:szCs w:val="22"/>
              </w:rPr>
              <w:t>6</w:t>
            </w:r>
          </w:p>
        </w:tc>
        <w:tc>
          <w:tcPr>
            <w:tcW w:w="992" w:type="dxa"/>
            <w:shd w:val="clear" w:color="auto" w:fill="auto"/>
          </w:tcPr>
          <w:p w14:paraId="5BE18AE7" w14:textId="6AA908A5" w:rsidR="00EA6A78" w:rsidRPr="00203EF7" w:rsidRDefault="00EA6A78">
            <w:pPr>
              <w:spacing w:after="120"/>
              <w:jc w:val="right"/>
              <w:rPr>
                <w:rFonts w:asciiTheme="minorHAnsi" w:hAnsiTheme="minorHAnsi"/>
                <w:sz w:val="22"/>
                <w:szCs w:val="22"/>
              </w:rPr>
            </w:pPr>
            <w:r>
              <w:rPr>
                <w:rFonts w:asciiTheme="minorHAnsi" w:hAnsiTheme="minorHAnsi"/>
                <w:sz w:val="22"/>
                <w:szCs w:val="22"/>
              </w:rPr>
              <w:t>$</w:t>
            </w:r>
            <w:r w:rsidR="00C16082">
              <w:rPr>
                <w:rFonts w:asciiTheme="minorHAnsi" w:hAnsiTheme="minorHAnsi"/>
                <w:sz w:val="22"/>
                <w:szCs w:val="22"/>
              </w:rPr>
              <w:t>20.79</w:t>
            </w:r>
          </w:p>
        </w:tc>
      </w:tr>
      <w:tr w:rsidR="00A56836" w14:paraId="0B41DE3A" w14:textId="77777777" w:rsidTr="002D7B66">
        <w:tc>
          <w:tcPr>
            <w:tcW w:w="2972" w:type="dxa"/>
          </w:tcPr>
          <w:p w14:paraId="43E2A850" w14:textId="502404A5" w:rsidR="00A56836" w:rsidRPr="00203EF7" w:rsidRDefault="00A56836">
            <w:pPr>
              <w:spacing w:after="120"/>
              <w:rPr>
                <w:rFonts w:asciiTheme="minorHAnsi" w:hAnsiTheme="minorHAnsi"/>
                <w:sz w:val="22"/>
                <w:szCs w:val="22"/>
              </w:rPr>
            </w:pPr>
            <w:r w:rsidRPr="00203EF7">
              <w:rPr>
                <w:rFonts w:asciiTheme="minorHAnsi" w:hAnsiTheme="minorHAnsi"/>
                <w:sz w:val="22"/>
                <w:szCs w:val="22"/>
              </w:rPr>
              <w:t>Expenses</w:t>
            </w:r>
            <w:r>
              <w:rPr>
                <w:rFonts w:asciiTheme="minorHAnsi" w:hAnsiTheme="minorHAnsi"/>
                <w:sz w:val="22"/>
                <w:szCs w:val="22"/>
              </w:rPr>
              <w:t xml:space="preserve"> – recovered activities only</w:t>
            </w:r>
            <w:r w:rsidRPr="00203EF7">
              <w:rPr>
                <w:rFonts w:asciiTheme="minorHAnsi" w:hAnsiTheme="minorHAnsi"/>
                <w:sz w:val="22"/>
                <w:szCs w:val="22"/>
              </w:rPr>
              <w:t xml:space="preserve"> </w:t>
            </w:r>
            <w:r>
              <w:rPr>
                <w:rFonts w:asciiTheme="minorHAnsi" w:hAnsiTheme="minorHAnsi"/>
                <w:sz w:val="22"/>
                <w:szCs w:val="22"/>
              </w:rPr>
              <w:t>($m)</w:t>
            </w:r>
          </w:p>
        </w:tc>
        <w:tc>
          <w:tcPr>
            <w:tcW w:w="992" w:type="dxa"/>
          </w:tcPr>
          <w:p w14:paraId="695FD010" w14:textId="72239EE6" w:rsidR="00A56836" w:rsidRDefault="00BC6DA6">
            <w:pPr>
              <w:spacing w:after="120"/>
              <w:jc w:val="right"/>
              <w:rPr>
                <w:rFonts w:asciiTheme="minorHAnsi" w:hAnsiTheme="minorHAnsi"/>
                <w:sz w:val="22"/>
                <w:szCs w:val="22"/>
              </w:rPr>
            </w:pPr>
            <w:r>
              <w:rPr>
                <w:rFonts w:asciiTheme="minorHAnsi" w:hAnsiTheme="minorHAnsi"/>
                <w:sz w:val="22"/>
                <w:szCs w:val="22"/>
              </w:rPr>
              <w:t>$3.46</w:t>
            </w:r>
          </w:p>
        </w:tc>
        <w:tc>
          <w:tcPr>
            <w:tcW w:w="993" w:type="dxa"/>
          </w:tcPr>
          <w:p w14:paraId="1BBDEF33" w14:textId="7FCFC0BF" w:rsidR="00A56836" w:rsidRDefault="00560856" w:rsidP="002D7B66">
            <w:pPr>
              <w:spacing w:after="120"/>
              <w:jc w:val="right"/>
              <w:rPr>
                <w:rFonts w:asciiTheme="minorHAnsi" w:hAnsiTheme="minorHAnsi"/>
                <w:sz w:val="22"/>
                <w:szCs w:val="22"/>
              </w:rPr>
            </w:pPr>
            <w:r>
              <w:rPr>
                <w:rFonts w:asciiTheme="minorHAnsi" w:hAnsiTheme="minorHAnsi"/>
                <w:sz w:val="22"/>
                <w:szCs w:val="22"/>
              </w:rPr>
              <w:t>$3.</w:t>
            </w:r>
            <w:r w:rsidR="00BC6DA6">
              <w:rPr>
                <w:rFonts w:asciiTheme="minorHAnsi" w:hAnsiTheme="minorHAnsi"/>
                <w:sz w:val="22"/>
                <w:szCs w:val="22"/>
              </w:rPr>
              <w:t>63</w:t>
            </w:r>
          </w:p>
        </w:tc>
        <w:tc>
          <w:tcPr>
            <w:tcW w:w="992" w:type="dxa"/>
          </w:tcPr>
          <w:p w14:paraId="608E34E4" w14:textId="26C2789A" w:rsidR="00A56836" w:rsidRDefault="00761225">
            <w:pPr>
              <w:spacing w:after="120"/>
              <w:jc w:val="right"/>
              <w:rPr>
                <w:rFonts w:asciiTheme="minorHAnsi" w:hAnsiTheme="minorHAnsi"/>
                <w:sz w:val="22"/>
                <w:szCs w:val="22"/>
              </w:rPr>
            </w:pPr>
            <w:r>
              <w:rPr>
                <w:rFonts w:asciiTheme="minorHAnsi" w:hAnsiTheme="minorHAnsi"/>
                <w:sz w:val="22"/>
                <w:szCs w:val="22"/>
              </w:rPr>
              <w:t>$</w:t>
            </w:r>
            <w:r w:rsidR="00BC6DA6">
              <w:rPr>
                <w:rFonts w:asciiTheme="minorHAnsi" w:hAnsiTheme="minorHAnsi"/>
                <w:sz w:val="22"/>
                <w:szCs w:val="22"/>
              </w:rPr>
              <w:t>3.81</w:t>
            </w:r>
          </w:p>
        </w:tc>
        <w:tc>
          <w:tcPr>
            <w:tcW w:w="992" w:type="dxa"/>
          </w:tcPr>
          <w:p w14:paraId="4A9005F7" w14:textId="63388D5C" w:rsidR="00A56836" w:rsidRPr="00203EF7" w:rsidRDefault="00A56836">
            <w:pPr>
              <w:spacing w:after="120"/>
              <w:jc w:val="right"/>
              <w:rPr>
                <w:rFonts w:asciiTheme="minorHAnsi" w:hAnsiTheme="minorHAnsi"/>
                <w:sz w:val="22"/>
                <w:szCs w:val="22"/>
              </w:rPr>
            </w:pPr>
            <w:r w:rsidRPr="00203EF7">
              <w:rPr>
                <w:rFonts w:asciiTheme="minorHAnsi" w:hAnsiTheme="minorHAnsi"/>
                <w:sz w:val="22"/>
                <w:szCs w:val="22"/>
              </w:rPr>
              <w:t>$</w:t>
            </w:r>
            <w:r w:rsidR="00BC6DA6">
              <w:rPr>
                <w:rFonts w:asciiTheme="minorHAnsi" w:hAnsiTheme="minorHAnsi"/>
                <w:sz w:val="22"/>
                <w:szCs w:val="22"/>
              </w:rPr>
              <w:t>4.00</w:t>
            </w:r>
          </w:p>
        </w:tc>
        <w:tc>
          <w:tcPr>
            <w:tcW w:w="992" w:type="dxa"/>
          </w:tcPr>
          <w:p w14:paraId="1241A73B" w14:textId="496FA093" w:rsidR="00A56836" w:rsidRDefault="00BC6DA6" w:rsidP="002D7B66">
            <w:pPr>
              <w:spacing w:after="120"/>
              <w:jc w:val="right"/>
              <w:rPr>
                <w:rFonts w:asciiTheme="minorHAnsi" w:hAnsiTheme="minorHAnsi"/>
                <w:sz w:val="22"/>
                <w:szCs w:val="22"/>
              </w:rPr>
            </w:pPr>
            <w:r>
              <w:rPr>
                <w:rFonts w:asciiTheme="minorHAnsi" w:hAnsiTheme="minorHAnsi"/>
                <w:sz w:val="22"/>
                <w:szCs w:val="22"/>
              </w:rPr>
              <w:t>$4.19</w:t>
            </w:r>
          </w:p>
        </w:tc>
        <w:tc>
          <w:tcPr>
            <w:tcW w:w="992" w:type="dxa"/>
            <w:shd w:val="clear" w:color="auto" w:fill="auto"/>
          </w:tcPr>
          <w:p w14:paraId="7BB93562" w14:textId="643B9DBC" w:rsidR="00A56836" w:rsidRDefault="00761225" w:rsidP="002D7B66">
            <w:pPr>
              <w:spacing w:after="120"/>
              <w:jc w:val="right"/>
              <w:rPr>
                <w:rFonts w:asciiTheme="minorHAnsi" w:hAnsiTheme="minorHAnsi"/>
                <w:sz w:val="22"/>
                <w:szCs w:val="22"/>
              </w:rPr>
            </w:pPr>
            <w:r>
              <w:rPr>
                <w:rFonts w:asciiTheme="minorHAnsi" w:hAnsiTheme="minorHAnsi"/>
                <w:sz w:val="22"/>
                <w:szCs w:val="22"/>
              </w:rPr>
              <w:t>$</w:t>
            </w:r>
            <w:r w:rsidR="00BC6DA6">
              <w:rPr>
                <w:rFonts w:asciiTheme="minorHAnsi" w:hAnsiTheme="minorHAnsi"/>
                <w:sz w:val="22"/>
                <w:szCs w:val="22"/>
              </w:rPr>
              <w:t>1</w:t>
            </w:r>
            <w:r w:rsidR="00623416">
              <w:rPr>
                <w:rFonts w:asciiTheme="minorHAnsi" w:hAnsiTheme="minorHAnsi"/>
                <w:sz w:val="22"/>
                <w:szCs w:val="22"/>
              </w:rPr>
              <w:t>9.09</w:t>
            </w:r>
          </w:p>
        </w:tc>
      </w:tr>
      <w:tr w:rsidR="00623416" w14:paraId="03F76D52" w14:textId="77777777" w:rsidTr="002D7B66">
        <w:tc>
          <w:tcPr>
            <w:tcW w:w="2972" w:type="dxa"/>
          </w:tcPr>
          <w:p w14:paraId="242BF799" w14:textId="77777777" w:rsidR="00623416" w:rsidRPr="00203EF7" w:rsidRDefault="00623416" w:rsidP="00623416">
            <w:pPr>
              <w:spacing w:after="120"/>
              <w:rPr>
                <w:rFonts w:asciiTheme="minorHAnsi" w:hAnsiTheme="minorHAnsi"/>
                <w:sz w:val="22"/>
                <w:szCs w:val="22"/>
              </w:rPr>
            </w:pPr>
            <w:r w:rsidRPr="00203EF7">
              <w:rPr>
                <w:rFonts w:asciiTheme="minorHAnsi" w:hAnsiTheme="minorHAnsi"/>
                <w:sz w:val="22"/>
                <w:szCs w:val="22"/>
              </w:rPr>
              <w:t xml:space="preserve">Revenue </w:t>
            </w:r>
            <w:r>
              <w:rPr>
                <w:rFonts w:asciiTheme="minorHAnsi" w:hAnsiTheme="minorHAnsi"/>
                <w:sz w:val="22"/>
                <w:szCs w:val="22"/>
              </w:rPr>
              <w:t>($m)</w:t>
            </w:r>
          </w:p>
        </w:tc>
        <w:tc>
          <w:tcPr>
            <w:tcW w:w="992" w:type="dxa"/>
          </w:tcPr>
          <w:p w14:paraId="45C67708" w14:textId="37666644" w:rsidR="00623416" w:rsidRPr="00203EF7" w:rsidRDefault="00623416" w:rsidP="002D7B66">
            <w:pPr>
              <w:spacing w:after="120"/>
              <w:jc w:val="right"/>
              <w:rPr>
                <w:rFonts w:asciiTheme="minorHAnsi" w:hAnsiTheme="minorHAnsi"/>
                <w:sz w:val="22"/>
                <w:szCs w:val="22"/>
              </w:rPr>
            </w:pPr>
            <w:r>
              <w:rPr>
                <w:rFonts w:asciiTheme="minorHAnsi" w:hAnsiTheme="minorHAnsi"/>
                <w:sz w:val="22"/>
                <w:szCs w:val="22"/>
              </w:rPr>
              <w:t>$-</w:t>
            </w:r>
          </w:p>
        </w:tc>
        <w:tc>
          <w:tcPr>
            <w:tcW w:w="993" w:type="dxa"/>
          </w:tcPr>
          <w:p w14:paraId="69D14E90" w14:textId="2EB26737" w:rsidR="00623416" w:rsidRPr="00203EF7" w:rsidRDefault="00623416" w:rsidP="00623416">
            <w:pPr>
              <w:spacing w:after="120"/>
              <w:jc w:val="right"/>
              <w:rPr>
                <w:rFonts w:asciiTheme="minorHAnsi" w:hAnsiTheme="minorHAnsi"/>
                <w:b/>
                <w:sz w:val="22"/>
                <w:szCs w:val="22"/>
              </w:rPr>
            </w:pPr>
            <w:r>
              <w:rPr>
                <w:rFonts w:asciiTheme="minorHAnsi" w:hAnsiTheme="minorHAnsi"/>
                <w:sz w:val="22"/>
                <w:szCs w:val="22"/>
              </w:rPr>
              <w:t>$3.46</w:t>
            </w:r>
          </w:p>
        </w:tc>
        <w:tc>
          <w:tcPr>
            <w:tcW w:w="992" w:type="dxa"/>
          </w:tcPr>
          <w:p w14:paraId="1DBFD04B" w14:textId="1F02EC02" w:rsidR="00623416" w:rsidRPr="00203EF7" w:rsidRDefault="00623416" w:rsidP="00623416">
            <w:pPr>
              <w:spacing w:after="120"/>
              <w:jc w:val="right"/>
              <w:rPr>
                <w:rFonts w:asciiTheme="minorHAnsi" w:hAnsiTheme="minorHAnsi"/>
                <w:b/>
                <w:sz w:val="22"/>
                <w:szCs w:val="22"/>
              </w:rPr>
            </w:pPr>
            <w:r>
              <w:rPr>
                <w:rFonts w:asciiTheme="minorHAnsi" w:hAnsiTheme="minorHAnsi"/>
                <w:sz w:val="22"/>
                <w:szCs w:val="22"/>
              </w:rPr>
              <w:t>$3.63</w:t>
            </w:r>
          </w:p>
        </w:tc>
        <w:tc>
          <w:tcPr>
            <w:tcW w:w="992" w:type="dxa"/>
          </w:tcPr>
          <w:p w14:paraId="62A688E3" w14:textId="7C9D77EB" w:rsidR="00623416" w:rsidRPr="00203EF7" w:rsidRDefault="00623416" w:rsidP="00623416">
            <w:pPr>
              <w:spacing w:after="120"/>
              <w:jc w:val="right"/>
              <w:rPr>
                <w:rFonts w:asciiTheme="minorHAnsi" w:hAnsiTheme="minorHAnsi"/>
                <w:b/>
                <w:sz w:val="22"/>
                <w:szCs w:val="22"/>
              </w:rPr>
            </w:pPr>
            <w:r>
              <w:rPr>
                <w:rFonts w:asciiTheme="minorHAnsi" w:hAnsiTheme="minorHAnsi"/>
                <w:sz w:val="22"/>
                <w:szCs w:val="22"/>
              </w:rPr>
              <w:t>$3.81</w:t>
            </w:r>
          </w:p>
        </w:tc>
        <w:tc>
          <w:tcPr>
            <w:tcW w:w="992" w:type="dxa"/>
          </w:tcPr>
          <w:p w14:paraId="29DE5CC9" w14:textId="05204539" w:rsidR="00623416" w:rsidRPr="00203EF7" w:rsidRDefault="00623416" w:rsidP="00623416">
            <w:pPr>
              <w:spacing w:after="120"/>
              <w:jc w:val="right"/>
              <w:rPr>
                <w:rFonts w:asciiTheme="minorHAnsi" w:hAnsiTheme="minorHAnsi"/>
                <w:sz w:val="22"/>
                <w:szCs w:val="22"/>
              </w:rPr>
            </w:pPr>
            <w:r w:rsidRPr="00203EF7">
              <w:rPr>
                <w:rFonts w:asciiTheme="minorHAnsi" w:hAnsiTheme="minorHAnsi"/>
                <w:sz w:val="22"/>
                <w:szCs w:val="22"/>
              </w:rPr>
              <w:t>$</w:t>
            </w:r>
            <w:r>
              <w:rPr>
                <w:rFonts w:asciiTheme="minorHAnsi" w:hAnsiTheme="minorHAnsi"/>
                <w:sz w:val="22"/>
                <w:szCs w:val="22"/>
              </w:rPr>
              <w:t>4.00</w:t>
            </w:r>
          </w:p>
        </w:tc>
        <w:tc>
          <w:tcPr>
            <w:tcW w:w="992" w:type="dxa"/>
            <w:shd w:val="clear" w:color="auto" w:fill="auto"/>
          </w:tcPr>
          <w:p w14:paraId="529A4936" w14:textId="5DC56EC0" w:rsidR="00623416" w:rsidRPr="00203EF7" w:rsidRDefault="00623416" w:rsidP="002D7B66">
            <w:pPr>
              <w:spacing w:after="120"/>
              <w:jc w:val="right"/>
              <w:rPr>
                <w:rFonts w:asciiTheme="minorHAnsi" w:hAnsiTheme="minorHAnsi"/>
                <w:sz w:val="22"/>
                <w:szCs w:val="22"/>
              </w:rPr>
            </w:pPr>
            <w:r>
              <w:rPr>
                <w:rFonts w:asciiTheme="minorHAnsi" w:hAnsiTheme="minorHAnsi"/>
                <w:sz w:val="22"/>
                <w:szCs w:val="22"/>
              </w:rPr>
              <w:t>$14.90</w:t>
            </w:r>
          </w:p>
        </w:tc>
      </w:tr>
      <w:tr w:rsidR="00965EBE" w14:paraId="72F75EB3" w14:textId="77777777" w:rsidTr="0096049C">
        <w:tc>
          <w:tcPr>
            <w:tcW w:w="8925" w:type="dxa"/>
            <w:gridSpan w:val="7"/>
          </w:tcPr>
          <w:p w14:paraId="67A2FE01" w14:textId="77777777" w:rsidR="00965EBE" w:rsidRPr="002D7B66" w:rsidRDefault="00965EBE" w:rsidP="00623416">
            <w:pPr>
              <w:spacing w:after="120"/>
              <w:jc w:val="right"/>
              <w:rPr>
                <w:rFonts w:asciiTheme="minorHAnsi" w:hAnsiTheme="minorHAnsi"/>
                <w:sz w:val="6"/>
                <w:szCs w:val="6"/>
              </w:rPr>
            </w:pPr>
          </w:p>
        </w:tc>
      </w:tr>
      <w:tr w:rsidR="00090A53" w14:paraId="7609588A" w14:textId="77777777" w:rsidTr="002D7B66">
        <w:tc>
          <w:tcPr>
            <w:tcW w:w="2972" w:type="dxa"/>
          </w:tcPr>
          <w:p w14:paraId="462987F4" w14:textId="44272750" w:rsidR="00090A53" w:rsidRPr="00203EF7" w:rsidRDefault="00D334D3" w:rsidP="00090A53">
            <w:pPr>
              <w:spacing w:after="120"/>
              <w:rPr>
                <w:rFonts w:asciiTheme="minorHAnsi" w:hAnsiTheme="minorHAnsi"/>
                <w:sz w:val="22"/>
                <w:szCs w:val="22"/>
              </w:rPr>
            </w:pPr>
            <w:r>
              <w:rPr>
                <w:rFonts w:asciiTheme="minorHAnsi" w:hAnsiTheme="minorHAnsi"/>
                <w:sz w:val="22"/>
                <w:szCs w:val="22"/>
              </w:rPr>
              <w:t xml:space="preserve">Expense less revenue </w:t>
            </w:r>
            <w:r w:rsidR="00090A53">
              <w:rPr>
                <w:rFonts w:asciiTheme="minorHAnsi" w:hAnsiTheme="minorHAnsi"/>
                <w:sz w:val="22"/>
                <w:szCs w:val="22"/>
              </w:rPr>
              <w:t xml:space="preserve"> – recovered activities only</w:t>
            </w:r>
            <w:r w:rsidR="00090A53" w:rsidRPr="00203EF7">
              <w:rPr>
                <w:rFonts w:asciiTheme="minorHAnsi" w:hAnsiTheme="minorHAnsi"/>
                <w:sz w:val="22"/>
                <w:szCs w:val="22"/>
              </w:rPr>
              <w:t xml:space="preserve">  </w:t>
            </w:r>
            <w:r w:rsidR="00090A53">
              <w:rPr>
                <w:rFonts w:asciiTheme="minorHAnsi" w:hAnsiTheme="minorHAnsi"/>
                <w:sz w:val="22"/>
                <w:szCs w:val="22"/>
              </w:rPr>
              <w:t>($m)</w:t>
            </w:r>
          </w:p>
        </w:tc>
        <w:tc>
          <w:tcPr>
            <w:tcW w:w="992" w:type="dxa"/>
          </w:tcPr>
          <w:p w14:paraId="42517914" w14:textId="563B3963" w:rsidR="00090A53" w:rsidRPr="00203EF7" w:rsidRDefault="00090A53" w:rsidP="002D7B66">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3.46</w:t>
            </w:r>
          </w:p>
        </w:tc>
        <w:tc>
          <w:tcPr>
            <w:tcW w:w="993" w:type="dxa"/>
          </w:tcPr>
          <w:p w14:paraId="4A9EBB26" w14:textId="7E684B06" w:rsidR="00090A53" w:rsidRPr="00203EF7" w:rsidRDefault="00090A53" w:rsidP="002D7B66">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0.17</w:t>
            </w:r>
          </w:p>
        </w:tc>
        <w:tc>
          <w:tcPr>
            <w:tcW w:w="992" w:type="dxa"/>
          </w:tcPr>
          <w:p w14:paraId="467E7433" w14:textId="155D06EA" w:rsidR="00090A53" w:rsidRPr="00203EF7" w:rsidRDefault="00090A53" w:rsidP="00090A53">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0.18</w:t>
            </w:r>
          </w:p>
        </w:tc>
        <w:tc>
          <w:tcPr>
            <w:tcW w:w="992" w:type="dxa"/>
          </w:tcPr>
          <w:p w14:paraId="7C3CA8BB" w14:textId="09596FD4" w:rsidR="00090A53" w:rsidRPr="00203EF7" w:rsidRDefault="00090A53" w:rsidP="002D7B66">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0.19</w:t>
            </w:r>
          </w:p>
        </w:tc>
        <w:tc>
          <w:tcPr>
            <w:tcW w:w="992" w:type="dxa"/>
          </w:tcPr>
          <w:p w14:paraId="3E2216D4" w14:textId="6DBB55D2" w:rsidR="00090A53" w:rsidRPr="00203EF7" w:rsidRDefault="00BC6DA6" w:rsidP="002D7B66">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0.19</w:t>
            </w:r>
          </w:p>
        </w:tc>
        <w:tc>
          <w:tcPr>
            <w:tcW w:w="992" w:type="dxa"/>
            <w:shd w:val="clear" w:color="auto" w:fill="auto"/>
          </w:tcPr>
          <w:p w14:paraId="3CD29776" w14:textId="5F822BF8" w:rsidR="00090A53" w:rsidRPr="00203EF7" w:rsidRDefault="00090A53" w:rsidP="002D7B66">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4.19</w:t>
            </w:r>
          </w:p>
        </w:tc>
      </w:tr>
      <w:tr w:rsidR="00965EBE" w14:paraId="60587DA3" w14:textId="77777777" w:rsidTr="002D7B66">
        <w:tc>
          <w:tcPr>
            <w:tcW w:w="2972" w:type="dxa"/>
          </w:tcPr>
          <w:p w14:paraId="2BE1CF09" w14:textId="71E1A986" w:rsidR="00965EBE" w:rsidRPr="00203EF7" w:rsidRDefault="00965EBE" w:rsidP="00D334D3">
            <w:pPr>
              <w:spacing w:after="120"/>
              <w:rPr>
                <w:rFonts w:asciiTheme="minorHAnsi" w:hAnsiTheme="minorHAnsi"/>
                <w:sz w:val="22"/>
                <w:szCs w:val="22"/>
              </w:rPr>
            </w:pPr>
            <w:r w:rsidRPr="00203EF7">
              <w:rPr>
                <w:rFonts w:asciiTheme="minorHAnsi" w:hAnsiTheme="minorHAnsi"/>
                <w:sz w:val="22"/>
                <w:szCs w:val="22"/>
              </w:rPr>
              <w:t xml:space="preserve">Cumulative </w:t>
            </w:r>
            <w:r w:rsidR="00D334D3">
              <w:rPr>
                <w:rFonts w:asciiTheme="minorHAnsi" w:hAnsiTheme="minorHAnsi"/>
                <w:sz w:val="22"/>
                <w:szCs w:val="22"/>
              </w:rPr>
              <w:t>expense less revenue -</w:t>
            </w:r>
            <w:r w:rsidRPr="00203EF7">
              <w:rPr>
                <w:rFonts w:asciiTheme="minorHAnsi" w:hAnsiTheme="minorHAnsi"/>
                <w:sz w:val="22"/>
                <w:szCs w:val="22"/>
              </w:rPr>
              <w:t xml:space="preserve"> </w:t>
            </w:r>
            <w:r>
              <w:rPr>
                <w:rFonts w:asciiTheme="minorHAnsi" w:hAnsiTheme="minorHAnsi"/>
                <w:sz w:val="22"/>
                <w:szCs w:val="22"/>
              </w:rPr>
              <w:t>recovered activities only ($m)</w:t>
            </w:r>
          </w:p>
        </w:tc>
        <w:tc>
          <w:tcPr>
            <w:tcW w:w="992" w:type="dxa"/>
          </w:tcPr>
          <w:p w14:paraId="10D04571" w14:textId="17E48E94" w:rsidR="00965EBE" w:rsidRDefault="00965EBE" w:rsidP="00AA2D01">
            <w:pPr>
              <w:spacing w:after="120"/>
              <w:jc w:val="right"/>
              <w:rPr>
                <w:rFonts w:asciiTheme="minorHAnsi" w:hAnsiTheme="minorHAnsi"/>
                <w:sz w:val="22"/>
                <w:szCs w:val="22"/>
              </w:rPr>
            </w:pPr>
            <w:r>
              <w:rPr>
                <w:rFonts w:asciiTheme="minorHAnsi" w:hAnsiTheme="minorHAnsi"/>
                <w:sz w:val="22"/>
                <w:szCs w:val="22"/>
              </w:rPr>
              <w:t>$3.46</w:t>
            </w:r>
          </w:p>
        </w:tc>
        <w:tc>
          <w:tcPr>
            <w:tcW w:w="993" w:type="dxa"/>
          </w:tcPr>
          <w:p w14:paraId="2104CA3B" w14:textId="25CF7F60" w:rsidR="00965EBE" w:rsidRDefault="00965EBE" w:rsidP="00AA2D01">
            <w:pPr>
              <w:spacing w:after="120"/>
              <w:jc w:val="right"/>
              <w:rPr>
                <w:rFonts w:asciiTheme="minorHAnsi" w:hAnsiTheme="minorHAnsi"/>
                <w:sz w:val="22"/>
                <w:szCs w:val="22"/>
              </w:rPr>
            </w:pPr>
            <w:r>
              <w:rPr>
                <w:rFonts w:asciiTheme="minorHAnsi" w:hAnsiTheme="minorHAnsi"/>
                <w:sz w:val="22"/>
                <w:szCs w:val="22"/>
              </w:rPr>
              <w:t>$3.63</w:t>
            </w:r>
          </w:p>
        </w:tc>
        <w:tc>
          <w:tcPr>
            <w:tcW w:w="992" w:type="dxa"/>
          </w:tcPr>
          <w:p w14:paraId="4FCF0C87" w14:textId="651A9988" w:rsidR="00965EBE" w:rsidRDefault="00965EBE" w:rsidP="00090A53">
            <w:pPr>
              <w:spacing w:after="120"/>
              <w:jc w:val="right"/>
              <w:rPr>
                <w:rFonts w:asciiTheme="minorHAnsi" w:hAnsiTheme="minorHAnsi"/>
                <w:sz w:val="22"/>
                <w:szCs w:val="22"/>
              </w:rPr>
            </w:pPr>
            <w:r>
              <w:rPr>
                <w:rFonts w:asciiTheme="minorHAnsi" w:hAnsiTheme="minorHAnsi"/>
                <w:sz w:val="22"/>
                <w:szCs w:val="22"/>
              </w:rPr>
              <w:t>$3.81</w:t>
            </w:r>
          </w:p>
        </w:tc>
        <w:tc>
          <w:tcPr>
            <w:tcW w:w="992" w:type="dxa"/>
          </w:tcPr>
          <w:p w14:paraId="552081BD" w14:textId="08925892" w:rsidR="00965EBE" w:rsidRDefault="00965EBE" w:rsidP="00AA2D01">
            <w:pPr>
              <w:spacing w:after="120"/>
              <w:jc w:val="right"/>
              <w:rPr>
                <w:rFonts w:asciiTheme="minorHAnsi" w:hAnsiTheme="minorHAnsi"/>
                <w:sz w:val="22"/>
                <w:szCs w:val="22"/>
              </w:rPr>
            </w:pPr>
            <w:r>
              <w:rPr>
                <w:rFonts w:asciiTheme="minorHAnsi" w:hAnsiTheme="minorHAnsi"/>
                <w:sz w:val="22"/>
                <w:szCs w:val="22"/>
              </w:rPr>
              <w:t>$4.00</w:t>
            </w:r>
          </w:p>
        </w:tc>
        <w:tc>
          <w:tcPr>
            <w:tcW w:w="992" w:type="dxa"/>
          </w:tcPr>
          <w:p w14:paraId="5B1E22AC" w14:textId="13F31B3E" w:rsidR="00965EBE" w:rsidRDefault="00965EBE" w:rsidP="00AA2D01">
            <w:pPr>
              <w:spacing w:after="120"/>
              <w:jc w:val="right"/>
              <w:rPr>
                <w:rFonts w:asciiTheme="minorHAnsi" w:hAnsiTheme="minorHAnsi"/>
                <w:sz w:val="22"/>
                <w:szCs w:val="22"/>
              </w:rPr>
            </w:pPr>
            <w:r>
              <w:rPr>
                <w:rFonts w:asciiTheme="minorHAnsi" w:hAnsiTheme="minorHAnsi"/>
                <w:sz w:val="22"/>
                <w:szCs w:val="22"/>
              </w:rPr>
              <w:t>$4.19</w:t>
            </w:r>
          </w:p>
        </w:tc>
        <w:tc>
          <w:tcPr>
            <w:tcW w:w="992" w:type="dxa"/>
            <w:shd w:val="clear" w:color="auto" w:fill="auto"/>
          </w:tcPr>
          <w:p w14:paraId="2E2519B8" w14:textId="76F5B8B3" w:rsidR="00965EBE" w:rsidRDefault="003810EA" w:rsidP="00AA2D01">
            <w:pPr>
              <w:spacing w:after="120"/>
              <w:jc w:val="right"/>
              <w:rPr>
                <w:rFonts w:asciiTheme="minorHAnsi" w:hAnsiTheme="minorHAnsi"/>
                <w:sz w:val="22"/>
                <w:szCs w:val="22"/>
              </w:rPr>
            </w:pPr>
            <w:r>
              <w:rPr>
                <w:rFonts w:asciiTheme="minorHAnsi" w:hAnsiTheme="minorHAnsi"/>
                <w:sz w:val="22"/>
                <w:szCs w:val="22"/>
              </w:rPr>
              <w:t>-</w:t>
            </w:r>
          </w:p>
        </w:tc>
      </w:tr>
      <w:tr w:rsidR="00965EBE" w14:paraId="47C02E65" w14:textId="77777777" w:rsidTr="0096049C">
        <w:tc>
          <w:tcPr>
            <w:tcW w:w="8925" w:type="dxa"/>
            <w:gridSpan w:val="7"/>
          </w:tcPr>
          <w:p w14:paraId="5EA053EA" w14:textId="77777777" w:rsidR="00965EBE" w:rsidRPr="002D7B66" w:rsidRDefault="00965EBE" w:rsidP="00AA2D01">
            <w:pPr>
              <w:spacing w:after="120"/>
              <w:jc w:val="right"/>
              <w:rPr>
                <w:rFonts w:asciiTheme="minorHAnsi" w:hAnsiTheme="minorHAnsi"/>
                <w:sz w:val="6"/>
                <w:szCs w:val="6"/>
              </w:rPr>
            </w:pPr>
          </w:p>
        </w:tc>
      </w:tr>
      <w:tr w:rsidR="00AA2D01" w14:paraId="525526F1" w14:textId="77777777" w:rsidTr="002D7B66">
        <w:tc>
          <w:tcPr>
            <w:tcW w:w="2972" w:type="dxa"/>
          </w:tcPr>
          <w:p w14:paraId="2E460D62" w14:textId="289AA9ED" w:rsidR="00AA2D01" w:rsidRPr="00203EF7" w:rsidRDefault="00D334D3" w:rsidP="002D7B66">
            <w:pPr>
              <w:spacing w:after="120"/>
              <w:rPr>
                <w:rFonts w:asciiTheme="minorHAnsi" w:hAnsiTheme="minorHAnsi"/>
                <w:sz w:val="22"/>
                <w:szCs w:val="22"/>
              </w:rPr>
            </w:pPr>
            <w:r>
              <w:rPr>
                <w:rFonts w:asciiTheme="minorHAnsi" w:hAnsiTheme="minorHAnsi"/>
                <w:sz w:val="22"/>
                <w:szCs w:val="22"/>
              </w:rPr>
              <w:t>Expense less revenue</w:t>
            </w:r>
            <w:r w:rsidR="00AA2D01">
              <w:rPr>
                <w:rFonts w:asciiTheme="minorHAnsi" w:hAnsiTheme="minorHAnsi"/>
                <w:sz w:val="22"/>
                <w:szCs w:val="22"/>
              </w:rPr>
              <w:t xml:space="preserve"> – including not recovered activities</w:t>
            </w:r>
            <w:r w:rsidR="005E7B63">
              <w:rPr>
                <w:rFonts w:asciiTheme="minorHAnsi" w:hAnsiTheme="minorHAnsi"/>
                <w:sz w:val="22"/>
                <w:szCs w:val="22"/>
              </w:rPr>
              <w:t xml:space="preserve"> </w:t>
            </w:r>
            <w:r w:rsidR="00AA2D01">
              <w:rPr>
                <w:rFonts w:asciiTheme="minorHAnsi" w:hAnsiTheme="minorHAnsi"/>
                <w:sz w:val="22"/>
                <w:szCs w:val="22"/>
              </w:rPr>
              <w:t>($m)</w:t>
            </w:r>
          </w:p>
        </w:tc>
        <w:tc>
          <w:tcPr>
            <w:tcW w:w="992" w:type="dxa"/>
          </w:tcPr>
          <w:p w14:paraId="507C2BF6" w14:textId="17D8763D" w:rsidR="00AA2D01" w:rsidRDefault="00AA2D01" w:rsidP="00AA2D01">
            <w:pPr>
              <w:spacing w:after="120"/>
              <w:jc w:val="right"/>
              <w:rPr>
                <w:rFonts w:asciiTheme="minorHAnsi" w:hAnsiTheme="minorHAnsi"/>
                <w:sz w:val="22"/>
                <w:szCs w:val="22"/>
              </w:rPr>
            </w:pPr>
            <w:r>
              <w:rPr>
                <w:rFonts w:asciiTheme="minorHAnsi" w:hAnsiTheme="minorHAnsi"/>
                <w:sz w:val="22"/>
                <w:szCs w:val="22"/>
              </w:rPr>
              <w:t>$3.77</w:t>
            </w:r>
          </w:p>
        </w:tc>
        <w:tc>
          <w:tcPr>
            <w:tcW w:w="993" w:type="dxa"/>
          </w:tcPr>
          <w:p w14:paraId="46AF6185" w14:textId="1115F2A5" w:rsidR="00AA2D01" w:rsidRDefault="00AA2D01" w:rsidP="00AA2D01">
            <w:pPr>
              <w:spacing w:after="120"/>
              <w:jc w:val="right"/>
              <w:rPr>
                <w:rFonts w:asciiTheme="minorHAnsi" w:hAnsiTheme="minorHAnsi"/>
                <w:sz w:val="22"/>
                <w:szCs w:val="22"/>
              </w:rPr>
            </w:pPr>
            <w:r>
              <w:rPr>
                <w:rFonts w:asciiTheme="minorHAnsi" w:hAnsiTheme="minorHAnsi"/>
                <w:sz w:val="22"/>
                <w:szCs w:val="22"/>
              </w:rPr>
              <w:t>$0.50</w:t>
            </w:r>
          </w:p>
        </w:tc>
        <w:tc>
          <w:tcPr>
            <w:tcW w:w="992" w:type="dxa"/>
          </w:tcPr>
          <w:p w14:paraId="513D0D66" w14:textId="35A462EF" w:rsidR="00AA2D01" w:rsidRDefault="00AA2D01" w:rsidP="00090A53">
            <w:pPr>
              <w:spacing w:after="120"/>
              <w:jc w:val="right"/>
              <w:rPr>
                <w:rFonts w:asciiTheme="minorHAnsi" w:hAnsiTheme="minorHAnsi"/>
                <w:sz w:val="22"/>
                <w:szCs w:val="22"/>
              </w:rPr>
            </w:pPr>
            <w:r>
              <w:rPr>
                <w:rFonts w:asciiTheme="minorHAnsi" w:hAnsiTheme="minorHAnsi"/>
                <w:sz w:val="22"/>
                <w:szCs w:val="22"/>
              </w:rPr>
              <w:t>$</w:t>
            </w:r>
            <w:r w:rsidR="00A610D1">
              <w:rPr>
                <w:rFonts w:asciiTheme="minorHAnsi" w:hAnsiTheme="minorHAnsi"/>
                <w:sz w:val="22"/>
                <w:szCs w:val="22"/>
              </w:rPr>
              <w:t>0.52</w:t>
            </w:r>
          </w:p>
        </w:tc>
        <w:tc>
          <w:tcPr>
            <w:tcW w:w="992" w:type="dxa"/>
          </w:tcPr>
          <w:p w14:paraId="2E37D2FB" w14:textId="542BC344" w:rsidR="00AA2D01" w:rsidRDefault="00A610D1" w:rsidP="00AA2D01">
            <w:pPr>
              <w:spacing w:after="120"/>
              <w:jc w:val="right"/>
              <w:rPr>
                <w:rFonts w:asciiTheme="minorHAnsi" w:hAnsiTheme="minorHAnsi"/>
                <w:sz w:val="22"/>
                <w:szCs w:val="22"/>
              </w:rPr>
            </w:pPr>
            <w:r>
              <w:rPr>
                <w:rFonts w:asciiTheme="minorHAnsi" w:hAnsiTheme="minorHAnsi"/>
                <w:sz w:val="22"/>
                <w:szCs w:val="22"/>
              </w:rPr>
              <w:t>$0.54</w:t>
            </w:r>
          </w:p>
        </w:tc>
        <w:tc>
          <w:tcPr>
            <w:tcW w:w="992" w:type="dxa"/>
          </w:tcPr>
          <w:p w14:paraId="2EA5A141" w14:textId="126EC0E8" w:rsidR="00AA2D01" w:rsidRDefault="00A610D1" w:rsidP="00AA2D01">
            <w:pPr>
              <w:spacing w:after="120"/>
              <w:jc w:val="right"/>
              <w:rPr>
                <w:rFonts w:asciiTheme="minorHAnsi" w:hAnsiTheme="minorHAnsi"/>
                <w:sz w:val="22"/>
                <w:szCs w:val="22"/>
              </w:rPr>
            </w:pPr>
            <w:r>
              <w:rPr>
                <w:rFonts w:asciiTheme="minorHAnsi" w:hAnsiTheme="minorHAnsi"/>
                <w:sz w:val="22"/>
                <w:szCs w:val="22"/>
              </w:rPr>
              <w:t>$0.56</w:t>
            </w:r>
          </w:p>
        </w:tc>
        <w:tc>
          <w:tcPr>
            <w:tcW w:w="992" w:type="dxa"/>
            <w:shd w:val="clear" w:color="auto" w:fill="auto"/>
          </w:tcPr>
          <w:p w14:paraId="23280BB0" w14:textId="3894A154" w:rsidR="00AA2D01" w:rsidRDefault="00A610D1" w:rsidP="00AA2D01">
            <w:pPr>
              <w:spacing w:after="120"/>
              <w:jc w:val="right"/>
              <w:rPr>
                <w:rFonts w:asciiTheme="minorHAnsi" w:hAnsiTheme="minorHAnsi"/>
                <w:sz w:val="22"/>
                <w:szCs w:val="22"/>
              </w:rPr>
            </w:pPr>
            <w:r>
              <w:rPr>
                <w:rFonts w:asciiTheme="minorHAnsi" w:hAnsiTheme="minorHAnsi"/>
                <w:sz w:val="22"/>
                <w:szCs w:val="22"/>
              </w:rPr>
              <w:t>$5.89</w:t>
            </w:r>
          </w:p>
        </w:tc>
      </w:tr>
      <w:tr w:rsidR="00A56836" w14:paraId="78033188" w14:textId="77777777" w:rsidTr="002D7B66">
        <w:tc>
          <w:tcPr>
            <w:tcW w:w="2972" w:type="dxa"/>
          </w:tcPr>
          <w:p w14:paraId="5F969BB2" w14:textId="7C2BDD27" w:rsidR="00A56836" w:rsidRPr="00203EF7" w:rsidRDefault="00761225" w:rsidP="00D334D3">
            <w:pPr>
              <w:spacing w:after="120"/>
              <w:rPr>
                <w:rFonts w:asciiTheme="minorHAnsi" w:hAnsiTheme="minorHAnsi"/>
                <w:sz w:val="22"/>
                <w:szCs w:val="22"/>
              </w:rPr>
            </w:pPr>
            <w:r w:rsidRPr="00203EF7">
              <w:rPr>
                <w:rFonts w:asciiTheme="minorHAnsi" w:hAnsiTheme="minorHAnsi"/>
                <w:sz w:val="22"/>
                <w:szCs w:val="22"/>
              </w:rPr>
              <w:t xml:space="preserve">Cumulative </w:t>
            </w:r>
            <w:r w:rsidR="00D334D3">
              <w:rPr>
                <w:rFonts w:asciiTheme="minorHAnsi" w:hAnsiTheme="minorHAnsi"/>
                <w:sz w:val="22"/>
                <w:szCs w:val="22"/>
              </w:rPr>
              <w:t>expense less revenue,</w:t>
            </w:r>
            <w:r w:rsidRPr="00203EF7">
              <w:rPr>
                <w:rFonts w:asciiTheme="minorHAnsi" w:hAnsiTheme="minorHAnsi"/>
                <w:sz w:val="22"/>
                <w:szCs w:val="22"/>
              </w:rPr>
              <w:t xml:space="preserve"> funded by Government</w:t>
            </w:r>
            <w:r>
              <w:rPr>
                <w:rFonts w:asciiTheme="minorHAnsi" w:hAnsiTheme="minorHAnsi"/>
                <w:sz w:val="22"/>
                <w:szCs w:val="22"/>
              </w:rPr>
              <w:t xml:space="preserve"> ($m)</w:t>
            </w:r>
          </w:p>
        </w:tc>
        <w:tc>
          <w:tcPr>
            <w:tcW w:w="992" w:type="dxa"/>
          </w:tcPr>
          <w:p w14:paraId="2FDFD55B" w14:textId="02CB8D29" w:rsidR="00A56836" w:rsidRPr="00203EF7" w:rsidRDefault="00AA2D01" w:rsidP="002D7B66">
            <w:pPr>
              <w:spacing w:after="120"/>
              <w:jc w:val="right"/>
              <w:rPr>
                <w:rFonts w:asciiTheme="minorHAnsi" w:hAnsiTheme="minorHAnsi"/>
                <w:sz w:val="22"/>
                <w:szCs w:val="22"/>
              </w:rPr>
            </w:pPr>
            <w:r>
              <w:rPr>
                <w:rFonts w:asciiTheme="minorHAnsi" w:hAnsiTheme="minorHAnsi"/>
                <w:sz w:val="22"/>
                <w:szCs w:val="22"/>
              </w:rPr>
              <w:t>$3.77</w:t>
            </w:r>
          </w:p>
        </w:tc>
        <w:tc>
          <w:tcPr>
            <w:tcW w:w="993" w:type="dxa"/>
          </w:tcPr>
          <w:p w14:paraId="3908C7CB" w14:textId="08BD8AF1" w:rsidR="00A56836" w:rsidRPr="00203EF7" w:rsidRDefault="00A56836" w:rsidP="002D7B66">
            <w:pPr>
              <w:spacing w:after="120"/>
              <w:jc w:val="right"/>
              <w:rPr>
                <w:rFonts w:asciiTheme="minorHAnsi" w:hAnsiTheme="minorHAnsi"/>
                <w:sz w:val="22"/>
                <w:szCs w:val="22"/>
              </w:rPr>
            </w:pPr>
            <w:r>
              <w:rPr>
                <w:rFonts w:asciiTheme="minorHAnsi" w:hAnsiTheme="minorHAnsi"/>
                <w:sz w:val="22"/>
                <w:szCs w:val="22"/>
              </w:rPr>
              <w:t>$</w:t>
            </w:r>
            <w:r w:rsidR="00AA2D01">
              <w:rPr>
                <w:rFonts w:asciiTheme="minorHAnsi" w:hAnsiTheme="minorHAnsi"/>
                <w:sz w:val="22"/>
                <w:szCs w:val="22"/>
              </w:rPr>
              <w:t>4.27</w:t>
            </w:r>
          </w:p>
        </w:tc>
        <w:tc>
          <w:tcPr>
            <w:tcW w:w="992" w:type="dxa"/>
          </w:tcPr>
          <w:p w14:paraId="20E59861" w14:textId="27D56076" w:rsidR="00A56836" w:rsidRPr="00203EF7" w:rsidRDefault="00AA2D01">
            <w:pPr>
              <w:spacing w:after="120"/>
              <w:jc w:val="right"/>
              <w:rPr>
                <w:rFonts w:asciiTheme="minorHAnsi" w:hAnsiTheme="minorHAnsi"/>
                <w:sz w:val="22"/>
                <w:szCs w:val="22"/>
              </w:rPr>
            </w:pPr>
            <w:r>
              <w:rPr>
                <w:rFonts w:asciiTheme="minorHAnsi" w:hAnsiTheme="minorHAnsi"/>
                <w:sz w:val="22"/>
                <w:szCs w:val="22"/>
              </w:rPr>
              <w:t>$</w:t>
            </w:r>
            <w:r w:rsidR="00A610D1">
              <w:rPr>
                <w:rFonts w:asciiTheme="minorHAnsi" w:hAnsiTheme="minorHAnsi"/>
                <w:sz w:val="22"/>
                <w:szCs w:val="22"/>
              </w:rPr>
              <w:t>4.79</w:t>
            </w:r>
          </w:p>
        </w:tc>
        <w:tc>
          <w:tcPr>
            <w:tcW w:w="992" w:type="dxa"/>
          </w:tcPr>
          <w:p w14:paraId="23138EB7" w14:textId="0E168037" w:rsidR="00A56836" w:rsidRPr="00203EF7" w:rsidRDefault="00A610D1">
            <w:pPr>
              <w:spacing w:after="120"/>
              <w:jc w:val="right"/>
              <w:rPr>
                <w:rFonts w:asciiTheme="minorHAnsi" w:hAnsiTheme="minorHAnsi"/>
                <w:sz w:val="22"/>
                <w:szCs w:val="22"/>
              </w:rPr>
            </w:pPr>
            <w:r>
              <w:rPr>
                <w:rFonts w:asciiTheme="minorHAnsi" w:hAnsiTheme="minorHAnsi"/>
                <w:sz w:val="22"/>
                <w:szCs w:val="22"/>
              </w:rPr>
              <w:t>$5.33</w:t>
            </w:r>
          </w:p>
        </w:tc>
        <w:tc>
          <w:tcPr>
            <w:tcW w:w="992" w:type="dxa"/>
          </w:tcPr>
          <w:p w14:paraId="4056D547" w14:textId="31F63A1E" w:rsidR="00A56836" w:rsidRPr="00203EF7" w:rsidRDefault="00AA2D01" w:rsidP="00A56836">
            <w:pPr>
              <w:spacing w:after="120"/>
              <w:jc w:val="right"/>
              <w:rPr>
                <w:rFonts w:asciiTheme="minorHAnsi" w:hAnsiTheme="minorHAnsi"/>
                <w:sz w:val="22"/>
                <w:szCs w:val="22"/>
              </w:rPr>
            </w:pPr>
            <w:r>
              <w:rPr>
                <w:rFonts w:asciiTheme="minorHAnsi" w:hAnsiTheme="minorHAnsi"/>
                <w:sz w:val="22"/>
                <w:szCs w:val="22"/>
              </w:rPr>
              <w:t>$5.89</w:t>
            </w:r>
          </w:p>
        </w:tc>
        <w:tc>
          <w:tcPr>
            <w:tcW w:w="992" w:type="dxa"/>
            <w:shd w:val="clear" w:color="auto" w:fill="auto"/>
          </w:tcPr>
          <w:p w14:paraId="5E40D39E" w14:textId="36BBF77B" w:rsidR="0097174E" w:rsidRPr="00203EF7" w:rsidRDefault="00660F25">
            <w:pPr>
              <w:spacing w:after="120"/>
              <w:jc w:val="right"/>
              <w:rPr>
                <w:rFonts w:asciiTheme="minorHAnsi" w:hAnsiTheme="minorHAnsi"/>
                <w:sz w:val="22"/>
                <w:szCs w:val="22"/>
              </w:rPr>
            </w:pPr>
            <w:r>
              <w:rPr>
                <w:rFonts w:asciiTheme="minorHAnsi" w:hAnsiTheme="minorHAnsi"/>
                <w:sz w:val="22"/>
                <w:szCs w:val="22"/>
              </w:rPr>
              <w:t>-</w:t>
            </w:r>
          </w:p>
        </w:tc>
      </w:tr>
      <w:tr w:rsidR="00A56836" w14:paraId="0E14171C" w14:textId="77777777" w:rsidTr="002D7B66">
        <w:trPr>
          <w:trHeight w:val="532"/>
        </w:trPr>
        <w:tc>
          <w:tcPr>
            <w:tcW w:w="8925" w:type="dxa"/>
            <w:gridSpan w:val="7"/>
          </w:tcPr>
          <w:p w14:paraId="2D902625" w14:textId="69FA9B76" w:rsidR="00A56836" w:rsidRPr="002D7B66" w:rsidRDefault="00A610D1" w:rsidP="002D7B66">
            <w:pPr>
              <w:spacing w:after="120"/>
              <w:rPr>
                <w:rFonts w:asciiTheme="minorHAnsi" w:hAnsiTheme="minorHAnsi"/>
                <w:sz w:val="22"/>
                <w:szCs w:val="22"/>
              </w:rPr>
            </w:pPr>
            <w:r w:rsidRPr="002D7B66">
              <w:rPr>
                <w:rFonts w:asciiTheme="minorHAnsi" w:hAnsiTheme="minorHAnsi"/>
                <w:sz w:val="22"/>
                <w:szCs w:val="22"/>
              </w:rPr>
              <w:t xml:space="preserve">* </w:t>
            </w:r>
            <w:r w:rsidRPr="002D7B66">
              <w:rPr>
                <w:rFonts w:asciiTheme="minorHAnsi" w:hAnsiTheme="minorHAnsi"/>
                <w:sz w:val="20"/>
                <w:szCs w:val="20"/>
              </w:rPr>
              <w:t>Expense</w:t>
            </w:r>
            <w:r w:rsidR="00E15B98">
              <w:rPr>
                <w:rFonts w:asciiTheme="minorHAnsi" w:hAnsiTheme="minorHAnsi"/>
                <w:sz w:val="20"/>
                <w:szCs w:val="20"/>
              </w:rPr>
              <w:t>s</w:t>
            </w:r>
            <w:r w:rsidRPr="002D7B66">
              <w:rPr>
                <w:rFonts w:asciiTheme="minorHAnsi" w:hAnsiTheme="minorHAnsi"/>
                <w:sz w:val="20"/>
                <w:szCs w:val="20"/>
              </w:rPr>
              <w:t xml:space="preserve"> incurred in 2024 that are recoverable will be recovered in 2025</w:t>
            </w:r>
            <w:r w:rsidRPr="002D7B66">
              <w:rPr>
                <w:rFonts w:asciiTheme="minorHAnsi" w:hAnsiTheme="minorHAnsi"/>
                <w:sz w:val="22"/>
                <w:szCs w:val="22"/>
              </w:rPr>
              <w:t xml:space="preserve"> </w:t>
            </w:r>
          </w:p>
        </w:tc>
      </w:tr>
      <w:tr w:rsidR="00A56836" w14:paraId="1AB922E7" w14:textId="77777777" w:rsidTr="002D7B66">
        <w:tc>
          <w:tcPr>
            <w:tcW w:w="2972" w:type="dxa"/>
            <w:shd w:val="clear" w:color="auto" w:fill="DEEAF6" w:themeFill="accent5" w:themeFillTint="33"/>
          </w:tcPr>
          <w:p w14:paraId="33C75375" w14:textId="77777777" w:rsidR="00A56836" w:rsidRPr="00353BEC" w:rsidRDefault="00A56836" w:rsidP="00A56836">
            <w:pPr>
              <w:spacing w:after="120"/>
              <w:rPr>
                <w:rFonts w:asciiTheme="minorHAnsi" w:hAnsiTheme="minorHAnsi"/>
                <w:b/>
                <w:sz w:val="22"/>
                <w:szCs w:val="22"/>
              </w:rPr>
            </w:pPr>
            <w:r w:rsidRPr="00353BEC">
              <w:rPr>
                <w:rFonts w:asciiTheme="minorHAnsi" w:hAnsiTheme="minorHAnsi"/>
                <w:b/>
                <w:sz w:val="22"/>
                <w:szCs w:val="22"/>
              </w:rPr>
              <w:t>Financial year</w:t>
            </w:r>
          </w:p>
        </w:tc>
        <w:tc>
          <w:tcPr>
            <w:tcW w:w="992" w:type="dxa"/>
            <w:shd w:val="clear" w:color="auto" w:fill="DEEAF6" w:themeFill="accent5" w:themeFillTint="33"/>
          </w:tcPr>
          <w:p w14:paraId="00D97185" w14:textId="77777777" w:rsidR="00A56836" w:rsidRPr="00353BEC" w:rsidRDefault="00A56836" w:rsidP="00A56836">
            <w:pPr>
              <w:spacing w:after="120"/>
              <w:jc w:val="right"/>
              <w:rPr>
                <w:rFonts w:asciiTheme="minorHAnsi" w:hAnsiTheme="minorHAnsi"/>
                <w:b/>
                <w:sz w:val="22"/>
                <w:szCs w:val="22"/>
              </w:rPr>
            </w:pPr>
            <w:r w:rsidRPr="00353BEC">
              <w:rPr>
                <w:rFonts w:asciiTheme="minorHAnsi" w:hAnsiTheme="minorHAnsi"/>
                <w:b/>
                <w:sz w:val="22"/>
                <w:szCs w:val="22"/>
              </w:rPr>
              <w:t>2019-20</w:t>
            </w:r>
          </w:p>
        </w:tc>
        <w:tc>
          <w:tcPr>
            <w:tcW w:w="993" w:type="dxa"/>
            <w:shd w:val="clear" w:color="auto" w:fill="DEEAF6" w:themeFill="accent5" w:themeFillTint="33"/>
          </w:tcPr>
          <w:p w14:paraId="30E4AFC4" w14:textId="77777777" w:rsidR="00A56836" w:rsidRPr="00353BEC" w:rsidRDefault="00A56836" w:rsidP="00A56836">
            <w:pPr>
              <w:spacing w:after="120"/>
              <w:jc w:val="right"/>
              <w:rPr>
                <w:rFonts w:asciiTheme="minorHAnsi" w:hAnsiTheme="minorHAnsi"/>
                <w:b/>
                <w:sz w:val="22"/>
                <w:szCs w:val="22"/>
              </w:rPr>
            </w:pPr>
            <w:r w:rsidRPr="00353BEC">
              <w:rPr>
                <w:rFonts w:asciiTheme="minorHAnsi" w:hAnsiTheme="minorHAnsi"/>
                <w:b/>
                <w:sz w:val="22"/>
                <w:szCs w:val="22"/>
              </w:rPr>
              <w:t>2020-21</w:t>
            </w:r>
          </w:p>
        </w:tc>
        <w:tc>
          <w:tcPr>
            <w:tcW w:w="992" w:type="dxa"/>
            <w:shd w:val="clear" w:color="auto" w:fill="DEEAF6" w:themeFill="accent5" w:themeFillTint="33"/>
          </w:tcPr>
          <w:p w14:paraId="5037D1BD" w14:textId="77777777" w:rsidR="00A56836" w:rsidRPr="00353BEC" w:rsidRDefault="00A56836" w:rsidP="00A56836">
            <w:pPr>
              <w:spacing w:after="120"/>
              <w:jc w:val="right"/>
              <w:rPr>
                <w:rFonts w:asciiTheme="minorHAnsi" w:hAnsiTheme="minorHAnsi"/>
                <w:b/>
                <w:sz w:val="22"/>
                <w:szCs w:val="22"/>
              </w:rPr>
            </w:pPr>
            <w:r w:rsidRPr="00353BEC">
              <w:rPr>
                <w:rFonts w:asciiTheme="minorHAnsi" w:hAnsiTheme="minorHAnsi"/>
                <w:b/>
                <w:sz w:val="22"/>
                <w:szCs w:val="22"/>
              </w:rPr>
              <w:t>2021-22</w:t>
            </w:r>
          </w:p>
        </w:tc>
        <w:tc>
          <w:tcPr>
            <w:tcW w:w="992" w:type="dxa"/>
            <w:shd w:val="clear" w:color="auto" w:fill="DEEAF6" w:themeFill="accent5" w:themeFillTint="33"/>
          </w:tcPr>
          <w:p w14:paraId="08761558" w14:textId="77777777" w:rsidR="00A56836" w:rsidRPr="00353BEC" w:rsidRDefault="00A56836" w:rsidP="00A56836">
            <w:pPr>
              <w:spacing w:after="120"/>
              <w:jc w:val="right"/>
              <w:rPr>
                <w:rFonts w:asciiTheme="minorHAnsi" w:hAnsiTheme="minorHAnsi"/>
                <w:b/>
                <w:sz w:val="22"/>
                <w:szCs w:val="22"/>
              </w:rPr>
            </w:pPr>
            <w:r w:rsidRPr="00353BEC">
              <w:rPr>
                <w:rFonts w:asciiTheme="minorHAnsi" w:hAnsiTheme="minorHAnsi"/>
                <w:b/>
                <w:sz w:val="22"/>
                <w:szCs w:val="22"/>
              </w:rPr>
              <w:t>2022-23</w:t>
            </w:r>
          </w:p>
        </w:tc>
        <w:tc>
          <w:tcPr>
            <w:tcW w:w="992" w:type="dxa"/>
            <w:shd w:val="clear" w:color="auto" w:fill="DEEAF6" w:themeFill="accent5" w:themeFillTint="33"/>
          </w:tcPr>
          <w:p w14:paraId="351D8C50" w14:textId="77777777" w:rsidR="00A56836" w:rsidRPr="00353BEC" w:rsidRDefault="00A56836" w:rsidP="00A56836">
            <w:pPr>
              <w:spacing w:after="120"/>
              <w:jc w:val="right"/>
              <w:rPr>
                <w:rFonts w:asciiTheme="minorHAnsi" w:hAnsiTheme="minorHAnsi"/>
                <w:b/>
                <w:sz w:val="22"/>
                <w:szCs w:val="22"/>
              </w:rPr>
            </w:pPr>
            <w:r w:rsidRPr="00353BEC">
              <w:rPr>
                <w:rFonts w:asciiTheme="minorHAnsi" w:hAnsiTheme="minorHAnsi"/>
                <w:b/>
                <w:sz w:val="22"/>
                <w:szCs w:val="22"/>
              </w:rPr>
              <w:t>2023-24</w:t>
            </w:r>
          </w:p>
        </w:tc>
        <w:tc>
          <w:tcPr>
            <w:tcW w:w="992" w:type="dxa"/>
            <w:shd w:val="clear" w:color="auto" w:fill="DEEAF6" w:themeFill="accent5" w:themeFillTint="33"/>
          </w:tcPr>
          <w:p w14:paraId="499CAD82" w14:textId="41018F01" w:rsidR="00A56836" w:rsidRPr="00353BEC" w:rsidRDefault="00A56836" w:rsidP="00A56836">
            <w:pPr>
              <w:spacing w:after="120"/>
              <w:jc w:val="right"/>
              <w:rPr>
                <w:rFonts w:asciiTheme="minorHAnsi" w:hAnsiTheme="minorHAnsi"/>
                <w:b/>
                <w:sz w:val="22"/>
                <w:szCs w:val="22"/>
              </w:rPr>
            </w:pPr>
            <w:r w:rsidRPr="00353BEC">
              <w:rPr>
                <w:rFonts w:asciiTheme="minorHAnsi" w:hAnsiTheme="minorHAnsi"/>
                <w:b/>
                <w:sz w:val="22"/>
                <w:szCs w:val="22"/>
              </w:rPr>
              <w:t>Total</w:t>
            </w:r>
            <w:r w:rsidR="00A47DD5">
              <w:rPr>
                <w:rFonts w:asciiTheme="minorHAnsi" w:hAnsiTheme="minorHAnsi"/>
                <w:b/>
                <w:sz w:val="22"/>
                <w:szCs w:val="22"/>
              </w:rPr>
              <w:t>**</w:t>
            </w:r>
          </w:p>
        </w:tc>
      </w:tr>
      <w:tr w:rsidR="00761225" w14:paraId="4E7CBF21" w14:textId="77777777" w:rsidTr="002D7B66">
        <w:tc>
          <w:tcPr>
            <w:tcW w:w="2972" w:type="dxa"/>
            <w:shd w:val="clear" w:color="auto" w:fill="auto"/>
          </w:tcPr>
          <w:p w14:paraId="4B7CC71E" w14:textId="70CD9CA8" w:rsidR="00761225" w:rsidRPr="00353BEC" w:rsidRDefault="00761225" w:rsidP="00761225">
            <w:pPr>
              <w:spacing w:after="120"/>
              <w:rPr>
                <w:rFonts w:asciiTheme="minorHAnsi" w:hAnsiTheme="minorHAnsi"/>
                <w:b/>
                <w:sz w:val="22"/>
                <w:szCs w:val="22"/>
              </w:rPr>
            </w:pPr>
            <w:r w:rsidRPr="00203EF7">
              <w:rPr>
                <w:rFonts w:asciiTheme="minorHAnsi" w:hAnsiTheme="minorHAnsi"/>
                <w:sz w:val="22"/>
                <w:szCs w:val="22"/>
              </w:rPr>
              <w:t>Expenses</w:t>
            </w:r>
            <w:r>
              <w:rPr>
                <w:rFonts w:asciiTheme="minorHAnsi" w:hAnsiTheme="minorHAnsi"/>
                <w:sz w:val="22"/>
                <w:szCs w:val="22"/>
              </w:rPr>
              <w:t>, including not recovered activities</w:t>
            </w:r>
            <w:r w:rsidRPr="00203EF7">
              <w:rPr>
                <w:rFonts w:asciiTheme="minorHAnsi" w:hAnsiTheme="minorHAnsi"/>
                <w:sz w:val="22"/>
                <w:szCs w:val="22"/>
              </w:rPr>
              <w:t xml:space="preserve"> </w:t>
            </w:r>
            <w:r>
              <w:rPr>
                <w:rFonts w:asciiTheme="minorHAnsi" w:hAnsiTheme="minorHAnsi"/>
                <w:sz w:val="22"/>
                <w:szCs w:val="22"/>
              </w:rPr>
              <w:t>($m)</w:t>
            </w:r>
          </w:p>
        </w:tc>
        <w:tc>
          <w:tcPr>
            <w:tcW w:w="992" w:type="dxa"/>
            <w:shd w:val="clear" w:color="auto" w:fill="auto"/>
          </w:tcPr>
          <w:p w14:paraId="0CEFA384" w14:textId="579C49DF" w:rsidR="00761225" w:rsidRPr="00353BEC" w:rsidRDefault="00761225" w:rsidP="002D7B66">
            <w:pPr>
              <w:spacing w:after="120"/>
              <w:jc w:val="right"/>
              <w:rPr>
                <w:rFonts w:asciiTheme="minorHAnsi" w:hAnsiTheme="minorHAnsi"/>
                <w:sz w:val="22"/>
                <w:szCs w:val="22"/>
              </w:rPr>
            </w:pPr>
            <w:r w:rsidRPr="00353BEC">
              <w:rPr>
                <w:rFonts w:asciiTheme="minorHAnsi" w:hAnsiTheme="minorHAnsi"/>
                <w:sz w:val="22"/>
                <w:szCs w:val="22"/>
              </w:rPr>
              <w:t>$</w:t>
            </w:r>
            <w:r>
              <w:rPr>
                <w:rFonts w:asciiTheme="minorHAnsi" w:hAnsiTheme="minorHAnsi"/>
                <w:sz w:val="22"/>
                <w:szCs w:val="22"/>
              </w:rPr>
              <w:t>1</w:t>
            </w:r>
            <w:r w:rsidR="00C123DA">
              <w:rPr>
                <w:rFonts w:asciiTheme="minorHAnsi" w:hAnsiTheme="minorHAnsi"/>
                <w:sz w:val="22"/>
                <w:szCs w:val="22"/>
              </w:rPr>
              <w:t>.</w:t>
            </w:r>
            <w:r w:rsidR="00A610D1">
              <w:rPr>
                <w:rFonts w:asciiTheme="minorHAnsi" w:hAnsiTheme="minorHAnsi"/>
                <w:sz w:val="22"/>
                <w:szCs w:val="22"/>
              </w:rPr>
              <w:t>89</w:t>
            </w:r>
          </w:p>
        </w:tc>
        <w:tc>
          <w:tcPr>
            <w:tcW w:w="993" w:type="dxa"/>
            <w:shd w:val="clear" w:color="auto" w:fill="auto"/>
          </w:tcPr>
          <w:p w14:paraId="6060BBB8" w14:textId="6640A31F" w:rsidR="00761225" w:rsidRPr="00353BEC" w:rsidRDefault="00C123DA" w:rsidP="002D7B66">
            <w:pPr>
              <w:spacing w:after="120"/>
              <w:jc w:val="right"/>
              <w:rPr>
                <w:rFonts w:asciiTheme="minorHAnsi" w:hAnsiTheme="minorHAnsi"/>
                <w:sz w:val="22"/>
                <w:szCs w:val="22"/>
              </w:rPr>
            </w:pPr>
            <w:r>
              <w:rPr>
                <w:rFonts w:asciiTheme="minorHAnsi" w:hAnsiTheme="minorHAnsi"/>
                <w:sz w:val="22"/>
                <w:szCs w:val="22"/>
              </w:rPr>
              <w:t>$3.</w:t>
            </w:r>
            <w:r w:rsidR="00A610D1">
              <w:rPr>
                <w:rFonts w:asciiTheme="minorHAnsi" w:hAnsiTheme="minorHAnsi"/>
                <w:sz w:val="22"/>
                <w:szCs w:val="22"/>
              </w:rPr>
              <w:t>86</w:t>
            </w:r>
          </w:p>
        </w:tc>
        <w:tc>
          <w:tcPr>
            <w:tcW w:w="992" w:type="dxa"/>
            <w:shd w:val="clear" w:color="auto" w:fill="auto"/>
          </w:tcPr>
          <w:p w14:paraId="7A0E6798" w14:textId="3EA3019A" w:rsidR="00761225" w:rsidRPr="00353BEC" w:rsidRDefault="00C123DA" w:rsidP="002D7B66">
            <w:pPr>
              <w:spacing w:after="120"/>
              <w:jc w:val="right"/>
              <w:rPr>
                <w:rFonts w:asciiTheme="minorHAnsi" w:hAnsiTheme="minorHAnsi"/>
                <w:sz w:val="22"/>
                <w:szCs w:val="22"/>
              </w:rPr>
            </w:pPr>
            <w:r>
              <w:rPr>
                <w:rFonts w:asciiTheme="minorHAnsi" w:hAnsiTheme="minorHAnsi"/>
                <w:sz w:val="22"/>
                <w:szCs w:val="22"/>
              </w:rPr>
              <w:t>$4.</w:t>
            </w:r>
            <w:r w:rsidR="00A610D1">
              <w:rPr>
                <w:rFonts w:asciiTheme="minorHAnsi" w:hAnsiTheme="minorHAnsi"/>
                <w:sz w:val="22"/>
                <w:szCs w:val="22"/>
              </w:rPr>
              <w:t>0</w:t>
            </w:r>
            <w:r>
              <w:rPr>
                <w:rFonts w:asciiTheme="minorHAnsi" w:hAnsiTheme="minorHAnsi"/>
                <w:sz w:val="22"/>
                <w:szCs w:val="22"/>
              </w:rPr>
              <w:t>5</w:t>
            </w:r>
          </w:p>
        </w:tc>
        <w:tc>
          <w:tcPr>
            <w:tcW w:w="992" w:type="dxa"/>
            <w:shd w:val="clear" w:color="auto" w:fill="auto"/>
          </w:tcPr>
          <w:p w14:paraId="15A925B0" w14:textId="71D7238A" w:rsidR="00761225" w:rsidRPr="00353BEC" w:rsidRDefault="00761225" w:rsidP="002D7B66">
            <w:pPr>
              <w:spacing w:after="120"/>
              <w:jc w:val="right"/>
              <w:rPr>
                <w:rFonts w:asciiTheme="minorHAnsi" w:hAnsiTheme="minorHAnsi"/>
                <w:sz w:val="22"/>
                <w:szCs w:val="22"/>
              </w:rPr>
            </w:pPr>
            <w:r>
              <w:rPr>
                <w:rFonts w:asciiTheme="minorHAnsi" w:hAnsiTheme="minorHAnsi"/>
                <w:sz w:val="22"/>
                <w:szCs w:val="22"/>
              </w:rPr>
              <w:t>$</w:t>
            </w:r>
            <w:r w:rsidR="00C123DA">
              <w:rPr>
                <w:rFonts w:asciiTheme="minorHAnsi" w:hAnsiTheme="minorHAnsi"/>
                <w:sz w:val="22"/>
                <w:szCs w:val="22"/>
              </w:rPr>
              <w:t>4.</w:t>
            </w:r>
            <w:r w:rsidR="00A610D1">
              <w:rPr>
                <w:rFonts w:asciiTheme="minorHAnsi" w:hAnsiTheme="minorHAnsi"/>
                <w:sz w:val="22"/>
                <w:szCs w:val="22"/>
              </w:rPr>
              <w:t>2</w:t>
            </w:r>
            <w:r w:rsidR="00C123DA">
              <w:rPr>
                <w:rFonts w:asciiTheme="minorHAnsi" w:hAnsiTheme="minorHAnsi"/>
                <w:sz w:val="22"/>
                <w:szCs w:val="22"/>
              </w:rPr>
              <w:t>5</w:t>
            </w:r>
          </w:p>
        </w:tc>
        <w:tc>
          <w:tcPr>
            <w:tcW w:w="992" w:type="dxa"/>
            <w:shd w:val="clear" w:color="auto" w:fill="auto"/>
          </w:tcPr>
          <w:p w14:paraId="151780F8" w14:textId="74867A38" w:rsidR="00761225" w:rsidRPr="00353BEC" w:rsidRDefault="00C123DA" w:rsidP="002D7B66">
            <w:pPr>
              <w:spacing w:after="120"/>
              <w:jc w:val="right"/>
              <w:rPr>
                <w:rFonts w:asciiTheme="minorHAnsi" w:hAnsiTheme="minorHAnsi"/>
                <w:sz w:val="22"/>
                <w:szCs w:val="22"/>
              </w:rPr>
            </w:pPr>
            <w:r>
              <w:rPr>
                <w:rFonts w:asciiTheme="minorHAnsi" w:hAnsiTheme="minorHAnsi"/>
                <w:sz w:val="22"/>
                <w:szCs w:val="22"/>
              </w:rPr>
              <w:t>$</w:t>
            </w:r>
            <w:r w:rsidR="00A610D1">
              <w:rPr>
                <w:rFonts w:asciiTheme="minorHAnsi" w:hAnsiTheme="minorHAnsi"/>
                <w:sz w:val="22"/>
                <w:szCs w:val="22"/>
              </w:rPr>
              <w:t>4.46</w:t>
            </w:r>
          </w:p>
        </w:tc>
        <w:tc>
          <w:tcPr>
            <w:tcW w:w="992" w:type="dxa"/>
            <w:shd w:val="clear" w:color="auto" w:fill="auto"/>
          </w:tcPr>
          <w:p w14:paraId="41BB6E21" w14:textId="3E1A5FD5" w:rsidR="00761225" w:rsidRPr="00353BEC" w:rsidRDefault="00761225" w:rsidP="002D7B66">
            <w:pPr>
              <w:spacing w:after="120"/>
              <w:jc w:val="right"/>
              <w:rPr>
                <w:rFonts w:asciiTheme="minorHAnsi" w:hAnsiTheme="minorHAnsi"/>
                <w:sz w:val="22"/>
                <w:szCs w:val="22"/>
              </w:rPr>
            </w:pPr>
            <w:r>
              <w:rPr>
                <w:rFonts w:asciiTheme="minorHAnsi" w:hAnsiTheme="minorHAnsi"/>
                <w:sz w:val="22"/>
                <w:szCs w:val="22"/>
              </w:rPr>
              <w:t>$</w:t>
            </w:r>
            <w:r w:rsidR="00A610D1">
              <w:rPr>
                <w:rFonts w:asciiTheme="minorHAnsi" w:hAnsiTheme="minorHAnsi"/>
                <w:sz w:val="22"/>
                <w:szCs w:val="22"/>
              </w:rPr>
              <w:t>18.51</w:t>
            </w:r>
          </w:p>
        </w:tc>
      </w:tr>
      <w:tr w:rsidR="00761225" w14:paraId="5488A27E" w14:textId="77777777" w:rsidTr="002D7B66">
        <w:tc>
          <w:tcPr>
            <w:tcW w:w="2972" w:type="dxa"/>
            <w:shd w:val="clear" w:color="auto" w:fill="auto"/>
          </w:tcPr>
          <w:p w14:paraId="2557B605" w14:textId="1AFFCEE5" w:rsidR="00761225" w:rsidRPr="00203EF7" w:rsidRDefault="00761225" w:rsidP="00761225">
            <w:pPr>
              <w:spacing w:after="120"/>
              <w:rPr>
                <w:rFonts w:asciiTheme="minorHAnsi" w:hAnsiTheme="minorHAnsi"/>
                <w:sz w:val="22"/>
                <w:szCs w:val="22"/>
              </w:rPr>
            </w:pPr>
            <w:r w:rsidRPr="00203EF7">
              <w:rPr>
                <w:rFonts w:asciiTheme="minorHAnsi" w:hAnsiTheme="minorHAnsi"/>
                <w:sz w:val="22"/>
                <w:szCs w:val="22"/>
              </w:rPr>
              <w:t>Expenses</w:t>
            </w:r>
            <w:r>
              <w:rPr>
                <w:rFonts w:asciiTheme="minorHAnsi" w:hAnsiTheme="minorHAnsi"/>
                <w:sz w:val="22"/>
                <w:szCs w:val="22"/>
              </w:rPr>
              <w:t xml:space="preserve"> – recovered activities only</w:t>
            </w:r>
            <w:r w:rsidRPr="00203EF7">
              <w:rPr>
                <w:rFonts w:asciiTheme="minorHAnsi" w:hAnsiTheme="minorHAnsi"/>
                <w:sz w:val="22"/>
                <w:szCs w:val="22"/>
              </w:rPr>
              <w:t xml:space="preserve"> </w:t>
            </w:r>
            <w:r>
              <w:rPr>
                <w:rFonts w:asciiTheme="minorHAnsi" w:hAnsiTheme="minorHAnsi"/>
                <w:sz w:val="22"/>
                <w:szCs w:val="22"/>
              </w:rPr>
              <w:t>($m)</w:t>
            </w:r>
          </w:p>
        </w:tc>
        <w:tc>
          <w:tcPr>
            <w:tcW w:w="992" w:type="dxa"/>
            <w:shd w:val="clear" w:color="auto" w:fill="auto"/>
          </w:tcPr>
          <w:p w14:paraId="30EEAD64" w14:textId="17426E88" w:rsidR="00761225" w:rsidRPr="00353BEC" w:rsidRDefault="001A6840" w:rsidP="002D7B66">
            <w:pPr>
              <w:spacing w:after="120"/>
              <w:jc w:val="right"/>
              <w:rPr>
                <w:rFonts w:asciiTheme="minorHAnsi" w:hAnsiTheme="minorHAnsi"/>
                <w:sz w:val="22"/>
                <w:szCs w:val="22"/>
              </w:rPr>
            </w:pPr>
            <w:r>
              <w:rPr>
                <w:rFonts w:asciiTheme="minorHAnsi" w:hAnsiTheme="minorHAnsi"/>
                <w:sz w:val="22"/>
                <w:szCs w:val="22"/>
              </w:rPr>
              <w:t>$1.7</w:t>
            </w:r>
            <w:r w:rsidR="00A610D1">
              <w:rPr>
                <w:rFonts w:asciiTheme="minorHAnsi" w:hAnsiTheme="minorHAnsi"/>
                <w:sz w:val="22"/>
                <w:szCs w:val="22"/>
              </w:rPr>
              <w:t>3</w:t>
            </w:r>
          </w:p>
        </w:tc>
        <w:tc>
          <w:tcPr>
            <w:tcW w:w="993" w:type="dxa"/>
            <w:shd w:val="clear" w:color="auto" w:fill="auto"/>
          </w:tcPr>
          <w:p w14:paraId="4F7EAB6C" w14:textId="15C19500" w:rsidR="00761225" w:rsidRDefault="001A6840" w:rsidP="002D7B66">
            <w:pPr>
              <w:spacing w:after="120"/>
              <w:jc w:val="right"/>
              <w:rPr>
                <w:rFonts w:asciiTheme="minorHAnsi" w:hAnsiTheme="minorHAnsi"/>
                <w:sz w:val="22"/>
                <w:szCs w:val="22"/>
              </w:rPr>
            </w:pPr>
            <w:r>
              <w:rPr>
                <w:rFonts w:asciiTheme="minorHAnsi" w:hAnsiTheme="minorHAnsi"/>
                <w:sz w:val="22"/>
                <w:szCs w:val="22"/>
              </w:rPr>
              <w:t>$3.</w:t>
            </w:r>
            <w:r w:rsidR="00A610D1">
              <w:rPr>
                <w:rFonts w:asciiTheme="minorHAnsi" w:hAnsiTheme="minorHAnsi"/>
                <w:sz w:val="22"/>
                <w:szCs w:val="22"/>
              </w:rPr>
              <w:t>55</w:t>
            </w:r>
          </w:p>
        </w:tc>
        <w:tc>
          <w:tcPr>
            <w:tcW w:w="992" w:type="dxa"/>
            <w:shd w:val="clear" w:color="auto" w:fill="auto"/>
          </w:tcPr>
          <w:p w14:paraId="49831CC2" w14:textId="4917894A" w:rsidR="00761225" w:rsidRDefault="001A6840" w:rsidP="002D7B66">
            <w:pPr>
              <w:spacing w:after="120"/>
              <w:jc w:val="right"/>
              <w:rPr>
                <w:rFonts w:asciiTheme="minorHAnsi" w:hAnsiTheme="minorHAnsi"/>
                <w:sz w:val="22"/>
                <w:szCs w:val="22"/>
              </w:rPr>
            </w:pPr>
            <w:r>
              <w:rPr>
                <w:rFonts w:asciiTheme="minorHAnsi" w:hAnsiTheme="minorHAnsi"/>
                <w:sz w:val="22"/>
                <w:szCs w:val="22"/>
              </w:rPr>
              <w:t>$3.</w:t>
            </w:r>
            <w:r w:rsidR="00A610D1">
              <w:rPr>
                <w:rFonts w:asciiTheme="minorHAnsi" w:hAnsiTheme="minorHAnsi"/>
                <w:sz w:val="22"/>
                <w:szCs w:val="22"/>
              </w:rPr>
              <w:t>72</w:t>
            </w:r>
          </w:p>
        </w:tc>
        <w:tc>
          <w:tcPr>
            <w:tcW w:w="992" w:type="dxa"/>
            <w:shd w:val="clear" w:color="auto" w:fill="auto"/>
          </w:tcPr>
          <w:p w14:paraId="45F3261A" w14:textId="42A58F6A" w:rsidR="00761225" w:rsidRDefault="001A6840" w:rsidP="002D7B66">
            <w:pPr>
              <w:spacing w:after="120"/>
              <w:jc w:val="right"/>
              <w:rPr>
                <w:rFonts w:asciiTheme="minorHAnsi" w:hAnsiTheme="minorHAnsi"/>
                <w:sz w:val="22"/>
                <w:szCs w:val="22"/>
              </w:rPr>
            </w:pPr>
            <w:r>
              <w:rPr>
                <w:rFonts w:asciiTheme="minorHAnsi" w:hAnsiTheme="minorHAnsi"/>
                <w:sz w:val="22"/>
                <w:szCs w:val="22"/>
              </w:rPr>
              <w:t>$3.9</w:t>
            </w:r>
            <w:r w:rsidR="00A610D1">
              <w:rPr>
                <w:rFonts w:asciiTheme="minorHAnsi" w:hAnsiTheme="minorHAnsi"/>
                <w:sz w:val="22"/>
                <w:szCs w:val="22"/>
              </w:rPr>
              <w:t>0</w:t>
            </w:r>
          </w:p>
        </w:tc>
        <w:tc>
          <w:tcPr>
            <w:tcW w:w="992" w:type="dxa"/>
            <w:shd w:val="clear" w:color="auto" w:fill="auto"/>
          </w:tcPr>
          <w:p w14:paraId="1C09954E" w14:textId="308A3993" w:rsidR="00761225" w:rsidRDefault="001A6840" w:rsidP="002D7B66">
            <w:pPr>
              <w:spacing w:after="120"/>
              <w:jc w:val="right"/>
              <w:rPr>
                <w:rFonts w:asciiTheme="minorHAnsi" w:hAnsiTheme="minorHAnsi"/>
                <w:sz w:val="22"/>
                <w:szCs w:val="22"/>
              </w:rPr>
            </w:pPr>
            <w:r>
              <w:rPr>
                <w:rFonts w:asciiTheme="minorHAnsi" w:hAnsiTheme="minorHAnsi"/>
                <w:sz w:val="22"/>
                <w:szCs w:val="22"/>
              </w:rPr>
              <w:t>$</w:t>
            </w:r>
            <w:r w:rsidR="00A610D1">
              <w:rPr>
                <w:rFonts w:asciiTheme="minorHAnsi" w:hAnsiTheme="minorHAnsi"/>
                <w:sz w:val="22"/>
                <w:szCs w:val="22"/>
              </w:rPr>
              <w:t>4.09</w:t>
            </w:r>
          </w:p>
        </w:tc>
        <w:tc>
          <w:tcPr>
            <w:tcW w:w="992" w:type="dxa"/>
            <w:shd w:val="clear" w:color="auto" w:fill="auto"/>
          </w:tcPr>
          <w:p w14:paraId="36B18D5B" w14:textId="4736BC3D" w:rsidR="00761225" w:rsidRDefault="001A6840" w:rsidP="002D7B66">
            <w:pPr>
              <w:spacing w:after="120"/>
              <w:jc w:val="right"/>
              <w:rPr>
                <w:rFonts w:asciiTheme="minorHAnsi" w:hAnsiTheme="minorHAnsi"/>
                <w:sz w:val="22"/>
                <w:szCs w:val="22"/>
              </w:rPr>
            </w:pPr>
            <w:r>
              <w:rPr>
                <w:rFonts w:asciiTheme="minorHAnsi" w:hAnsiTheme="minorHAnsi"/>
                <w:sz w:val="22"/>
                <w:szCs w:val="22"/>
              </w:rPr>
              <w:t>$1</w:t>
            </w:r>
            <w:r w:rsidR="00A610D1">
              <w:rPr>
                <w:rFonts w:asciiTheme="minorHAnsi" w:hAnsiTheme="minorHAnsi"/>
                <w:sz w:val="22"/>
                <w:szCs w:val="22"/>
              </w:rPr>
              <w:t>6.99</w:t>
            </w:r>
          </w:p>
        </w:tc>
      </w:tr>
      <w:tr w:rsidR="00A610D1" w14:paraId="0C3C0DD1" w14:textId="77777777" w:rsidTr="002D7B66">
        <w:tc>
          <w:tcPr>
            <w:tcW w:w="2972" w:type="dxa"/>
            <w:shd w:val="clear" w:color="auto" w:fill="auto"/>
          </w:tcPr>
          <w:p w14:paraId="22BD3858" w14:textId="427A87AE" w:rsidR="00A610D1" w:rsidRPr="00353BEC" w:rsidRDefault="00A610D1" w:rsidP="00A610D1">
            <w:pPr>
              <w:spacing w:after="120"/>
              <w:rPr>
                <w:rFonts w:asciiTheme="minorHAnsi" w:hAnsiTheme="minorHAnsi"/>
                <w:b/>
                <w:sz w:val="22"/>
                <w:szCs w:val="22"/>
              </w:rPr>
            </w:pPr>
            <w:r w:rsidRPr="00203EF7">
              <w:rPr>
                <w:rFonts w:asciiTheme="minorHAnsi" w:hAnsiTheme="minorHAnsi"/>
                <w:sz w:val="22"/>
                <w:szCs w:val="22"/>
              </w:rPr>
              <w:t xml:space="preserve">Revenue </w:t>
            </w:r>
            <w:r>
              <w:rPr>
                <w:rFonts w:asciiTheme="minorHAnsi" w:hAnsiTheme="minorHAnsi"/>
                <w:sz w:val="22"/>
                <w:szCs w:val="22"/>
              </w:rPr>
              <w:t>($m)</w:t>
            </w:r>
          </w:p>
        </w:tc>
        <w:tc>
          <w:tcPr>
            <w:tcW w:w="992" w:type="dxa"/>
            <w:shd w:val="clear" w:color="auto" w:fill="auto"/>
          </w:tcPr>
          <w:p w14:paraId="50275C43" w14:textId="44BA7392" w:rsidR="00A610D1" w:rsidRPr="00353BEC" w:rsidRDefault="00A610D1" w:rsidP="00A610D1">
            <w:pPr>
              <w:spacing w:after="120"/>
              <w:jc w:val="right"/>
              <w:rPr>
                <w:rFonts w:asciiTheme="minorHAnsi" w:hAnsiTheme="minorHAnsi"/>
                <w:sz w:val="22"/>
                <w:szCs w:val="22"/>
              </w:rPr>
            </w:pPr>
            <w:r>
              <w:rPr>
                <w:rFonts w:asciiTheme="minorHAnsi" w:hAnsiTheme="minorHAnsi"/>
                <w:sz w:val="22"/>
                <w:szCs w:val="22"/>
              </w:rPr>
              <w:t>$-</w:t>
            </w:r>
          </w:p>
        </w:tc>
        <w:tc>
          <w:tcPr>
            <w:tcW w:w="993" w:type="dxa"/>
            <w:shd w:val="clear" w:color="auto" w:fill="auto"/>
          </w:tcPr>
          <w:p w14:paraId="110B5D72" w14:textId="200FD7D8" w:rsidR="00A610D1" w:rsidRPr="00353BEC" w:rsidRDefault="00A610D1" w:rsidP="00A610D1">
            <w:pPr>
              <w:spacing w:after="120"/>
              <w:jc w:val="right"/>
              <w:rPr>
                <w:rFonts w:asciiTheme="minorHAnsi" w:hAnsiTheme="minorHAnsi"/>
                <w:sz w:val="22"/>
                <w:szCs w:val="22"/>
              </w:rPr>
            </w:pPr>
            <w:r>
              <w:rPr>
                <w:rFonts w:asciiTheme="minorHAnsi" w:hAnsiTheme="minorHAnsi"/>
                <w:sz w:val="22"/>
                <w:szCs w:val="22"/>
              </w:rPr>
              <w:t>$3.46</w:t>
            </w:r>
          </w:p>
        </w:tc>
        <w:tc>
          <w:tcPr>
            <w:tcW w:w="992" w:type="dxa"/>
            <w:shd w:val="clear" w:color="auto" w:fill="auto"/>
          </w:tcPr>
          <w:p w14:paraId="7C0C8F7D" w14:textId="0C32D953" w:rsidR="00A610D1" w:rsidRPr="00353BEC" w:rsidRDefault="00A610D1" w:rsidP="00A610D1">
            <w:pPr>
              <w:spacing w:after="120"/>
              <w:jc w:val="right"/>
              <w:rPr>
                <w:rFonts w:asciiTheme="minorHAnsi" w:hAnsiTheme="minorHAnsi"/>
                <w:sz w:val="22"/>
                <w:szCs w:val="22"/>
              </w:rPr>
            </w:pPr>
            <w:r>
              <w:rPr>
                <w:rFonts w:asciiTheme="minorHAnsi" w:hAnsiTheme="minorHAnsi"/>
                <w:sz w:val="22"/>
                <w:szCs w:val="22"/>
              </w:rPr>
              <w:t>$3.63</w:t>
            </w:r>
          </w:p>
        </w:tc>
        <w:tc>
          <w:tcPr>
            <w:tcW w:w="992" w:type="dxa"/>
            <w:shd w:val="clear" w:color="auto" w:fill="auto"/>
          </w:tcPr>
          <w:p w14:paraId="08E9ADA4" w14:textId="43A8A74F" w:rsidR="00A610D1" w:rsidRPr="00353BEC" w:rsidRDefault="00A610D1" w:rsidP="00A610D1">
            <w:pPr>
              <w:spacing w:after="120"/>
              <w:jc w:val="right"/>
              <w:rPr>
                <w:rFonts w:asciiTheme="minorHAnsi" w:hAnsiTheme="minorHAnsi"/>
                <w:sz w:val="22"/>
                <w:szCs w:val="22"/>
              </w:rPr>
            </w:pPr>
            <w:r>
              <w:rPr>
                <w:rFonts w:asciiTheme="minorHAnsi" w:hAnsiTheme="minorHAnsi"/>
                <w:sz w:val="22"/>
                <w:szCs w:val="22"/>
              </w:rPr>
              <w:t>$3.81</w:t>
            </w:r>
          </w:p>
        </w:tc>
        <w:tc>
          <w:tcPr>
            <w:tcW w:w="992" w:type="dxa"/>
            <w:shd w:val="clear" w:color="auto" w:fill="auto"/>
          </w:tcPr>
          <w:p w14:paraId="07B7308B" w14:textId="0AFFE457" w:rsidR="00A610D1" w:rsidRPr="00353BEC" w:rsidRDefault="00A610D1" w:rsidP="00A610D1">
            <w:pPr>
              <w:spacing w:after="120"/>
              <w:jc w:val="right"/>
              <w:rPr>
                <w:rFonts w:asciiTheme="minorHAnsi" w:hAnsiTheme="minorHAnsi"/>
                <w:sz w:val="22"/>
                <w:szCs w:val="22"/>
              </w:rPr>
            </w:pPr>
            <w:r w:rsidRPr="00203EF7">
              <w:rPr>
                <w:rFonts w:asciiTheme="minorHAnsi" w:hAnsiTheme="minorHAnsi"/>
                <w:sz w:val="22"/>
                <w:szCs w:val="22"/>
              </w:rPr>
              <w:t>$</w:t>
            </w:r>
            <w:r>
              <w:rPr>
                <w:rFonts w:asciiTheme="minorHAnsi" w:hAnsiTheme="minorHAnsi"/>
                <w:sz w:val="22"/>
                <w:szCs w:val="22"/>
              </w:rPr>
              <w:t>4.00</w:t>
            </w:r>
          </w:p>
        </w:tc>
        <w:tc>
          <w:tcPr>
            <w:tcW w:w="992" w:type="dxa"/>
            <w:shd w:val="clear" w:color="auto" w:fill="auto"/>
          </w:tcPr>
          <w:p w14:paraId="19CDEE4F" w14:textId="3A6AC8DB" w:rsidR="00A610D1" w:rsidRPr="00353BEC" w:rsidRDefault="00A610D1" w:rsidP="00A610D1">
            <w:pPr>
              <w:spacing w:after="120"/>
              <w:jc w:val="right"/>
              <w:rPr>
                <w:rFonts w:asciiTheme="minorHAnsi" w:hAnsiTheme="minorHAnsi"/>
                <w:sz w:val="22"/>
                <w:szCs w:val="22"/>
              </w:rPr>
            </w:pPr>
            <w:r>
              <w:rPr>
                <w:rFonts w:asciiTheme="minorHAnsi" w:hAnsiTheme="minorHAnsi"/>
                <w:sz w:val="22"/>
                <w:szCs w:val="22"/>
              </w:rPr>
              <w:t>$14.90</w:t>
            </w:r>
          </w:p>
        </w:tc>
      </w:tr>
      <w:tr w:rsidR="00965EBE" w14:paraId="3F24FAAB" w14:textId="77777777" w:rsidTr="0096049C">
        <w:tc>
          <w:tcPr>
            <w:tcW w:w="8925" w:type="dxa"/>
            <w:gridSpan w:val="7"/>
            <w:shd w:val="clear" w:color="auto" w:fill="auto"/>
          </w:tcPr>
          <w:p w14:paraId="3F126121" w14:textId="77777777" w:rsidR="00965EBE" w:rsidRPr="002D7B66" w:rsidRDefault="00965EBE" w:rsidP="00A610D1">
            <w:pPr>
              <w:spacing w:after="120"/>
              <w:jc w:val="right"/>
              <w:rPr>
                <w:rFonts w:asciiTheme="minorHAnsi" w:hAnsiTheme="minorHAnsi"/>
                <w:sz w:val="6"/>
                <w:szCs w:val="6"/>
              </w:rPr>
            </w:pPr>
          </w:p>
        </w:tc>
      </w:tr>
      <w:tr w:rsidR="00761225" w14:paraId="5D037AD6" w14:textId="77777777" w:rsidTr="002D7B66">
        <w:tc>
          <w:tcPr>
            <w:tcW w:w="2972" w:type="dxa"/>
            <w:shd w:val="clear" w:color="auto" w:fill="auto"/>
          </w:tcPr>
          <w:p w14:paraId="76EAB87B" w14:textId="6B9E9956" w:rsidR="00761225" w:rsidRPr="00353BEC" w:rsidRDefault="00D334D3" w:rsidP="00761225">
            <w:pPr>
              <w:spacing w:after="120"/>
              <w:rPr>
                <w:rFonts w:asciiTheme="minorHAnsi" w:hAnsiTheme="minorHAnsi"/>
                <w:b/>
                <w:sz w:val="22"/>
                <w:szCs w:val="22"/>
              </w:rPr>
            </w:pPr>
            <w:r>
              <w:rPr>
                <w:rFonts w:asciiTheme="minorHAnsi" w:hAnsiTheme="minorHAnsi"/>
                <w:sz w:val="22"/>
                <w:szCs w:val="22"/>
              </w:rPr>
              <w:t>Expense less revenue</w:t>
            </w:r>
            <w:r w:rsidR="00761225">
              <w:rPr>
                <w:rFonts w:asciiTheme="minorHAnsi" w:hAnsiTheme="minorHAnsi"/>
                <w:sz w:val="22"/>
                <w:szCs w:val="22"/>
              </w:rPr>
              <w:t xml:space="preserve"> – recovered activities only</w:t>
            </w:r>
            <w:r w:rsidR="00761225" w:rsidRPr="00203EF7">
              <w:rPr>
                <w:rFonts w:asciiTheme="minorHAnsi" w:hAnsiTheme="minorHAnsi"/>
                <w:sz w:val="22"/>
                <w:szCs w:val="22"/>
              </w:rPr>
              <w:t xml:space="preserve">  </w:t>
            </w:r>
            <w:r w:rsidR="00761225">
              <w:rPr>
                <w:rFonts w:asciiTheme="minorHAnsi" w:hAnsiTheme="minorHAnsi"/>
                <w:sz w:val="22"/>
                <w:szCs w:val="22"/>
              </w:rPr>
              <w:t>($m)</w:t>
            </w:r>
          </w:p>
        </w:tc>
        <w:tc>
          <w:tcPr>
            <w:tcW w:w="992" w:type="dxa"/>
            <w:shd w:val="clear" w:color="auto" w:fill="auto"/>
          </w:tcPr>
          <w:p w14:paraId="25B4314F" w14:textId="71DE5D83" w:rsidR="00761225" w:rsidRPr="00353BEC" w:rsidRDefault="00761225" w:rsidP="002D7B66">
            <w:pPr>
              <w:spacing w:after="120"/>
              <w:jc w:val="right"/>
              <w:rPr>
                <w:rFonts w:asciiTheme="minorHAnsi" w:hAnsiTheme="minorHAnsi"/>
                <w:sz w:val="22"/>
                <w:szCs w:val="22"/>
              </w:rPr>
            </w:pPr>
            <w:r>
              <w:rPr>
                <w:rFonts w:asciiTheme="minorHAnsi" w:hAnsiTheme="minorHAnsi"/>
                <w:sz w:val="22"/>
                <w:szCs w:val="22"/>
              </w:rPr>
              <w:t>$1.7</w:t>
            </w:r>
            <w:r w:rsidR="00A47DD5">
              <w:rPr>
                <w:rFonts w:asciiTheme="minorHAnsi" w:hAnsiTheme="minorHAnsi"/>
                <w:sz w:val="22"/>
                <w:szCs w:val="22"/>
              </w:rPr>
              <w:t>3</w:t>
            </w:r>
          </w:p>
        </w:tc>
        <w:tc>
          <w:tcPr>
            <w:tcW w:w="993" w:type="dxa"/>
            <w:shd w:val="clear" w:color="auto" w:fill="auto"/>
          </w:tcPr>
          <w:p w14:paraId="0CD46976" w14:textId="01B829FE" w:rsidR="00761225" w:rsidRPr="00353BEC" w:rsidRDefault="001A6840" w:rsidP="002D7B66">
            <w:pPr>
              <w:spacing w:after="120"/>
              <w:jc w:val="right"/>
              <w:rPr>
                <w:rFonts w:asciiTheme="minorHAnsi" w:hAnsiTheme="minorHAnsi"/>
                <w:sz w:val="22"/>
                <w:szCs w:val="22"/>
              </w:rPr>
            </w:pPr>
            <w:r>
              <w:rPr>
                <w:rFonts w:asciiTheme="minorHAnsi" w:hAnsiTheme="minorHAnsi"/>
                <w:sz w:val="22"/>
                <w:szCs w:val="22"/>
              </w:rPr>
              <w:t>$0.0</w:t>
            </w:r>
            <w:r w:rsidR="00A47DD5">
              <w:rPr>
                <w:rFonts w:asciiTheme="minorHAnsi" w:hAnsiTheme="minorHAnsi"/>
                <w:sz w:val="22"/>
                <w:szCs w:val="22"/>
              </w:rPr>
              <w:t>9</w:t>
            </w:r>
          </w:p>
        </w:tc>
        <w:tc>
          <w:tcPr>
            <w:tcW w:w="992" w:type="dxa"/>
            <w:shd w:val="clear" w:color="auto" w:fill="auto"/>
          </w:tcPr>
          <w:p w14:paraId="4BDE8B77" w14:textId="71BC9C6E" w:rsidR="00761225" w:rsidRPr="00353BEC" w:rsidRDefault="00761225">
            <w:pPr>
              <w:spacing w:after="120"/>
              <w:jc w:val="right"/>
              <w:rPr>
                <w:rFonts w:asciiTheme="minorHAnsi" w:hAnsiTheme="minorHAnsi"/>
                <w:sz w:val="22"/>
                <w:szCs w:val="22"/>
              </w:rPr>
            </w:pPr>
            <w:r>
              <w:rPr>
                <w:rFonts w:asciiTheme="minorHAnsi" w:hAnsiTheme="minorHAnsi"/>
                <w:sz w:val="22"/>
                <w:szCs w:val="22"/>
              </w:rPr>
              <w:t>$0.09</w:t>
            </w:r>
          </w:p>
        </w:tc>
        <w:tc>
          <w:tcPr>
            <w:tcW w:w="992" w:type="dxa"/>
            <w:shd w:val="clear" w:color="auto" w:fill="auto"/>
          </w:tcPr>
          <w:p w14:paraId="33992587" w14:textId="2C9EA0AB" w:rsidR="00761225" w:rsidRPr="00353BEC" w:rsidRDefault="00761225" w:rsidP="002D7B66">
            <w:pPr>
              <w:spacing w:after="120"/>
              <w:jc w:val="right"/>
              <w:rPr>
                <w:rFonts w:asciiTheme="minorHAnsi" w:hAnsiTheme="minorHAnsi"/>
                <w:sz w:val="22"/>
                <w:szCs w:val="22"/>
              </w:rPr>
            </w:pPr>
            <w:r>
              <w:rPr>
                <w:rFonts w:asciiTheme="minorHAnsi" w:hAnsiTheme="minorHAnsi"/>
                <w:sz w:val="22"/>
                <w:szCs w:val="22"/>
              </w:rPr>
              <w:t>$0.</w:t>
            </w:r>
            <w:r w:rsidR="001A6840">
              <w:rPr>
                <w:rFonts w:asciiTheme="minorHAnsi" w:hAnsiTheme="minorHAnsi"/>
                <w:sz w:val="22"/>
                <w:szCs w:val="22"/>
              </w:rPr>
              <w:t>0</w:t>
            </w:r>
            <w:r w:rsidR="00A47DD5">
              <w:rPr>
                <w:rFonts w:asciiTheme="minorHAnsi" w:hAnsiTheme="minorHAnsi"/>
                <w:sz w:val="22"/>
                <w:szCs w:val="22"/>
              </w:rPr>
              <w:t>9</w:t>
            </w:r>
          </w:p>
        </w:tc>
        <w:tc>
          <w:tcPr>
            <w:tcW w:w="992" w:type="dxa"/>
            <w:shd w:val="clear" w:color="auto" w:fill="auto"/>
          </w:tcPr>
          <w:p w14:paraId="154188F5" w14:textId="2CEEFC3B" w:rsidR="00761225" w:rsidRPr="00353BEC" w:rsidRDefault="00761225" w:rsidP="002D7B66">
            <w:pPr>
              <w:spacing w:after="120"/>
              <w:jc w:val="right"/>
              <w:rPr>
                <w:rFonts w:asciiTheme="minorHAnsi" w:hAnsiTheme="minorHAnsi"/>
                <w:sz w:val="22"/>
                <w:szCs w:val="22"/>
              </w:rPr>
            </w:pPr>
            <w:r>
              <w:rPr>
                <w:rFonts w:asciiTheme="minorHAnsi" w:hAnsiTheme="minorHAnsi"/>
                <w:sz w:val="22"/>
                <w:szCs w:val="22"/>
              </w:rPr>
              <w:t>$</w:t>
            </w:r>
            <w:r w:rsidR="00A47DD5">
              <w:rPr>
                <w:rFonts w:asciiTheme="minorHAnsi" w:hAnsiTheme="minorHAnsi"/>
                <w:sz w:val="22"/>
                <w:szCs w:val="22"/>
              </w:rPr>
              <w:t>0.09</w:t>
            </w:r>
          </w:p>
        </w:tc>
        <w:tc>
          <w:tcPr>
            <w:tcW w:w="992" w:type="dxa"/>
            <w:shd w:val="clear" w:color="auto" w:fill="auto"/>
          </w:tcPr>
          <w:p w14:paraId="0E2FDB79" w14:textId="363CC73C" w:rsidR="00761225" w:rsidRPr="00353BEC" w:rsidRDefault="001A6840" w:rsidP="002D7B66">
            <w:pPr>
              <w:spacing w:after="120"/>
              <w:jc w:val="right"/>
              <w:rPr>
                <w:rFonts w:asciiTheme="minorHAnsi" w:hAnsiTheme="minorHAnsi"/>
                <w:sz w:val="22"/>
                <w:szCs w:val="22"/>
              </w:rPr>
            </w:pPr>
            <w:r>
              <w:rPr>
                <w:rFonts w:asciiTheme="minorHAnsi" w:hAnsiTheme="minorHAnsi"/>
                <w:sz w:val="22"/>
                <w:szCs w:val="22"/>
              </w:rPr>
              <w:t>$</w:t>
            </w:r>
            <w:r w:rsidR="00A47DD5">
              <w:rPr>
                <w:rFonts w:asciiTheme="minorHAnsi" w:hAnsiTheme="minorHAnsi"/>
                <w:sz w:val="22"/>
                <w:szCs w:val="22"/>
              </w:rPr>
              <w:t>2.09</w:t>
            </w:r>
          </w:p>
        </w:tc>
      </w:tr>
      <w:tr w:rsidR="00965EBE" w14:paraId="6648C64F" w14:textId="77777777" w:rsidTr="00965EBE">
        <w:tc>
          <w:tcPr>
            <w:tcW w:w="2972" w:type="dxa"/>
            <w:shd w:val="clear" w:color="auto" w:fill="auto"/>
          </w:tcPr>
          <w:p w14:paraId="54873FAB" w14:textId="03BE7383" w:rsidR="00965EBE" w:rsidRPr="00203EF7" w:rsidRDefault="00965EBE" w:rsidP="00D334D3">
            <w:pPr>
              <w:spacing w:after="120"/>
              <w:rPr>
                <w:rFonts w:asciiTheme="minorHAnsi" w:hAnsiTheme="minorHAnsi"/>
                <w:sz w:val="22"/>
                <w:szCs w:val="22"/>
              </w:rPr>
            </w:pPr>
            <w:r w:rsidRPr="00203EF7">
              <w:rPr>
                <w:rFonts w:asciiTheme="minorHAnsi" w:hAnsiTheme="minorHAnsi"/>
                <w:sz w:val="22"/>
                <w:szCs w:val="22"/>
              </w:rPr>
              <w:t xml:space="preserve">Cumulative </w:t>
            </w:r>
            <w:r w:rsidR="00D334D3">
              <w:rPr>
                <w:rFonts w:asciiTheme="minorHAnsi" w:hAnsiTheme="minorHAnsi"/>
                <w:sz w:val="22"/>
                <w:szCs w:val="22"/>
              </w:rPr>
              <w:t>expense less revenue</w:t>
            </w:r>
            <w:r w:rsidRPr="00203EF7">
              <w:rPr>
                <w:rFonts w:asciiTheme="minorHAnsi" w:hAnsiTheme="minorHAnsi"/>
                <w:sz w:val="22"/>
                <w:szCs w:val="22"/>
              </w:rPr>
              <w:t xml:space="preserve"> </w:t>
            </w:r>
            <w:r>
              <w:rPr>
                <w:rFonts w:asciiTheme="minorHAnsi" w:hAnsiTheme="minorHAnsi"/>
                <w:sz w:val="22"/>
                <w:szCs w:val="22"/>
              </w:rPr>
              <w:t>–</w:t>
            </w:r>
            <w:r w:rsidR="00D334D3">
              <w:rPr>
                <w:rFonts w:asciiTheme="minorHAnsi" w:hAnsiTheme="minorHAnsi"/>
                <w:sz w:val="22"/>
                <w:szCs w:val="22"/>
              </w:rPr>
              <w:t xml:space="preserve"> </w:t>
            </w:r>
            <w:r>
              <w:rPr>
                <w:rFonts w:asciiTheme="minorHAnsi" w:hAnsiTheme="minorHAnsi"/>
                <w:sz w:val="22"/>
                <w:szCs w:val="22"/>
              </w:rPr>
              <w:t>recovered activities only ($m)</w:t>
            </w:r>
          </w:p>
        </w:tc>
        <w:tc>
          <w:tcPr>
            <w:tcW w:w="992" w:type="dxa"/>
            <w:shd w:val="clear" w:color="auto" w:fill="auto"/>
          </w:tcPr>
          <w:p w14:paraId="63A261D4" w14:textId="7FDE2490" w:rsidR="00965EBE" w:rsidRDefault="005E7B63" w:rsidP="00A47DD5">
            <w:pPr>
              <w:spacing w:after="120"/>
              <w:jc w:val="right"/>
              <w:rPr>
                <w:rFonts w:asciiTheme="minorHAnsi" w:hAnsiTheme="minorHAnsi"/>
                <w:sz w:val="22"/>
                <w:szCs w:val="22"/>
              </w:rPr>
            </w:pPr>
            <w:r>
              <w:rPr>
                <w:rFonts w:asciiTheme="minorHAnsi" w:hAnsiTheme="minorHAnsi"/>
                <w:sz w:val="22"/>
                <w:szCs w:val="22"/>
              </w:rPr>
              <w:t>$1.73</w:t>
            </w:r>
          </w:p>
        </w:tc>
        <w:tc>
          <w:tcPr>
            <w:tcW w:w="993" w:type="dxa"/>
            <w:shd w:val="clear" w:color="auto" w:fill="auto"/>
          </w:tcPr>
          <w:p w14:paraId="678FF2A1" w14:textId="3F21C5F2" w:rsidR="00965EBE" w:rsidRDefault="005E7B63" w:rsidP="00A47DD5">
            <w:pPr>
              <w:spacing w:after="120"/>
              <w:jc w:val="right"/>
              <w:rPr>
                <w:rFonts w:asciiTheme="minorHAnsi" w:hAnsiTheme="minorHAnsi"/>
                <w:sz w:val="22"/>
                <w:szCs w:val="22"/>
              </w:rPr>
            </w:pPr>
            <w:r>
              <w:rPr>
                <w:rFonts w:asciiTheme="minorHAnsi" w:hAnsiTheme="minorHAnsi"/>
                <w:sz w:val="22"/>
                <w:szCs w:val="22"/>
              </w:rPr>
              <w:t>$1.82</w:t>
            </w:r>
          </w:p>
        </w:tc>
        <w:tc>
          <w:tcPr>
            <w:tcW w:w="992" w:type="dxa"/>
            <w:shd w:val="clear" w:color="auto" w:fill="auto"/>
          </w:tcPr>
          <w:p w14:paraId="185C0AEB" w14:textId="3153996D" w:rsidR="00965EBE" w:rsidRDefault="005E7B63">
            <w:pPr>
              <w:spacing w:after="120"/>
              <w:jc w:val="right"/>
              <w:rPr>
                <w:rFonts w:asciiTheme="minorHAnsi" w:hAnsiTheme="minorHAnsi"/>
                <w:sz w:val="22"/>
                <w:szCs w:val="22"/>
              </w:rPr>
            </w:pPr>
            <w:r>
              <w:rPr>
                <w:rFonts w:asciiTheme="minorHAnsi" w:hAnsiTheme="minorHAnsi"/>
                <w:sz w:val="22"/>
                <w:szCs w:val="22"/>
              </w:rPr>
              <w:t>$1.91</w:t>
            </w:r>
          </w:p>
        </w:tc>
        <w:tc>
          <w:tcPr>
            <w:tcW w:w="992" w:type="dxa"/>
            <w:shd w:val="clear" w:color="auto" w:fill="auto"/>
          </w:tcPr>
          <w:p w14:paraId="1E1B9996" w14:textId="35C511F4" w:rsidR="00965EBE" w:rsidRDefault="005E7B63" w:rsidP="00A47DD5">
            <w:pPr>
              <w:spacing w:after="120"/>
              <w:jc w:val="right"/>
              <w:rPr>
                <w:rFonts w:asciiTheme="minorHAnsi" w:hAnsiTheme="minorHAnsi"/>
                <w:sz w:val="22"/>
                <w:szCs w:val="22"/>
              </w:rPr>
            </w:pPr>
            <w:r>
              <w:rPr>
                <w:rFonts w:asciiTheme="minorHAnsi" w:hAnsiTheme="minorHAnsi"/>
                <w:sz w:val="22"/>
                <w:szCs w:val="22"/>
              </w:rPr>
              <w:t>$2.00</w:t>
            </w:r>
          </w:p>
        </w:tc>
        <w:tc>
          <w:tcPr>
            <w:tcW w:w="992" w:type="dxa"/>
            <w:shd w:val="clear" w:color="auto" w:fill="auto"/>
          </w:tcPr>
          <w:p w14:paraId="23DFDC85" w14:textId="502236D5" w:rsidR="00965EBE" w:rsidRDefault="005E7B63" w:rsidP="00A47DD5">
            <w:pPr>
              <w:spacing w:after="120"/>
              <w:jc w:val="right"/>
              <w:rPr>
                <w:rFonts w:asciiTheme="minorHAnsi" w:hAnsiTheme="minorHAnsi"/>
                <w:sz w:val="22"/>
                <w:szCs w:val="22"/>
              </w:rPr>
            </w:pPr>
            <w:r>
              <w:rPr>
                <w:rFonts w:asciiTheme="minorHAnsi" w:hAnsiTheme="minorHAnsi"/>
                <w:sz w:val="22"/>
                <w:szCs w:val="22"/>
              </w:rPr>
              <w:t>$2.09</w:t>
            </w:r>
          </w:p>
        </w:tc>
        <w:tc>
          <w:tcPr>
            <w:tcW w:w="992" w:type="dxa"/>
            <w:shd w:val="clear" w:color="auto" w:fill="auto"/>
          </w:tcPr>
          <w:p w14:paraId="5E1BA9AA" w14:textId="0A77FC23" w:rsidR="00965EBE" w:rsidRDefault="003810EA" w:rsidP="00A47DD5">
            <w:pPr>
              <w:spacing w:after="120"/>
              <w:jc w:val="right"/>
              <w:rPr>
                <w:rFonts w:asciiTheme="minorHAnsi" w:hAnsiTheme="minorHAnsi"/>
                <w:sz w:val="22"/>
                <w:szCs w:val="22"/>
              </w:rPr>
            </w:pPr>
            <w:r>
              <w:rPr>
                <w:rFonts w:asciiTheme="minorHAnsi" w:hAnsiTheme="minorHAnsi"/>
                <w:sz w:val="22"/>
                <w:szCs w:val="22"/>
              </w:rPr>
              <w:t>-</w:t>
            </w:r>
          </w:p>
        </w:tc>
      </w:tr>
      <w:tr w:rsidR="005E7B63" w14:paraId="24AA7BC5" w14:textId="77777777" w:rsidTr="0096049C">
        <w:tc>
          <w:tcPr>
            <w:tcW w:w="8925" w:type="dxa"/>
            <w:gridSpan w:val="7"/>
            <w:shd w:val="clear" w:color="auto" w:fill="auto"/>
          </w:tcPr>
          <w:p w14:paraId="2BE25382" w14:textId="77777777" w:rsidR="005E7B63" w:rsidRPr="002D7B66" w:rsidRDefault="005E7B63" w:rsidP="00A47DD5">
            <w:pPr>
              <w:spacing w:after="120"/>
              <w:jc w:val="right"/>
              <w:rPr>
                <w:rFonts w:asciiTheme="minorHAnsi" w:hAnsiTheme="minorHAnsi"/>
                <w:sz w:val="6"/>
                <w:szCs w:val="6"/>
              </w:rPr>
            </w:pPr>
          </w:p>
        </w:tc>
      </w:tr>
      <w:tr w:rsidR="00A47DD5" w14:paraId="32811DA5" w14:textId="77777777" w:rsidTr="002D7B66">
        <w:tc>
          <w:tcPr>
            <w:tcW w:w="2972" w:type="dxa"/>
            <w:shd w:val="clear" w:color="auto" w:fill="auto"/>
          </w:tcPr>
          <w:p w14:paraId="1D99B738" w14:textId="5F5F9E5F" w:rsidR="00A47DD5" w:rsidRPr="00203EF7" w:rsidRDefault="00D334D3" w:rsidP="00761225">
            <w:pPr>
              <w:spacing w:after="120"/>
              <w:rPr>
                <w:rFonts w:asciiTheme="minorHAnsi" w:hAnsiTheme="minorHAnsi"/>
                <w:sz w:val="22"/>
                <w:szCs w:val="22"/>
              </w:rPr>
            </w:pPr>
            <w:r>
              <w:rPr>
                <w:rFonts w:asciiTheme="minorHAnsi" w:hAnsiTheme="minorHAnsi"/>
                <w:sz w:val="22"/>
                <w:szCs w:val="22"/>
              </w:rPr>
              <w:t>Expense less revenue</w:t>
            </w:r>
            <w:r w:rsidR="00A47DD5">
              <w:rPr>
                <w:rFonts w:asciiTheme="minorHAnsi" w:hAnsiTheme="minorHAnsi"/>
                <w:sz w:val="22"/>
                <w:szCs w:val="22"/>
              </w:rPr>
              <w:t xml:space="preserve"> – including not recovered activities</w:t>
            </w:r>
            <w:r w:rsidR="005E7B63">
              <w:rPr>
                <w:rFonts w:asciiTheme="minorHAnsi" w:hAnsiTheme="minorHAnsi"/>
                <w:sz w:val="22"/>
                <w:szCs w:val="22"/>
              </w:rPr>
              <w:t xml:space="preserve"> </w:t>
            </w:r>
            <w:r w:rsidR="00A47DD5">
              <w:rPr>
                <w:rFonts w:asciiTheme="minorHAnsi" w:hAnsiTheme="minorHAnsi"/>
                <w:sz w:val="22"/>
                <w:szCs w:val="22"/>
              </w:rPr>
              <w:t>($m)</w:t>
            </w:r>
          </w:p>
        </w:tc>
        <w:tc>
          <w:tcPr>
            <w:tcW w:w="992" w:type="dxa"/>
            <w:shd w:val="clear" w:color="auto" w:fill="auto"/>
          </w:tcPr>
          <w:p w14:paraId="2D16B164" w14:textId="0059869C" w:rsidR="00A47DD5" w:rsidRDefault="00A47DD5" w:rsidP="00A47DD5">
            <w:pPr>
              <w:spacing w:after="120"/>
              <w:jc w:val="right"/>
              <w:rPr>
                <w:rFonts w:asciiTheme="minorHAnsi" w:hAnsiTheme="minorHAnsi"/>
                <w:sz w:val="22"/>
                <w:szCs w:val="22"/>
              </w:rPr>
            </w:pPr>
            <w:r>
              <w:rPr>
                <w:rFonts w:asciiTheme="minorHAnsi" w:hAnsiTheme="minorHAnsi"/>
                <w:sz w:val="22"/>
                <w:szCs w:val="22"/>
              </w:rPr>
              <w:t>$1.89</w:t>
            </w:r>
          </w:p>
        </w:tc>
        <w:tc>
          <w:tcPr>
            <w:tcW w:w="993" w:type="dxa"/>
            <w:shd w:val="clear" w:color="auto" w:fill="auto"/>
          </w:tcPr>
          <w:p w14:paraId="5AA01F32" w14:textId="376212DF" w:rsidR="00A47DD5" w:rsidRDefault="00A47DD5" w:rsidP="00A47DD5">
            <w:pPr>
              <w:spacing w:after="120"/>
              <w:jc w:val="right"/>
              <w:rPr>
                <w:rFonts w:asciiTheme="minorHAnsi" w:hAnsiTheme="minorHAnsi"/>
                <w:sz w:val="22"/>
                <w:szCs w:val="22"/>
              </w:rPr>
            </w:pPr>
            <w:r>
              <w:rPr>
                <w:rFonts w:asciiTheme="minorHAnsi" w:hAnsiTheme="minorHAnsi"/>
                <w:sz w:val="22"/>
                <w:szCs w:val="22"/>
              </w:rPr>
              <w:t>$0.40</w:t>
            </w:r>
          </w:p>
        </w:tc>
        <w:tc>
          <w:tcPr>
            <w:tcW w:w="992" w:type="dxa"/>
            <w:shd w:val="clear" w:color="auto" w:fill="auto"/>
          </w:tcPr>
          <w:p w14:paraId="4BD9A126" w14:textId="4ED53BA7" w:rsidR="00A47DD5" w:rsidRDefault="00A47DD5">
            <w:pPr>
              <w:spacing w:after="120"/>
              <w:jc w:val="right"/>
              <w:rPr>
                <w:rFonts w:asciiTheme="minorHAnsi" w:hAnsiTheme="minorHAnsi"/>
                <w:sz w:val="22"/>
                <w:szCs w:val="22"/>
              </w:rPr>
            </w:pPr>
            <w:r>
              <w:rPr>
                <w:rFonts w:asciiTheme="minorHAnsi" w:hAnsiTheme="minorHAnsi"/>
                <w:sz w:val="22"/>
                <w:szCs w:val="22"/>
              </w:rPr>
              <w:t>$0.42</w:t>
            </w:r>
          </w:p>
        </w:tc>
        <w:tc>
          <w:tcPr>
            <w:tcW w:w="992" w:type="dxa"/>
            <w:shd w:val="clear" w:color="auto" w:fill="auto"/>
          </w:tcPr>
          <w:p w14:paraId="7707FC6D" w14:textId="272CA97F" w:rsidR="00A47DD5" w:rsidRDefault="00A47DD5" w:rsidP="00A47DD5">
            <w:pPr>
              <w:spacing w:after="120"/>
              <w:jc w:val="right"/>
              <w:rPr>
                <w:rFonts w:asciiTheme="minorHAnsi" w:hAnsiTheme="minorHAnsi"/>
                <w:sz w:val="22"/>
                <w:szCs w:val="22"/>
              </w:rPr>
            </w:pPr>
            <w:r>
              <w:rPr>
                <w:rFonts w:asciiTheme="minorHAnsi" w:hAnsiTheme="minorHAnsi"/>
                <w:sz w:val="22"/>
                <w:szCs w:val="22"/>
              </w:rPr>
              <w:t>$0.44</w:t>
            </w:r>
          </w:p>
        </w:tc>
        <w:tc>
          <w:tcPr>
            <w:tcW w:w="992" w:type="dxa"/>
            <w:shd w:val="clear" w:color="auto" w:fill="auto"/>
          </w:tcPr>
          <w:p w14:paraId="086BE8B2" w14:textId="535FB5D2" w:rsidR="00A47DD5" w:rsidRDefault="00A47DD5" w:rsidP="00A47DD5">
            <w:pPr>
              <w:spacing w:after="120"/>
              <w:jc w:val="right"/>
              <w:rPr>
                <w:rFonts w:asciiTheme="minorHAnsi" w:hAnsiTheme="minorHAnsi"/>
                <w:sz w:val="22"/>
                <w:szCs w:val="22"/>
              </w:rPr>
            </w:pPr>
            <w:r>
              <w:rPr>
                <w:rFonts w:asciiTheme="minorHAnsi" w:hAnsiTheme="minorHAnsi"/>
                <w:sz w:val="22"/>
                <w:szCs w:val="22"/>
              </w:rPr>
              <w:t>$0.46</w:t>
            </w:r>
          </w:p>
        </w:tc>
        <w:tc>
          <w:tcPr>
            <w:tcW w:w="992" w:type="dxa"/>
            <w:shd w:val="clear" w:color="auto" w:fill="auto"/>
          </w:tcPr>
          <w:p w14:paraId="2ECABB53" w14:textId="5E688E99" w:rsidR="00A47DD5" w:rsidRDefault="00A47DD5" w:rsidP="00A47DD5">
            <w:pPr>
              <w:spacing w:after="120"/>
              <w:jc w:val="right"/>
              <w:rPr>
                <w:rFonts w:asciiTheme="minorHAnsi" w:hAnsiTheme="minorHAnsi"/>
                <w:sz w:val="22"/>
                <w:szCs w:val="22"/>
              </w:rPr>
            </w:pPr>
            <w:r>
              <w:rPr>
                <w:rFonts w:asciiTheme="minorHAnsi" w:hAnsiTheme="minorHAnsi"/>
                <w:sz w:val="22"/>
                <w:szCs w:val="22"/>
              </w:rPr>
              <w:t>$3.61</w:t>
            </w:r>
          </w:p>
        </w:tc>
      </w:tr>
      <w:tr w:rsidR="00761225" w14:paraId="1A01FBC9" w14:textId="77777777" w:rsidTr="002D7B66">
        <w:tc>
          <w:tcPr>
            <w:tcW w:w="2972" w:type="dxa"/>
            <w:shd w:val="clear" w:color="auto" w:fill="auto"/>
          </w:tcPr>
          <w:p w14:paraId="698C4153" w14:textId="02AEDF8E" w:rsidR="00761225" w:rsidRPr="00353BEC" w:rsidRDefault="00D334D3" w:rsidP="00761225">
            <w:pPr>
              <w:spacing w:after="120"/>
              <w:rPr>
                <w:rFonts w:asciiTheme="minorHAnsi" w:hAnsiTheme="minorHAnsi"/>
                <w:b/>
                <w:sz w:val="22"/>
                <w:szCs w:val="22"/>
              </w:rPr>
            </w:pPr>
            <w:r>
              <w:rPr>
                <w:rFonts w:asciiTheme="minorHAnsi" w:hAnsiTheme="minorHAnsi"/>
                <w:sz w:val="22"/>
                <w:szCs w:val="22"/>
              </w:rPr>
              <w:t>Cumulative expense less revenue,</w:t>
            </w:r>
            <w:r w:rsidR="00761225" w:rsidRPr="00203EF7">
              <w:rPr>
                <w:rFonts w:asciiTheme="minorHAnsi" w:hAnsiTheme="minorHAnsi"/>
                <w:sz w:val="22"/>
                <w:szCs w:val="22"/>
              </w:rPr>
              <w:t xml:space="preserve"> funded by Government</w:t>
            </w:r>
            <w:r w:rsidR="00761225">
              <w:rPr>
                <w:rFonts w:asciiTheme="minorHAnsi" w:hAnsiTheme="minorHAnsi"/>
                <w:sz w:val="22"/>
                <w:szCs w:val="22"/>
              </w:rPr>
              <w:t xml:space="preserve"> ($m)</w:t>
            </w:r>
          </w:p>
        </w:tc>
        <w:tc>
          <w:tcPr>
            <w:tcW w:w="992" w:type="dxa"/>
            <w:shd w:val="clear" w:color="auto" w:fill="auto"/>
          </w:tcPr>
          <w:p w14:paraId="44B30856" w14:textId="42078A2A" w:rsidR="00761225" w:rsidRPr="00353BEC" w:rsidRDefault="007A5421" w:rsidP="002D7B66">
            <w:pPr>
              <w:spacing w:after="120"/>
              <w:jc w:val="right"/>
              <w:rPr>
                <w:rFonts w:asciiTheme="minorHAnsi" w:hAnsiTheme="minorHAnsi"/>
                <w:sz w:val="22"/>
                <w:szCs w:val="22"/>
              </w:rPr>
            </w:pPr>
            <w:r>
              <w:rPr>
                <w:rFonts w:asciiTheme="minorHAnsi" w:hAnsiTheme="minorHAnsi"/>
                <w:sz w:val="22"/>
                <w:szCs w:val="22"/>
              </w:rPr>
              <w:t>$1.</w:t>
            </w:r>
            <w:r w:rsidR="00A47DD5">
              <w:rPr>
                <w:rFonts w:asciiTheme="minorHAnsi" w:hAnsiTheme="minorHAnsi"/>
                <w:sz w:val="22"/>
                <w:szCs w:val="22"/>
              </w:rPr>
              <w:t>89</w:t>
            </w:r>
          </w:p>
        </w:tc>
        <w:tc>
          <w:tcPr>
            <w:tcW w:w="993" w:type="dxa"/>
            <w:shd w:val="clear" w:color="auto" w:fill="auto"/>
          </w:tcPr>
          <w:p w14:paraId="23539666" w14:textId="46AD63FE" w:rsidR="00761225" w:rsidRPr="00353BEC" w:rsidRDefault="007A5421" w:rsidP="002D7B66">
            <w:pPr>
              <w:spacing w:after="120"/>
              <w:jc w:val="right"/>
              <w:rPr>
                <w:rFonts w:asciiTheme="minorHAnsi" w:hAnsiTheme="minorHAnsi"/>
                <w:sz w:val="22"/>
                <w:szCs w:val="22"/>
              </w:rPr>
            </w:pPr>
            <w:r>
              <w:rPr>
                <w:rFonts w:asciiTheme="minorHAnsi" w:hAnsiTheme="minorHAnsi"/>
                <w:sz w:val="22"/>
                <w:szCs w:val="22"/>
              </w:rPr>
              <w:t>$2.</w:t>
            </w:r>
            <w:r w:rsidR="00A47DD5">
              <w:rPr>
                <w:rFonts w:asciiTheme="minorHAnsi" w:hAnsiTheme="minorHAnsi"/>
                <w:sz w:val="22"/>
                <w:szCs w:val="22"/>
              </w:rPr>
              <w:t>29</w:t>
            </w:r>
          </w:p>
        </w:tc>
        <w:tc>
          <w:tcPr>
            <w:tcW w:w="992" w:type="dxa"/>
            <w:shd w:val="clear" w:color="auto" w:fill="auto"/>
          </w:tcPr>
          <w:p w14:paraId="58BD81A6" w14:textId="719E8854" w:rsidR="00761225" w:rsidRPr="00353BEC" w:rsidRDefault="007A5421" w:rsidP="00761225">
            <w:pPr>
              <w:spacing w:after="120"/>
              <w:jc w:val="right"/>
              <w:rPr>
                <w:rFonts w:asciiTheme="minorHAnsi" w:hAnsiTheme="minorHAnsi"/>
                <w:sz w:val="22"/>
                <w:szCs w:val="22"/>
              </w:rPr>
            </w:pPr>
            <w:r>
              <w:rPr>
                <w:rFonts w:asciiTheme="minorHAnsi" w:hAnsiTheme="minorHAnsi"/>
                <w:sz w:val="22"/>
                <w:szCs w:val="22"/>
              </w:rPr>
              <w:t>$</w:t>
            </w:r>
            <w:r w:rsidR="00A47DD5">
              <w:rPr>
                <w:rFonts w:asciiTheme="minorHAnsi" w:hAnsiTheme="minorHAnsi"/>
                <w:sz w:val="22"/>
                <w:szCs w:val="22"/>
              </w:rPr>
              <w:t>2.71</w:t>
            </w:r>
          </w:p>
        </w:tc>
        <w:tc>
          <w:tcPr>
            <w:tcW w:w="992" w:type="dxa"/>
            <w:shd w:val="clear" w:color="auto" w:fill="auto"/>
          </w:tcPr>
          <w:p w14:paraId="792398CA" w14:textId="45CFF68B" w:rsidR="00761225" w:rsidRPr="00353BEC" w:rsidRDefault="00A47DD5" w:rsidP="00761225">
            <w:pPr>
              <w:spacing w:after="120"/>
              <w:jc w:val="right"/>
              <w:rPr>
                <w:rFonts w:asciiTheme="minorHAnsi" w:hAnsiTheme="minorHAnsi"/>
                <w:sz w:val="22"/>
                <w:szCs w:val="22"/>
              </w:rPr>
            </w:pPr>
            <w:r>
              <w:rPr>
                <w:rFonts w:asciiTheme="minorHAnsi" w:hAnsiTheme="minorHAnsi"/>
                <w:sz w:val="22"/>
                <w:szCs w:val="22"/>
              </w:rPr>
              <w:t>$3.15</w:t>
            </w:r>
          </w:p>
        </w:tc>
        <w:tc>
          <w:tcPr>
            <w:tcW w:w="992" w:type="dxa"/>
            <w:shd w:val="clear" w:color="auto" w:fill="auto"/>
          </w:tcPr>
          <w:p w14:paraId="65A97544" w14:textId="2DF58213" w:rsidR="00761225" w:rsidRPr="00353BEC" w:rsidRDefault="00A47DD5" w:rsidP="00761225">
            <w:pPr>
              <w:spacing w:after="120"/>
              <w:jc w:val="right"/>
              <w:rPr>
                <w:rFonts w:asciiTheme="minorHAnsi" w:hAnsiTheme="minorHAnsi"/>
                <w:sz w:val="22"/>
                <w:szCs w:val="22"/>
              </w:rPr>
            </w:pPr>
            <w:r>
              <w:rPr>
                <w:rFonts w:asciiTheme="minorHAnsi" w:hAnsiTheme="minorHAnsi"/>
                <w:sz w:val="22"/>
                <w:szCs w:val="22"/>
              </w:rPr>
              <w:t>$3.61</w:t>
            </w:r>
          </w:p>
        </w:tc>
        <w:tc>
          <w:tcPr>
            <w:tcW w:w="992" w:type="dxa"/>
            <w:shd w:val="clear" w:color="auto" w:fill="auto"/>
          </w:tcPr>
          <w:p w14:paraId="3104A385" w14:textId="4AF9C3E4" w:rsidR="00761225" w:rsidRPr="00353BEC" w:rsidRDefault="007A5421" w:rsidP="00761225">
            <w:pPr>
              <w:spacing w:after="120"/>
              <w:jc w:val="right"/>
              <w:rPr>
                <w:rFonts w:asciiTheme="minorHAnsi" w:hAnsiTheme="minorHAnsi"/>
                <w:sz w:val="22"/>
                <w:szCs w:val="22"/>
              </w:rPr>
            </w:pPr>
            <w:r>
              <w:rPr>
                <w:rFonts w:asciiTheme="minorHAnsi" w:hAnsiTheme="minorHAnsi"/>
                <w:sz w:val="22"/>
                <w:szCs w:val="22"/>
              </w:rPr>
              <w:t>-</w:t>
            </w:r>
          </w:p>
        </w:tc>
      </w:tr>
      <w:tr w:rsidR="00A47DD5" w14:paraId="2613C897" w14:textId="77777777" w:rsidTr="0096049C">
        <w:tc>
          <w:tcPr>
            <w:tcW w:w="8925" w:type="dxa"/>
            <w:gridSpan w:val="7"/>
            <w:shd w:val="clear" w:color="auto" w:fill="auto"/>
          </w:tcPr>
          <w:p w14:paraId="7C10A841" w14:textId="7212095A" w:rsidR="00A47DD5" w:rsidRDefault="00A47DD5" w:rsidP="009952E4">
            <w:pPr>
              <w:spacing w:after="120"/>
              <w:rPr>
                <w:rFonts w:asciiTheme="minorHAnsi" w:hAnsiTheme="minorHAnsi"/>
                <w:sz w:val="22"/>
                <w:szCs w:val="22"/>
              </w:rPr>
            </w:pPr>
            <w:r>
              <w:rPr>
                <w:rFonts w:asciiTheme="minorHAnsi" w:hAnsiTheme="minorHAnsi"/>
                <w:sz w:val="22"/>
                <w:szCs w:val="22"/>
              </w:rPr>
              <w:t xml:space="preserve">** </w:t>
            </w:r>
            <w:r w:rsidRPr="001B267D">
              <w:rPr>
                <w:rFonts w:asciiTheme="minorHAnsi" w:hAnsiTheme="minorHAnsi"/>
                <w:sz w:val="20"/>
                <w:szCs w:val="20"/>
              </w:rPr>
              <w:t xml:space="preserve">Difference in total between calendar year and financial </w:t>
            </w:r>
            <w:r w:rsidR="003810EA">
              <w:rPr>
                <w:rFonts w:asciiTheme="minorHAnsi" w:hAnsiTheme="minorHAnsi"/>
                <w:sz w:val="20"/>
                <w:szCs w:val="20"/>
              </w:rPr>
              <w:t xml:space="preserve">year </w:t>
            </w:r>
            <w:r w:rsidRPr="001B267D">
              <w:rPr>
                <w:rFonts w:asciiTheme="minorHAnsi" w:hAnsiTheme="minorHAnsi"/>
                <w:sz w:val="20"/>
                <w:szCs w:val="20"/>
              </w:rPr>
              <w:t xml:space="preserve">is due to the cost </w:t>
            </w:r>
            <w:r w:rsidR="003810EA">
              <w:rPr>
                <w:rFonts w:asciiTheme="minorHAnsi" w:hAnsiTheme="minorHAnsi"/>
                <w:sz w:val="20"/>
                <w:szCs w:val="20"/>
              </w:rPr>
              <w:t>for the last six months of</w:t>
            </w:r>
            <w:r w:rsidR="003810EA" w:rsidRPr="002D7B66">
              <w:rPr>
                <w:rFonts w:asciiTheme="minorHAnsi" w:hAnsiTheme="minorHAnsi"/>
                <w:sz w:val="20"/>
                <w:szCs w:val="20"/>
              </w:rPr>
              <w:t xml:space="preserve"> </w:t>
            </w:r>
            <w:r w:rsidR="003810EA">
              <w:rPr>
                <w:rFonts w:asciiTheme="minorHAnsi" w:hAnsiTheme="minorHAnsi"/>
                <w:sz w:val="20"/>
                <w:szCs w:val="20"/>
              </w:rPr>
              <w:t>20</w:t>
            </w:r>
            <w:r w:rsidR="00E15B98">
              <w:rPr>
                <w:rFonts w:asciiTheme="minorHAnsi" w:hAnsiTheme="minorHAnsi"/>
                <w:sz w:val="20"/>
                <w:szCs w:val="20"/>
              </w:rPr>
              <w:t>2</w:t>
            </w:r>
            <w:r w:rsidR="003810EA">
              <w:rPr>
                <w:rFonts w:asciiTheme="minorHAnsi" w:hAnsiTheme="minorHAnsi"/>
                <w:sz w:val="20"/>
                <w:szCs w:val="20"/>
              </w:rPr>
              <w:t xml:space="preserve">4 </w:t>
            </w:r>
            <w:r w:rsidRPr="001B267D">
              <w:rPr>
                <w:rFonts w:asciiTheme="minorHAnsi" w:hAnsiTheme="minorHAnsi"/>
                <w:sz w:val="20"/>
                <w:szCs w:val="20"/>
              </w:rPr>
              <w:t>will be recovered in the 2024-25 financial year</w:t>
            </w:r>
            <w:r>
              <w:rPr>
                <w:rFonts w:asciiTheme="minorHAnsi" w:hAnsiTheme="minorHAnsi"/>
                <w:sz w:val="22"/>
                <w:szCs w:val="22"/>
              </w:rPr>
              <w:t xml:space="preserve">, </w:t>
            </w:r>
            <w:r w:rsidRPr="00E15B98">
              <w:rPr>
                <w:rFonts w:asciiTheme="minorHAnsi" w:hAnsiTheme="minorHAnsi"/>
                <w:sz w:val="20"/>
                <w:szCs w:val="20"/>
              </w:rPr>
              <w:t xml:space="preserve">and </w:t>
            </w:r>
            <w:proofErr w:type="gramStart"/>
            <w:r w:rsidRPr="00E15B98">
              <w:rPr>
                <w:rFonts w:asciiTheme="minorHAnsi" w:hAnsiTheme="minorHAnsi"/>
                <w:sz w:val="20"/>
                <w:szCs w:val="20"/>
              </w:rPr>
              <w:t>some cost</w:t>
            </w:r>
            <w:r w:rsidR="00E15B98">
              <w:rPr>
                <w:rFonts w:asciiTheme="minorHAnsi" w:hAnsiTheme="minorHAnsi"/>
                <w:sz w:val="20"/>
                <w:szCs w:val="20"/>
              </w:rPr>
              <w:t>s</w:t>
            </w:r>
            <w:r w:rsidRPr="00E15B98">
              <w:rPr>
                <w:rFonts w:asciiTheme="minorHAnsi" w:hAnsiTheme="minorHAnsi"/>
                <w:sz w:val="20"/>
                <w:szCs w:val="20"/>
              </w:rPr>
              <w:t xml:space="preserve"> are funded by government</w:t>
            </w:r>
            <w:r w:rsidR="003810EA" w:rsidRPr="00E15B98">
              <w:rPr>
                <w:rFonts w:asciiTheme="minorHAnsi" w:hAnsiTheme="minorHAnsi"/>
                <w:sz w:val="20"/>
                <w:szCs w:val="20"/>
              </w:rPr>
              <w:t xml:space="preserve"> (i.e. not recover</w:t>
            </w:r>
            <w:r w:rsidR="00E15B98">
              <w:rPr>
                <w:rFonts w:asciiTheme="minorHAnsi" w:hAnsiTheme="minorHAnsi"/>
                <w:sz w:val="20"/>
                <w:szCs w:val="20"/>
              </w:rPr>
              <w:t>ed</w:t>
            </w:r>
            <w:r w:rsidR="003810EA" w:rsidRPr="00E15B98">
              <w:rPr>
                <w:rFonts w:asciiTheme="minorHAnsi" w:hAnsiTheme="minorHAnsi"/>
                <w:sz w:val="20"/>
                <w:szCs w:val="20"/>
              </w:rPr>
              <w:t xml:space="preserve"> from providers)</w:t>
            </w:r>
            <w:proofErr w:type="gramEnd"/>
            <w:r w:rsidRPr="00E15B98">
              <w:rPr>
                <w:rFonts w:asciiTheme="minorHAnsi" w:hAnsiTheme="minorHAnsi"/>
                <w:sz w:val="20"/>
                <w:szCs w:val="20"/>
              </w:rPr>
              <w:t>.</w:t>
            </w:r>
            <w:r>
              <w:rPr>
                <w:rFonts w:asciiTheme="minorHAnsi" w:hAnsiTheme="minorHAnsi"/>
                <w:sz w:val="22"/>
                <w:szCs w:val="22"/>
              </w:rPr>
              <w:t xml:space="preserve"> </w:t>
            </w:r>
          </w:p>
        </w:tc>
      </w:tr>
    </w:tbl>
    <w:p w14:paraId="13CA31CE" w14:textId="569A4FF5" w:rsidR="00260247" w:rsidRDefault="003B1A0C" w:rsidP="00203EF7">
      <w:pPr>
        <w:spacing w:after="160" w:line="259" w:lineRule="auto"/>
        <w:rPr>
          <w:rFonts w:asciiTheme="minorHAnsi" w:hAnsiTheme="minorHAnsi"/>
          <w:b/>
          <w:sz w:val="28"/>
          <w:szCs w:val="28"/>
        </w:rPr>
      </w:pPr>
      <w:r>
        <w:rPr>
          <w:rFonts w:asciiTheme="minorHAnsi" w:hAnsiTheme="minorHAnsi"/>
          <w:b/>
          <w:sz w:val="28"/>
          <w:szCs w:val="28"/>
        </w:rPr>
        <w:t>8</w:t>
      </w:r>
      <w:r w:rsidR="00260247" w:rsidRPr="00E757E5">
        <w:rPr>
          <w:rFonts w:asciiTheme="minorHAnsi" w:hAnsiTheme="minorHAnsi"/>
          <w:b/>
          <w:sz w:val="28"/>
          <w:szCs w:val="28"/>
        </w:rPr>
        <w:t>.</w:t>
      </w:r>
      <w:r w:rsidR="00260247" w:rsidRPr="00E757E5">
        <w:rPr>
          <w:rFonts w:asciiTheme="minorHAnsi" w:hAnsiTheme="minorHAnsi"/>
          <w:b/>
          <w:sz w:val="28"/>
          <w:szCs w:val="28"/>
        </w:rPr>
        <w:tab/>
        <w:t>FINANCIAL AND NON-FINANCIAL PERFORMANCE</w:t>
      </w:r>
      <w:r w:rsidR="00260247" w:rsidRPr="00D1274B">
        <w:rPr>
          <w:rFonts w:asciiTheme="minorHAnsi" w:hAnsiTheme="minorHAnsi"/>
          <w:b/>
          <w:sz w:val="28"/>
          <w:szCs w:val="28"/>
        </w:rPr>
        <w:t xml:space="preserve"> </w:t>
      </w:r>
    </w:p>
    <w:p w14:paraId="4EE556D8" w14:textId="2580E6E5" w:rsidR="00E07822" w:rsidRPr="008E67BC" w:rsidRDefault="00E07822" w:rsidP="00EC7C39">
      <w:pPr>
        <w:spacing w:after="120"/>
        <w:jc w:val="both"/>
        <w:rPr>
          <w:rFonts w:asciiTheme="minorHAnsi" w:hAnsiTheme="minorHAnsi" w:cstheme="minorHAnsi"/>
        </w:rPr>
      </w:pPr>
      <w:r w:rsidRPr="002126F6">
        <w:rPr>
          <w:rFonts w:asciiTheme="minorHAnsi" w:hAnsiTheme="minorHAnsi" w:cstheme="minorHAnsi"/>
        </w:rPr>
        <w:t>HELP was introduced i</w:t>
      </w:r>
      <w:r w:rsidRPr="008E67BC">
        <w:rPr>
          <w:rFonts w:asciiTheme="minorHAnsi" w:hAnsiTheme="minorHAnsi" w:cstheme="minorHAnsi"/>
        </w:rPr>
        <w:t xml:space="preserve">n 1989 (formerly known as HECS) while FEE-HELP was introduced in 2005 as a new loan scheme under HELP. </w:t>
      </w:r>
      <w:r w:rsidR="004D0890">
        <w:rPr>
          <w:rFonts w:asciiTheme="minorHAnsi" w:hAnsiTheme="minorHAnsi" w:cstheme="minorHAnsi"/>
        </w:rPr>
        <w:t>There are about 150 providers approved to offer HECS</w:t>
      </w:r>
      <w:r w:rsidR="00E15B98">
        <w:rPr>
          <w:rFonts w:asciiTheme="minorHAnsi" w:hAnsiTheme="minorHAnsi" w:cstheme="minorHAnsi"/>
        </w:rPr>
        <w:t>-HELP</w:t>
      </w:r>
      <w:r w:rsidR="004D0890">
        <w:rPr>
          <w:rFonts w:asciiTheme="minorHAnsi" w:hAnsiTheme="minorHAnsi" w:cstheme="minorHAnsi"/>
        </w:rPr>
        <w:t xml:space="preserve"> and FEE-HELP, the effort and the associated cost to administered HELP and the </w:t>
      </w:r>
      <w:proofErr w:type="gramStart"/>
      <w:r w:rsidR="004D0890">
        <w:rPr>
          <w:rFonts w:asciiTheme="minorHAnsi" w:hAnsiTheme="minorHAnsi" w:cstheme="minorHAnsi"/>
        </w:rPr>
        <w:t xml:space="preserve">providers </w:t>
      </w:r>
      <w:r w:rsidRPr="008E67BC">
        <w:rPr>
          <w:rFonts w:asciiTheme="minorHAnsi" w:hAnsiTheme="minorHAnsi" w:cstheme="minorHAnsi"/>
        </w:rPr>
        <w:t xml:space="preserve"> regarding</w:t>
      </w:r>
      <w:proofErr w:type="gramEnd"/>
      <w:r w:rsidRPr="008E67BC">
        <w:rPr>
          <w:rFonts w:asciiTheme="minorHAnsi" w:hAnsiTheme="minorHAnsi" w:cstheme="minorHAnsi"/>
        </w:rPr>
        <w:t xml:space="preserve"> the management of the application</w:t>
      </w:r>
      <w:r w:rsidR="004D0890">
        <w:rPr>
          <w:rFonts w:asciiTheme="minorHAnsi" w:hAnsiTheme="minorHAnsi" w:cstheme="minorHAnsi"/>
        </w:rPr>
        <w:t xml:space="preserve"> </w:t>
      </w:r>
      <w:r w:rsidRPr="008E67BC">
        <w:rPr>
          <w:rFonts w:asciiTheme="minorHAnsi" w:hAnsiTheme="minorHAnsi" w:cstheme="minorHAnsi"/>
        </w:rPr>
        <w:t>and the annual charge is not available because the</w:t>
      </w:r>
      <w:r w:rsidRPr="00203EF7">
        <w:rPr>
          <w:rFonts w:asciiTheme="minorHAnsi" w:hAnsiTheme="minorHAnsi" w:cstheme="minorHAnsi"/>
        </w:rPr>
        <w:t>s</w:t>
      </w:r>
      <w:r w:rsidRPr="002126F6">
        <w:rPr>
          <w:rFonts w:asciiTheme="minorHAnsi" w:hAnsiTheme="minorHAnsi" w:cstheme="minorHAnsi"/>
        </w:rPr>
        <w:t xml:space="preserve">e are new cost recovery measures. The department will report this information once data determining financial and non-financial performance </w:t>
      </w:r>
      <w:proofErr w:type="gramStart"/>
      <w:r w:rsidRPr="002126F6">
        <w:rPr>
          <w:rFonts w:asciiTheme="minorHAnsi" w:hAnsiTheme="minorHAnsi" w:cstheme="minorHAnsi"/>
        </w:rPr>
        <w:t>is</w:t>
      </w:r>
      <w:r w:rsidRPr="00203EF7">
        <w:rPr>
          <w:rFonts w:asciiTheme="minorHAnsi" w:hAnsiTheme="minorHAnsi" w:cstheme="minorHAnsi"/>
        </w:rPr>
        <w:t xml:space="preserve"> </w:t>
      </w:r>
      <w:r w:rsidRPr="002126F6">
        <w:rPr>
          <w:rFonts w:asciiTheme="minorHAnsi" w:hAnsiTheme="minorHAnsi" w:cstheme="minorHAnsi"/>
        </w:rPr>
        <w:t>g</w:t>
      </w:r>
      <w:r w:rsidR="00565156">
        <w:rPr>
          <w:rFonts w:asciiTheme="minorHAnsi" w:hAnsiTheme="minorHAnsi" w:cstheme="minorHAnsi"/>
        </w:rPr>
        <w:t>enerated</w:t>
      </w:r>
      <w:proofErr w:type="gramEnd"/>
      <w:r w:rsidR="00565156">
        <w:rPr>
          <w:rFonts w:asciiTheme="minorHAnsi" w:hAnsiTheme="minorHAnsi" w:cstheme="minorHAnsi"/>
        </w:rPr>
        <w:t>.</w:t>
      </w:r>
    </w:p>
    <w:p w14:paraId="1EE5B50B" w14:textId="457AB5B7" w:rsidR="00E07822" w:rsidRPr="00203EF7" w:rsidRDefault="00E07822" w:rsidP="00EC7C39">
      <w:pPr>
        <w:spacing w:after="120"/>
        <w:jc w:val="both"/>
        <w:rPr>
          <w:rFonts w:asciiTheme="minorHAnsi" w:hAnsiTheme="minorHAnsi" w:cstheme="minorHAnsi"/>
        </w:rPr>
      </w:pPr>
      <w:r w:rsidRPr="00203EF7">
        <w:rPr>
          <w:rFonts w:asciiTheme="minorHAnsi" w:hAnsiTheme="minorHAnsi" w:cstheme="minorHAnsi"/>
        </w:rPr>
        <w:t>The department will closely monitor the expenses of the</w:t>
      </w:r>
      <w:r w:rsidRPr="002126F6">
        <w:rPr>
          <w:rFonts w:asciiTheme="minorHAnsi" w:hAnsiTheme="minorHAnsi" w:cstheme="minorHAnsi"/>
        </w:rPr>
        <w:t xml:space="preserve"> </w:t>
      </w:r>
      <w:r>
        <w:rPr>
          <w:rFonts w:asciiTheme="minorHAnsi" w:hAnsiTheme="minorHAnsi" w:cstheme="minorHAnsi"/>
        </w:rPr>
        <w:t xml:space="preserve">charging activity </w:t>
      </w:r>
      <w:r w:rsidRPr="00203EF7">
        <w:rPr>
          <w:rFonts w:asciiTheme="minorHAnsi" w:hAnsiTheme="minorHAnsi" w:cstheme="minorHAnsi"/>
        </w:rPr>
        <w:t xml:space="preserve">and cost recovery revenue, as per the above risk management section, to ensure that these </w:t>
      </w:r>
      <w:proofErr w:type="gramStart"/>
      <w:r w:rsidRPr="00203EF7">
        <w:rPr>
          <w:rFonts w:asciiTheme="minorHAnsi" w:hAnsiTheme="minorHAnsi" w:cstheme="minorHAnsi"/>
        </w:rPr>
        <w:t>are aligned</w:t>
      </w:r>
      <w:proofErr w:type="gramEnd"/>
      <w:r w:rsidRPr="00203EF7">
        <w:rPr>
          <w:rFonts w:asciiTheme="minorHAnsi" w:hAnsiTheme="minorHAnsi" w:cstheme="minorHAnsi"/>
        </w:rPr>
        <w:t xml:space="preserve"> over the business cycle. This will ensure that the </w:t>
      </w:r>
      <w:r w:rsidR="0006771D" w:rsidRPr="00203EF7">
        <w:rPr>
          <w:rFonts w:asciiTheme="minorHAnsi" w:hAnsiTheme="minorHAnsi" w:cstheme="minorHAnsi"/>
        </w:rPr>
        <w:t>cost-recovered</w:t>
      </w:r>
      <w:r w:rsidRPr="00203EF7">
        <w:rPr>
          <w:rFonts w:asciiTheme="minorHAnsi" w:hAnsiTheme="minorHAnsi" w:cstheme="minorHAnsi"/>
        </w:rPr>
        <w:t xml:space="preserve"> activities </w:t>
      </w:r>
      <w:proofErr w:type="gramStart"/>
      <w:r w:rsidRPr="00203EF7">
        <w:rPr>
          <w:rFonts w:asciiTheme="minorHAnsi" w:hAnsiTheme="minorHAnsi" w:cstheme="minorHAnsi"/>
        </w:rPr>
        <w:t>are managed</w:t>
      </w:r>
      <w:proofErr w:type="gramEnd"/>
      <w:r w:rsidRPr="00203EF7">
        <w:rPr>
          <w:rFonts w:asciiTheme="minorHAnsi" w:hAnsiTheme="minorHAnsi" w:cstheme="minorHAnsi"/>
        </w:rPr>
        <w:t xml:space="preserve"> efficiently, productivity improvements are identified and that there is responsiveness and acc</w:t>
      </w:r>
      <w:r w:rsidR="00565156">
        <w:rPr>
          <w:rFonts w:asciiTheme="minorHAnsi" w:hAnsiTheme="minorHAnsi" w:cstheme="minorHAnsi"/>
        </w:rPr>
        <w:t>ountability for the activities.</w:t>
      </w:r>
    </w:p>
    <w:p w14:paraId="77F13E50" w14:textId="77777777" w:rsidR="00E07822" w:rsidRPr="00203EF7" w:rsidRDefault="00E07822" w:rsidP="00EC7C39">
      <w:pPr>
        <w:spacing w:after="120"/>
        <w:jc w:val="both"/>
        <w:rPr>
          <w:rFonts w:asciiTheme="minorHAnsi" w:hAnsiTheme="minorHAnsi" w:cstheme="minorHAnsi"/>
        </w:rPr>
      </w:pPr>
      <w:r w:rsidRPr="00203EF7">
        <w:rPr>
          <w:rFonts w:asciiTheme="minorHAnsi" w:hAnsiTheme="minorHAnsi" w:cstheme="minorHAnsi"/>
        </w:rPr>
        <w:t>As well as monitoring the expenses of the program, the department will review activities and processes regularly, at least within three years.</w:t>
      </w:r>
    </w:p>
    <w:p w14:paraId="2E17456C" w14:textId="19C0C8CB" w:rsidR="00E07822" w:rsidRDefault="00E07822" w:rsidP="00EC7C39">
      <w:pPr>
        <w:spacing w:after="120"/>
        <w:jc w:val="both"/>
        <w:rPr>
          <w:rFonts w:asciiTheme="minorHAnsi" w:hAnsiTheme="minorHAnsi" w:cstheme="minorHAnsi"/>
        </w:rPr>
      </w:pPr>
      <w:r w:rsidRPr="00203EF7">
        <w:rPr>
          <w:rFonts w:asciiTheme="minorHAnsi" w:hAnsiTheme="minorHAnsi" w:cstheme="minorHAnsi"/>
        </w:rPr>
        <w:t xml:space="preserve">By increasing cost consciousness for stakeholders, it </w:t>
      </w:r>
      <w:proofErr w:type="gramStart"/>
      <w:r w:rsidRPr="00203EF7">
        <w:rPr>
          <w:rFonts w:asciiTheme="minorHAnsi" w:hAnsiTheme="minorHAnsi" w:cstheme="minorHAnsi"/>
        </w:rPr>
        <w:t xml:space="preserve">is </w:t>
      </w:r>
      <w:r w:rsidR="00000BE6">
        <w:rPr>
          <w:rFonts w:asciiTheme="minorHAnsi" w:hAnsiTheme="minorHAnsi" w:cstheme="minorHAnsi"/>
        </w:rPr>
        <w:t>expected</w:t>
      </w:r>
      <w:proofErr w:type="gramEnd"/>
      <w:r w:rsidRPr="00203EF7">
        <w:rPr>
          <w:rFonts w:asciiTheme="minorHAnsi" w:hAnsiTheme="minorHAnsi" w:cstheme="minorHAnsi"/>
        </w:rPr>
        <w:t xml:space="preserve"> that the quality of information that providers </w:t>
      </w:r>
      <w:r>
        <w:rPr>
          <w:rFonts w:asciiTheme="minorHAnsi" w:hAnsiTheme="minorHAnsi" w:cstheme="minorHAnsi"/>
        </w:rPr>
        <w:t>have available</w:t>
      </w:r>
      <w:r w:rsidRPr="00203EF7">
        <w:rPr>
          <w:rFonts w:asciiTheme="minorHAnsi" w:hAnsiTheme="minorHAnsi" w:cstheme="minorHAnsi"/>
        </w:rPr>
        <w:t xml:space="preserve"> to students will increase.</w:t>
      </w:r>
      <w:r>
        <w:rPr>
          <w:rFonts w:asciiTheme="minorHAnsi" w:hAnsiTheme="minorHAnsi" w:cstheme="minorHAnsi"/>
        </w:rPr>
        <w:t xml:space="preserve"> This </w:t>
      </w:r>
      <w:proofErr w:type="gramStart"/>
      <w:r>
        <w:rPr>
          <w:rFonts w:asciiTheme="minorHAnsi" w:hAnsiTheme="minorHAnsi" w:cstheme="minorHAnsi"/>
        </w:rPr>
        <w:t>could be shown</w:t>
      </w:r>
      <w:proofErr w:type="gramEnd"/>
      <w:r>
        <w:rPr>
          <w:rFonts w:asciiTheme="minorHAnsi" w:hAnsiTheme="minorHAnsi" w:cstheme="minorHAnsi"/>
        </w:rPr>
        <w:t xml:space="preserve"> through the reduced demand for the department to provide students with this information (decrease in the level of interactions the de</w:t>
      </w:r>
      <w:r w:rsidR="00565156">
        <w:rPr>
          <w:rFonts w:asciiTheme="minorHAnsi" w:hAnsiTheme="minorHAnsi" w:cstheme="minorHAnsi"/>
        </w:rPr>
        <w:t>partment has with the student).</w:t>
      </w:r>
    </w:p>
    <w:p w14:paraId="1B67B0C0" w14:textId="3CAF2FC9" w:rsidR="00E07822" w:rsidRDefault="00E07822" w:rsidP="00EC7C39">
      <w:pPr>
        <w:spacing w:after="120"/>
        <w:jc w:val="both"/>
        <w:rPr>
          <w:rFonts w:asciiTheme="minorHAnsi" w:hAnsiTheme="minorHAnsi" w:cstheme="minorHAnsi"/>
        </w:rPr>
      </w:pPr>
      <w:r>
        <w:rPr>
          <w:rFonts w:asciiTheme="minorHAnsi" w:hAnsiTheme="minorHAnsi" w:cstheme="minorHAnsi"/>
        </w:rPr>
        <w:t xml:space="preserve">Charging for regulatory activities could promote efficiency, in potentially reducing the number of compliance issues identified by the department’s desktop audits. It </w:t>
      </w:r>
      <w:proofErr w:type="gramStart"/>
      <w:r>
        <w:rPr>
          <w:rFonts w:asciiTheme="minorHAnsi" w:hAnsiTheme="minorHAnsi" w:cstheme="minorHAnsi"/>
        </w:rPr>
        <w:t>is anticipated</w:t>
      </w:r>
      <w:proofErr w:type="gramEnd"/>
      <w:r>
        <w:rPr>
          <w:rFonts w:asciiTheme="minorHAnsi" w:hAnsiTheme="minorHAnsi" w:cstheme="minorHAnsi"/>
        </w:rPr>
        <w:t xml:space="preserve"> that providers would improve their compliance with HELP policy and legislation, which would allow the department to conduct faster and fewer investigations and audits, and therefor</w:t>
      </w:r>
      <w:r w:rsidR="00565156">
        <w:rPr>
          <w:rFonts w:asciiTheme="minorHAnsi" w:hAnsiTheme="minorHAnsi" w:cstheme="minorHAnsi"/>
        </w:rPr>
        <w:t>e reduce the cost to providers.</w:t>
      </w:r>
    </w:p>
    <w:p w14:paraId="06BFB658" w14:textId="2790A70D" w:rsidR="00E07822" w:rsidRDefault="00E07822" w:rsidP="00EC7C39">
      <w:pPr>
        <w:spacing w:after="120"/>
        <w:jc w:val="both"/>
        <w:rPr>
          <w:rFonts w:asciiTheme="minorHAnsi" w:hAnsiTheme="minorHAnsi" w:cstheme="minorHAnsi"/>
        </w:rPr>
      </w:pPr>
      <w:r w:rsidRPr="00FA503E">
        <w:rPr>
          <w:rFonts w:asciiTheme="minorHAnsi" w:hAnsiTheme="minorHAnsi" w:cstheme="minorHAnsi"/>
        </w:rPr>
        <w:t>The annual charg</w:t>
      </w:r>
      <w:r>
        <w:rPr>
          <w:rFonts w:asciiTheme="minorHAnsi" w:hAnsiTheme="minorHAnsi" w:cstheme="minorHAnsi"/>
        </w:rPr>
        <w:t>e r</w:t>
      </w:r>
      <w:r w:rsidRPr="00FA503E">
        <w:rPr>
          <w:rFonts w:asciiTheme="minorHAnsi" w:hAnsiTheme="minorHAnsi" w:cstheme="minorHAnsi"/>
        </w:rPr>
        <w:t>ecover</w:t>
      </w:r>
      <w:r>
        <w:rPr>
          <w:rFonts w:asciiTheme="minorHAnsi" w:hAnsiTheme="minorHAnsi" w:cstheme="minorHAnsi"/>
        </w:rPr>
        <w:t>s</w:t>
      </w:r>
      <w:r w:rsidRPr="00FA503E">
        <w:rPr>
          <w:rFonts w:asciiTheme="minorHAnsi" w:hAnsiTheme="minorHAnsi" w:cstheme="minorHAnsi"/>
        </w:rPr>
        <w:t xml:space="preserve"> the costs associated with admi</w:t>
      </w:r>
      <w:r>
        <w:rPr>
          <w:rFonts w:asciiTheme="minorHAnsi" w:hAnsiTheme="minorHAnsi" w:cstheme="minorHAnsi"/>
        </w:rPr>
        <w:t>nistering the HECS</w:t>
      </w:r>
      <w:r>
        <w:rPr>
          <w:rFonts w:asciiTheme="minorHAnsi" w:hAnsiTheme="minorHAnsi" w:cstheme="minorHAnsi"/>
        </w:rPr>
        <w:noBreakHyphen/>
        <w:t>HELP and FEE</w:t>
      </w:r>
      <w:r>
        <w:rPr>
          <w:rFonts w:asciiTheme="minorHAnsi" w:hAnsiTheme="minorHAnsi" w:cstheme="minorHAnsi"/>
        </w:rPr>
        <w:noBreakHyphen/>
      </w:r>
      <w:r w:rsidRPr="00FA503E">
        <w:rPr>
          <w:rFonts w:asciiTheme="minorHAnsi" w:hAnsiTheme="minorHAnsi" w:cstheme="minorHAnsi"/>
        </w:rPr>
        <w:t xml:space="preserve">HELP programs, thereby strengthening the integrity and sustainability of </w:t>
      </w:r>
      <w:r w:rsidR="00565156">
        <w:rPr>
          <w:rFonts w:asciiTheme="minorHAnsi" w:hAnsiTheme="minorHAnsi" w:cstheme="minorHAnsi"/>
        </w:rPr>
        <w:t>HELP.</w:t>
      </w:r>
    </w:p>
    <w:p w14:paraId="73656EB8" w14:textId="77777777" w:rsidR="00BE7E93" w:rsidRDefault="00BE7E93" w:rsidP="00EC7C39">
      <w:pPr>
        <w:spacing w:after="120"/>
        <w:jc w:val="both"/>
        <w:rPr>
          <w:rFonts w:asciiTheme="minorHAnsi" w:hAnsiTheme="minorHAnsi" w:cstheme="minorHAnsi"/>
        </w:rPr>
      </w:pPr>
    </w:p>
    <w:p w14:paraId="6AD64730" w14:textId="3DD8DBA4" w:rsidR="004358DE" w:rsidRDefault="005E7B63" w:rsidP="00E15B98">
      <w:pPr>
        <w:spacing w:after="160" w:line="259" w:lineRule="auto"/>
        <w:rPr>
          <w:rFonts w:asciiTheme="minorHAnsi" w:hAnsiTheme="minorHAnsi"/>
          <w:b/>
          <w:sz w:val="28"/>
          <w:szCs w:val="28"/>
        </w:rPr>
      </w:pPr>
      <w:r>
        <w:rPr>
          <w:rFonts w:asciiTheme="minorHAnsi" w:hAnsiTheme="minorHAnsi"/>
          <w:b/>
          <w:sz w:val="28"/>
          <w:szCs w:val="28"/>
        </w:rPr>
        <w:t>9</w:t>
      </w:r>
      <w:r w:rsidR="00EC7C39">
        <w:rPr>
          <w:rFonts w:asciiTheme="minorHAnsi" w:hAnsiTheme="minorHAnsi"/>
          <w:b/>
          <w:sz w:val="28"/>
          <w:szCs w:val="28"/>
        </w:rPr>
        <w:t>.</w:t>
      </w:r>
      <w:r w:rsidR="004358DE">
        <w:rPr>
          <w:rFonts w:asciiTheme="minorHAnsi" w:hAnsiTheme="minorHAnsi"/>
          <w:b/>
          <w:sz w:val="28"/>
          <w:szCs w:val="28"/>
        </w:rPr>
        <w:tab/>
        <w:t>KEY FORWARD DATES AND EVENTS</w:t>
      </w:r>
    </w:p>
    <w:tbl>
      <w:tblPr>
        <w:tblStyle w:val="TableGrid"/>
        <w:tblW w:w="8988" w:type="dxa"/>
        <w:tblLook w:val="04A0" w:firstRow="1" w:lastRow="0" w:firstColumn="1" w:lastColumn="0" w:noHBand="0" w:noVBand="1"/>
      </w:tblPr>
      <w:tblGrid>
        <w:gridCol w:w="1555"/>
        <w:gridCol w:w="7433"/>
      </w:tblGrid>
      <w:tr w:rsidR="00E07822" w:rsidRPr="00B46C25" w14:paraId="204C09C9" w14:textId="77777777" w:rsidTr="00BE7E93">
        <w:trPr>
          <w:trHeight w:val="357"/>
        </w:trPr>
        <w:tc>
          <w:tcPr>
            <w:tcW w:w="1555" w:type="dxa"/>
            <w:shd w:val="clear" w:color="auto" w:fill="D9E2F3" w:themeFill="accent1" w:themeFillTint="33"/>
          </w:tcPr>
          <w:p w14:paraId="3975EC02" w14:textId="77777777" w:rsidR="00E07822" w:rsidRPr="00B46C25" w:rsidRDefault="00E07822" w:rsidP="00BD772D">
            <w:pPr>
              <w:rPr>
                <w:rFonts w:asciiTheme="minorHAnsi" w:hAnsiTheme="minorHAnsi"/>
                <w:b/>
                <w:iCs/>
                <w:sz w:val="22"/>
                <w:szCs w:val="22"/>
              </w:rPr>
            </w:pPr>
            <w:r w:rsidRPr="00B46C25">
              <w:rPr>
                <w:rFonts w:asciiTheme="minorHAnsi" w:hAnsiTheme="minorHAnsi"/>
                <w:b/>
                <w:iCs/>
                <w:sz w:val="22"/>
                <w:szCs w:val="22"/>
              </w:rPr>
              <w:t>Date</w:t>
            </w:r>
          </w:p>
        </w:tc>
        <w:tc>
          <w:tcPr>
            <w:tcW w:w="7433" w:type="dxa"/>
            <w:shd w:val="clear" w:color="auto" w:fill="D9E2F3" w:themeFill="accent1" w:themeFillTint="33"/>
          </w:tcPr>
          <w:p w14:paraId="7BEBCE08" w14:textId="77777777" w:rsidR="00E07822" w:rsidRPr="00B46C25" w:rsidRDefault="00E07822" w:rsidP="00BD772D">
            <w:pPr>
              <w:rPr>
                <w:rFonts w:asciiTheme="minorHAnsi" w:hAnsiTheme="minorHAnsi"/>
                <w:b/>
                <w:iCs/>
                <w:sz w:val="22"/>
                <w:szCs w:val="22"/>
              </w:rPr>
            </w:pPr>
            <w:r w:rsidRPr="00B46C25">
              <w:rPr>
                <w:rFonts w:asciiTheme="minorHAnsi" w:hAnsiTheme="minorHAnsi"/>
                <w:b/>
                <w:iCs/>
                <w:sz w:val="22"/>
                <w:szCs w:val="22"/>
              </w:rPr>
              <w:t>Events</w:t>
            </w:r>
          </w:p>
        </w:tc>
      </w:tr>
      <w:tr w:rsidR="00E07822" w:rsidRPr="00B46C25" w14:paraId="4E8A1AF9" w14:textId="77777777" w:rsidTr="00BE7E93">
        <w:trPr>
          <w:trHeight w:val="355"/>
        </w:trPr>
        <w:tc>
          <w:tcPr>
            <w:tcW w:w="1555" w:type="dxa"/>
          </w:tcPr>
          <w:p w14:paraId="202027AF" w14:textId="58E74804" w:rsidR="00E07822" w:rsidRPr="00B46C25" w:rsidRDefault="00E07822">
            <w:pPr>
              <w:rPr>
                <w:rFonts w:asciiTheme="minorHAnsi" w:hAnsiTheme="minorHAnsi"/>
                <w:iCs/>
                <w:sz w:val="22"/>
                <w:szCs w:val="22"/>
              </w:rPr>
            </w:pPr>
            <w:r w:rsidRPr="00B46C25">
              <w:rPr>
                <w:rFonts w:asciiTheme="minorHAnsi" w:hAnsiTheme="minorHAnsi"/>
                <w:iCs/>
                <w:sz w:val="22"/>
                <w:szCs w:val="22"/>
              </w:rPr>
              <w:t xml:space="preserve">January </w:t>
            </w:r>
            <w:r w:rsidR="00965166">
              <w:rPr>
                <w:rFonts w:asciiTheme="minorHAnsi" w:hAnsiTheme="minorHAnsi"/>
                <w:iCs/>
                <w:sz w:val="22"/>
                <w:szCs w:val="22"/>
              </w:rPr>
              <w:t>2020</w:t>
            </w:r>
          </w:p>
        </w:tc>
        <w:tc>
          <w:tcPr>
            <w:tcW w:w="7433" w:type="dxa"/>
          </w:tcPr>
          <w:p w14:paraId="0C9F18E1"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Application fee and annual charge commences</w:t>
            </w:r>
          </w:p>
        </w:tc>
      </w:tr>
      <w:tr w:rsidR="00E07822" w:rsidRPr="00B46C25" w14:paraId="2489A52A" w14:textId="77777777" w:rsidTr="00BE7E93">
        <w:trPr>
          <w:trHeight w:val="1228"/>
        </w:trPr>
        <w:tc>
          <w:tcPr>
            <w:tcW w:w="1555" w:type="dxa"/>
          </w:tcPr>
          <w:p w14:paraId="233994E1" w14:textId="3BC2B24C" w:rsidR="00E07822" w:rsidRPr="00B46C25" w:rsidRDefault="00E07822">
            <w:pPr>
              <w:rPr>
                <w:rFonts w:asciiTheme="minorHAnsi" w:hAnsiTheme="minorHAnsi"/>
                <w:iCs/>
                <w:sz w:val="22"/>
                <w:szCs w:val="22"/>
              </w:rPr>
            </w:pPr>
            <w:r w:rsidRPr="00B46C25">
              <w:rPr>
                <w:rFonts w:asciiTheme="minorHAnsi" w:hAnsiTheme="minorHAnsi"/>
                <w:iCs/>
                <w:sz w:val="22"/>
                <w:szCs w:val="22"/>
              </w:rPr>
              <w:t xml:space="preserve">Early </w:t>
            </w:r>
            <w:r w:rsidR="00965166">
              <w:rPr>
                <w:rFonts w:asciiTheme="minorHAnsi" w:hAnsiTheme="minorHAnsi"/>
                <w:iCs/>
                <w:sz w:val="22"/>
                <w:szCs w:val="22"/>
              </w:rPr>
              <w:t>2020</w:t>
            </w:r>
          </w:p>
        </w:tc>
        <w:tc>
          <w:tcPr>
            <w:tcW w:w="7433" w:type="dxa"/>
          </w:tcPr>
          <w:p w14:paraId="73114E15"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Provider application round opens, will require an application fee</w:t>
            </w:r>
          </w:p>
          <w:p w14:paraId="79ED6D5E"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Ongoing stakeholder engagement on the cost recovery charges commences (including via higher education provider communications working group meetings)</w:t>
            </w:r>
          </w:p>
        </w:tc>
      </w:tr>
      <w:tr w:rsidR="00E07822" w:rsidRPr="00B46C25" w14:paraId="6712AF6A" w14:textId="77777777" w:rsidTr="00BE7E93">
        <w:trPr>
          <w:trHeight w:val="1187"/>
        </w:trPr>
        <w:tc>
          <w:tcPr>
            <w:tcW w:w="1555" w:type="dxa"/>
          </w:tcPr>
          <w:p w14:paraId="4F91F308" w14:textId="373ED637" w:rsidR="00E07822" w:rsidRPr="00B46C25" w:rsidRDefault="00E07822">
            <w:pPr>
              <w:rPr>
                <w:rFonts w:asciiTheme="minorHAnsi" w:hAnsiTheme="minorHAnsi"/>
                <w:iCs/>
                <w:sz w:val="22"/>
                <w:szCs w:val="22"/>
              </w:rPr>
            </w:pPr>
            <w:r w:rsidRPr="00B46C25">
              <w:rPr>
                <w:rFonts w:asciiTheme="minorHAnsi" w:hAnsiTheme="minorHAnsi"/>
                <w:iCs/>
                <w:sz w:val="22"/>
                <w:szCs w:val="22"/>
              </w:rPr>
              <w:t>2020</w:t>
            </w:r>
            <w:r w:rsidR="00965166">
              <w:rPr>
                <w:rFonts w:asciiTheme="minorHAnsi" w:hAnsiTheme="minorHAnsi"/>
                <w:iCs/>
                <w:sz w:val="22"/>
                <w:szCs w:val="22"/>
              </w:rPr>
              <w:t>-2021</w:t>
            </w:r>
          </w:p>
        </w:tc>
        <w:tc>
          <w:tcPr>
            <w:tcW w:w="7433" w:type="dxa"/>
          </w:tcPr>
          <w:p w14:paraId="2D254B48"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Ongoing review of the cost drivers for the cost recovery charges commences</w:t>
            </w:r>
          </w:p>
          <w:p w14:paraId="0AC5C6AD"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Next update of forward estimates for the cost recovery charges</w:t>
            </w:r>
          </w:p>
          <w:p w14:paraId="60639331"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Next update of actual results on the cost recovery charges will be provided in the department’s Annual Report</w:t>
            </w:r>
          </w:p>
        </w:tc>
      </w:tr>
      <w:tr w:rsidR="00E07822" w:rsidRPr="00B46C25" w14:paraId="4A959472" w14:textId="77777777" w:rsidTr="00BE7E93">
        <w:trPr>
          <w:trHeight w:val="416"/>
        </w:trPr>
        <w:tc>
          <w:tcPr>
            <w:tcW w:w="1555" w:type="dxa"/>
          </w:tcPr>
          <w:p w14:paraId="52E075EF" w14:textId="38FDA666" w:rsidR="00E07822" w:rsidRPr="00B46C25" w:rsidRDefault="004B3917">
            <w:pPr>
              <w:rPr>
                <w:rFonts w:asciiTheme="minorHAnsi" w:hAnsiTheme="minorHAnsi"/>
                <w:iCs/>
                <w:sz w:val="22"/>
                <w:szCs w:val="22"/>
              </w:rPr>
            </w:pPr>
            <w:r>
              <w:rPr>
                <w:rFonts w:asciiTheme="minorHAnsi" w:hAnsiTheme="minorHAnsi"/>
                <w:iCs/>
                <w:sz w:val="22"/>
                <w:szCs w:val="22"/>
              </w:rPr>
              <w:t>May</w:t>
            </w:r>
            <w:r w:rsidR="00E07822" w:rsidRPr="00B46C25">
              <w:rPr>
                <w:rFonts w:asciiTheme="minorHAnsi" w:hAnsiTheme="minorHAnsi"/>
                <w:iCs/>
                <w:sz w:val="22"/>
                <w:szCs w:val="22"/>
              </w:rPr>
              <w:t xml:space="preserve"> - 202</w:t>
            </w:r>
            <w:r w:rsidR="00965166">
              <w:rPr>
                <w:rFonts w:asciiTheme="minorHAnsi" w:hAnsiTheme="minorHAnsi"/>
                <w:iCs/>
                <w:sz w:val="22"/>
                <w:szCs w:val="22"/>
              </w:rPr>
              <w:t>1</w:t>
            </w:r>
          </w:p>
        </w:tc>
        <w:tc>
          <w:tcPr>
            <w:tcW w:w="7433" w:type="dxa"/>
          </w:tcPr>
          <w:p w14:paraId="08193868" w14:textId="11F002A2" w:rsidR="00E07822" w:rsidRPr="00B46C25" w:rsidRDefault="00E07822">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Providers invoiced annual charge for 20</w:t>
            </w:r>
            <w:r w:rsidR="00965166">
              <w:rPr>
                <w:rFonts w:asciiTheme="minorHAnsi" w:hAnsiTheme="minorHAnsi"/>
                <w:iCs/>
                <w:sz w:val="22"/>
                <w:szCs w:val="22"/>
              </w:rPr>
              <w:t>20</w:t>
            </w:r>
            <w:r w:rsidR="004B3917">
              <w:rPr>
                <w:rFonts w:asciiTheme="minorHAnsi" w:hAnsiTheme="minorHAnsi"/>
                <w:iCs/>
                <w:sz w:val="22"/>
                <w:szCs w:val="22"/>
              </w:rPr>
              <w:t xml:space="preserve"> for payment by June 2021</w:t>
            </w:r>
          </w:p>
        </w:tc>
      </w:tr>
      <w:tr w:rsidR="00E07822" w:rsidRPr="00B46C25" w14:paraId="7E815F36" w14:textId="77777777" w:rsidTr="00BE7E93">
        <w:trPr>
          <w:trHeight w:val="409"/>
        </w:trPr>
        <w:tc>
          <w:tcPr>
            <w:tcW w:w="1555" w:type="dxa"/>
          </w:tcPr>
          <w:p w14:paraId="676CA8C3" w14:textId="75E575B0" w:rsidR="00E07822" w:rsidRPr="00B46C25" w:rsidRDefault="004B3917">
            <w:pPr>
              <w:rPr>
                <w:rFonts w:asciiTheme="minorHAnsi" w:hAnsiTheme="minorHAnsi"/>
                <w:iCs/>
                <w:sz w:val="22"/>
                <w:szCs w:val="22"/>
              </w:rPr>
            </w:pPr>
            <w:r>
              <w:rPr>
                <w:rFonts w:asciiTheme="minorHAnsi" w:hAnsiTheme="minorHAnsi"/>
                <w:iCs/>
                <w:sz w:val="22"/>
                <w:szCs w:val="22"/>
              </w:rPr>
              <w:t>May</w:t>
            </w:r>
            <w:r w:rsidR="00E07822" w:rsidRPr="00B46C25">
              <w:rPr>
                <w:rFonts w:asciiTheme="minorHAnsi" w:hAnsiTheme="minorHAnsi"/>
                <w:iCs/>
                <w:sz w:val="22"/>
                <w:szCs w:val="22"/>
              </w:rPr>
              <w:t xml:space="preserve"> - 202</w:t>
            </w:r>
            <w:r w:rsidR="00965166">
              <w:rPr>
                <w:rFonts w:asciiTheme="minorHAnsi" w:hAnsiTheme="minorHAnsi"/>
                <w:iCs/>
                <w:sz w:val="22"/>
                <w:szCs w:val="22"/>
              </w:rPr>
              <w:t>2</w:t>
            </w:r>
          </w:p>
        </w:tc>
        <w:tc>
          <w:tcPr>
            <w:tcW w:w="7433" w:type="dxa"/>
          </w:tcPr>
          <w:p w14:paraId="4E932864" w14:textId="3BFAE46F" w:rsidR="00E07822" w:rsidRPr="00B46C25" w:rsidRDefault="00E07822">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Providers invoiced annual charge for 202</w:t>
            </w:r>
            <w:r w:rsidR="00965166">
              <w:rPr>
                <w:rFonts w:asciiTheme="minorHAnsi" w:hAnsiTheme="minorHAnsi"/>
                <w:iCs/>
                <w:sz w:val="22"/>
                <w:szCs w:val="22"/>
              </w:rPr>
              <w:t>1</w:t>
            </w:r>
            <w:r w:rsidR="004B3917">
              <w:rPr>
                <w:rFonts w:asciiTheme="minorHAnsi" w:hAnsiTheme="minorHAnsi"/>
                <w:iCs/>
                <w:sz w:val="22"/>
                <w:szCs w:val="22"/>
              </w:rPr>
              <w:t xml:space="preserve"> for payment by June 2022</w:t>
            </w:r>
          </w:p>
        </w:tc>
      </w:tr>
      <w:tr w:rsidR="00E07822" w:rsidRPr="00B46C25" w14:paraId="348143F8" w14:textId="77777777" w:rsidTr="00BE7E93">
        <w:trPr>
          <w:trHeight w:val="699"/>
        </w:trPr>
        <w:tc>
          <w:tcPr>
            <w:tcW w:w="1555" w:type="dxa"/>
          </w:tcPr>
          <w:p w14:paraId="442EA77C" w14:textId="2D93B72C" w:rsidR="00E07822" w:rsidRPr="00B46C25" w:rsidRDefault="00E07822">
            <w:pPr>
              <w:rPr>
                <w:rFonts w:asciiTheme="minorHAnsi" w:hAnsiTheme="minorHAnsi"/>
                <w:iCs/>
                <w:sz w:val="22"/>
                <w:szCs w:val="22"/>
              </w:rPr>
            </w:pPr>
            <w:r w:rsidRPr="00B46C25">
              <w:rPr>
                <w:rFonts w:asciiTheme="minorHAnsi" w:hAnsiTheme="minorHAnsi"/>
                <w:iCs/>
                <w:sz w:val="22"/>
                <w:szCs w:val="22"/>
              </w:rPr>
              <w:t>202</w:t>
            </w:r>
            <w:r w:rsidR="00965166">
              <w:rPr>
                <w:rFonts w:asciiTheme="minorHAnsi" w:hAnsiTheme="minorHAnsi"/>
                <w:iCs/>
                <w:sz w:val="22"/>
                <w:szCs w:val="22"/>
              </w:rPr>
              <w:t>3</w:t>
            </w:r>
          </w:p>
        </w:tc>
        <w:tc>
          <w:tcPr>
            <w:tcW w:w="7433" w:type="dxa"/>
          </w:tcPr>
          <w:p w14:paraId="4CDC061B" w14:textId="77777777" w:rsidR="00E07822" w:rsidRPr="00B46C25" w:rsidRDefault="00E07822" w:rsidP="00B46C25">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Next portfolio charging review commences</w:t>
            </w:r>
          </w:p>
          <w:p w14:paraId="2FE30D48" w14:textId="2414D762" w:rsidR="00E07822" w:rsidRPr="00B46C25" w:rsidRDefault="00E07822">
            <w:pPr>
              <w:pStyle w:val="ListParagraph"/>
              <w:numPr>
                <w:ilvl w:val="0"/>
                <w:numId w:val="10"/>
              </w:numPr>
              <w:ind w:left="312" w:hanging="357"/>
              <w:contextualSpacing w:val="0"/>
              <w:jc w:val="both"/>
              <w:rPr>
                <w:rFonts w:asciiTheme="minorHAnsi" w:hAnsiTheme="minorHAnsi"/>
                <w:iCs/>
                <w:sz w:val="22"/>
                <w:szCs w:val="22"/>
              </w:rPr>
            </w:pPr>
            <w:r w:rsidRPr="00B46C25">
              <w:rPr>
                <w:rFonts w:asciiTheme="minorHAnsi" w:hAnsiTheme="minorHAnsi"/>
                <w:iCs/>
                <w:sz w:val="22"/>
                <w:szCs w:val="22"/>
              </w:rPr>
              <w:t>Providers invoiced annual charge for 202</w:t>
            </w:r>
            <w:r w:rsidR="00965166">
              <w:rPr>
                <w:rFonts w:asciiTheme="minorHAnsi" w:hAnsiTheme="minorHAnsi"/>
                <w:iCs/>
                <w:sz w:val="22"/>
                <w:szCs w:val="22"/>
              </w:rPr>
              <w:t>2</w:t>
            </w:r>
            <w:r w:rsidR="00000BE6">
              <w:rPr>
                <w:rFonts w:asciiTheme="minorHAnsi" w:hAnsiTheme="minorHAnsi"/>
                <w:iCs/>
                <w:sz w:val="22"/>
                <w:szCs w:val="22"/>
              </w:rPr>
              <w:t xml:space="preserve"> in May 2023</w:t>
            </w:r>
          </w:p>
        </w:tc>
      </w:tr>
    </w:tbl>
    <w:p w14:paraId="790D6DF6" w14:textId="77777777" w:rsidR="00000BE6" w:rsidRDefault="00000BE6" w:rsidP="00565156">
      <w:pPr>
        <w:spacing w:after="160" w:line="259" w:lineRule="auto"/>
        <w:rPr>
          <w:rFonts w:asciiTheme="minorHAnsi" w:hAnsiTheme="minorHAnsi"/>
          <w:b/>
          <w:sz w:val="28"/>
          <w:szCs w:val="28"/>
        </w:rPr>
      </w:pPr>
    </w:p>
    <w:p w14:paraId="5E195F80" w14:textId="0FF5F8ED" w:rsidR="002B476A" w:rsidRDefault="005E7B63" w:rsidP="00565156">
      <w:pPr>
        <w:spacing w:after="160" w:line="259" w:lineRule="auto"/>
        <w:rPr>
          <w:rFonts w:asciiTheme="minorHAnsi" w:hAnsiTheme="minorHAnsi"/>
          <w:b/>
          <w:sz w:val="28"/>
          <w:szCs w:val="28"/>
        </w:rPr>
      </w:pPr>
      <w:r>
        <w:rPr>
          <w:rFonts w:asciiTheme="minorHAnsi" w:hAnsiTheme="minorHAnsi"/>
          <w:b/>
          <w:sz w:val="28"/>
          <w:szCs w:val="28"/>
        </w:rPr>
        <w:t>10</w:t>
      </w:r>
      <w:r w:rsidR="00565156">
        <w:rPr>
          <w:rFonts w:asciiTheme="minorHAnsi" w:hAnsiTheme="minorHAnsi"/>
          <w:b/>
          <w:sz w:val="28"/>
          <w:szCs w:val="28"/>
        </w:rPr>
        <w:t>.</w:t>
      </w:r>
      <w:r w:rsidR="002B476A">
        <w:rPr>
          <w:rFonts w:asciiTheme="minorHAnsi" w:hAnsiTheme="minorHAnsi"/>
          <w:b/>
          <w:sz w:val="28"/>
          <w:szCs w:val="28"/>
        </w:rPr>
        <w:tab/>
        <w:t>CRIS APPROVAL AND CHANGE REGISTER</w:t>
      </w:r>
    </w:p>
    <w:tbl>
      <w:tblPr>
        <w:tblStyle w:val="TableGrid"/>
        <w:tblW w:w="8931" w:type="dxa"/>
        <w:tblInd w:w="-5" w:type="dxa"/>
        <w:tblLayout w:type="fixed"/>
        <w:tblLook w:val="04A0" w:firstRow="1" w:lastRow="0" w:firstColumn="1" w:lastColumn="0" w:noHBand="0" w:noVBand="1"/>
      </w:tblPr>
      <w:tblGrid>
        <w:gridCol w:w="2019"/>
        <w:gridCol w:w="2268"/>
        <w:gridCol w:w="2409"/>
        <w:gridCol w:w="2235"/>
      </w:tblGrid>
      <w:tr w:rsidR="00E07822" w14:paraId="7C4BE314" w14:textId="77777777" w:rsidTr="00BE7E93">
        <w:tc>
          <w:tcPr>
            <w:tcW w:w="2019" w:type="dxa"/>
            <w:shd w:val="solid" w:color="DBE5F1" w:fill="D5DCE4" w:themeFill="text2" w:themeFillTint="33"/>
            <w:hideMark/>
          </w:tcPr>
          <w:p w14:paraId="39F7A0DB" w14:textId="77777777" w:rsidR="00E07822" w:rsidRPr="00E07822" w:rsidRDefault="00E07822" w:rsidP="00BD772D">
            <w:pPr>
              <w:rPr>
                <w:rFonts w:asciiTheme="minorHAnsi" w:hAnsiTheme="minorHAnsi"/>
                <w:b/>
                <w:iCs/>
              </w:rPr>
            </w:pPr>
            <w:r w:rsidRPr="00E07822">
              <w:rPr>
                <w:rFonts w:asciiTheme="minorHAnsi" w:hAnsiTheme="minorHAnsi"/>
                <w:b/>
                <w:iCs/>
              </w:rPr>
              <w:t>Date of CRIS change</w:t>
            </w:r>
          </w:p>
        </w:tc>
        <w:tc>
          <w:tcPr>
            <w:tcW w:w="2268" w:type="dxa"/>
            <w:shd w:val="solid" w:color="DBE5F1" w:fill="D5DCE4" w:themeFill="text2" w:themeFillTint="33"/>
            <w:hideMark/>
          </w:tcPr>
          <w:p w14:paraId="6BE2D6A2" w14:textId="77777777" w:rsidR="00E07822" w:rsidRPr="00E07822" w:rsidRDefault="00E07822" w:rsidP="00BD772D">
            <w:pPr>
              <w:rPr>
                <w:rFonts w:asciiTheme="minorHAnsi" w:hAnsiTheme="minorHAnsi"/>
                <w:b/>
                <w:iCs/>
              </w:rPr>
            </w:pPr>
            <w:r w:rsidRPr="00E07822">
              <w:rPr>
                <w:rFonts w:asciiTheme="minorHAnsi" w:hAnsiTheme="minorHAnsi"/>
                <w:b/>
                <w:iCs/>
              </w:rPr>
              <w:t>CRIS change</w:t>
            </w:r>
          </w:p>
        </w:tc>
        <w:tc>
          <w:tcPr>
            <w:tcW w:w="2409" w:type="dxa"/>
            <w:shd w:val="solid" w:color="DBE5F1" w:fill="D5DCE4" w:themeFill="text2" w:themeFillTint="33"/>
            <w:hideMark/>
          </w:tcPr>
          <w:p w14:paraId="78510653" w14:textId="77777777" w:rsidR="00E07822" w:rsidRPr="00E07822" w:rsidRDefault="00E07822" w:rsidP="00BD772D">
            <w:pPr>
              <w:rPr>
                <w:rFonts w:asciiTheme="minorHAnsi" w:hAnsiTheme="minorHAnsi"/>
                <w:b/>
                <w:iCs/>
              </w:rPr>
            </w:pPr>
            <w:r w:rsidRPr="00E07822">
              <w:rPr>
                <w:rFonts w:asciiTheme="minorHAnsi" w:hAnsiTheme="minorHAnsi"/>
                <w:b/>
                <w:iCs/>
              </w:rPr>
              <w:t>Approver</w:t>
            </w:r>
          </w:p>
        </w:tc>
        <w:tc>
          <w:tcPr>
            <w:tcW w:w="2235" w:type="dxa"/>
            <w:shd w:val="solid" w:color="DBE5F1" w:fill="D5DCE4" w:themeFill="text2" w:themeFillTint="33"/>
            <w:hideMark/>
          </w:tcPr>
          <w:p w14:paraId="576C998F" w14:textId="77777777" w:rsidR="00E07822" w:rsidRPr="00E07822" w:rsidRDefault="00E07822" w:rsidP="00BD772D">
            <w:pPr>
              <w:rPr>
                <w:rFonts w:asciiTheme="minorHAnsi" w:hAnsiTheme="minorHAnsi"/>
                <w:b/>
                <w:iCs/>
              </w:rPr>
            </w:pPr>
            <w:r w:rsidRPr="00E07822">
              <w:rPr>
                <w:rFonts w:asciiTheme="minorHAnsi" w:hAnsiTheme="minorHAnsi"/>
                <w:b/>
                <w:iCs/>
              </w:rPr>
              <w:t>Basis for change</w:t>
            </w:r>
          </w:p>
        </w:tc>
      </w:tr>
      <w:tr w:rsidR="00E07822" w14:paraId="598831E7" w14:textId="77777777" w:rsidTr="00BE7E93">
        <w:tc>
          <w:tcPr>
            <w:tcW w:w="2019" w:type="dxa"/>
            <w:vAlign w:val="center"/>
            <w:hideMark/>
          </w:tcPr>
          <w:p w14:paraId="32BDF702" w14:textId="77777777" w:rsidR="00E07822" w:rsidRDefault="00E07822">
            <w:pPr>
              <w:spacing w:before="60" w:after="60"/>
              <w:rPr>
                <w:rFonts w:asciiTheme="minorHAnsi" w:hAnsiTheme="minorHAnsi"/>
                <w:sz w:val="22"/>
                <w:szCs w:val="22"/>
              </w:rPr>
            </w:pPr>
            <w:r>
              <w:rPr>
                <w:rFonts w:asciiTheme="minorHAnsi" w:hAnsiTheme="minorHAnsi"/>
                <w:sz w:val="22"/>
                <w:szCs w:val="22"/>
              </w:rPr>
              <w:t>XX/</w:t>
            </w:r>
            <w:r w:rsidR="00A87E3A">
              <w:rPr>
                <w:rFonts w:asciiTheme="minorHAnsi" w:hAnsiTheme="minorHAnsi"/>
                <w:sz w:val="22"/>
                <w:szCs w:val="22"/>
              </w:rPr>
              <w:t>XX</w:t>
            </w:r>
            <w:r>
              <w:rPr>
                <w:rFonts w:asciiTheme="minorHAnsi" w:hAnsiTheme="minorHAnsi"/>
                <w:sz w:val="22"/>
                <w:szCs w:val="22"/>
              </w:rPr>
              <w:t>/20</w:t>
            </w:r>
            <w:r w:rsidR="00A87E3A">
              <w:rPr>
                <w:rFonts w:asciiTheme="minorHAnsi" w:hAnsiTheme="minorHAnsi"/>
                <w:sz w:val="22"/>
                <w:szCs w:val="22"/>
              </w:rPr>
              <w:t>XX</w:t>
            </w:r>
          </w:p>
        </w:tc>
        <w:tc>
          <w:tcPr>
            <w:tcW w:w="2268" w:type="dxa"/>
            <w:vAlign w:val="center"/>
            <w:hideMark/>
          </w:tcPr>
          <w:p w14:paraId="3CB9DE0B" w14:textId="77777777" w:rsidR="00E07822" w:rsidRDefault="00E07822">
            <w:pPr>
              <w:spacing w:before="60" w:after="60"/>
              <w:rPr>
                <w:rFonts w:asciiTheme="minorHAnsi" w:hAnsiTheme="minorHAnsi"/>
                <w:sz w:val="22"/>
                <w:szCs w:val="22"/>
              </w:rPr>
            </w:pPr>
            <w:r>
              <w:rPr>
                <w:rFonts w:asciiTheme="minorHAnsi" w:hAnsiTheme="minorHAnsi"/>
                <w:sz w:val="22"/>
                <w:szCs w:val="22"/>
              </w:rPr>
              <w:t xml:space="preserve">Update of financial estimates </w:t>
            </w:r>
          </w:p>
        </w:tc>
        <w:tc>
          <w:tcPr>
            <w:tcW w:w="2409" w:type="dxa"/>
            <w:vAlign w:val="center"/>
            <w:hideMark/>
          </w:tcPr>
          <w:p w14:paraId="41882F6D" w14:textId="77777777" w:rsidR="00E07822" w:rsidRDefault="00E07822">
            <w:pPr>
              <w:spacing w:before="60" w:after="60"/>
              <w:rPr>
                <w:rFonts w:asciiTheme="minorHAnsi" w:hAnsiTheme="minorHAnsi"/>
                <w:sz w:val="22"/>
                <w:szCs w:val="22"/>
              </w:rPr>
            </w:pPr>
            <w:r>
              <w:rPr>
                <w:rFonts w:asciiTheme="minorHAnsi" w:hAnsiTheme="minorHAnsi"/>
                <w:sz w:val="22"/>
                <w:szCs w:val="22"/>
              </w:rPr>
              <w:t xml:space="preserve">Title of accountable authority </w:t>
            </w:r>
          </w:p>
        </w:tc>
        <w:tc>
          <w:tcPr>
            <w:tcW w:w="2235" w:type="dxa"/>
            <w:vAlign w:val="center"/>
            <w:hideMark/>
          </w:tcPr>
          <w:p w14:paraId="209043DD" w14:textId="77777777" w:rsidR="00E07822" w:rsidRDefault="00E07822">
            <w:pPr>
              <w:rPr>
                <w:rFonts w:asciiTheme="minorHAnsi" w:hAnsiTheme="minorHAnsi"/>
                <w:sz w:val="22"/>
                <w:szCs w:val="22"/>
              </w:rPr>
            </w:pPr>
            <w:r>
              <w:rPr>
                <w:rFonts w:asciiTheme="minorHAnsi" w:hAnsiTheme="minorHAnsi"/>
                <w:sz w:val="22"/>
                <w:szCs w:val="22"/>
              </w:rPr>
              <w:t>Changes in assumptions (e.g. at Additional Estimates)</w:t>
            </w:r>
          </w:p>
        </w:tc>
      </w:tr>
      <w:tr w:rsidR="00E07822" w14:paraId="76A487DB" w14:textId="77777777" w:rsidTr="00BE7E93">
        <w:tc>
          <w:tcPr>
            <w:tcW w:w="2019" w:type="dxa"/>
            <w:vAlign w:val="center"/>
            <w:hideMark/>
          </w:tcPr>
          <w:p w14:paraId="58EF42BC" w14:textId="42CA877A" w:rsidR="00E07822" w:rsidRDefault="00E07822">
            <w:pPr>
              <w:spacing w:before="60" w:after="60"/>
              <w:rPr>
                <w:rFonts w:asciiTheme="minorHAnsi" w:hAnsiTheme="minorHAnsi"/>
                <w:sz w:val="22"/>
                <w:szCs w:val="22"/>
              </w:rPr>
            </w:pPr>
            <w:r>
              <w:rPr>
                <w:rFonts w:asciiTheme="minorHAnsi" w:hAnsiTheme="minorHAnsi"/>
                <w:sz w:val="22"/>
                <w:szCs w:val="22"/>
              </w:rPr>
              <w:t>XX/</w:t>
            </w:r>
            <w:r w:rsidR="00A87E3A">
              <w:rPr>
                <w:rFonts w:asciiTheme="minorHAnsi" w:hAnsiTheme="minorHAnsi"/>
                <w:sz w:val="22"/>
                <w:szCs w:val="22"/>
              </w:rPr>
              <w:t>XX</w:t>
            </w:r>
            <w:r>
              <w:rPr>
                <w:rFonts w:asciiTheme="minorHAnsi" w:hAnsiTheme="minorHAnsi"/>
                <w:sz w:val="22"/>
                <w:szCs w:val="22"/>
              </w:rPr>
              <w:t>/20</w:t>
            </w:r>
            <w:r w:rsidR="00965166">
              <w:rPr>
                <w:rFonts w:asciiTheme="minorHAnsi" w:hAnsiTheme="minorHAnsi"/>
                <w:sz w:val="22"/>
                <w:szCs w:val="22"/>
              </w:rPr>
              <w:t>XX</w:t>
            </w:r>
          </w:p>
        </w:tc>
        <w:tc>
          <w:tcPr>
            <w:tcW w:w="2268" w:type="dxa"/>
            <w:vAlign w:val="center"/>
            <w:hideMark/>
          </w:tcPr>
          <w:p w14:paraId="6DDFFBA3" w14:textId="77777777" w:rsidR="00E07822" w:rsidRDefault="00E07822">
            <w:pPr>
              <w:spacing w:before="60" w:after="60"/>
              <w:rPr>
                <w:rFonts w:asciiTheme="minorHAnsi" w:hAnsiTheme="minorHAnsi"/>
                <w:sz w:val="22"/>
                <w:szCs w:val="22"/>
              </w:rPr>
            </w:pPr>
            <w:r>
              <w:rPr>
                <w:rFonts w:asciiTheme="minorHAnsi" w:hAnsiTheme="minorHAnsi"/>
                <w:sz w:val="22"/>
                <w:szCs w:val="22"/>
              </w:rPr>
              <w:t xml:space="preserve">Update description of costs and charges </w:t>
            </w:r>
          </w:p>
        </w:tc>
        <w:tc>
          <w:tcPr>
            <w:tcW w:w="2409" w:type="dxa"/>
            <w:vAlign w:val="center"/>
            <w:hideMark/>
          </w:tcPr>
          <w:p w14:paraId="44C59825" w14:textId="77777777" w:rsidR="00E07822" w:rsidRDefault="00E07822">
            <w:pPr>
              <w:spacing w:before="60" w:after="60"/>
              <w:rPr>
                <w:rFonts w:asciiTheme="minorHAnsi" w:hAnsiTheme="minorHAnsi"/>
                <w:sz w:val="22"/>
                <w:szCs w:val="22"/>
              </w:rPr>
            </w:pPr>
            <w:r>
              <w:rPr>
                <w:rFonts w:asciiTheme="minorHAnsi" w:hAnsiTheme="minorHAnsi"/>
                <w:sz w:val="22"/>
                <w:szCs w:val="22"/>
              </w:rPr>
              <w:t>Title of responsible Minister</w:t>
            </w:r>
          </w:p>
        </w:tc>
        <w:tc>
          <w:tcPr>
            <w:tcW w:w="2235" w:type="dxa"/>
            <w:vAlign w:val="center"/>
            <w:hideMark/>
          </w:tcPr>
          <w:p w14:paraId="6B6AAE10" w14:textId="77777777" w:rsidR="00E07822" w:rsidRDefault="00E07822">
            <w:pPr>
              <w:rPr>
                <w:rFonts w:asciiTheme="minorHAnsi" w:hAnsiTheme="minorHAnsi"/>
                <w:sz w:val="22"/>
                <w:szCs w:val="22"/>
              </w:rPr>
            </w:pPr>
            <w:r>
              <w:rPr>
                <w:rFonts w:asciiTheme="minorHAnsi" w:hAnsiTheme="minorHAnsi"/>
                <w:sz w:val="22"/>
                <w:szCs w:val="22"/>
              </w:rPr>
              <w:t>Changes in costs of resources</w:t>
            </w:r>
          </w:p>
        </w:tc>
      </w:tr>
      <w:tr w:rsidR="00E07822" w14:paraId="222505E5" w14:textId="77777777" w:rsidTr="00BE7E93">
        <w:tc>
          <w:tcPr>
            <w:tcW w:w="2019" w:type="dxa"/>
            <w:vAlign w:val="center"/>
            <w:hideMark/>
          </w:tcPr>
          <w:p w14:paraId="20FCDA11" w14:textId="77777777" w:rsidR="00E07822" w:rsidRDefault="00E07822">
            <w:pPr>
              <w:spacing w:before="60" w:after="60"/>
              <w:rPr>
                <w:rFonts w:asciiTheme="minorHAnsi" w:hAnsiTheme="minorHAnsi"/>
                <w:sz w:val="22"/>
                <w:szCs w:val="22"/>
              </w:rPr>
            </w:pPr>
            <w:r>
              <w:rPr>
                <w:rFonts w:asciiTheme="minorHAnsi" w:hAnsiTheme="minorHAnsi"/>
                <w:sz w:val="22"/>
                <w:szCs w:val="22"/>
              </w:rPr>
              <w:t>XX/</w:t>
            </w:r>
            <w:r w:rsidR="00A87E3A">
              <w:rPr>
                <w:rFonts w:asciiTheme="minorHAnsi" w:hAnsiTheme="minorHAnsi"/>
                <w:sz w:val="22"/>
                <w:szCs w:val="22"/>
              </w:rPr>
              <w:t>XX</w:t>
            </w:r>
            <w:r>
              <w:rPr>
                <w:rFonts w:asciiTheme="minorHAnsi" w:hAnsiTheme="minorHAnsi"/>
                <w:sz w:val="22"/>
                <w:szCs w:val="22"/>
              </w:rPr>
              <w:t>/20</w:t>
            </w:r>
            <w:r w:rsidR="00A87E3A">
              <w:rPr>
                <w:rFonts w:asciiTheme="minorHAnsi" w:hAnsiTheme="minorHAnsi"/>
                <w:sz w:val="22"/>
                <w:szCs w:val="22"/>
              </w:rPr>
              <w:t>XX</w:t>
            </w:r>
          </w:p>
        </w:tc>
        <w:tc>
          <w:tcPr>
            <w:tcW w:w="2268" w:type="dxa"/>
            <w:vAlign w:val="center"/>
            <w:hideMark/>
          </w:tcPr>
          <w:p w14:paraId="1F467B3F" w14:textId="77777777" w:rsidR="00E07822" w:rsidRDefault="00E07822">
            <w:pPr>
              <w:spacing w:before="60" w:after="60"/>
              <w:rPr>
                <w:rFonts w:asciiTheme="minorHAnsi" w:hAnsiTheme="minorHAnsi"/>
                <w:sz w:val="22"/>
                <w:szCs w:val="22"/>
              </w:rPr>
            </w:pPr>
            <w:r>
              <w:rPr>
                <w:rFonts w:asciiTheme="minorHAnsi" w:hAnsiTheme="minorHAnsi"/>
                <w:sz w:val="22"/>
                <w:szCs w:val="22"/>
              </w:rPr>
              <w:t>Amend description of business processes</w:t>
            </w:r>
          </w:p>
        </w:tc>
        <w:tc>
          <w:tcPr>
            <w:tcW w:w="2409" w:type="dxa"/>
            <w:vAlign w:val="center"/>
            <w:hideMark/>
          </w:tcPr>
          <w:p w14:paraId="6DF2D4C9" w14:textId="77777777" w:rsidR="00E07822" w:rsidRDefault="00E07822">
            <w:pPr>
              <w:spacing w:before="60" w:after="60"/>
              <w:rPr>
                <w:rFonts w:asciiTheme="minorHAnsi" w:hAnsiTheme="minorHAnsi"/>
                <w:sz w:val="22"/>
                <w:szCs w:val="22"/>
              </w:rPr>
            </w:pPr>
            <w:r>
              <w:rPr>
                <w:rFonts w:asciiTheme="minorHAnsi" w:hAnsiTheme="minorHAnsi"/>
                <w:sz w:val="22"/>
                <w:szCs w:val="22"/>
              </w:rPr>
              <w:t xml:space="preserve">Title of accountable authority </w:t>
            </w:r>
          </w:p>
        </w:tc>
        <w:tc>
          <w:tcPr>
            <w:tcW w:w="2235" w:type="dxa"/>
            <w:vAlign w:val="center"/>
            <w:hideMark/>
          </w:tcPr>
          <w:p w14:paraId="17DA0601" w14:textId="77777777" w:rsidR="00E07822" w:rsidRDefault="00E07822">
            <w:pPr>
              <w:rPr>
                <w:rFonts w:asciiTheme="minorHAnsi" w:hAnsiTheme="minorHAnsi"/>
                <w:sz w:val="22"/>
                <w:szCs w:val="22"/>
              </w:rPr>
            </w:pPr>
            <w:r>
              <w:rPr>
                <w:rFonts w:asciiTheme="minorHAnsi" w:hAnsiTheme="minorHAnsi"/>
                <w:sz w:val="22"/>
                <w:szCs w:val="22"/>
              </w:rPr>
              <w:t xml:space="preserve">Revalidation of the costing model (operational change) </w:t>
            </w:r>
          </w:p>
        </w:tc>
      </w:tr>
      <w:tr w:rsidR="00E07822" w14:paraId="667C417F" w14:textId="77777777" w:rsidTr="00BE7E93">
        <w:tc>
          <w:tcPr>
            <w:tcW w:w="2019" w:type="dxa"/>
            <w:vAlign w:val="center"/>
            <w:hideMark/>
          </w:tcPr>
          <w:p w14:paraId="015FD825" w14:textId="77777777" w:rsidR="00E07822" w:rsidRDefault="00E07822">
            <w:pPr>
              <w:spacing w:before="60" w:after="60"/>
              <w:rPr>
                <w:rFonts w:asciiTheme="minorHAnsi" w:hAnsiTheme="minorHAnsi"/>
                <w:sz w:val="22"/>
                <w:szCs w:val="22"/>
              </w:rPr>
            </w:pPr>
            <w:r>
              <w:rPr>
                <w:rFonts w:asciiTheme="minorHAnsi" w:hAnsiTheme="minorHAnsi"/>
                <w:sz w:val="22"/>
                <w:szCs w:val="22"/>
              </w:rPr>
              <w:t>XX/</w:t>
            </w:r>
            <w:r w:rsidR="00A87E3A">
              <w:rPr>
                <w:rFonts w:asciiTheme="minorHAnsi" w:hAnsiTheme="minorHAnsi"/>
                <w:sz w:val="22"/>
                <w:szCs w:val="22"/>
              </w:rPr>
              <w:t>XX</w:t>
            </w:r>
            <w:r>
              <w:rPr>
                <w:rFonts w:asciiTheme="minorHAnsi" w:hAnsiTheme="minorHAnsi"/>
                <w:sz w:val="22"/>
                <w:szCs w:val="22"/>
              </w:rPr>
              <w:t>/20</w:t>
            </w:r>
            <w:r w:rsidR="00A87E3A">
              <w:rPr>
                <w:rFonts w:asciiTheme="minorHAnsi" w:hAnsiTheme="minorHAnsi"/>
                <w:sz w:val="22"/>
                <w:szCs w:val="22"/>
              </w:rPr>
              <w:t>XX</w:t>
            </w:r>
          </w:p>
        </w:tc>
        <w:tc>
          <w:tcPr>
            <w:tcW w:w="2268" w:type="dxa"/>
            <w:vAlign w:val="center"/>
            <w:hideMark/>
          </w:tcPr>
          <w:p w14:paraId="54F3AE86" w14:textId="77777777" w:rsidR="00E07822" w:rsidRDefault="00E07822">
            <w:pPr>
              <w:spacing w:before="60" w:after="60"/>
              <w:rPr>
                <w:rFonts w:asciiTheme="minorHAnsi" w:hAnsiTheme="minorHAnsi"/>
                <w:sz w:val="22"/>
                <w:szCs w:val="22"/>
              </w:rPr>
            </w:pPr>
            <w:r>
              <w:rPr>
                <w:rFonts w:asciiTheme="minorHAnsi" w:hAnsiTheme="minorHAnsi"/>
                <w:sz w:val="22"/>
                <w:szCs w:val="22"/>
              </w:rPr>
              <w:t>Amend description of the regulatory charging activity and cost recovery model</w:t>
            </w:r>
          </w:p>
        </w:tc>
        <w:tc>
          <w:tcPr>
            <w:tcW w:w="2409" w:type="dxa"/>
            <w:vAlign w:val="center"/>
            <w:hideMark/>
          </w:tcPr>
          <w:p w14:paraId="237B3588" w14:textId="77777777" w:rsidR="00E07822" w:rsidRDefault="00E07822">
            <w:pPr>
              <w:spacing w:before="60" w:after="60"/>
              <w:rPr>
                <w:rFonts w:asciiTheme="minorHAnsi" w:hAnsiTheme="minorHAnsi"/>
                <w:sz w:val="22"/>
                <w:szCs w:val="22"/>
              </w:rPr>
            </w:pPr>
            <w:r>
              <w:rPr>
                <w:rFonts w:asciiTheme="minorHAnsi" w:hAnsiTheme="minorHAnsi"/>
                <w:sz w:val="22"/>
                <w:szCs w:val="22"/>
              </w:rPr>
              <w:t xml:space="preserve">Government </w:t>
            </w:r>
          </w:p>
        </w:tc>
        <w:tc>
          <w:tcPr>
            <w:tcW w:w="2235" w:type="dxa"/>
            <w:vAlign w:val="center"/>
            <w:hideMark/>
          </w:tcPr>
          <w:p w14:paraId="48C16218" w14:textId="77777777" w:rsidR="00E07822" w:rsidRDefault="00E07822">
            <w:pPr>
              <w:rPr>
                <w:rFonts w:asciiTheme="minorHAnsi" w:hAnsiTheme="minorHAnsi"/>
                <w:sz w:val="22"/>
                <w:szCs w:val="22"/>
              </w:rPr>
            </w:pPr>
            <w:r>
              <w:rPr>
                <w:rFonts w:asciiTheme="minorHAnsi" w:hAnsiTheme="minorHAnsi"/>
                <w:sz w:val="22"/>
                <w:szCs w:val="22"/>
              </w:rPr>
              <w:t xml:space="preserve">Addition of a new group of fee payers </w:t>
            </w:r>
          </w:p>
          <w:p w14:paraId="3DDD1BB2" w14:textId="77777777" w:rsidR="00E07822" w:rsidRDefault="00E07822">
            <w:pPr>
              <w:rPr>
                <w:rFonts w:asciiTheme="minorHAnsi" w:hAnsiTheme="minorHAnsi"/>
                <w:sz w:val="22"/>
                <w:szCs w:val="22"/>
              </w:rPr>
            </w:pPr>
            <w:r>
              <w:rPr>
                <w:rFonts w:asciiTheme="minorHAnsi" w:hAnsiTheme="minorHAnsi"/>
                <w:sz w:val="22"/>
                <w:szCs w:val="22"/>
              </w:rPr>
              <w:t>(policy change)</w:t>
            </w:r>
          </w:p>
        </w:tc>
      </w:tr>
    </w:tbl>
    <w:p w14:paraId="0E2308FC" w14:textId="77777777" w:rsidR="002B476A" w:rsidRDefault="002B476A" w:rsidP="002B476A"/>
    <w:p w14:paraId="711C647D" w14:textId="77777777" w:rsidR="00260247" w:rsidRDefault="00260247"/>
    <w:sectPr w:rsidR="00260247" w:rsidSect="00850A69">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E6AAE" w16cid:durableId="1F4A6842"/>
  <w16cid:commentId w16cid:paraId="251F89F4" w16cid:durableId="1F4A68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9C488" w14:textId="77777777" w:rsidR="0038422C" w:rsidRDefault="0038422C" w:rsidP="009B064E">
      <w:r>
        <w:separator/>
      </w:r>
    </w:p>
  </w:endnote>
  <w:endnote w:type="continuationSeparator" w:id="0">
    <w:p w14:paraId="6B0D321F" w14:textId="77777777" w:rsidR="0038422C" w:rsidRDefault="0038422C" w:rsidP="009B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2D5C" w14:textId="77777777" w:rsidR="00955C4A" w:rsidRDefault="0095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359886"/>
      <w:docPartObj>
        <w:docPartGallery w:val="Page Numbers (Bottom of Page)"/>
        <w:docPartUnique/>
      </w:docPartObj>
    </w:sdtPr>
    <w:sdtEndPr>
      <w:rPr>
        <w:rFonts w:asciiTheme="minorHAnsi" w:hAnsiTheme="minorHAnsi" w:cstheme="minorHAnsi"/>
        <w:noProof/>
      </w:rPr>
    </w:sdtEndPr>
    <w:sdtContent>
      <w:p w14:paraId="25BC7777" w14:textId="3EE75120" w:rsidR="0038422C" w:rsidRPr="0053562D" w:rsidRDefault="0038422C">
        <w:pPr>
          <w:pStyle w:val="Footer"/>
          <w:jc w:val="right"/>
          <w:rPr>
            <w:rFonts w:asciiTheme="minorHAnsi" w:hAnsiTheme="minorHAnsi" w:cstheme="minorHAnsi"/>
          </w:rPr>
        </w:pPr>
        <w:r w:rsidRPr="0053562D">
          <w:rPr>
            <w:rFonts w:asciiTheme="minorHAnsi" w:hAnsiTheme="minorHAnsi" w:cstheme="minorHAnsi"/>
          </w:rPr>
          <w:fldChar w:fldCharType="begin"/>
        </w:r>
        <w:r w:rsidRPr="0053562D">
          <w:rPr>
            <w:rFonts w:asciiTheme="minorHAnsi" w:hAnsiTheme="minorHAnsi" w:cstheme="minorHAnsi"/>
          </w:rPr>
          <w:instrText xml:space="preserve"> PAGE   \* MERGEFORMAT </w:instrText>
        </w:r>
        <w:r w:rsidRPr="0053562D">
          <w:rPr>
            <w:rFonts w:asciiTheme="minorHAnsi" w:hAnsiTheme="minorHAnsi" w:cstheme="minorHAnsi"/>
          </w:rPr>
          <w:fldChar w:fldCharType="separate"/>
        </w:r>
        <w:r w:rsidR="005638B0">
          <w:rPr>
            <w:rFonts w:asciiTheme="minorHAnsi" w:hAnsiTheme="minorHAnsi" w:cstheme="minorHAnsi"/>
            <w:noProof/>
          </w:rPr>
          <w:t>21</w:t>
        </w:r>
        <w:r w:rsidRPr="0053562D">
          <w:rPr>
            <w:rFonts w:asciiTheme="minorHAnsi" w:hAnsiTheme="minorHAnsi" w:cstheme="minorHAnsi"/>
            <w:noProof/>
          </w:rPr>
          <w:fldChar w:fldCharType="end"/>
        </w:r>
      </w:p>
    </w:sdtContent>
  </w:sdt>
  <w:p w14:paraId="4A3FDD2E" w14:textId="77777777" w:rsidR="0038422C" w:rsidRDefault="00384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5D39" w14:textId="77777777" w:rsidR="00955C4A" w:rsidRDefault="0095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DE98" w14:textId="77777777" w:rsidR="0038422C" w:rsidRDefault="0038422C" w:rsidP="009B064E">
      <w:r>
        <w:separator/>
      </w:r>
    </w:p>
  </w:footnote>
  <w:footnote w:type="continuationSeparator" w:id="0">
    <w:p w14:paraId="2B0A3D8C" w14:textId="77777777" w:rsidR="0038422C" w:rsidRDefault="0038422C" w:rsidP="009B064E">
      <w:r>
        <w:continuationSeparator/>
      </w:r>
    </w:p>
  </w:footnote>
  <w:footnote w:id="1">
    <w:p w14:paraId="45DAFB13" w14:textId="77777777" w:rsidR="0038422C" w:rsidRPr="006A2116" w:rsidRDefault="0038422C" w:rsidP="00DB1B46">
      <w:pPr>
        <w:pStyle w:val="FootnoteText"/>
      </w:pPr>
      <w:r w:rsidRPr="00101163">
        <w:rPr>
          <w:rStyle w:val="FootnoteReference"/>
        </w:rPr>
        <w:footnoteRef/>
      </w:r>
      <w:r w:rsidRPr="00101163">
        <w:t xml:space="preserve"> </w:t>
      </w:r>
      <w:r>
        <w:t>The Australian Government Charging Framework and the CRGs are available on the Department of Finance website (</w:t>
      </w:r>
      <w:hyperlink r:id="rId1" w:history="1">
        <w:r w:rsidRPr="00101163">
          <w:rPr>
            <w:rStyle w:val="Hyperlink"/>
          </w:rPr>
          <w:t>www.</w:t>
        </w:r>
        <w:r w:rsidRPr="00A91DC2">
          <w:rPr>
            <w:rStyle w:val="Hyperlink"/>
          </w:rPr>
          <w:t>finance</w:t>
        </w:r>
        <w:r w:rsidRPr="006A2116">
          <w:rPr>
            <w:rStyle w:val="Hyperlink"/>
          </w:rPr>
          <w:t>.gov.au</w:t>
        </w:r>
      </w:hyperlink>
      <w:r>
        <w:t>)</w:t>
      </w:r>
      <w:r w:rsidRPr="006A2116">
        <w:t>.</w:t>
      </w:r>
    </w:p>
  </w:footnote>
  <w:footnote w:id="2">
    <w:p w14:paraId="7CDEF1EC" w14:textId="77777777" w:rsidR="0038422C" w:rsidRDefault="0038422C" w:rsidP="00005D26">
      <w:pPr>
        <w:pStyle w:val="FootnoteText"/>
      </w:pPr>
      <w:r>
        <w:rPr>
          <w:rStyle w:val="FootnoteReference"/>
        </w:rPr>
        <w:footnoteRef/>
      </w:r>
      <w:r>
        <w:t xml:space="preserve"> CRGs, p. 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A646" w14:textId="77777777" w:rsidR="00955C4A" w:rsidRDefault="00955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8FE9" w14:textId="77777777" w:rsidR="00955C4A" w:rsidRDefault="00955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7EC6" w14:textId="77777777" w:rsidR="00955C4A" w:rsidRDefault="0095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416"/>
    <w:multiLevelType w:val="hybridMultilevel"/>
    <w:tmpl w:val="FDBE0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2012C"/>
    <w:multiLevelType w:val="multilevel"/>
    <w:tmpl w:val="68A270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56BC2"/>
    <w:multiLevelType w:val="hybridMultilevel"/>
    <w:tmpl w:val="A796C4B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2B00BEF"/>
    <w:multiLevelType w:val="hybridMultilevel"/>
    <w:tmpl w:val="0ADC1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64B9C"/>
    <w:multiLevelType w:val="hybridMultilevel"/>
    <w:tmpl w:val="C9AA3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C7A47"/>
    <w:multiLevelType w:val="hybridMultilevel"/>
    <w:tmpl w:val="B2F4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ED6960"/>
    <w:multiLevelType w:val="hybridMultilevel"/>
    <w:tmpl w:val="A4CA8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91BFA"/>
    <w:multiLevelType w:val="hybridMultilevel"/>
    <w:tmpl w:val="FC167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867D39"/>
    <w:multiLevelType w:val="hybridMultilevel"/>
    <w:tmpl w:val="7BBC4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273A10"/>
    <w:multiLevelType w:val="hybridMultilevel"/>
    <w:tmpl w:val="6AB2CE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8F6C18"/>
    <w:multiLevelType w:val="hybridMultilevel"/>
    <w:tmpl w:val="500AE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C5317E"/>
    <w:multiLevelType w:val="hybridMultilevel"/>
    <w:tmpl w:val="DF7C5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BC1B7A"/>
    <w:multiLevelType w:val="hybridMultilevel"/>
    <w:tmpl w:val="3C1A0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872B5D"/>
    <w:multiLevelType w:val="hybridMultilevel"/>
    <w:tmpl w:val="ADEC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9E1E13"/>
    <w:multiLevelType w:val="hybridMultilevel"/>
    <w:tmpl w:val="046C0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221E5D"/>
    <w:multiLevelType w:val="hybridMultilevel"/>
    <w:tmpl w:val="202A5D8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73F30ABC"/>
    <w:multiLevelType w:val="hybridMultilevel"/>
    <w:tmpl w:val="083E7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A648DB"/>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9" w15:restartNumberingAfterBreak="0">
    <w:nsid w:val="7E74052B"/>
    <w:multiLevelType w:val="hybridMultilevel"/>
    <w:tmpl w:val="FADC6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F0A751F"/>
    <w:multiLevelType w:val="hybridMultilevel"/>
    <w:tmpl w:val="F3C6A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CF69AF"/>
    <w:multiLevelType w:val="hybridMultilevel"/>
    <w:tmpl w:val="E5B0154E"/>
    <w:lvl w:ilvl="0" w:tplc="8CA2BAB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1"/>
  </w:num>
  <w:num w:numId="4">
    <w:abstractNumId w:val="1"/>
  </w:num>
  <w:num w:numId="5">
    <w:abstractNumId w:val="20"/>
  </w:num>
  <w:num w:numId="6">
    <w:abstractNumId w:val="17"/>
  </w:num>
  <w:num w:numId="7">
    <w:abstractNumId w:val="9"/>
  </w:num>
  <w:num w:numId="8">
    <w:abstractNumId w:val="3"/>
  </w:num>
  <w:num w:numId="9">
    <w:abstractNumId w:val="6"/>
  </w:num>
  <w:num w:numId="10">
    <w:abstractNumId w:val="1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16"/>
  </w:num>
  <w:num w:numId="15">
    <w:abstractNumId w:val="14"/>
  </w:num>
  <w:num w:numId="16">
    <w:abstractNumId w:val="10"/>
  </w:num>
  <w:num w:numId="17">
    <w:abstractNumId w:val="12"/>
  </w:num>
  <w:num w:numId="18">
    <w:abstractNumId w:val="7"/>
  </w:num>
  <w:num w:numId="19">
    <w:abstractNumId w:val="0"/>
  </w:num>
  <w:num w:numId="20">
    <w:abstractNumId w:val="11"/>
  </w:num>
  <w:num w:numId="21">
    <w:abstractNumId w:val="19"/>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4E"/>
    <w:rsid w:val="00000BE6"/>
    <w:rsid w:val="00003222"/>
    <w:rsid w:val="00005D26"/>
    <w:rsid w:val="00013A1A"/>
    <w:rsid w:val="000164D2"/>
    <w:rsid w:val="00016BAD"/>
    <w:rsid w:val="000178DD"/>
    <w:rsid w:val="00021F50"/>
    <w:rsid w:val="00024DE4"/>
    <w:rsid w:val="00031EA8"/>
    <w:rsid w:val="0003249B"/>
    <w:rsid w:val="000327A4"/>
    <w:rsid w:val="0003328C"/>
    <w:rsid w:val="00035BC9"/>
    <w:rsid w:val="00036C71"/>
    <w:rsid w:val="00043D7D"/>
    <w:rsid w:val="00046DCA"/>
    <w:rsid w:val="00055EFE"/>
    <w:rsid w:val="00060E33"/>
    <w:rsid w:val="00061F62"/>
    <w:rsid w:val="000624F3"/>
    <w:rsid w:val="00063B33"/>
    <w:rsid w:val="0006771D"/>
    <w:rsid w:val="0007295B"/>
    <w:rsid w:val="000764CB"/>
    <w:rsid w:val="00086559"/>
    <w:rsid w:val="00090A53"/>
    <w:rsid w:val="000A3FE3"/>
    <w:rsid w:val="000A43F2"/>
    <w:rsid w:val="000B75BB"/>
    <w:rsid w:val="000C1039"/>
    <w:rsid w:val="000C28A0"/>
    <w:rsid w:val="000C3010"/>
    <w:rsid w:val="000D267F"/>
    <w:rsid w:val="000D661C"/>
    <w:rsid w:val="000E12AC"/>
    <w:rsid w:val="000E2051"/>
    <w:rsid w:val="000E444E"/>
    <w:rsid w:val="000E5B05"/>
    <w:rsid w:val="000E7182"/>
    <w:rsid w:val="000F3835"/>
    <w:rsid w:val="000F524B"/>
    <w:rsid w:val="00100E8A"/>
    <w:rsid w:val="00101F94"/>
    <w:rsid w:val="00104A74"/>
    <w:rsid w:val="00111A9B"/>
    <w:rsid w:val="00113607"/>
    <w:rsid w:val="00113C67"/>
    <w:rsid w:val="0012084A"/>
    <w:rsid w:val="00120BE8"/>
    <w:rsid w:val="00123E7E"/>
    <w:rsid w:val="0012662B"/>
    <w:rsid w:val="00126914"/>
    <w:rsid w:val="00127F38"/>
    <w:rsid w:val="00131023"/>
    <w:rsid w:val="001331BC"/>
    <w:rsid w:val="00141BC6"/>
    <w:rsid w:val="00141BF6"/>
    <w:rsid w:val="001425A1"/>
    <w:rsid w:val="00146BCA"/>
    <w:rsid w:val="00151A07"/>
    <w:rsid w:val="00156269"/>
    <w:rsid w:val="00157A7F"/>
    <w:rsid w:val="00162E87"/>
    <w:rsid w:val="0016499C"/>
    <w:rsid w:val="00173729"/>
    <w:rsid w:val="001844F3"/>
    <w:rsid w:val="00190D3C"/>
    <w:rsid w:val="00195B45"/>
    <w:rsid w:val="00195DFE"/>
    <w:rsid w:val="0019674C"/>
    <w:rsid w:val="001A0B79"/>
    <w:rsid w:val="001A6840"/>
    <w:rsid w:val="001B4199"/>
    <w:rsid w:val="001B6F3B"/>
    <w:rsid w:val="001C588D"/>
    <w:rsid w:val="001D35C8"/>
    <w:rsid w:val="001D66F6"/>
    <w:rsid w:val="001F0DBC"/>
    <w:rsid w:val="001F32ED"/>
    <w:rsid w:val="00203EF7"/>
    <w:rsid w:val="002040FC"/>
    <w:rsid w:val="002063B3"/>
    <w:rsid w:val="002105B0"/>
    <w:rsid w:val="002126F6"/>
    <w:rsid w:val="00223AA1"/>
    <w:rsid w:val="0022633E"/>
    <w:rsid w:val="00226B0D"/>
    <w:rsid w:val="002307B9"/>
    <w:rsid w:val="00232D6A"/>
    <w:rsid w:val="00240666"/>
    <w:rsid w:val="002424FD"/>
    <w:rsid w:val="00250EDB"/>
    <w:rsid w:val="00251A47"/>
    <w:rsid w:val="002521A4"/>
    <w:rsid w:val="00260247"/>
    <w:rsid w:val="00260D18"/>
    <w:rsid w:val="002612A5"/>
    <w:rsid w:val="002627CF"/>
    <w:rsid w:val="00267119"/>
    <w:rsid w:val="00270300"/>
    <w:rsid w:val="00270995"/>
    <w:rsid w:val="0027179D"/>
    <w:rsid w:val="00272387"/>
    <w:rsid w:val="0027417A"/>
    <w:rsid w:val="00275283"/>
    <w:rsid w:val="002760F7"/>
    <w:rsid w:val="00283608"/>
    <w:rsid w:val="00284DD1"/>
    <w:rsid w:val="00287933"/>
    <w:rsid w:val="00287A03"/>
    <w:rsid w:val="002913C0"/>
    <w:rsid w:val="002943E5"/>
    <w:rsid w:val="002946E6"/>
    <w:rsid w:val="00295C71"/>
    <w:rsid w:val="00296D35"/>
    <w:rsid w:val="002A0175"/>
    <w:rsid w:val="002A490D"/>
    <w:rsid w:val="002A5A51"/>
    <w:rsid w:val="002A7C36"/>
    <w:rsid w:val="002B476A"/>
    <w:rsid w:val="002D265C"/>
    <w:rsid w:val="002D2795"/>
    <w:rsid w:val="002D28C4"/>
    <w:rsid w:val="002D2D9A"/>
    <w:rsid w:val="002D4776"/>
    <w:rsid w:val="002D7B66"/>
    <w:rsid w:val="003019BB"/>
    <w:rsid w:val="00305251"/>
    <w:rsid w:val="00307359"/>
    <w:rsid w:val="00310F0B"/>
    <w:rsid w:val="003119CD"/>
    <w:rsid w:val="00320915"/>
    <w:rsid w:val="0032218E"/>
    <w:rsid w:val="00322C1B"/>
    <w:rsid w:val="003256A5"/>
    <w:rsid w:val="00330420"/>
    <w:rsid w:val="00333CCC"/>
    <w:rsid w:val="00334A3E"/>
    <w:rsid w:val="00335AB7"/>
    <w:rsid w:val="0033656F"/>
    <w:rsid w:val="00344429"/>
    <w:rsid w:val="00350006"/>
    <w:rsid w:val="003514FE"/>
    <w:rsid w:val="003542AE"/>
    <w:rsid w:val="00355C4B"/>
    <w:rsid w:val="00371878"/>
    <w:rsid w:val="003810EA"/>
    <w:rsid w:val="00381749"/>
    <w:rsid w:val="00383614"/>
    <w:rsid w:val="0038422C"/>
    <w:rsid w:val="003842AB"/>
    <w:rsid w:val="00387DA1"/>
    <w:rsid w:val="00391562"/>
    <w:rsid w:val="003A124A"/>
    <w:rsid w:val="003A27B3"/>
    <w:rsid w:val="003A3263"/>
    <w:rsid w:val="003A3A2D"/>
    <w:rsid w:val="003A50FC"/>
    <w:rsid w:val="003B1A0C"/>
    <w:rsid w:val="003B4EA8"/>
    <w:rsid w:val="003C7AE2"/>
    <w:rsid w:val="003D0086"/>
    <w:rsid w:val="003D0573"/>
    <w:rsid w:val="003D1B9A"/>
    <w:rsid w:val="003D6D6D"/>
    <w:rsid w:val="003D7152"/>
    <w:rsid w:val="003E15DB"/>
    <w:rsid w:val="003E4EF9"/>
    <w:rsid w:val="003F216E"/>
    <w:rsid w:val="003F3714"/>
    <w:rsid w:val="003F5EB3"/>
    <w:rsid w:val="00400917"/>
    <w:rsid w:val="00404BDF"/>
    <w:rsid w:val="004073E4"/>
    <w:rsid w:val="00411566"/>
    <w:rsid w:val="00421460"/>
    <w:rsid w:val="00427B2B"/>
    <w:rsid w:val="0043103A"/>
    <w:rsid w:val="00431E5E"/>
    <w:rsid w:val="00433444"/>
    <w:rsid w:val="004346B9"/>
    <w:rsid w:val="00434EAD"/>
    <w:rsid w:val="004358DE"/>
    <w:rsid w:val="004427E4"/>
    <w:rsid w:val="0044596F"/>
    <w:rsid w:val="00453660"/>
    <w:rsid w:val="00461F0E"/>
    <w:rsid w:val="00462980"/>
    <w:rsid w:val="004641C5"/>
    <w:rsid w:val="00471CF5"/>
    <w:rsid w:val="0048268F"/>
    <w:rsid w:val="004833D5"/>
    <w:rsid w:val="00485C69"/>
    <w:rsid w:val="004866B7"/>
    <w:rsid w:val="00496CD7"/>
    <w:rsid w:val="004971B2"/>
    <w:rsid w:val="004A1C68"/>
    <w:rsid w:val="004A2727"/>
    <w:rsid w:val="004A73A0"/>
    <w:rsid w:val="004A7FE2"/>
    <w:rsid w:val="004B1069"/>
    <w:rsid w:val="004B19A2"/>
    <w:rsid w:val="004B3917"/>
    <w:rsid w:val="004B529F"/>
    <w:rsid w:val="004C3638"/>
    <w:rsid w:val="004D0890"/>
    <w:rsid w:val="004E53A8"/>
    <w:rsid w:val="004F6F0F"/>
    <w:rsid w:val="00500950"/>
    <w:rsid w:val="00503490"/>
    <w:rsid w:val="005054CD"/>
    <w:rsid w:val="00507268"/>
    <w:rsid w:val="0051024C"/>
    <w:rsid w:val="005105E4"/>
    <w:rsid w:val="00513961"/>
    <w:rsid w:val="00517633"/>
    <w:rsid w:val="005214E3"/>
    <w:rsid w:val="005244B9"/>
    <w:rsid w:val="0052703F"/>
    <w:rsid w:val="00527838"/>
    <w:rsid w:val="00531488"/>
    <w:rsid w:val="0053562D"/>
    <w:rsid w:val="00535DCE"/>
    <w:rsid w:val="005374A9"/>
    <w:rsid w:val="00546C97"/>
    <w:rsid w:val="00560856"/>
    <w:rsid w:val="005638B0"/>
    <w:rsid w:val="00565156"/>
    <w:rsid w:val="005662AB"/>
    <w:rsid w:val="00567743"/>
    <w:rsid w:val="00572F16"/>
    <w:rsid w:val="00576583"/>
    <w:rsid w:val="005921A2"/>
    <w:rsid w:val="005965CF"/>
    <w:rsid w:val="0059767B"/>
    <w:rsid w:val="005A5208"/>
    <w:rsid w:val="005A6D6A"/>
    <w:rsid w:val="005B358C"/>
    <w:rsid w:val="005B5105"/>
    <w:rsid w:val="005B7224"/>
    <w:rsid w:val="005B7B17"/>
    <w:rsid w:val="005C0350"/>
    <w:rsid w:val="005D479D"/>
    <w:rsid w:val="005E5EB4"/>
    <w:rsid w:val="005E6F68"/>
    <w:rsid w:val="005E75EB"/>
    <w:rsid w:val="005E7B63"/>
    <w:rsid w:val="005F105F"/>
    <w:rsid w:val="00610620"/>
    <w:rsid w:val="006137E2"/>
    <w:rsid w:val="006171E7"/>
    <w:rsid w:val="00623416"/>
    <w:rsid w:val="00624CD2"/>
    <w:rsid w:val="00624D7C"/>
    <w:rsid w:val="00624F80"/>
    <w:rsid w:val="006258E0"/>
    <w:rsid w:val="00626871"/>
    <w:rsid w:val="00633850"/>
    <w:rsid w:val="0064011D"/>
    <w:rsid w:val="0064062A"/>
    <w:rsid w:val="0064133C"/>
    <w:rsid w:val="006435BC"/>
    <w:rsid w:val="0064456E"/>
    <w:rsid w:val="00654DDB"/>
    <w:rsid w:val="0065591C"/>
    <w:rsid w:val="006562A3"/>
    <w:rsid w:val="00656FED"/>
    <w:rsid w:val="00657DEA"/>
    <w:rsid w:val="00660F25"/>
    <w:rsid w:val="00663AB9"/>
    <w:rsid w:val="00666EB0"/>
    <w:rsid w:val="006703DA"/>
    <w:rsid w:val="00682ADD"/>
    <w:rsid w:val="00687665"/>
    <w:rsid w:val="006901B0"/>
    <w:rsid w:val="006912B9"/>
    <w:rsid w:val="0069222E"/>
    <w:rsid w:val="00692800"/>
    <w:rsid w:val="00693E61"/>
    <w:rsid w:val="006A34E0"/>
    <w:rsid w:val="006A795C"/>
    <w:rsid w:val="006B12EC"/>
    <w:rsid w:val="006B1AE2"/>
    <w:rsid w:val="006B2896"/>
    <w:rsid w:val="006B3723"/>
    <w:rsid w:val="006B4BFC"/>
    <w:rsid w:val="006B556C"/>
    <w:rsid w:val="006B7234"/>
    <w:rsid w:val="006C2B72"/>
    <w:rsid w:val="006C6256"/>
    <w:rsid w:val="006C6512"/>
    <w:rsid w:val="006D12D0"/>
    <w:rsid w:val="006D4239"/>
    <w:rsid w:val="006D6580"/>
    <w:rsid w:val="006E29C8"/>
    <w:rsid w:val="006E3631"/>
    <w:rsid w:val="006E4E69"/>
    <w:rsid w:val="006F0003"/>
    <w:rsid w:val="006F082E"/>
    <w:rsid w:val="006F3638"/>
    <w:rsid w:val="006F4E32"/>
    <w:rsid w:val="006F67B6"/>
    <w:rsid w:val="007104D0"/>
    <w:rsid w:val="0071065B"/>
    <w:rsid w:val="007139B5"/>
    <w:rsid w:val="00714CCB"/>
    <w:rsid w:val="00720F29"/>
    <w:rsid w:val="007240D0"/>
    <w:rsid w:val="00724E37"/>
    <w:rsid w:val="00725763"/>
    <w:rsid w:val="00725D83"/>
    <w:rsid w:val="00727CF2"/>
    <w:rsid w:val="0073156E"/>
    <w:rsid w:val="00736094"/>
    <w:rsid w:val="00741DDB"/>
    <w:rsid w:val="00746F44"/>
    <w:rsid w:val="007505B3"/>
    <w:rsid w:val="00751A38"/>
    <w:rsid w:val="00755F25"/>
    <w:rsid w:val="00756DB8"/>
    <w:rsid w:val="00760B47"/>
    <w:rsid w:val="0076109C"/>
    <w:rsid w:val="00761225"/>
    <w:rsid w:val="00761D87"/>
    <w:rsid w:val="0076661B"/>
    <w:rsid w:val="00767FE9"/>
    <w:rsid w:val="00773D91"/>
    <w:rsid w:val="007770D6"/>
    <w:rsid w:val="00787645"/>
    <w:rsid w:val="0079232C"/>
    <w:rsid w:val="0079678A"/>
    <w:rsid w:val="007A1F6B"/>
    <w:rsid w:val="007A395B"/>
    <w:rsid w:val="007A5421"/>
    <w:rsid w:val="007B1586"/>
    <w:rsid w:val="007B22FC"/>
    <w:rsid w:val="007B27AA"/>
    <w:rsid w:val="007B5BF3"/>
    <w:rsid w:val="007C2280"/>
    <w:rsid w:val="007C5BF9"/>
    <w:rsid w:val="007C5DB5"/>
    <w:rsid w:val="007C624A"/>
    <w:rsid w:val="007C67F3"/>
    <w:rsid w:val="007C6F22"/>
    <w:rsid w:val="007D28DD"/>
    <w:rsid w:val="007D2D4E"/>
    <w:rsid w:val="007E4052"/>
    <w:rsid w:val="007E5B43"/>
    <w:rsid w:val="007F39B0"/>
    <w:rsid w:val="007F5586"/>
    <w:rsid w:val="007F5BFA"/>
    <w:rsid w:val="007F6776"/>
    <w:rsid w:val="0080502D"/>
    <w:rsid w:val="0080615C"/>
    <w:rsid w:val="008106AE"/>
    <w:rsid w:val="00813C5C"/>
    <w:rsid w:val="00813E2C"/>
    <w:rsid w:val="008145F1"/>
    <w:rsid w:val="00817C57"/>
    <w:rsid w:val="00820665"/>
    <w:rsid w:val="00826F35"/>
    <w:rsid w:val="00845899"/>
    <w:rsid w:val="00845982"/>
    <w:rsid w:val="008505A2"/>
    <w:rsid w:val="00850A69"/>
    <w:rsid w:val="00852038"/>
    <w:rsid w:val="0085409E"/>
    <w:rsid w:val="00861440"/>
    <w:rsid w:val="008676CA"/>
    <w:rsid w:val="0087042C"/>
    <w:rsid w:val="00874B62"/>
    <w:rsid w:val="0088095B"/>
    <w:rsid w:val="00886CA7"/>
    <w:rsid w:val="00887C7D"/>
    <w:rsid w:val="00890415"/>
    <w:rsid w:val="00892C3E"/>
    <w:rsid w:val="00893C17"/>
    <w:rsid w:val="00894245"/>
    <w:rsid w:val="00894B5B"/>
    <w:rsid w:val="008A06D0"/>
    <w:rsid w:val="008A263A"/>
    <w:rsid w:val="008B139E"/>
    <w:rsid w:val="008C0BC9"/>
    <w:rsid w:val="008D0B45"/>
    <w:rsid w:val="008D794B"/>
    <w:rsid w:val="008E2317"/>
    <w:rsid w:val="008E2A0A"/>
    <w:rsid w:val="008E67BC"/>
    <w:rsid w:val="008E689C"/>
    <w:rsid w:val="008F30C1"/>
    <w:rsid w:val="008F7864"/>
    <w:rsid w:val="008F7F49"/>
    <w:rsid w:val="009036F5"/>
    <w:rsid w:val="00905AD5"/>
    <w:rsid w:val="0091797E"/>
    <w:rsid w:val="00920047"/>
    <w:rsid w:val="009267EF"/>
    <w:rsid w:val="00932CF9"/>
    <w:rsid w:val="009338C3"/>
    <w:rsid w:val="00935652"/>
    <w:rsid w:val="00941204"/>
    <w:rsid w:val="00943CD9"/>
    <w:rsid w:val="00943F90"/>
    <w:rsid w:val="00945BF4"/>
    <w:rsid w:val="0095358A"/>
    <w:rsid w:val="00953AD2"/>
    <w:rsid w:val="00954B5A"/>
    <w:rsid w:val="009559BB"/>
    <w:rsid w:val="00955C4A"/>
    <w:rsid w:val="00956732"/>
    <w:rsid w:val="0095712D"/>
    <w:rsid w:val="0096049C"/>
    <w:rsid w:val="009607A3"/>
    <w:rsid w:val="00965166"/>
    <w:rsid w:val="00965EBE"/>
    <w:rsid w:val="0097161C"/>
    <w:rsid w:val="0097174E"/>
    <w:rsid w:val="00974E84"/>
    <w:rsid w:val="009826D6"/>
    <w:rsid w:val="009861C9"/>
    <w:rsid w:val="00987F19"/>
    <w:rsid w:val="00990C04"/>
    <w:rsid w:val="009918DC"/>
    <w:rsid w:val="009952E4"/>
    <w:rsid w:val="00997339"/>
    <w:rsid w:val="009A51C6"/>
    <w:rsid w:val="009B064E"/>
    <w:rsid w:val="009B346C"/>
    <w:rsid w:val="009B3E33"/>
    <w:rsid w:val="009B6342"/>
    <w:rsid w:val="009C0043"/>
    <w:rsid w:val="009C0059"/>
    <w:rsid w:val="009C040D"/>
    <w:rsid w:val="009C0768"/>
    <w:rsid w:val="009C1E9A"/>
    <w:rsid w:val="009C40EB"/>
    <w:rsid w:val="009C7630"/>
    <w:rsid w:val="009C7C43"/>
    <w:rsid w:val="009E69EC"/>
    <w:rsid w:val="00A022A0"/>
    <w:rsid w:val="00A02D4E"/>
    <w:rsid w:val="00A052FF"/>
    <w:rsid w:val="00A1180A"/>
    <w:rsid w:val="00A126E5"/>
    <w:rsid w:val="00A17F03"/>
    <w:rsid w:val="00A22DC8"/>
    <w:rsid w:val="00A231B1"/>
    <w:rsid w:val="00A26399"/>
    <w:rsid w:val="00A2662D"/>
    <w:rsid w:val="00A35640"/>
    <w:rsid w:val="00A36F0E"/>
    <w:rsid w:val="00A450F1"/>
    <w:rsid w:val="00A47DD5"/>
    <w:rsid w:val="00A51169"/>
    <w:rsid w:val="00A51B15"/>
    <w:rsid w:val="00A53B05"/>
    <w:rsid w:val="00A56836"/>
    <w:rsid w:val="00A610D1"/>
    <w:rsid w:val="00A61845"/>
    <w:rsid w:val="00A61CD2"/>
    <w:rsid w:val="00A64CE1"/>
    <w:rsid w:val="00A65915"/>
    <w:rsid w:val="00A65B13"/>
    <w:rsid w:val="00A71CC8"/>
    <w:rsid w:val="00A72551"/>
    <w:rsid w:val="00A75F50"/>
    <w:rsid w:val="00A770FE"/>
    <w:rsid w:val="00A80CF5"/>
    <w:rsid w:val="00A83D94"/>
    <w:rsid w:val="00A877FF"/>
    <w:rsid w:val="00A87E3A"/>
    <w:rsid w:val="00A92589"/>
    <w:rsid w:val="00A93F45"/>
    <w:rsid w:val="00A964F9"/>
    <w:rsid w:val="00AA0F51"/>
    <w:rsid w:val="00AA2D01"/>
    <w:rsid w:val="00AB3EA5"/>
    <w:rsid w:val="00AC4B09"/>
    <w:rsid w:val="00AC5D18"/>
    <w:rsid w:val="00AD332B"/>
    <w:rsid w:val="00AD41F1"/>
    <w:rsid w:val="00AE063C"/>
    <w:rsid w:val="00AE70F3"/>
    <w:rsid w:val="00AF5776"/>
    <w:rsid w:val="00B0389A"/>
    <w:rsid w:val="00B0485C"/>
    <w:rsid w:val="00B06439"/>
    <w:rsid w:val="00B16FC8"/>
    <w:rsid w:val="00B22ED9"/>
    <w:rsid w:val="00B25072"/>
    <w:rsid w:val="00B37A06"/>
    <w:rsid w:val="00B41CC7"/>
    <w:rsid w:val="00B4514C"/>
    <w:rsid w:val="00B46C25"/>
    <w:rsid w:val="00B4782B"/>
    <w:rsid w:val="00B557F0"/>
    <w:rsid w:val="00B613FD"/>
    <w:rsid w:val="00B61472"/>
    <w:rsid w:val="00B67106"/>
    <w:rsid w:val="00B721FF"/>
    <w:rsid w:val="00B74F0E"/>
    <w:rsid w:val="00B8012F"/>
    <w:rsid w:val="00B873F0"/>
    <w:rsid w:val="00B87EEB"/>
    <w:rsid w:val="00B9390A"/>
    <w:rsid w:val="00B9610A"/>
    <w:rsid w:val="00BA09F5"/>
    <w:rsid w:val="00BA13B2"/>
    <w:rsid w:val="00BA1FC3"/>
    <w:rsid w:val="00BA311C"/>
    <w:rsid w:val="00BB47D6"/>
    <w:rsid w:val="00BC4799"/>
    <w:rsid w:val="00BC5595"/>
    <w:rsid w:val="00BC6DA6"/>
    <w:rsid w:val="00BD05B0"/>
    <w:rsid w:val="00BD0FD6"/>
    <w:rsid w:val="00BD2A5D"/>
    <w:rsid w:val="00BD36A5"/>
    <w:rsid w:val="00BD3705"/>
    <w:rsid w:val="00BD4B63"/>
    <w:rsid w:val="00BD5AF7"/>
    <w:rsid w:val="00BD69CF"/>
    <w:rsid w:val="00BD772D"/>
    <w:rsid w:val="00BE1FB6"/>
    <w:rsid w:val="00BE37F0"/>
    <w:rsid w:val="00BE7CB6"/>
    <w:rsid w:val="00BE7E93"/>
    <w:rsid w:val="00BF08A1"/>
    <w:rsid w:val="00BF2492"/>
    <w:rsid w:val="00BF4428"/>
    <w:rsid w:val="00C011C6"/>
    <w:rsid w:val="00C02A55"/>
    <w:rsid w:val="00C04B40"/>
    <w:rsid w:val="00C05307"/>
    <w:rsid w:val="00C123DA"/>
    <w:rsid w:val="00C16082"/>
    <w:rsid w:val="00C1665B"/>
    <w:rsid w:val="00C30026"/>
    <w:rsid w:val="00C30051"/>
    <w:rsid w:val="00C324E9"/>
    <w:rsid w:val="00C3317B"/>
    <w:rsid w:val="00C449FA"/>
    <w:rsid w:val="00C50D83"/>
    <w:rsid w:val="00C53B70"/>
    <w:rsid w:val="00C555A1"/>
    <w:rsid w:val="00C5708A"/>
    <w:rsid w:val="00C610E5"/>
    <w:rsid w:val="00C62DB4"/>
    <w:rsid w:val="00C65E28"/>
    <w:rsid w:val="00C71D03"/>
    <w:rsid w:val="00C803B4"/>
    <w:rsid w:val="00C83072"/>
    <w:rsid w:val="00C84EDD"/>
    <w:rsid w:val="00C90ADE"/>
    <w:rsid w:val="00C90B04"/>
    <w:rsid w:val="00C96AFD"/>
    <w:rsid w:val="00CA4E8B"/>
    <w:rsid w:val="00CA713E"/>
    <w:rsid w:val="00CB216A"/>
    <w:rsid w:val="00CB40FF"/>
    <w:rsid w:val="00CB5F02"/>
    <w:rsid w:val="00CC5E54"/>
    <w:rsid w:val="00CD16ED"/>
    <w:rsid w:val="00CE01E3"/>
    <w:rsid w:val="00CE2B8D"/>
    <w:rsid w:val="00CE5BB3"/>
    <w:rsid w:val="00CE7A25"/>
    <w:rsid w:val="00CF7D2D"/>
    <w:rsid w:val="00D00B44"/>
    <w:rsid w:val="00D10A6E"/>
    <w:rsid w:val="00D1317E"/>
    <w:rsid w:val="00D13603"/>
    <w:rsid w:val="00D1578B"/>
    <w:rsid w:val="00D15A5F"/>
    <w:rsid w:val="00D15E09"/>
    <w:rsid w:val="00D218BE"/>
    <w:rsid w:val="00D22A81"/>
    <w:rsid w:val="00D26147"/>
    <w:rsid w:val="00D31270"/>
    <w:rsid w:val="00D334D3"/>
    <w:rsid w:val="00D425BB"/>
    <w:rsid w:val="00D43C7B"/>
    <w:rsid w:val="00D4519C"/>
    <w:rsid w:val="00D47947"/>
    <w:rsid w:val="00D541DF"/>
    <w:rsid w:val="00D609DD"/>
    <w:rsid w:val="00D812AB"/>
    <w:rsid w:val="00D85DCE"/>
    <w:rsid w:val="00D93305"/>
    <w:rsid w:val="00DA0345"/>
    <w:rsid w:val="00DA13E6"/>
    <w:rsid w:val="00DA5279"/>
    <w:rsid w:val="00DA5CEB"/>
    <w:rsid w:val="00DA616B"/>
    <w:rsid w:val="00DB01F5"/>
    <w:rsid w:val="00DB1B46"/>
    <w:rsid w:val="00DB3182"/>
    <w:rsid w:val="00DB6399"/>
    <w:rsid w:val="00DB6641"/>
    <w:rsid w:val="00DC059A"/>
    <w:rsid w:val="00DD0C61"/>
    <w:rsid w:val="00DD5EAF"/>
    <w:rsid w:val="00DE0767"/>
    <w:rsid w:val="00DE1BF8"/>
    <w:rsid w:val="00DE2140"/>
    <w:rsid w:val="00DE37B1"/>
    <w:rsid w:val="00DF2E64"/>
    <w:rsid w:val="00DF6F80"/>
    <w:rsid w:val="00E00FFE"/>
    <w:rsid w:val="00E07822"/>
    <w:rsid w:val="00E12278"/>
    <w:rsid w:val="00E14080"/>
    <w:rsid w:val="00E15B98"/>
    <w:rsid w:val="00E16AC4"/>
    <w:rsid w:val="00E16EDC"/>
    <w:rsid w:val="00E2301D"/>
    <w:rsid w:val="00E257FB"/>
    <w:rsid w:val="00E26ABE"/>
    <w:rsid w:val="00E3002F"/>
    <w:rsid w:val="00E31B26"/>
    <w:rsid w:val="00E35914"/>
    <w:rsid w:val="00E37F1B"/>
    <w:rsid w:val="00E402EA"/>
    <w:rsid w:val="00E418EE"/>
    <w:rsid w:val="00E4291A"/>
    <w:rsid w:val="00E555D5"/>
    <w:rsid w:val="00E6145A"/>
    <w:rsid w:val="00E65057"/>
    <w:rsid w:val="00E67875"/>
    <w:rsid w:val="00E72115"/>
    <w:rsid w:val="00E72559"/>
    <w:rsid w:val="00E72E69"/>
    <w:rsid w:val="00E75210"/>
    <w:rsid w:val="00E773A2"/>
    <w:rsid w:val="00E777FE"/>
    <w:rsid w:val="00E848A9"/>
    <w:rsid w:val="00E86B22"/>
    <w:rsid w:val="00E9363E"/>
    <w:rsid w:val="00E9391D"/>
    <w:rsid w:val="00E97544"/>
    <w:rsid w:val="00EA6A78"/>
    <w:rsid w:val="00EC2524"/>
    <w:rsid w:val="00EC7C39"/>
    <w:rsid w:val="00ED0EB3"/>
    <w:rsid w:val="00ED1B34"/>
    <w:rsid w:val="00ED23B0"/>
    <w:rsid w:val="00EF1669"/>
    <w:rsid w:val="00EF2E67"/>
    <w:rsid w:val="00EF60A3"/>
    <w:rsid w:val="00EF6E5C"/>
    <w:rsid w:val="00F00E36"/>
    <w:rsid w:val="00F01786"/>
    <w:rsid w:val="00F0389C"/>
    <w:rsid w:val="00F0794D"/>
    <w:rsid w:val="00F11DA1"/>
    <w:rsid w:val="00F12F17"/>
    <w:rsid w:val="00F1580E"/>
    <w:rsid w:val="00F20536"/>
    <w:rsid w:val="00F215B6"/>
    <w:rsid w:val="00F224F7"/>
    <w:rsid w:val="00F2287D"/>
    <w:rsid w:val="00F40C9B"/>
    <w:rsid w:val="00F4149B"/>
    <w:rsid w:val="00F4179C"/>
    <w:rsid w:val="00F42CE3"/>
    <w:rsid w:val="00F4451A"/>
    <w:rsid w:val="00F4481D"/>
    <w:rsid w:val="00F454E8"/>
    <w:rsid w:val="00F5191D"/>
    <w:rsid w:val="00F51B8F"/>
    <w:rsid w:val="00F53EC9"/>
    <w:rsid w:val="00F53FEF"/>
    <w:rsid w:val="00F616FE"/>
    <w:rsid w:val="00F66680"/>
    <w:rsid w:val="00F72B96"/>
    <w:rsid w:val="00F735D2"/>
    <w:rsid w:val="00F743AF"/>
    <w:rsid w:val="00F75CBF"/>
    <w:rsid w:val="00F81ED7"/>
    <w:rsid w:val="00F82137"/>
    <w:rsid w:val="00F90DF4"/>
    <w:rsid w:val="00F9179D"/>
    <w:rsid w:val="00F92FAE"/>
    <w:rsid w:val="00F932C1"/>
    <w:rsid w:val="00F9380C"/>
    <w:rsid w:val="00F95A8F"/>
    <w:rsid w:val="00F96F8A"/>
    <w:rsid w:val="00FA10C4"/>
    <w:rsid w:val="00FA189B"/>
    <w:rsid w:val="00FA4D2D"/>
    <w:rsid w:val="00FB1129"/>
    <w:rsid w:val="00FB1BCA"/>
    <w:rsid w:val="00FB1FBE"/>
    <w:rsid w:val="00FB38FC"/>
    <w:rsid w:val="00FB65C0"/>
    <w:rsid w:val="00FC08B4"/>
    <w:rsid w:val="00FC6995"/>
    <w:rsid w:val="00FD4D2C"/>
    <w:rsid w:val="00FD5345"/>
    <w:rsid w:val="00FE6400"/>
    <w:rsid w:val="00FE6445"/>
    <w:rsid w:val="00FE69E1"/>
    <w:rsid w:val="00FE716D"/>
    <w:rsid w:val="00FF7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67E70E4"/>
  <w15:chartTrackingRefBased/>
  <w15:docId w15:val="{FDB8CDE3-1DDC-47A1-B228-36D0BDA4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B064E"/>
    <w:pPr>
      <w:keepNext/>
      <w:numPr>
        <w:numId w:val="1"/>
      </w:numPr>
      <w:jc w:val="center"/>
      <w:outlineLvl w:val="0"/>
    </w:pPr>
    <w:rPr>
      <w:i/>
      <w:iCs/>
      <w:lang w:val="en-US"/>
    </w:rPr>
  </w:style>
  <w:style w:type="paragraph" w:styleId="Heading2">
    <w:name w:val="heading 2"/>
    <w:basedOn w:val="Normal"/>
    <w:next w:val="Normal"/>
    <w:link w:val="Heading2Char"/>
    <w:uiPriority w:val="99"/>
    <w:qFormat/>
    <w:rsid w:val="009B064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B064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9B064E"/>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9B064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9B064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9B064E"/>
    <w:pPr>
      <w:numPr>
        <w:ilvl w:val="6"/>
        <w:numId w:val="1"/>
      </w:numPr>
      <w:spacing w:before="240" w:after="60"/>
      <w:outlineLvl w:val="6"/>
    </w:pPr>
  </w:style>
  <w:style w:type="paragraph" w:styleId="Heading8">
    <w:name w:val="heading 8"/>
    <w:basedOn w:val="Normal"/>
    <w:next w:val="Normal"/>
    <w:link w:val="Heading8Char"/>
    <w:uiPriority w:val="99"/>
    <w:qFormat/>
    <w:rsid w:val="009B064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9B064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064E"/>
    <w:rPr>
      <w:rFonts w:ascii="Times New Roman" w:eastAsia="Times New Roman" w:hAnsi="Times New Roman" w:cs="Times New Roman"/>
      <w:i/>
      <w:iCs/>
      <w:sz w:val="24"/>
      <w:szCs w:val="24"/>
      <w:lang w:val="en-US"/>
    </w:rPr>
  </w:style>
  <w:style w:type="character" w:customStyle="1" w:styleId="Heading2Char">
    <w:name w:val="Heading 2 Char"/>
    <w:basedOn w:val="DefaultParagraphFont"/>
    <w:link w:val="Heading2"/>
    <w:uiPriority w:val="99"/>
    <w:rsid w:val="009B064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9B064E"/>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9B064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9B064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9B064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B064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B064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B064E"/>
    <w:rPr>
      <w:rFonts w:ascii="Arial" w:eastAsia="Times New Roman" w:hAnsi="Arial" w:cs="Arial"/>
    </w:rPr>
  </w:style>
  <w:style w:type="paragraph" w:customStyle="1" w:styleId="Pa4">
    <w:name w:val="Pa4"/>
    <w:basedOn w:val="Normal"/>
    <w:next w:val="Normal"/>
    <w:uiPriority w:val="99"/>
    <w:rsid w:val="009B064E"/>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9B064E"/>
    <w:pPr>
      <w:widowControl w:val="0"/>
      <w:autoSpaceDE w:val="0"/>
      <w:autoSpaceDN w:val="0"/>
      <w:adjustRightInd w:val="0"/>
      <w:spacing w:after="160" w:line="241" w:lineRule="atLeast"/>
    </w:pPr>
    <w:rPr>
      <w:rFonts w:ascii="Univers" w:eastAsia="SimSun" w:hAnsi="Univers" w:cs="Univers"/>
      <w:lang w:val="en-US"/>
    </w:rPr>
  </w:style>
  <w:style w:type="character" w:styleId="Hyperlink">
    <w:name w:val="Hyperlink"/>
    <w:basedOn w:val="DefaultParagraphFont"/>
    <w:uiPriority w:val="99"/>
    <w:rsid w:val="009B064E"/>
    <w:rPr>
      <w:rFonts w:cs="Times New Roman"/>
      <w:color w:val="000000"/>
      <w:u w:val="none"/>
    </w:rPr>
  </w:style>
  <w:style w:type="table" w:styleId="TableGrid">
    <w:name w:val="Table Grid"/>
    <w:basedOn w:val="TableNormal"/>
    <w:uiPriority w:val="59"/>
    <w:rsid w:val="009B064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9B064E"/>
    <w:rPr>
      <w:rFonts w:asciiTheme="minorHAnsi" w:hAnsiTheme="minorHAnsi"/>
      <w:sz w:val="20"/>
      <w:szCs w:val="20"/>
    </w:rPr>
  </w:style>
  <w:style w:type="character" w:customStyle="1" w:styleId="FootnoteTextChar">
    <w:name w:val="Footnote Text Char"/>
    <w:basedOn w:val="DefaultParagraphFont"/>
    <w:link w:val="FootnoteText"/>
    <w:uiPriority w:val="99"/>
    <w:rsid w:val="009B064E"/>
    <w:rPr>
      <w:rFonts w:eastAsia="Times New Roman" w:cs="Times New Roman"/>
      <w:sz w:val="20"/>
      <w:szCs w:val="20"/>
    </w:rPr>
  </w:style>
  <w:style w:type="character" w:styleId="FootnoteReference">
    <w:name w:val="footnote reference"/>
    <w:uiPriority w:val="99"/>
    <w:unhideWhenUsed/>
    <w:rsid w:val="009B064E"/>
    <w:rPr>
      <w:rFonts w:asciiTheme="minorHAnsi" w:hAnsiTheme="minorHAnsi"/>
      <w:color w:val="7F7F7F" w:themeColor="text1" w:themeTint="80"/>
      <w:vertAlign w:val="superscript"/>
      <w:lang w:eastAsia="en-AU"/>
    </w:rPr>
  </w:style>
  <w:style w:type="character" w:styleId="CommentReference">
    <w:name w:val="annotation reference"/>
    <w:basedOn w:val="DefaultParagraphFont"/>
    <w:uiPriority w:val="99"/>
    <w:semiHidden/>
    <w:unhideWhenUsed/>
    <w:rsid w:val="009B064E"/>
    <w:rPr>
      <w:sz w:val="16"/>
      <w:szCs w:val="16"/>
    </w:rPr>
  </w:style>
  <w:style w:type="paragraph" w:styleId="CommentText">
    <w:name w:val="annotation text"/>
    <w:basedOn w:val="Normal"/>
    <w:link w:val="CommentTextChar"/>
    <w:uiPriority w:val="99"/>
    <w:unhideWhenUsed/>
    <w:rsid w:val="009B064E"/>
    <w:rPr>
      <w:sz w:val="20"/>
      <w:szCs w:val="20"/>
    </w:rPr>
  </w:style>
  <w:style w:type="character" w:customStyle="1" w:styleId="CommentTextChar">
    <w:name w:val="Comment Text Char"/>
    <w:basedOn w:val="DefaultParagraphFont"/>
    <w:link w:val="CommentText"/>
    <w:uiPriority w:val="99"/>
    <w:rsid w:val="009B064E"/>
    <w:rPr>
      <w:rFonts w:ascii="Times New Roman" w:eastAsia="Times New Roman" w:hAnsi="Times New Roman" w:cs="Times New Roman"/>
      <w:sz w:val="20"/>
      <w:szCs w:val="20"/>
    </w:rPr>
  </w:style>
  <w:style w:type="paragraph" w:styleId="ListParagraph">
    <w:name w:val="List Paragraph"/>
    <w:basedOn w:val="Normal"/>
    <w:uiPriority w:val="34"/>
    <w:qFormat/>
    <w:rsid w:val="009B064E"/>
    <w:pPr>
      <w:ind w:left="720"/>
      <w:contextualSpacing/>
    </w:pPr>
  </w:style>
  <w:style w:type="paragraph" w:styleId="BalloonText">
    <w:name w:val="Balloon Text"/>
    <w:basedOn w:val="Normal"/>
    <w:link w:val="BalloonTextChar"/>
    <w:uiPriority w:val="99"/>
    <w:semiHidden/>
    <w:unhideWhenUsed/>
    <w:rsid w:val="009B0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4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773A2"/>
    <w:rPr>
      <w:color w:val="605E5C"/>
      <w:shd w:val="clear" w:color="auto" w:fill="E1DFDD"/>
    </w:rPr>
  </w:style>
  <w:style w:type="paragraph" w:styleId="Header">
    <w:name w:val="header"/>
    <w:basedOn w:val="Normal"/>
    <w:link w:val="HeaderChar"/>
    <w:uiPriority w:val="99"/>
    <w:unhideWhenUsed/>
    <w:rsid w:val="002760F7"/>
    <w:pPr>
      <w:tabs>
        <w:tab w:val="center" w:pos="4513"/>
        <w:tab w:val="right" w:pos="9026"/>
      </w:tabs>
    </w:pPr>
  </w:style>
  <w:style w:type="character" w:customStyle="1" w:styleId="HeaderChar">
    <w:name w:val="Header Char"/>
    <w:basedOn w:val="DefaultParagraphFont"/>
    <w:link w:val="Header"/>
    <w:uiPriority w:val="99"/>
    <w:rsid w:val="00276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0F7"/>
    <w:pPr>
      <w:tabs>
        <w:tab w:val="center" w:pos="4513"/>
        <w:tab w:val="right" w:pos="9026"/>
      </w:tabs>
    </w:pPr>
  </w:style>
  <w:style w:type="character" w:customStyle="1" w:styleId="FooterChar">
    <w:name w:val="Footer Char"/>
    <w:basedOn w:val="DefaultParagraphFont"/>
    <w:link w:val="Footer"/>
    <w:uiPriority w:val="99"/>
    <w:rsid w:val="002760F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7152"/>
    <w:rPr>
      <w:b/>
      <w:bCs/>
    </w:rPr>
  </w:style>
  <w:style w:type="character" w:customStyle="1" w:styleId="CommentSubjectChar">
    <w:name w:val="Comment Subject Char"/>
    <w:basedOn w:val="CommentTextChar"/>
    <w:link w:val="CommentSubject"/>
    <w:uiPriority w:val="99"/>
    <w:semiHidden/>
    <w:rsid w:val="003D7152"/>
    <w:rPr>
      <w:rFonts w:ascii="Times New Roman" w:eastAsia="Times New Roman" w:hAnsi="Times New Roman" w:cs="Times New Roman"/>
      <w:b/>
      <w:bCs/>
      <w:sz w:val="20"/>
      <w:szCs w:val="20"/>
    </w:rPr>
  </w:style>
  <w:style w:type="paragraph" w:styleId="Revision">
    <w:name w:val="Revision"/>
    <w:hidden/>
    <w:uiPriority w:val="99"/>
    <w:semiHidden/>
    <w:rsid w:val="00E37F1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2324">
      <w:bodyDiv w:val="1"/>
      <w:marLeft w:val="0"/>
      <w:marRight w:val="0"/>
      <w:marTop w:val="0"/>
      <w:marBottom w:val="0"/>
      <w:divBdr>
        <w:top w:val="none" w:sz="0" w:space="0" w:color="auto"/>
        <w:left w:val="none" w:sz="0" w:space="0" w:color="auto"/>
        <w:bottom w:val="none" w:sz="0" w:space="0" w:color="auto"/>
        <w:right w:val="none" w:sz="0" w:space="0" w:color="auto"/>
      </w:divBdr>
    </w:div>
    <w:div w:id="464004779">
      <w:bodyDiv w:val="1"/>
      <w:marLeft w:val="0"/>
      <w:marRight w:val="0"/>
      <w:marTop w:val="0"/>
      <w:marBottom w:val="0"/>
      <w:divBdr>
        <w:top w:val="none" w:sz="0" w:space="0" w:color="auto"/>
        <w:left w:val="none" w:sz="0" w:space="0" w:color="auto"/>
        <w:bottom w:val="none" w:sz="0" w:space="0" w:color="auto"/>
        <w:right w:val="none" w:sz="0" w:space="0" w:color="auto"/>
      </w:divBdr>
    </w:div>
    <w:div w:id="506558491">
      <w:bodyDiv w:val="1"/>
      <w:marLeft w:val="0"/>
      <w:marRight w:val="0"/>
      <w:marTop w:val="0"/>
      <w:marBottom w:val="0"/>
      <w:divBdr>
        <w:top w:val="none" w:sz="0" w:space="0" w:color="auto"/>
        <w:left w:val="none" w:sz="0" w:space="0" w:color="auto"/>
        <w:bottom w:val="none" w:sz="0" w:space="0" w:color="auto"/>
        <w:right w:val="none" w:sz="0" w:space="0" w:color="auto"/>
      </w:divBdr>
    </w:div>
    <w:div w:id="787629537">
      <w:bodyDiv w:val="1"/>
      <w:marLeft w:val="0"/>
      <w:marRight w:val="0"/>
      <w:marTop w:val="0"/>
      <w:marBottom w:val="0"/>
      <w:divBdr>
        <w:top w:val="none" w:sz="0" w:space="0" w:color="auto"/>
        <w:left w:val="none" w:sz="0" w:space="0" w:color="auto"/>
        <w:bottom w:val="none" w:sz="0" w:space="0" w:color="auto"/>
        <w:right w:val="none" w:sz="0" w:space="0" w:color="auto"/>
      </w:divBdr>
    </w:div>
    <w:div w:id="1177964724">
      <w:bodyDiv w:val="1"/>
      <w:marLeft w:val="0"/>
      <w:marRight w:val="0"/>
      <w:marTop w:val="0"/>
      <w:marBottom w:val="0"/>
      <w:divBdr>
        <w:top w:val="none" w:sz="0" w:space="0" w:color="auto"/>
        <w:left w:val="none" w:sz="0" w:space="0" w:color="auto"/>
        <w:bottom w:val="none" w:sz="0" w:space="0" w:color="auto"/>
        <w:right w:val="none" w:sz="0" w:space="0" w:color="auto"/>
      </w:divBdr>
    </w:div>
    <w:div w:id="1803694239">
      <w:bodyDiv w:val="1"/>
      <w:marLeft w:val="0"/>
      <w:marRight w:val="0"/>
      <w:marTop w:val="0"/>
      <w:marBottom w:val="0"/>
      <w:divBdr>
        <w:top w:val="none" w:sz="0" w:space="0" w:color="auto"/>
        <w:left w:val="none" w:sz="0" w:space="0" w:color="auto"/>
        <w:bottom w:val="none" w:sz="0" w:space="0" w:color="auto"/>
        <w:right w:val="none" w:sz="0" w:space="0" w:color="auto"/>
      </w:divBdr>
    </w:div>
    <w:div w:id="20112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au/financial-reporting-require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729C55ADBB0F4CBC28EE41F851EB4E" ma:contentTypeVersion="" ma:contentTypeDescription="PDMS Document Site Content Type" ma:contentTypeScope="" ma:versionID="e40c8c58d39d775ac9f94914a74386aa">
  <xsd:schema xmlns:xsd="http://www.w3.org/2001/XMLSchema" xmlns:xs="http://www.w3.org/2001/XMLSchema" xmlns:p="http://schemas.microsoft.com/office/2006/metadata/properties" xmlns:ns2="E44DD6F0-90B4-4E23-A60C-418F955B9F53" targetNamespace="http://schemas.microsoft.com/office/2006/metadata/properties" ma:root="true" ma:fieldsID="0b60b1db370a4af58467a5291c301614" ns2:_="">
    <xsd:import namespace="E44DD6F0-90B4-4E23-A60C-418F955B9F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D6F0-90B4-4E23-A60C-418F955B9F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44DD6F0-90B4-4E23-A60C-418F955B9F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D2B3-901E-4612-ABEB-EC9A20D7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D6F0-90B4-4E23-A60C-418F955B9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90EC3-60A4-4626-A244-151D84D7E8DB}">
  <ds:schemaRefs>
    <ds:schemaRef ds:uri="E44DD6F0-90B4-4E23-A60C-418F955B9F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ECCBC47-01C3-4857-AE87-5948C6B577B2}">
  <ds:schemaRefs>
    <ds:schemaRef ds:uri="http://schemas.microsoft.com/sharepoint/v3/contenttype/forms"/>
  </ds:schemaRefs>
</ds:datastoreItem>
</file>

<file path=customXml/itemProps4.xml><?xml version="1.0" encoding="utf-8"?>
<ds:datastoreItem xmlns:ds="http://schemas.openxmlformats.org/officeDocument/2006/customXml" ds:itemID="{0FE9F05F-34AF-4B4E-A4F3-9D19BD5D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C873CDF.dotm</Template>
  <TotalTime>12</TotalTime>
  <Pages>21</Pages>
  <Words>6439</Words>
  <Characters>37867</Characters>
  <Application>Microsoft Office Word</Application>
  <DocSecurity>0</DocSecurity>
  <Lines>1051</Lines>
  <Paragraphs>703</Paragraphs>
  <ScaleCrop>false</ScaleCrop>
  <HeadingPairs>
    <vt:vector size="2" baseType="variant">
      <vt:variant>
        <vt:lpstr>Title</vt:lpstr>
      </vt:variant>
      <vt:variant>
        <vt:i4>1</vt:i4>
      </vt:variant>
    </vt:vector>
  </HeadingPairs>
  <TitlesOfParts>
    <vt:vector size="1" baseType="lpstr">
      <vt:lpstr>Cost Recovery Implementation Statement - Cost recovery activities for the HECS-HELP and FEE-HELP programs Financial Year 2019-20</vt:lpstr>
    </vt:vector>
  </TitlesOfParts>
  <Company/>
  <LinksUpToDate>false</LinksUpToDate>
  <CharactersWithSpaces>43603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 Cost recovery activities for the HECS-HELP and FEE-HELP programs Financial Year 2019-20</dc:title>
  <dc:subject>Cost Recovery Activities</dc:subject>
  <dc:creator>Department of Education</dc:creator>
  <cp:keywords/>
  <dc:description/>
  <cp:lastModifiedBy>MIJOVIC,Branka</cp:lastModifiedBy>
  <cp:revision>8</cp:revision>
  <cp:lastPrinted>2019-12-17T06:13:00Z</cp:lastPrinted>
  <dcterms:created xsi:type="dcterms:W3CDTF">2019-11-01T05:20:00Z</dcterms:created>
  <dcterms:modified xsi:type="dcterms:W3CDTF">2019-12-17T06:14:00Z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0x010100266966F133664895A6EE3632470D45F500B7729C55ADBB0F4CBC28EE41F851EB4E</vt:lpwstr>
  </property>
</Properties>
</file>