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BCE8" w14:textId="226CEAE3" w:rsidR="009F7122" w:rsidRDefault="009F7122" w:rsidP="00D52B12"/>
    <w:p w14:paraId="1D50D824" w14:textId="77777777" w:rsidR="009F7122" w:rsidRDefault="009F7122" w:rsidP="00D52B12"/>
    <w:p w14:paraId="35C87C92" w14:textId="09D938B7" w:rsidR="009F7122" w:rsidRDefault="009F7122" w:rsidP="00D52B12">
      <w:r>
        <w:tab/>
      </w:r>
    </w:p>
    <w:p w14:paraId="2E963F2A" w14:textId="71C7C5B9" w:rsidR="009F7122" w:rsidRDefault="009F7122" w:rsidP="00D52B12">
      <w:r w:rsidRPr="00493C91">
        <w:rPr>
          <w:noProof/>
          <w:lang w:eastAsia="en-AU"/>
        </w:rPr>
        <w:drawing>
          <wp:anchor distT="0" distB="0" distL="114300" distR="114300" simplePos="0" relativeHeight="251665408" behindDoc="0" locked="0" layoutInCell="1" allowOverlap="1" wp14:anchorId="32858AF8" wp14:editId="273BABDD">
            <wp:simplePos x="0" y="0"/>
            <wp:positionH relativeFrom="column">
              <wp:posOffset>55245</wp:posOffset>
            </wp:positionH>
            <wp:positionV relativeFrom="paragraph">
              <wp:posOffset>73025</wp:posOffset>
            </wp:positionV>
            <wp:extent cx="796413" cy="743845"/>
            <wp:effectExtent l="0" t="0" r="3810" b="0"/>
            <wp:wrapNone/>
            <wp:docPr id="14" name="Picture 14" descr="Brightly coloured stylised people with arms outstretched in orange, blue and lime green" title="CA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 Project identif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413" cy="743845"/>
                    </a:xfrm>
                    <a:prstGeom prst="rect">
                      <a:avLst/>
                    </a:prstGeom>
                  </pic:spPr>
                </pic:pic>
              </a:graphicData>
            </a:graphic>
            <wp14:sizeRelH relativeFrom="margin">
              <wp14:pctWidth>0</wp14:pctWidth>
            </wp14:sizeRelH>
            <wp14:sizeRelV relativeFrom="margin">
              <wp14:pctHeight>0</wp14:pctHeight>
            </wp14:sizeRelV>
          </wp:anchor>
        </w:drawing>
      </w:r>
    </w:p>
    <w:p w14:paraId="418097F9" w14:textId="5527C545" w:rsidR="009F7122" w:rsidRDefault="009F7122" w:rsidP="00D52B12"/>
    <w:p w14:paraId="7D52FC73" w14:textId="77777777" w:rsidR="009F7122" w:rsidRDefault="009F7122" w:rsidP="00D52B12"/>
    <w:p w14:paraId="73ABD58A" w14:textId="77777777" w:rsidR="009F7122" w:rsidRDefault="009F7122" w:rsidP="00D52B12"/>
    <w:p w14:paraId="222C0273" w14:textId="3AFE3279" w:rsidR="009F7122" w:rsidRDefault="009F7122" w:rsidP="00D52B12"/>
    <w:p w14:paraId="0D66BE3D" w14:textId="77777777" w:rsidR="009F7122" w:rsidRDefault="009F7122" w:rsidP="00D52B12"/>
    <w:p w14:paraId="289764C6" w14:textId="77777777" w:rsidR="005B1409" w:rsidRDefault="005B1409" w:rsidP="005B1409">
      <w:pPr>
        <w:pStyle w:val="Subtitle"/>
        <w:rPr>
          <w:rFonts w:cs="Arial"/>
          <w:color w:val="000000"/>
          <w:spacing w:val="0"/>
          <w:sz w:val="50"/>
          <w:szCs w:val="50"/>
          <w:lang w:val="en-US"/>
        </w:rPr>
      </w:pPr>
      <w:r w:rsidRPr="005B14AE">
        <w:rPr>
          <w:rFonts w:cs="Arial"/>
          <w:color w:val="000000"/>
          <w:spacing w:val="0"/>
          <w:sz w:val="50"/>
          <w:szCs w:val="50"/>
          <w:lang w:val="en-US"/>
        </w:rPr>
        <w:t>The Effects on Schooling Outcomes of Early Developmental Vulnerabilities in Children</w:t>
      </w:r>
    </w:p>
    <w:p w14:paraId="4FE73F4B" w14:textId="77777777" w:rsidR="009F7122" w:rsidRPr="00241CF8" w:rsidRDefault="009F7122" w:rsidP="00D52B12">
      <w:pPr>
        <w:pStyle w:val="Subtitle"/>
      </w:pPr>
      <w:r w:rsidRPr="00241CF8">
        <w:rPr>
          <w:noProof/>
          <w:lang w:eastAsia="en-AU"/>
        </w:rPr>
        <mc:AlternateContent>
          <mc:Choice Requires="wps">
            <w:drawing>
              <wp:anchor distT="0" distB="0" distL="114300" distR="114300" simplePos="0" relativeHeight="251666432" behindDoc="0" locked="0" layoutInCell="1" allowOverlap="1" wp14:anchorId="1F9D5E1A" wp14:editId="732FDD7D">
                <wp:simplePos x="0" y="0"/>
                <wp:positionH relativeFrom="margin">
                  <wp:posOffset>-51435</wp:posOffset>
                </wp:positionH>
                <wp:positionV relativeFrom="paragraph">
                  <wp:posOffset>367665</wp:posOffset>
                </wp:positionV>
                <wp:extent cx="6086475" cy="9525"/>
                <wp:effectExtent l="0" t="0" r="28575" b="28575"/>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9525"/>
                        </a:xfrm>
                        <a:prstGeom prst="line">
                          <a:avLst/>
                        </a:prstGeom>
                        <a:noFill/>
                        <a:ln w="14605" cap="flat" cmpd="sng" algn="ctr">
                          <a:solidFill>
                            <a:sysClr val="window" lastClr="FFFFFF">
                              <a:lumMod val="75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2D5C00"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28.95pt" to="475.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" strokecolor="#bfbfbf" strokeweight="1.15pt">
                <v:stroke dashstyle="1 1" joinstyle="miter"/>
                <o:lock v:ext="edit" shapetype="f"/>
                <w10:wrap anchorx="margin"/>
              </v:line>
            </w:pict>
          </mc:Fallback>
        </mc:AlternateContent>
      </w:r>
      <w:r w:rsidRPr="00241CF8">
        <w:t>The Centre for Adolescent Health</w:t>
      </w:r>
    </w:p>
    <w:p w14:paraId="75740AA4" w14:textId="77777777" w:rsidR="009F7122" w:rsidRPr="0001612D" w:rsidRDefault="009F7122" w:rsidP="00D52B12"/>
    <w:p w14:paraId="7FC93314" w14:textId="77777777" w:rsidR="009F7122" w:rsidRDefault="009F7122" w:rsidP="00D52B12"/>
    <w:p w14:paraId="64B9900F" w14:textId="77777777" w:rsidR="009F7122" w:rsidRDefault="009F7122" w:rsidP="00D52B12"/>
    <w:p w14:paraId="3DD86ACA" w14:textId="58CF051F" w:rsidR="009F7122" w:rsidRDefault="009F7122" w:rsidP="00D52B12">
      <w:pPr>
        <w:rPr>
          <w:rFonts w:cstheme="minorHAnsi"/>
          <w:sz w:val="36"/>
        </w:rPr>
      </w:pPr>
      <w:r>
        <w:rPr>
          <w:noProof/>
          <w:lang w:eastAsia="en-AU"/>
        </w:rPr>
        <mc:AlternateContent>
          <mc:Choice Requires="wps">
            <w:drawing>
              <wp:anchor distT="0" distB="0" distL="114300" distR="114300" simplePos="0" relativeHeight="251667456" behindDoc="0" locked="0" layoutInCell="1" allowOverlap="1" wp14:anchorId="116DE8AF" wp14:editId="59479BAA">
                <wp:simplePos x="0" y="0"/>
                <wp:positionH relativeFrom="column">
                  <wp:posOffset>5572125</wp:posOffset>
                </wp:positionH>
                <wp:positionV relativeFrom="paragraph">
                  <wp:posOffset>1614170</wp:posOffset>
                </wp:positionV>
                <wp:extent cx="257175" cy="228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57175"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6744D596" id="Rectangle 13" o:spid="_x0000_s1026" style="position:absolute;margin-left:438.75pt;margin-top:127.1pt;width:20.2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" fillcolor="white [3212]" strokecolor="white [3212]" strokeweight="1pt"/>
            </w:pict>
          </mc:Fallback>
        </mc:AlternateContent>
      </w:r>
    </w:p>
    <w:p w14:paraId="32CDABFC" w14:textId="19046948" w:rsidR="006B509A" w:rsidRPr="006B509A" w:rsidRDefault="00FC46AD" w:rsidP="00D52B12">
      <w:pPr>
        <w:rPr>
          <w:rFonts w:asciiTheme="majorHAnsi" w:eastAsiaTheme="majorEastAsia" w:hAnsiTheme="majorHAnsi" w:cstheme="majorBidi"/>
          <w:color w:val="2F5496" w:themeColor="accent1" w:themeShade="BF"/>
          <w:sz w:val="32"/>
          <w:szCs w:val="32"/>
        </w:rPr>
      </w:pPr>
      <w:r w:rsidRPr="0001612D">
        <w:rPr>
          <w:noProof/>
          <w:lang w:eastAsia="en-AU"/>
        </w:rPr>
        <w:drawing>
          <wp:anchor distT="0" distB="0" distL="114300" distR="114300" simplePos="0" relativeHeight="251668480" behindDoc="0" locked="0" layoutInCell="1" allowOverlap="1" wp14:anchorId="0E5100A5" wp14:editId="62B2FFD6">
            <wp:simplePos x="0" y="0"/>
            <wp:positionH relativeFrom="margin">
              <wp:posOffset>4457369</wp:posOffset>
            </wp:positionH>
            <wp:positionV relativeFrom="paragraph">
              <wp:posOffset>73015</wp:posOffset>
            </wp:positionV>
            <wp:extent cx="1625600" cy="476250"/>
            <wp:effectExtent l="0" t="0" r="0" b="0"/>
            <wp:wrapSquare wrapText="bothSides"/>
            <wp:docPr id="17" name="Picture 2340" descr="Coloured logo with The Royal CHildren's Hospital Melbourne in text alongside" title="The Royal Children's Hospital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122">
        <w:br w:type="page"/>
      </w:r>
    </w:p>
    <w:p w14:paraId="3BF772C5" w14:textId="77777777" w:rsidR="00AE3E92" w:rsidRPr="00BD33C5" w:rsidRDefault="00AE3E92" w:rsidP="00D52B12">
      <w:pPr>
        <w:spacing w:after="0"/>
        <w:rPr>
          <w:b/>
          <w:sz w:val="18"/>
          <w:szCs w:val="18"/>
        </w:rPr>
      </w:pPr>
      <w:r w:rsidRPr="00BD33C5">
        <w:rPr>
          <w:b/>
          <w:sz w:val="18"/>
          <w:szCs w:val="18"/>
        </w:rPr>
        <w:lastRenderedPageBreak/>
        <w:t>Prepared by:</w:t>
      </w:r>
    </w:p>
    <w:p w14:paraId="1EFAB879" w14:textId="77777777" w:rsidR="00AE3E92" w:rsidRPr="00BD33C5" w:rsidRDefault="00AE3E92" w:rsidP="00D52B12">
      <w:pPr>
        <w:pStyle w:val="NoSpacing"/>
        <w:spacing w:after="0"/>
        <w:rPr>
          <w:sz w:val="18"/>
          <w:szCs w:val="18"/>
        </w:rPr>
      </w:pPr>
      <w:r w:rsidRPr="00BD33C5">
        <w:rPr>
          <w:sz w:val="18"/>
          <w:szCs w:val="18"/>
        </w:rPr>
        <w:t>Dr Tracy Evans-</w:t>
      </w:r>
      <w:proofErr w:type="spellStart"/>
      <w:r w:rsidRPr="00BD33C5">
        <w:rPr>
          <w:sz w:val="18"/>
          <w:szCs w:val="18"/>
        </w:rPr>
        <w:t>Whipp</w:t>
      </w:r>
      <w:proofErr w:type="spellEnd"/>
    </w:p>
    <w:p w14:paraId="1383C9AF" w14:textId="781AC298" w:rsidR="00AE3E92" w:rsidRPr="00BD33C5" w:rsidRDefault="00AE3E92" w:rsidP="00D52B12">
      <w:pPr>
        <w:pStyle w:val="NoSpacing"/>
        <w:spacing w:after="0"/>
        <w:rPr>
          <w:sz w:val="18"/>
          <w:szCs w:val="18"/>
        </w:rPr>
      </w:pPr>
      <w:r w:rsidRPr="00BD33C5">
        <w:rPr>
          <w:sz w:val="18"/>
          <w:szCs w:val="18"/>
        </w:rPr>
        <w:t>Dr Lisa Mundy</w:t>
      </w:r>
      <w:r w:rsidR="00404055" w:rsidRPr="00BD33C5">
        <w:rPr>
          <w:sz w:val="18"/>
          <w:szCs w:val="18"/>
        </w:rPr>
        <w:br/>
        <w:t>Dr Eliza Miller</w:t>
      </w:r>
    </w:p>
    <w:p w14:paraId="41DCFC3E" w14:textId="77777777" w:rsidR="00AE3E92" w:rsidRPr="00BD33C5" w:rsidRDefault="00AE3E92" w:rsidP="00D52B12">
      <w:pPr>
        <w:pStyle w:val="NoSpacing"/>
        <w:spacing w:after="0"/>
        <w:rPr>
          <w:sz w:val="18"/>
          <w:szCs w:val="18"/>
        </w:rPr>
      </w:pPr>
      <w:r w:rsidRPr="00BD33C5">
        <w:rPr>
          <w:sz w:val="18"/>
          <w:szCs w:val="18"/>
        </w:rPr>
        <w:t>Ms Louise Canterford</w:t>
      </w:r>
    </w:p>
    <w:p w14:paraId="55C59CCE" w14:textId="77777777" w:rsidR="00AE3E92" w:rsidRPr="00BD33C5" w:rsidRDefault="00AE3E92" w:rsidP="00D52B12">
      <w:pPr>
        <w:pStyle w:val="NoSpacing"/>
        <w:spacing w:after="0"/>
        <w:rPr>
          <w:sz w:val="18"/>
          <w:szCs w:val="18"/>
        </w:rPr>
      </w:pPr>
      <w:r w:rsidRPr="00BD33C5">
        <w:rPr>
          <w:sz w:val="18"/>
          <w:szCs w:val="18"/>
        </w:rPr>
        <w:t>Professor George Patton</w:t>
      </w:r>
    </w:p>
    <w:p w14:paraId="191D7337" w14:textId="77777777" w:rsidR="00AE3E92" w:rsidRPr="00BD33C5" w:rsidRDefault="00AE3E92" w:rsidP="00D52B12">
      <w:pPr>
        <w:rPr>
          <w:sz w:val="18"/>
          <w:szCs w:val="18"/>
        </w:rPr>
      </w:pPr>
    </w:p>
    <w:p w14:paraId="19D9B96F" w14:textId="6D2289D6" w:rsidR="00AE3E92" w:rsidRPr="00BD33C5" w:rsidRDefault="0022511C" w:rsidP="00D52B12">
      <w:pPr>
        <w:rPr>
          <w:sz w:val="18"/>
          <w:szCs w:val="18"/>
        </w:rPr>
      </w:pPr>
      <w:r w:rsidRPr="00BD33C5">
        <w:rPr>
          <w:sz w:val="18"/>
          <w:szCs w:val="18"/>
        </w:rPr>
        <w:t>Decembe</w:t>
      </w:r>
      <w:r w:rsidR="00AE3E92" w:rsidRPr="00BD33C5">
        <w:rPr>
          <w:sz w:val="18"/>
          <w:szCs w:val="18"/>
        </w:rPr>
        <w:t>r 2017</w:t>
      </w:r>
    </w:p>
    <w:p w14:paraId="60D32250" w14:textId="0616C77D" w:rsidR="00AE3E92" w:rsidRPr="00BD33C5" w:rsidRDefault="005B1409" w:rsidP="0080039C">
      <w:pPr>
        <w:spacing w:after="0"/>
        <w:rPr>
          <w:sz w:val="18"/>
          <w:szCs w:val="18"/>
        </w:rPr>
      </w:pPr>
      <w:r w:rsidRPr="00BD33C5">
        <w:rPr>
          <w:i/>
          <w:sz w:val="18"/>
          <w:szCs w:val="18"/>
        </w:rPr>
        <w:t>The Effects on Schooling Outcomes of Early Developmental Vulnerabilities in Children</w:t>
      </w:r>
      <w:r w:rsidR="00AE3E92" w:rsidRPr="00BD33C5">
        <w:rPr>
          <w:sz w:val="18"/>
          <w:szCs w:val="18"/>
        </w:rPr>
        <w:t xml:space="preserve"> report </w:t>
      </w:r>
      <w:proofErr w:type="gramStart"/>
      <w:r w:rsidR="00AE3E92" w:rsidRPr="00BD33C5">
        <w:rPr>
          <w:sz w:val="18"/>
          <w:szCs w:val="18"/>
        </w:rPr>
        <w:t>was undertaken</w:t>
      </w:r>
      <w:proofErr w:type="gramEnd"/>
      <w:r w:rsidR="00AE3E92" w:rsidRPr="00BD33C5">
        <w:rPr>
          <w:sz w:val="18"/>
          <w:szCs w:val="18"/>
        </w:rPr>
        <w:t xml:space="preserve"> by the Centre for Adolescent Health on behalf of the Evidence and Assessment Group, the Australian Government Department of Education and Training.</w:t>
      </w:r>
    </w:p>
    <w:p w14:paraId="36C5EC9A" w14:textId="77777777" w:rsidR="0080039C" w:rsidRPr="00BD33C5" w:rsidRDefault="0080039C" w:rsidP="0080039C">
      <w:pPr>
        <w:spacing w:after="0"/>
        <w:rPr>
          <w:sz w:val="18"/>
          <w:szCs w:val="18"/>
        </w:rPr>
      </w:pPr>
    </w:p>
    <w:p w14:paraId="1ED85086" w14:textId="77777777" w:rsidR="00AE3E92" w:rsidRPr="00BD33C5" w:rsidRDefault="00AE3E92" w:rsidP="00D52B12">
      <w:pPr>
        <w:rPr>
          <w:sz w:val="18"/>
          <w:szCs w:val="18"/>
        </w:rPr>
      </w:pPr>
      <w:r w:rsidRPr="00BD33C5">
        <w:rPr>
          <w:sz w:val="18"/>
          <w:szCs w:val="18"/>
        </w:rPr>
        <w:t>The Centre for Adolescent Health is a research group of the Murdoch Children’s Research Institute.</w:t>
      </w:r>
    </w:p>
    <w:p w14:paraId="71190B1A" w14:textId="77777777" w:rsidR="00AE3E92" w:rsidRPr="00BD33C5" w:rsidRDefault="00AE3E92" w:rsidP="00D52B12">
      <w:pPr>
        <w:pStyle w:val="NoSpacing"/>
        <w:spacing w:after="0"/>
        <w:rPr>
          <w:sz w:val="18"/>
          <w:szCs w:val="18"/>
        </w:rPr>
      </w:pPr>
      <w:r w:rsidRPr="00BD33C5">
        <w:rPr>
          <w:sz w:val="18"/>
          <w:szCs w:val="18"/>
        </w:rPr>
        <w:t>Centre for Adolescent Health</w:t>
      </w:r>
    </w:p>
    <w:p w14:paraId="68CBDDC1" w14:textId="77777777" w:rsidR="00AE3E92" w:rsidRPr="00BD33C5" w:rsidRDefault="00AE3E92" w:rsidP="00D52B12">
      <w:pPr>
        <w:pStyle w:val="NoSpacing"/>
        <w:spacing w:after="0"/>
        <w:rPr>
          <w:sz w:val="18"/>
          <w:szCs w:val="18"/>
        </w:rPr>
      </w:pPr>
      <w:r w:rsidRPr="00BD33C5">
        <w:rPr>
          <w:sz w:val="18"/>
          <w:szCs w:val="18"/>
        </w:rPr>
        <w:t>The Royal Children’s Hospital</w:t>
      </w:r>
    </w:p>
    <w:p w14:paraId="700711F2" w14:textId="77777777" w:rsidR="00AE3E92" w:rsidRPr="00BD33C5" w:rsidRDefault="00AE3E92" w:rsidP="00D52B12">
      <w:pPr>
        <w:pStyle w:val="NoSpacing"/>
        <w:spacing w:after="0"/>
        <w:rPr>
          <w:sz w:val="18"/>
          <w:szCs w:val="18"/>
        </w:rPr>
      </w:pPr>
      <w:r w:rsidRPr="00BD33C5">
        <w:rPr>
          <w:sz w:val="18"/>
          <w:szCs w:val="18"/>
        </w:rPr>
        <w:t>50 Flemington Road, Parkville</w:t>
      </w:r>
    </w:p>
    <w:p w14:paraId="5A487323" w14:textId="77777777" w:rsidR="00AE3E92" w:rsidRPr="00BD33C5" w:rsidRDefault="00AE3E92" w:rsidP="00D52B12">
      <w:pPr>
        <w:pStyle w:val="NoSpacing"/>
        <w:spacing w:after="0"/>
        <w:rPr>
          <w:sz w:val="18"/>
          <w:szCs w:val="18"/>
        </w:rPr>
      </w:pPr>
      <w:r w:rsidRPr="00BD33C5">
        <w:rPr>
          <w:sz w:val="18"/>
          <w:szCs w:val="18"/>
        </w:rPr>
        <w:t>Victoria 3052 Australia</w:t>
      </w:r>
    </w:p>
    <w:p w14:paraId="2875FA3B" w14:textId="77777777" w:rsidR="00AE3E92" w:rsidRPr="00BD33C5" w:rsidRDefault="00AE3E92" w:rsidP="00D52B12">
      <w:pPr>
        <w:pStyle w:val="NoSpacing"/>
        <w:spacing w:after="0"/>
        <w:rPr>
          <w:sz w:val="18"/>
          <w:szCs w:val="18"/>
        </w:rPr>
      </w:pPr>
      <w:r w:rsidRPr="00BD33C5">
        <w:rPr>
          <w:sz w:val="18"/>
          <w:szCs w:val="18"/>
        </w:rPr>
        <w:t>Telephone +61 9645 6732</w:t>
      </w:r>
    </w:p>
    <w:p w14:paraId="0A8DB8C6" w14:textId="43354B83" w:rsidR="00404055" w:rsidRPr="00BD33C5" w:rsidRDefault="00403501" w:rsidP="00D52B12">
      <w:pPr>
        <w:pStyle w:val="NoSpacing"/>
        <w:spacing w:after="0"/>
        <w:rPr>
          <w:rStyle w:val="Hyperlink"/>
          <w:sz w:val="18"/>
          <w:szCs w:val="18"/>
        </w:rPr>
      </w:pPr>
      <w:hyperlink r:id="rId10" w:history="1">
        <w:r w:rsidR="00AE3E92" w:rsidRPr="00BD33C5">
          <w:rPr>
            <w:rStyle w:val="Hyperlink"/>
            <w:sz w:val="18"/>
            <w:szCs w:val="18"/>
          </w:rPr>
          <w:t>https://cats.mcri.edu.au/</w:t>
        </w:r>
      </w:hyperlink>
    </w:p>
    <w:p w14:paraId="4C33E918" w14:textId="44693774" w:rsidR="00F65D58" w:rsidRDefault="00F65D58" w:rsidP="00404055">
      <w:pPr>
        <w:tabs>
          <w:tab w:val="center" w:pos="4510"/>
        </w:tabs>
      </w:pPr>
    </w:p>
    <w:p w14:paraId="73AC20DF" w14:textId="77777777" w:rsidR="00BD33C5" w:rsidRDefault="00BD33C5" w:rsidP="00BD33C5">
      <w:pPr>
        <w:pStyle w:val="BodyText"/>
        <w:rPr>
          <w:sz w:val="16"/>
          <w:szCs w:val="16"/>
        </w:rPr>
      </w:pPr>
      <w:r>
        <w:rPr>
          <w:sz w:val="16"/>
          <w:szCs w:val="16"/>
        </w:rPr>
        <w:t>© Commonwealth of Australia 2018</w:t>
      </w:r>
    </w:p>
    <w:p w14:paraId="2D75F94F" w14:textId="77777777" w:rsidR="00BD33C5" w:rsidRDefault="00BD33C5" w:rsidP="00BD33C5">
      <w:pPr>
        <w:pStyle w:val="BodyText"/>
        <w:spacing w:after="0"/>
        <w:rPr>
          <w:sz w:val="16"/>
          <w:szCs w:val="16"/>
        </w:rPr>
      </w:pPr>
      <w:r>
        <w:rPr>
          <w:sz w:val="16"/>
          <w:szCs w:val="16"/>
        </w:rPr>
        <w:t xml:space="preserve">With the exception of </w:t>
      </w:r>
      <w:r w:rsidRPr="00DE6D2A">
        <w:rPr>
          <w:sz w:val="16"/>
          <w:szCs w:val="16"/>
        </w:rPr>
        <w:t xml:space="preserve">Murdoch Children’s Research Institute </w:t>
      </w:r>
      <w:r>
        <w:rPr>
          <w:sz w:val="16"/>
          <w:szCs w:val="16"/>
        </w:rPr>
        <w:t xml:space="preserve">and </w:t>
      </w:r>
      <w:proofErr w:type="gramStart"/>
      <w:r w:rsidRPr="00DE6D2A">
        <w:rPr>
          <w:sz w:val="16"/>
          <w:szCs w:val="16"/>
        </w:rPr>
        <w:t>The</w:t>
      </w:r>
      <w:proofErr w:type="gramEnd"/>
      <w:r w:rsidRPr="00DE6D2A">
        <w:rPr>
          <w:sz w:val="16"/>
          <w:szCs w:val="16"/>
        </w:rPr>
        <w:t xml:space="preserve"> Royal </w:t>
      </w:r>
    </w:p>
    <w:p w14:paraId="21EA0D90" w14:textId="77777777" w:rsidR="00BD33C5" w:rsidRDefault="00BD33C5" w:rsidP="00BD33C5">
      <w:pPr>
        <w:pStyle w:val="BodyText"/>
        <w:rPr>
          <w:sz w:val="16"/>
          <w:szCs w:val="16"/>
        </w:rPr>
      </w:pPr>
      <w:r w:rsidRPr="00DE6D2A">
        <w:rPr>
          <w:sz w:val="16"/>
          <w:szCs w:val="16"/>
        </w:rPr>
        <w:t>Children’s Hospital</w:t>
      </w:r>
      <w:r>
        <w:rPr>
          <w:sz w:val="16"/>
          <w:szCs w:val="16"/>
        </w:rPr>
        <w:t xml:space="preserve"> branding, content provided by third parties,</w:t>
      </w:r>
      <w:r>
        <w:rPr>
          <w:sz w:val="16"/>
          <w:szCs w:val="16"/>
        </w:rPr>
        <w:br/>
        <w:t xml:space="preserve">and any material protected by a trademark, all textual material presented in </w:t>
      </w:r>
      <w:r>
        <w:rPr>
          <w:sz w:val="16"/>
          <w:szCs w:val="16"/>
        </w:rPr>
        <w:br/>
        <w:t>this publication is provided under a Creative Commons Attribution 4.0</w:t>
      </w:r>
      <w:r>
        <w:rPr>
          <w:sz w:val="16"/>
          <w:szCs w:val="16"/>
        </w:rPr>
        <w:br/>
        <w:t xml:space="preserve">International licence (CC BY 4.0) &lt;creativecommons.org/licences/by/4.0/&gt;. </w:t>
      </w:r>
      <w:r>
        <w:rPr>
          <w:sz w:val="16"/>
          <w:szCs w:val="16"/>
        </w:rPr>
        <w:br/>
        <w:t xml:space="preserve">You may copy, distribute and build upon this work for commercial and </w:t>
      </w:r>
      <w:r>
        <w:rPr>
          <w:sz w:val="16"/>
          <w:szCs w:val="16"/>
        </w:rPr>
        <w:br/>
        <w:t xml:space="preserve">non-commercial purposes; however, you must attribute the Commonwealth </w:t>
      </w:r>
      <w:r>
        <w:rPr>
          <w:sz w:val="16"/>
          <w:szCs w:val="16"/>
        </w:rPr>
        <w:br/>
        <w:t xml:space="preserve">of Australia as the copyright holder of the work. Content that </w:t>
      </w:r>
      <w:proofErr w:type="gramStart"/>
      <w:r>
        <w:rPr>
          <w:sz w:val="16"/>
          <w:szCs w:val="16"/>
        </w:rPr>
        <w:t>is copyrighted</w:t>
      </w:r>
      <w:proofErr w:type="gramEnd"/>
      <w:r>
        <w:rPr>
          <w:sz w:val="16"/>
          <w:szCs w:val="16"/>
        </w:rPr>
        <w:t xml:space="preserve"> </w:t>
      </w:r>
      <w:r>
        <w:rPr>
          <w:sz w:val="16"/>
          <w:szCs w:val="16"/>
        </w:rPr>
        <w:br/>
        <w:t>by a third party is subject to the licencing arrangements of the original owner.</w:t>
      </w:r>
    </w:p>
    <w:p w14:paraId="2B171A31" w14:textId="77777777" w:rsidR="00BD33C5" w:rsidRDefault="00BD33C5" w:rsidP="00BD33C5">
      <w:pPr>
        <w:pStyle w:val="BodyText"/>
        <w:rPr>
          <w:sz w:val="16"/>
          <w:szCs w:val="16"/>
        </w:rPr>
      </w:pPr>
      <w:r>
        <w:rPr>
          <w:noProof/>
          <w:sz w:val="16"/>
          <w:szCs w:val="16"/>
          <w:lang w:eastAsia="en-AU"/>
        </w:rPr>
        <w:drawing>
          <wp:inline distT="0" distB="0" distL="0" distR="0" wp14:anchorId="44AA6BB4" wp14:editId="58F2A14B">
            <wp:extent cx="1840865" cy="4870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487045"/>
                    </a:xfrm>
                    <a:prstGeom prst="rect">
                      <a:avLst/>
                    </a:prstGeom>
                    <a:noFill/>
                    <a:ln>
                      <a:noFill/>
                    </a:ln>
                  </pic:spPr>
                </pic:pic>
              </a:graphicData>
            </a:graphic>
          </wp:inline>
        </w:drawing>
      </w:r>
    </w:p>
    <w:p w14:paraId="30548B37" w14:textId="77777777" w:rsidR="00BD33C5" w:rsidRDefault="00BD33C5" w:rsidP="00BD33C5">
      <w:pPr>
        <w:pStyle w:val="BodyText"/>
        <w:rPr>
          <w:sz w:val="16"/>
          <w:szCs w:val="16"/>
        </w:rPr>
      </w:pPr>
      <w:proofErr w:type="gramStart"/>
      <w:r>
        <w:rPr>
          <w:sz w:val="16"/>
          <w:szCs w:val="16"/>
        </w:rPr>
        <w:t xml:space="preserve">This report was commissioned by the Australian Government Department of </w:t>
      </w:r>
      <w:r>
        <w:rPr>
          <w:sz w:val="16"/>
          <w:szCs w:val="16"/>
        </w:rPr>
        <w:br/>
        <w:t>Education and Training</w:t>
      </w:r>
      <w:proofErr w:type="gramEnd"/>
      <w:r>
        <w:rPr>
          <w:sz w:val="16"/>
          <w:szCs w:val="16"/>
        </w:rPr>
        <w:t>. The findings and views expressed in this report are those</w:t>
      </w:r>
      <w:r>
        <w:rPr>
          <w:sz w:val="16"/>
          <w:szCs w:val="16"/>
        </w:rPr>
        <w:br/>
        <w:t>of the authors and do not reflect the views of the Department of Education and Training.</w:t>
      </w:r>
    </w:p>
    <w:p w14:paraId="366D8669" w14:textId="72D04360" w:rsidR="00BD33C5" w:rsidRDefault="00BD33C5" w:rsidP="00BD33C5">
      <w:pPr>
        <w:pStyle w:val="BodyText"/>
        <w:rPr>
          <w:sz w:val="16"/>
          <w:szCs w:val="16"/>
        </w:rPr>
      </w:pPr>
      <w:r>
        <w:rPr>
          <w:sz w:val="16"/>
          <w:szCs w:val="16"/>
        </w:rPr>
        <w:t>Suggested citation</w:t>
      </w:r>
      <w:proofErr w:type="gramStart"/>
      <w:r>
        <w:rPr>
          <w:sz w:val="16"/>
          <w:szCs w:val="16"/>
        </w:rPr>
        <w:t>:</w:t>
      </w:r>
      <w:proofErr w:type="gramEnd"/>
      <w:r>
        <w:rPr>
          <w:sz w:val="16"/>
          <w:szCs w:val="16"/>
        </w:rPr>
        <w:br/>
      </w:r>
      <w:r w:rsidRPr="00DE6D2A">
        <w:rPr>
          <w:sz w:val="16"/>
          <w:szCs w:val="16"/>
        </w:rPr>
        <w:t>The Centre for Adolescent Health, Murdoch Children</w:t>
      </w:r>
      <w:r>
        <w:rPr>
          <w:sz w:val="16"/>
          <w:szCs w:val="16"/>
        </w:rPr>
        <w:t>’</w:t>
      </w:r>
      <w:r w:rsidRPr="00DE6D2A">
        <w:rPr>
          <w:sz w:val="16"/>
          <w:szCs w:val="16"/>
        </w:rPr>
        <w:t xml:space="preserve">s Research Institute </w:t>
      </w:r>
      <w:r>
        <w:rPr>
          <w:sz w:val="16"/>
          <w:szCs w:val="16"/>
        </w:rPr>
        <w:t xml:space="preserve">(2018). </w:t>
      </w:r>
      <w:r w:rsidR="00403501">
        <w:rPr>
          <w:sz w:val="16"/>
          <w:szCs w:val="16"/>
        </w:rPr>
        <w:br/>
      </w:r>
      <w:bookmarkStart w:id="0" w:name="_GoBack"/>
      <w:bookmarkEnd w:id="0"/>
      <w:r w:rsidRPr="005C3DF0">
        <w:rPr>
          <w:i/>
          <w:sz w:val="16"/>
          <w:szCs w:val="16"/>
        </w:rPr>
        <w:t>The Effects on Schooling Outcomes of Early Developmen</w:t>
      </w:r>
      <w:r w:rsidR="00403501">
        <w:rPr>
          <w:i/>
          <w:sz w:val="16"/>
          <w:szCs w:val="16"/>
        </w:rPr>
        <w:t>tal Vulnerabilities in Children</w:t>
      </w:r>
      <w:r w:rsidRPr="005C3DF0">
        <w:rPr>
          <w:i/>
          <w:sz w:val="16"/>
          <w:szCs w:val="16"/>
        </w:rPr>
        <w:t xml:space="preserve">, </w:t>
      </w:r>
      <w:r w:rsidRPr="005C3DF0">
        <w:rPr>
          <w:i/>
          <w:sz w:val="16"/>
          <w:szCs w:val="16"/>
        </w:rPr>
        <w:br/>
      </w:r>
      <w:r>
        <w:rPr>
          <w:sz w:val="16"/>
          <w:szCs w:val="16"/>
        </w:rPr>
        <w:t>Canberra:  Australian Government Department of Education and Training.</w:t>
      </w:r>
    </w:p>
    <w:p w14:paraId="166E10A0" w14:textId="5A235387" w:rsidR="00951F3F" w:rsidRPr="00EF21DA" w:rsidRDefault="00BD33C5" w:rsidP="005C3DF0">
      <w:pPr>
        <w:rPr>
          <w:sz w:val="16"/>
          <w:szCs w:val="16"/>
        </w:rPr>
      </w:pPr>
      <w:r w:rsidRPr="00EF21DA">
        <w:rPr>
          <w:sz w:val="16"/>
          <w:szCs w:val="16"/>
        </w:rPr>
        <w:t>ISBN</w:t>
      </w:r>
      <w:r w:rsidR="00EF21DA" w:rsidRPr="00EF21DA">
        <w:rPr>
          <w:sz w:val="16"/>
          <w:szCs w:val="16"/>
        </w:rPr>
        <w:t xml:space="preserve"> </w:t>
      </w:r>
      <w:r w:rsidR="00EF21DA" w:rsidRPr="00EF21DA">
        <w:rPr>
          <w:sz w:val="16"/>
          <w:szCs w:val="16"/>
        </w:rPr>
        <w:t>978-1-76051-562-1</w:t>
      </w:r>
      <w:r w:rsidRPr="00EF21DA">
        <w:rPr>
          <w:sz w:val="16"/>
          <w:szCs w:val="16"/>
        </w:rPr>
        <w:t xml:space="preserve"> [PDF</w:t>
      </w:r>
      <w:proofErr w:type="gramStart"/>
      <w:r w:rsidRPr="00EF21DA">
        <w:rPr>
          <w:sz w:val="16"/>
          <w:szCs w:val="16"/>
        </w:rPr>
        <w:t>]</w:t>
      </w:r>
      <w:proofErr w:type="gramEnd"/>
      <w:r w:rsidRPr="00EF21DA">
        <w:rPr>
          <w:sz w:val="16"/>
          <w:szCs w:val="16"/>
        </w:rPr>
        <w:br/>
        <w:t xml:space="preserve">ISBN </w:t>
      </w:r>
      <w:r w:rsidR="00EF21DA" w:rsidRPr="00EF21DA">
        <w:rPr>
          <w:sz w:val="16"/>
          <w:szCs w:val="16"/>
        </w:rPr>
        <w:t>978-1-76051-563-8</w:t>
      </w:r>
      <w:r w:rsidR="00EF21DA" w:rsidRPr="00EF21DA">
        <w:rPr>
          <w:sz w:val="16"/>
          <w:szCs w:val="16"/>
        </w:rPr>
        <w:t xml:space="preserve"> </w:t>
      </w:r>
      <w:r w:rsidRPr="00EF21DA">
        <w:rPr>
          <w:sz w:val="16"/>
          <w:szCs w:val="16"/>
        </w:rPr>
        <w:t>[DOCX]</w:t>
      </w:r>
    </w:p>
    <w:p w14:paraId="342EEAE5" w14:textId="77777777" w:rsidR="00951F3F" w:rsidRPr="00EF21DA" w:rsidRDefault="00951F3F" w:rsidP="00404055">
      <w:pPr>
        <w:tabs>
          <w:tab w:val="center" w:pos="4510"/>
        </w:tabs>
        <w:rPr>
          <w:sz w:val="16"/>
          <w:szCs w:val="16"/>
          <w:highlight w:val="yellow"/>
        </w:rPr>
        <w:sectPr w:rsidR="00951F3F" w:rsidRPr="00EF21DA" w:rsidSect="009F7122">
          <w:headerReference w:type="default" r:id="rId12"/>
          <w:footerReference w:type="default" r:id="rId13"/>
          <w:pgSz w:w="11900" w:h="16840"/>
          <w:pgMar w:top="2157" w:right="1440" w:bottom="1440" w:left="1440" w:header="708" w:footer="708" w:gutter="0"/>
          <w:cols w:space="708"/>
          <w:docGrid w:linePitch="360"/>
        </w:sectPr>
      </w:pPr>
    </w:p>
    <w:sdt>
      <w:sdtPr>
        <w:rPr>
          <w:rFonts w:ascii="Trebuchet MS" w:eastAsiaTheme="minorHAnsi" w:hAnsi="Trebuchet MS" w:cstheme="minorBidi"/>
          <w:color w:val="auto"/>
          <w:sz w:val="20"/>
          <w:szCs w:val="20"/>
          <w:lang w:val="en-AU"/>
        </w:rPr>
        <w:id w:val="969093208"/>
        <w:docPartObj>
          <w:docPartGallery w:val="Table of Contents"/>
          <w:docPartUnique/>
        </w:docPartObj>
      </w:sdtPr>
      <w:sdtEndPr>
        <w:rPr>
          <w:b/>
          <w:bCs/>
          <w:noProof/>
        </w:rPr>
      </w:sdtEndPr>
      <w:sdtContent>
        <w:p w14:paraId="7C540590" w14:textId="46E84F1C" w:rsidR="00FC46AD" w:rsidRPr="00FC46AD" w:rsidRDefault="00FC46AD" w:rsidP="00F65D58">
          <w:pPr>
            <w:pStyle w:val="TOCHeading"/>
            <w:spacing w:after="240" w:line="276" w:lineRule="auto"/>
            <w:rPr>
              <w:rStyle w:val="Heading1Char"/>
            </w:rPr>
          </w:pPr>
          <w:r w:rsidRPr="00FC46AD">
            <w:rPr>
              <w:rStyle w:val="Heading1Char"/>
            </w:rPr>
            <w:t>Contents</w:t>
          </w:r>
        </w:p>
        <w:p w14:paraId="44C7109F" w14:textId="77777777" w:rsidR="00330CAF" w:rsidRDefault="000C664C">
          <w:pPr>
            <w:pStyle w:val="TOC1"/>
            <w:tabs>
              <w:tab w:val="right" w:leader="dot" w:pos="9010"/>
            </w:tabs>
            <w:rPr>
              <w:rFonts w:asciiTheme="minorHAnsi" w:eastAsiaTheme="minorEastAsia" w:hAnsiTheme="minorHAnsi"/>
              <w:noProof/>
              <w:sz w:val="22"/>
              <w:szCs w:val="22"/>
              <w:lang w:eastAsia="en-AU"/>
            </w:rPr>
          </w:pPr>
          <w:r>
            <w:fldChar w:fldCharType="begin"/>
          </w:r>
          <w:r>
            <w:instrText xml:space="preserve"> TOC \o "1-2" \h \z \u </w:instrText>
          </w:r>
          <w:r>
            <w:fldChar w:fldCharType="separate"/>
          </w:r>
          <w:hyperlink w:anchor="_Toc501120721" w:history="1">
            <w:r w:rsidR="00330CAF" w:rsidRPr="00FF09A5">
              <w:rPr>
                <w:rStyle w:val="Hyperlink"/>
                <w:noProof/>
              </w:rPr>
              <w:t>List of Figures</w:t>
            </w:r>
            <w:r w:rsidR="00330CAF">
              <w:rPr>
                <w:noProof/>
                <w:webHidden/>
              </w:rPr>
              <w:tab/>
            </w:r>
            <w:r w:rsidR="00330CAF">
              <w:rPr>
                <w:noProof/>
                <w:webHidden/>
              </w:rPr>
              <w:fldChar w:fldCharType="begin"/>
            </w:r>
            <w:r w:rsidR="00330CAF">
              <w:rPr>
                <w:noProof/>
                <w:webHidden/>
              </w:rPr>
              <w:instrText xml:space="preserve"> PAGEREF _Toc501120721 \h </w:instrText>
            </w:r>
            <w:r w:rsidR="00330CAF">
              <w:rPr>
                <w:noProof/>
                <w:webHidden/>
              </w:rPr>
            </w:r>
            <w:r w:rsidR="00330CAF">
              <w:rPr>
                <w:noProof/>
                <w:webHidden/>
              </w:rPr>
              <w:fldChar w:fldCharType="separate"/>
            </w:r>
            <w:r w:rsidR="004C27B3">
              <w:rPr>
                <w:noProof/>
                <w:webHidden/>
              </w:rPr>
              <w:t>iii</w:t>
            </w:r>
            <w:r w:rsidR="00330CAF">
              <w:rPr>
                <w:noProof/>
                <w:webHidden/>
              </w:rPr>
              <w:fldChar w:fldCharType="end"/>
            </w:r>
          </w:hyperlink>
        </w:p>
        <w:p w14:paraId="23D57CEE"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22" w:history="1">
            <w:r w:rsidR="00330CAF" w:rsidRPr="00FF09A5">
              <w:rPr>
                <w:rStyle w:val="Hyperlink"/>
                <w:noProof/>
              </w:rPr>
              <w:t>List of Tables</w:t>
            </w:r>
            <w:r w:rsidR="00330CAF">
              <w:rPr>
                <w:noProof/>
                <w:webHidden/>
              </w:rPr>
              <w:tab/>
            </w:r>
            <w:r w:rsidR="00330CAF">
              <w:rPr>
                <w:noProof/>
                <w:webHidden/>
              </w:rPr>
              <w:fldChar w:fldCharType="begin"/>
            </w:r>
            <w:r w:rsidR="00330CAF">
              <w:rPr>
                <w:noProof/>
                <w:webHidden/>
              </w:rPr>
              <w:instrText xml:space="preserve"> PAGEREF _Toc501120722 \h </w:instrText>
            </w:r>
            <w:r w:rsidR="00330CAF">
              <w:rPr>
                <w:noProof/>
                <w:webHidden/>
              </w:rPr>
            </w:r>
            <w:r w:rsidR="00330CAF">
              <w:rPr>
                <w:noProof/>
                <w:webHidden/>
              </w:rPr>
              <w:fldChar w:fldCharType="separate"/>
            </w:r>
            <w:r w:rsidR="004C27B3">
              <w:rPr>
                <w:noProof/>
                <w:webHidden/>
              </w:rPr>
              <w:t>iv</w:t>
            </w:r>
            <w:r w:rsidR="00330CAF">
              <w:rPr>
                <w:noProof/>
                <w:webHidden/>
              </w:rPr>
              <w:fldChar w:fldCharType="end"/>
            </w:r>
          </w:hyperlink>
        </w:p>
        <w:p w14:paraId="50266FC8"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23" w:history="1">
            <w:r w:rsidR="00330CAF" w:rsidRPr="00FF09A5">
              <w:rPr>
                <w:rStyle w:val="Hyperlink"/>
                <w:noProof/>
              </w:rPr>
              <w:t>Acknowledgements</w:t>
            </w:r>
            <w:r w:rsidR="00330CAF">
              <w:rPr>
                <w:noProof/>
                <w:webHidden/>
              </w:rPr>
              <w:tab/>
            </w:r>
            <w:r w:rsidR="00330CAF">
              <w:rPr>
                <w:noProof/>
                <w:webHidden/>
              </w:rPr>
              <w:fldChar w:fldCharType="begin"/>
            </w:r>
            <w:r w:rsidR="00330CAF">
              <w:rPr>
                <w:noProof/>
                <w:webHidden/>
              </w:rPr>
              <w:instrText xml:space="preserve"> PAGEREF _Toc501120723 \h </w:instrText>
            </w:r>
            <w:r w:rsidR="00330CAF">
              <w:rPr>
                <w:noProof/>
                <w:webHidden/>
              </w:rPr>
            </w:r>
            <w:r w:rsidR="00330CAF">
              <w:rPr>
                <w:noProof/>
                <w:webHidden/>
              </w:rPr>
              <w:fldChar w:fldCharType="separate"/>
            </w:r>
            <w:r w:rsidR="004C27B3">
              <w:rPr>
                <w:noProof/>
                <w:webHidden/>
              </w:rPr>
              <w:t>vi</w:t>
            </w:r>
            <w:r w:rsidR="00330CAF">
              <w:rPr>
                <w:noProof/>
                <w:webHidden/>
              </w:rPr>
              <w:fldChar w:fldCharType="end"/>
            </w:r>
          </w:hyperlink>
        </w:p>
        <w:p w14:paraId="6D9B23C5"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24" w:history="1">
            <w:r w:rsidR="00330CAF" w:rsidRPr="00FF09A5">
              <w:rPr>
                <w:rStyle w:val="Hyperlink"/>
                <w:noProof/>
              </w:rPr>
              <w:t>Executive Summary</w:t>
            </w:r>
            <w:r w:rsidR="00330CAF">
              <w:rPr>
                <w:noProof/>
                <w:webHidden/>
              </w:rPr>
              <w:tab/>
            </w:r>
            <w:r w:rsidR="00330CAF">
              <w:rPr>
                <w:noProof/>
                <w:webHidden/>
              </w:rPr>
              <w:fldChar w:fldCharType="begin"/>
            </w:r>
            <w:r w:rsidR="00330CAF">
              <w:rPr>
                <w:noProof/>
                <w:webHidden/>
              </w:rPr>
              <w:instrText xml:space="preserve"> PAGEREF _Toc501120724 \h </w:instrText>
            </w:r>
            <w:r w:rsidR="00330CAF">
              <w:rPr>
                <w:noProof/>
                <w:webHidden/>
              </w:rPr>
            </w:r>
            <w:r w:rsidR="00330CAF">
              <w:rPr>
                <w:noProof/>
                <w:webHidden/>
              </w:rPr>
              <w:fldChar w:fldCharType="separate"/>
            </w:r>
            <w:r w:rsidR="004C27B3">
              <w:rPr>
                <w:noProof/>
                <w:webHidden/>
              </w:rPr>
              <w:t>1</w:t>
            </w:r>
            <w:r w:rsidR="00330CAF">
              <w:rPr>
                <w:noProof/>
                <w:webHidden/>
              </w:rPr>
              <w:fldChar w:fldCharType="end"/>
            </w:r>
          </w:hyperlink>
        </w:p>
        <w:p w14:paraId="73B82DC8"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25" w:history="1">
            <w:r w:rsidR="00330CAF" w:rsidRPr="00FF09A5">
              <w:rPr>
                <w:rStyle w:val="Hyperlink"/>
                <w:noProof/>
              </w:rPr>
              <w:t>Aim and outline of the report</w:t>
            </w:r>
            <w:r w:rsidR="00330CAF">
              <w:rPr>
                <w:noProof/>
                <w:webHidden/>
              </w:rPr>
              <w:tab/>
            </w:r>
            <w:r w:rsidR="00330CAF">
              <w:rPr>
                <w:noProof/>
                <w:webHidden/>
              </w:rPr>
              <w:fldChar w:fldCharType="begin"/>
            </w:r>
            <w:r w:rsidR="00330CAF">
              <w:rPr>
                <w:noProof/>
                <w:webHidden/>
              </w:rPr>
              <w:instrText xml:space="preserve"> PAGEREF _Toc501120725 \h </w:instrText>
            </w:r>
            <w:r w:rsidR="00330CAF">
              <w:rPr>
                <w:noProof/>
                <w:webHidden/>
              </w:rPr>
            </w:r>
            <w:r w:rsidR="00330CAF">
              <w:rPr>
                <w:noProof/>
                <w:webHidden/>
              </w:rPr>
              <w:fldChar w:fldCharType="separate"/>
            </w:r>
            <w:r w:rsidR="004C27B3">
              <w:rPr>
                <w:noProof/>
                <w:webHidden/>
              </w:rPr>
              <w:t>1</w:t>
            </w:r>
            <w:r w:rsidR="00330CAF">
              <w:rPr>
                <w:noProof/>
                <w:webHidden/>
              </w:rPr>
              <w:fldChar w:fldCharType="end"/>
            </w:r>
          </w:hyperlink>
        </w:p>
        <w:p w14:paraId="7BC13D2D"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26" w:history="1">
            <w:r w:rsidR="00330CAF" w:rsidRPr="00FF09A5">
              <w:rPr>
                <w:rStyle w:val="Hyperlink"/>
                <w:noProof/>
              </w:rPr>
              <w:t>Key findings</w:t>
            </w:r>
            <w:r w:rsidR="00330CAF">
              <w:rPr>
                <w:noProof/>
                <w:webHidden/>
              </w:rPr>
              <w:tab/>
            </w:r>
            <w:r w:rsidR="00330CAF">
              <w:rPr>
                <w:noProof/>
                <w:webHidden/>
              </w:rPr>
              <w:fldChar w:fldCharType="begin"/>
            </w:r>
            <w:r w:rsidR="00330CAF">
              <w:rPr>
                <w:noProof/>
                <w:webHidden/>
              </w:rPr>
              <w:instrText xml:space="preserve"> PAGEREF _Toc501120726 \h </w:instrText>
            </w:r>
            <w:r w:rsidR="00330CAF">
              <w:rPr>
                <w:noProof/>
                <w:webHidden/>
              </w:rPr>
            </w:r>
            <w:r w:rsidR="00330CAF">
              <w:rPr>
                <w:noProof/>
                <w:webHidden/>
              </w:rPr>
              <w:fldChar w:fldCharType="separate"/>
            </w:r>
            <w:r w:rsidR="004C27B3">
              <w:rPr>
                <w:noProof/>
                <w:webHidden/>
              </w:rPr>
              <w:t>2</w:t>
            </w:r>
            <w:r w:rsidR="00330CAF">
              <w:rPr>
                <w:noProof/>
                <w:webHidden/>
              </w:rPr>
              <w:fldChar w:fldCharType="end"/>
            </w:r>
          </w:hyperlink>
        </w:p>
        <w:p w14:paraId="3F54DA5D"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27" w:history="1">
            <w:r w:rsidR="00330CAF" w:rsidRPr="00FF09A5">
              <w:rPr>
                <w:rStyle w:val="Hyperlink"/>
                <w:noProof/>
              </w:rPr>
              <w:t>Conclusions</w:t>
            </w:r>
            <w:r w:rsidR="00330CAF">
              <w:rPr>
                <w:noProof/>
                <w:webHidden/>
              </w:rPr>
              <w:tab/>
            </w:r>
            <w:r w:rsidR="00330CAF">
              <w:rPr>
                <w:noProof/>
                <w:webHidden/>
              </w:rPr>
              <w:fldChar w:fldCharType="begin"/>
            </w:r>
            <w:r w:rsidR="00330CAF">
              <w:rPr>
                <w:noProof/>
                <w:webHidden/>
              </w:rPr>
              <w:instrText xml:space="preserve"> PAGEREF _Toc501120727 \h </w:instrText>
            </w:r>
            <w:r w:rsidR="00330CAF">
              <w:rPr>
                <w:noProof/>
                <w:webHidden/>
              </w:rPr>
            </w:r>
            <w:r w:rsidR="00330CAF">
              <w:rPr>
                <w:noProof/>
                <w:webHidden/>
              </w:rPr>
              <w:fldChar w:fldCharType="separate"/>
            </w:r>
            <w:r w:rsidR="004C27B3">
              <w:rPr>
                <w:noProof/>
                <w:webHidden/>
              </w:rPr>
              <w:t>3</w:t>
            </w:r>
            <w:r w:rsidR="00330CAF">
              <w:rPr>
                <w:noProof/>
                <w:webHidden/>
              </w:rPr>
              <w:fldChar w:fldCharType="end"/>
            </w:r>
          </w:hyperlink>
        </w:p>
        <w:p w14:paraId="3549F4BB"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28" w:history="1">
            <w:r w:rsidR="00330CAF" w:rsidRPr="00FF09A5">
              <w:rPr>
                <w:rStyle w:val="Hyperlink"/>
                <w:noProof/>
              </w:rPr>
              <w:t>Glossary</w:t>
            </w:r>
            <w:r w:rsidR="00330CAF">
              <w:rPr>
                <w:noProof/>
                <w:webHidden/>
              </w:rPr>
              <w:tab/>
            </w:r>
            <w:r w:rsidR="00330CAF">
              <w:rPr>
                <w:noProof/>
                <w:webHidden/>
              </w:rPr>
              <w:fldChar w:fldCharType="begin"/>
            </w:r>
            <w:r w:rsidR="00330CAF">
              <w:rPr>
                <w:noProof/>
                <w:webHidden/>
              </w:rPr>
              <w:instrText xml:space="preserve"> PAGEREF _Toc501120728 \h </w:instrText>
            </w:r>
            <w:r w:rsidR="00330CAF">
              <w:rPr>
                <w:noProof/>
                <w:webHidden/>
              </w:rPr>
            </w:r>
            <w:r w:rsidR="00330CAF">
              <w:rPr>
                <w:noProof/>
                <w:webHidden/>
              </w:rPr>
              <w:fldChar w:fldCharType="separate"/>
            </w:r>
            <w:r w:rsidR="004C27B3">
              <w:rPr>
                <w:noProof/>
                <w:webHidden/>
              </w:rPr>
              <w:t>5</w:t>
            </w:r>
            <w:r w:rsidR="00330CAF">
              <w:rPr>
                <w:noProof/>
                <w:webHidden/>
              </w:rPr>
              <w:fldChar w:fldCharType="end"/>
            </w:r>
          </w:hyperlink>
        </w:p>
        <w:p w14:paraId="713E86B1"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29" w:history="1">
            <w:r w:rsidR="00330CAF" w:rsidRPr="00FF09A5">
              <w:rPr>
                <w:rStyle w:val="Hyperlink"/>
                <w:noProof/>
              </w:rPr>
              <w:t>Introduction</w:t>
            </w:r>
            <w:r w:rsidR="00330CAF">
              <w:rPr>
                <w:noProof/>
                <w:webHidden/>
              </w:rPr>
              <w:tab/>
            </w:r>
            <w:r w:rsidR="00330CAF">
              <w:rPr>
                <w:noProof/>
                <w:webHidden/>
              </w:rPr>
              <w:fldChar w:fldCharType="begin"/>
            </w:r>
            <w:r w:rsidR="00330CAF">
              <w:rPr>
                <w:noProof/>
                <w:webHidden/>
              </w:rPr>
              <w:instrText xml:space="preserve"> PAGEREF _Toc501120729 \h </w:instrText>
            </w:r>
            <w:r w:rsidR="00330CAF">
              <w:rPr>
                <w:noProof/>
                <w:webHidden/>
              </w:rPr>
            </w:r>
            <w:r w:rsidR="00330CAF">
              <w:rPr>
                <w:noProof/>
                <w:webHidden/>
              </w:rPr>
              <w:fldChar w:fldCharType="separate"/>
            </w:r>
            <w:r w:rsidR="004C27B3">
              <w:rPr>
                <w:noProof/>
                <w:webHidden/>
              </w:rPr>
              <w:t>9</w:t>
            </w:r>
            <w:r w:rsidR="00330CAF">
              <w:rPr>
                <w:noProof/>
                <w:webHidden/>
              </w:rPr>
              <w:fldChar w:fldCharType="end"/>
            </w:r>
          </w:hyperlink>
        </w:p>
        <w:p w14:paraId="06C22F90"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0" w:history="1">
            <w:r w:rsidR="00330CAF" w:rsidRPr="00FF09A5">
              <w:rPr>
                <w:rStyle w:val="Hyperlink"/>
                <w:noProof/>
              </w:rPr>
              <w:t>Background</w:t>
            </w:r>
            <w:r w:rsidR="00330CAF">
              <w:rPr>
                <w:noProof/>
                <w:webHidden/>
              </w:rPr>
              <w:tab/>
            </w:r>
            <w:r w:rsidR="00330CAF">
              <w:rPr>
                <w:noProof/>
                <w:webHidden/>
              </w:rPr>
              <w:fldChar w:fldCharType="begin"/>
            </w:r>
            <w:r w:rsidR="00330CAF">
              <w:rPr>
                <w:noProof/>
                <w:webHidden/>
              </w:rPr>
              <w:instrText xml:space="preserve"> PAGEREF _Toc501120730 \h </w:instrText>
            </w:r>
            <w:r w:rsidR="00330CAF">
              <w:rPr>
                <w:noProof/>
                <w:webHidden/>
              </w:rPr>
            </w:r>
            <w:r w:rsidR="00330CAF">
              <w:rPr>
                <w:noProof/>
                <w:webHidden/>
              </w:rPr>
              <w:fldChar w:fldCharType="separate"/>
            </w:r>
            <w:r w:rsidR="004C27B3">
              <w:rPr>
                <w:noProof/>
                <w:webHidden/>
              </w:rPr>
              <w:t>9</w:t>
            </w:r>
            <w:r w:rsidR="00330CAF">
              <w:rPr>
                <w:noProof/>
                <w:webHidden/>
              </w:rPr>
              <w:fldChar w:fldCharType="end"/>
            </w:r>
          </w:hyperlink>
        </w:p>
        <w:p w14:paraId="62A75325"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1" w:history="1">
            <w:r w:rsidR="00330CAF" w:rsidRPr="00FF09A5">
              <w:rPr>
                <w:rStyle w:val="Hyperlink"/>
                <w:noProof/>
              </w:rPr>
              <w:t>Early childhood development</w:t>
            </w:r>
            <w:r w:rsidR="00330CAF">
              <w:rPr>
                <w:noProof/>
                <w:webHidden/>
              </w:rPr>
              <w:tab/>
            </w:r>
            <w:r w:rsidR="00330CAF">
              <w:rPr>
                <w:noProof/>
                <w:webHidden/>
              </w:rPr>
              <w:fldChar w:fldCharType="begin"/>
            </w:r>
            <w:r w:rsidR="00330CAF">
              <w:rPr>
                <w:noProof/>
                <w:webHidden/>
              </w:rPr>
              <w:instrText xml:space="preserve"> PAGEREF _Toc501120731 \h </w:instrText>
            </w:r>
            <w:r w:rsidR="00330CAF">
              <w:rPr>
                <w:noProof/>
                <w:webHidden/>
              </w:rPr>
            </w:r>
            <w:r w:rsidR="00330CAF">
              <w:rPr>
                <w:noProof/>
                <w:webHidden/>
              </w:rPr>
              <w:fldChar w:fldCharType="separate"/>
            </w:r>
            <w:r w:rsidR="004C27B3">
              <w:rPr>
                <w:noProof/>
                <w:webHidden/>
              </w:rPr>
              <w:t>10</w:t>
            </w:r>
            <w:r w:rsidR="00330CAF">
              <w:rPr>
                <w:noProof/>
                <w:webHidden/>
              </w:rPr>
              <w:fldChar w:fldCharType="end"/>
            </w:r>
          </w:hyperlink>
        </w:p>
        <w:p w14:paraId="482D963F"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2" w:history="1">
            <w:r w:rsidR="00330CAF" w:rsidRPr="00FF09A5">
              <w:rPr>
                <w:rStyle w:val="Hyperlink"/>
                <w:noProof/>
              </w:rPr>
              <w:t>The middle years</w:t>
            </w:r>
            <w:r w:rsidR="00330CAF">
              <w:rPr>
                <w:noProof/>
                <w:webHidden/>
              </w:rPr>
              <w:tab/>
            </w:r>
            <w:r w:rsidR="00330CAF">
              <w:rPr>
                <w:noProof/>
                <w:webHidden/>
              </w:rPr>
              <w:fldChar w:fldCharType="begin"/>
            </w:r>
            <w:r w:rsidR="00330CAF">
              <w:rPr>
                <w:noProof/>
                <w:webHidden/>
              </w:rPr>
              <w:instrText xml:space="preserve"> PAGEREF _Toc501120732 \h </w:instrText>
            </w:r>
            <w:r w:rsidR="00330CAF">
              <w:rPr>
                <w:noProof/>
                <w:webHidden/>
              </w:rPr>
            </w:r>
            <w:r w:rsidR="00330CAF">
              <w:rPr>
                <w:noProof/>
                <w:webHidden/>
              </w:rPr>
              <w:fldChar w:fldCharType="separate"/>
            </w:r>
            <w:r w:rsidR="004C27B3">
              <w:rPr>
                <w:noProof/>
                <w:webHidden/>
              </w:rPr>
              <w:t>10</w:t>
            </w:r>
            <w:r w:rsidR="00330CAF">
              <w:rPr>
                <w:noProof/>
                <w:webHidden/>
              </w:rPr>
              <w:fldChar w:fldCharType="end"/>
            </w:r>
          </w:hyperlink>
        </w:p>
        <w:p w14:paraId="17E9C6A1"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3" w:history="1">
            <w:r w:rsidR="00330CAF" w:rsidRPr="00FF09A5">
              <w:rPr>
                <w:rStyle w:val="Hyperlink"/>
                <w:noProof/>
              </w:rPr>
              <w:t>The Australian Early Development Census</w:t>
            </w:r>
            <w:r w:rsidR="00330CAF">
              <w:rPr>
                <w:noProof/>
                <w:webHidden/>
              </w:rPr>
              <w:tab/>
            </w:r>
            <w:r w:rsidR="00330CAF">
              <w:rPr>
                <w:noProof/>
                <w:webHidden/>
              </w:rPr>
              <w:fldChar w:fldCharType="begin"/>
            </w:r>
            <w:r w:rsidR="00330CAF">
              <w:rPr>
                <w:noProof/>
                <w:webHidden/>
              </w:rPr>
              <w:instrText xml:space="preserve"> PAGEREF _Toc501120733 \h </w:instrText>
            </w:r>
            <w:r w:rsidR="00330CAF">
              <w:rPr>
                <w:noProof/>
                <w:webHidden/>
              </w:rPr>
            </w:r>
            <w:r w:rsidR="00330CAF">
              <w:rPr>
                <w:noProof/>
                <w:webHidden/>
              </w:rPr>
              <w:fldChar w:fldCharType="separate"/>
            </w:r>
            <w:r w:rsidR="004C27B3">
              <w:rPr>
                <w:noProof/>
                <w:webHidden/>
              </w:rPr>
              <w:t>11</w:t>
            </w:r>
            <w:r w:rsidR="00330CAF">
              <w:rPr>
                <w:noProof/>
                <w:webHidden/>
              </w:rPr>
              <w:fldChar w:fldCharType="end"/>
            </w:r>
          </w:hyperlink>
        </w:p>
        <w:p w14:paraId="7E75DCDC"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4" w:history="1">
            <w:r w:rsidR="00330CAF" w:rsidRPr="00FF09A5">
              <w:rPr>
                <w:rStyle w:val="Hyperlink"/>
                <w:noProof/>
              </w:rPr>
              <w:t>Links between the EDI and later outcomes</w:t>
            </w:r>
            <w:r w:rsidR="00330CAF">
              <w:rPr>
                <w:noProof/>
                <w:webHidden/>
              </w:rPr>
              <w:tab/>
            </w:r>
            <w:r w:rsidR="00330CAF">
              <w:rPr>
                <w:noProof/>
                <w:webHidden/>
              </w:rPr>
              <w:fldChar w:fldCharType="begin"/>
            </w:r>
            <w:r w:rsidR="00330CAF">
              <w:rPr>
                <w:noProof/>
                <w:webHidden/>
              </w:rPr>
              <w:instrText xml:space="preserve"> PAGEREF _Toc501120734 \h </w:instrText>
            </w:r>
            <w:r w:rsidR="00330CAF">
              <w:rPr>
                <w:noProof/>
                <w:webHidden/>
              </w:rPr>
            </w:r>
            <w:r w:rsidR="00330CAF">
              <w:rPr>
                <w:noProof/>
                <w:webHidden/>
              </w:rPr>
              <w:fldChar w:fldCharType="separate"/>
            </w:r>
            <w:r w:rsidR="004C27B3">
              <w:rPr>
                <w:noProof/>
                <w:webHidden/>
              </w:rPr>
              <w:t>12</w:t>
            </w:r>
            <w:r w:rsidR="00330CAF">
              <w:rPr>
                <w:noProof/>
                <w:webHidden/>
              </w:rPr>
              <w:fldChar w:fldCharType="end"/>
            </w:r>
          </w:hyperlink>
        </w:p>
        <w:p w14:paraId="0AA6E3FA"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5" w:history="1">
            <w:r w:rsidR="00330CAF" w:rsidRPr="00FF09A5">
              <w:rPr>
                <w:rStyle w:val="Hyperlink"/>
                <w:noProof/>
              </w:rPr>
              <w:t>The Childhood to Adolescence Transition Study</w:t>
            </w:r>
            <w:r w:rsidR="00330CAF">
              <w:rPr>
                <w:noProof/>
                <w:webHidden/>
              </w:rPr>
              <w:tab/>
            </w:r>
            <w:r w:rsidR="00330CAF">
              <w:rPr>
                <w:noProof/>
                <w:webHidden/>
              </w:rPr>
              <w:fldChar w:fldCharType="begin"/>
            </w:r>
            <w:r w:rsidR="00330CAF">
              <w:rPr>
                <w:noProof/>
                <w:webHidden/>
              </w:rPr>
              <w:instrText xml:space="preserve"> PAGEREF _Toc501120735 \h </w:instrText>
            </w:r>
            <w:r w:rsidR="00330CAF">
              <w:rPr>
                <w:noProof/>
                <w:webHidden/>
              </w:rPr>
            </w:r>
            <w:r w:rsidR="00330CAF">
              <w:rPr>
                <w:noProof/>
                <w:webHidden/>
              </w:rPr>
              <w:fldChar w:fldCharType="separate"/>
            </w:r>
            <w:r w:rsidR="004C27B3">
              <w:rPr>
                <w:noProof/>
                <w:webHidden/>
              </w:rPr>
              <w:t>13</w:t>
            </w:r>
            <w:r w:rsidR="00330CAF">
              <w:rPr>
                <w:noProof/>
                <w:webHidden/>
              </w:rPr>
              <w:fldChar w:fldCharType="end"/>
            </w:r>
          </w:hyperlink>
        </w:p>
        <w:p w14:paraId="3F84B1A1"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6" w:history="1">
            <w:r w:rsidR="00330CAF" w:rsidRPr="00FF09A5">
              <w:rPr>
                <w:rStyle w:val="Hyperlink"/>
                <w:noProof/>
              </w:rPr>
              <w:t>Aims of the report</w:t>
            </w:r>
            <w:r w:rsidR="00330CAF">
              <w:rPr>
                <w:noProof/>
                <w:webHidden/>
              </w:rPr>
              <w:tab/>
            </w:r>
            <w:r w:rsidR="00330CAF">
              <w:rPr>
                <w:noProof/>
                <w:webHidden/>
              </w:rPr>
              <w:fldChar w:fldCharType="begin"/>
            </w:r>
            <w:r w:rsidR="00330CAF">
              <w:rPr>
                <w:noProof/>
                <w:webHidden/>
              </w:rPr>
              <w:instrText xml:space="preserve"> PAGEREF _Toc501120736 \h </w:instrText>
            </w:r>
            <w:r w:rsidR="00330CAF">
              <w:rPr>
                <w:noProof/>
                <w:webHidden/>
              </w:rPr>
            </w:r>
            <w:r w:rsidR="00330CAF">
              <w:rPr>
                <w:noProof/>
                <w:webHidden/>
              </w:rPr>
              <w:fldChar w:fldCharType="separate"/>
            </w:r>
            <w:r w:rsidR="004C27B3">
              <w:rPr>
                <w:noProof/>
                <w:webHidden/>
              </w:rPr>
              <w:t>13</w:t>
            </w:r>
            <w:r w:rsidR="00330CAF">
              <w:rPr>
                <w:noProof/>
                <w:webHidden/>
              </w:rPr>
              <w:fldChar w:fldCharType="end"/>
            </w:r>
          </w:hyperlink>
        </w:p>
        <w:p w14:paraId="609F5616"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37" w:history="1">
            <w:r w:rsidR="00330CAF" w:rsidRPr="00FF09A5">
              <w:rPr>
                <w:rStyle w:val="Hyperlink"/>
                <w:noProof/>
              </w:rPr>
              <w:t>Definition of Developmental Vulnerabilities</w:t>
            </w:r>
            <w:r w:rsidR="00330CAF">
              <w:rPr>
                <w:noProof/>
                <w:webHidden/>
              </w:rPr>
              <w:tab/>
            </w:r>
            <w:r w:rsidR="00330CAF">
              <w:rPr>
                <w:noProof/>
                <w:webHidden/>
              </w:rPr>
              <w:fldChar w:fldCharType="begin"/>
            </w:r>
            <w:r w:rsidR="00330CAF">
              <w:rPr>
                <w:noProof/>
                <w:webHidden/>
              </w:rPr>
              <w:instrText xml:space="preserve"> PAGEREF _Toc501120737 \h </w:instrText>
            </w:r>
            <w:r w:rsidR="00330CAF">
              <w:rPr>
                <w:noProof/>
                <w:webHidden/>
              </w:rPr>
            </w:r>
            <w:r w:rsidR="00330CAF">
              <w:rPr>
                <w:noProof/>
                <w:webHidden/>
              </w:rPr>
              <w:fldChar w:fldCharType="separate"/>
            </w:r>
            <w:r w:rsidR="004C27B3">
              <w:rPr>
                <w:noProof/>
                <w:webHidden/>
              </w:rPr>
              <w:t>15</w:t>
            </w:r>
            <w:r w:rsidR="00330CAF">
              <w:rPr>
                <w:noProof/>
                <w:webHidden/>
              </w:rPr>
              <w:fldChar w:fldCharType="end"/>
            </w:r>
          </w:hyperlink>
        </w:p>
        <w:p w14:paraId="5BB679B5"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38" w:history="1">
            <w:r w:rsidR="00330CAF" w:rsidRPr="00FF09A5">
              <w:rPr>
                <w:rStyle w:val="Hyperlink"/>
                <w:noProof/>
              </w:rPr>
              <w:t>Results Chapter 1 – Learning</w:t>
            </w:r>
            <w:r w:rsidR="00330CAF">
              <w:rPr>
                <w:noProof/>
                <w:webHidden/>
              </w:rPr>
              <w:tab/>
            </w:r>
            <w:r w:rsidR="00330CAF">
              <w:rPr>
                <w:noProof/>
                <w:webHidden/>
              </w:rPr>
              <w:fldChar w:fldCharType="begin"/>
            </w:r>
            <w:r w:rsidR="00330CAF">
              <w:rPr>
                <w:noProof/>
                <w:webHidden/>
              </w:rPr>
              <w:instrText xml:space="preserve"> PAGEREF _Toc501120738 \h </w:instrText>
            </w:r>
            <w:r w:rsidR="00330CAF">
              <w:rPr>
                <w:noProof/>
                <w:webHidden/>
              </w:rPr>
            </w:r>
            <w:r w:rsidR="00330CAF">
              <w:rPr>
                <w:noProof/>
                <w:webHidden/>
              </w:rPr>
              <w:fldChar w:fldCharType="separate"/>
            </w:r>
            <w:r w:rsidR="004C27B3">
              <w:rPr>
                <w:noProof/>
                <w:webHidden/>
              </w:rPr>
              <w:t>16</w:t>
            </w:r>
            <w:r w:rsidR="00330CAF">
              <w:rPr>
                <w:noProof/>
                <w:webHidden/>
              </w:rPr>
              <w:fldChar w:fldCharType="end"/>
            </w:r>
          </w:hyperlink>
        </w:p>
        <w:p w14:paraId="02680E4B" w14:textId="5297FCF6"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39" w:history="1">
            <w:r w:rsidR="00330CAF" w:rsidRPr="00FF09A5">
              <w:rPr>
                <w:rStyle w:val="Hyperlink"/>
                <w:noProof/>
              </w:rPr>
              <w:t>Summary of learning outcomes at Years 3, 5 and 7</w:t>
            </w:r>
            <w:r w:rsidR="00330CAF">
              <w:rPr>
                <w:noProof/>
                <w:webHidden/>
              </w:rPr>
              <w:tab/>
            </w:r>
            <w:r w:rsidR="00330CAF">
              <w:rPr>
                <w:noProof/>
                <w:webHidden/>
              </w:rPr>
              <w:fldChar w:fldCharType="begin"/>
            </w:r>
            <w:r w:rsidR="00330CAF">
              <w:rPr>
                <w:noProof/>
                <w:webHidden/>
              </w:rPr>
              <w:instrText xml:space="preserve"> PAGEREF _Toc501120739 \h </w:instrText>
            </w:r>
            <w:r w:rsidR="00330CAF">
              <w:rPr>
                <w:noProof/>
                <w:webHidden/>
              </w:rPr>
            </w:r>
            <w:r w:rsidR="00330CAF">
              <w:rPr>
                <w:noProof/>
                <w:webHidden/>
              </w:rPr>
              <w:fldChar w:fldCharType="separate"/>
            </w:r>
            <w:r w:rsidR="004C27B3">
              <w:rPr>
                <w:noProof/>
                <w:webHidden/>
              </w:rPr>
              <w:t>17</w:t>
            </w:r>
            <w:r w:rsidR="00330CAF">
              <w:rPr>
                <w:noProof/>
                <w:webHidden/>
              </w:rPr>
              <w:fldChar w:fldCharType="end"/>
            </w:r>
          </w:hyperlink>
        </w:p>
        <w:p w14:paraId="6CF8F82F"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0" w:history="1">
            <w:r w:rsidR="00330CAF" w:rsidRPr="00FF09A5">
              <w:rPr>
                <w:rStyle w:val="Hyperlink"/>
                <w:noProof/>
              </w:rPr>
              <w:t>Relationship between developmental vulnerability and Year 7 learning success</w:t>
            </w:r>
            <w:r w:rsidR="00330CAF">
              <w:rPr>
                <w:noProof/>
                <w:webHidden/>
              </w:rPr>
              <w:tab/>
            </w:r>
            <w:r w:rsidR="00330CAF">
              <w:rPr>
                <w:noProof/>
                <w:webHidden/>
              </w:rPr>
              <w:fldChar w:fldCharType="begin"/>
            </w:r>
            <w:r w:rsidR="00330CAF">
              <w:rPr>
                <w:noProof/>
                <w:webHidden/>
              </w:rPr>
              <w:instrText xml:space="preserve"> PAGEREF _Toc501120740 \h </w:instrText>
            </w:r>
            <w:r w:rsidR="00330CAF">
              <w:rPr>
                <w:noProof/>
                <w:webHidden/>
              </w:rPr>
            </w:r>
            <w:r w:rsidR="00330CAF">
              <w:rPr>
                <w:noProof/>
                <w:webHidden/>
              </w:rPr>
              <w:fldChar w:fldCharType="separate"/>
            </w:r>
            <w:r w:rsidR="004C27B3">
              <w:rPr>
                <w:noProof/>
                <w:webHidden/>
              </w:rPr>
              <w:t>19</w:t>
            </w:r>
            <w:r w:rsidR="00330CAF">
              <w:rPr>
                <w:noProof/>
                <w:webHidden/>
              </w:rPr>
              <w:fldChar w:fldCharType="end"/>
            </w:r>
          </w:hyperlink>
        </w:p>
        <w:p w14:paraId="265611F9" w14:textId="77777777"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41" w:history="1">
            <w:r w:rsidR="00330CAF" w:rsidRPr="00FF09A5">
              <w:rPr>
                <w:rStyle w:val="Hyperlink"/>
                <w:noProof/>
              </w:rPr>
              <w:t>Results Chapter 2 – School Disengagement</w:t>
            </w:r>
            <w:r w:rsidR="00330CAF">
              <w:rPr>
                <w:noProof/>
                <w:webHidden/>
              </w:rPr>
              <w:tab/>
            </w:r>
            <w:r w:rsidR="00330CAF">
              <w:rPr>
                <w:noProof/>
                <w:webHidden/>
              </w:rPr>
              <w:fldChar w:fldCharType="begin"/>
            </w:r>
            <w:r w:rsidR="00330CAF">
              <w:rPr>
                <w:noProof/>
                <w:webHidden/>
              </w:rPr>
              <w:instrText xml:space="preserve"> PAGEREF _Toc501120741 \h </w:instrText>
            </w:r>
            <w:r w:rsidR="00330CAF">
              <w:rPr>
                <w:noProof/>
                <w:webHidden/>
              </w:rPr>
            </w:r>
            <w:r w:rsidR="00330CAF">
              <w:rPr>
                <w:noProof/>
                <w:webHidden/>
              </w:rPr>
              <w:fldChar w:fldCharType="separate"/>
            </w:r>
            <w:r w:rsidR="004C27B3">
              <w:rPr>
                <w:noProof/>
                <w:webHidden/>
              </w:rPr>
              <w:t>24</w:t>
            </w:r>
            <w:r w:rsidR="00330CAF">
              <w:rPr>
                <w:noProof/>
                <w:webHidden/>
              </w:rPr>
              <w:fldChar w:fldCharType="end"/>
            </w:r>
          </w:hyperlink>
        </w:p>
        <w:p w14:paraId="4EFC416B"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2" w:history="1">
            <w:r w:rsidR="00330CAF" w:rsidRPr="00FF09A5">
              <w:rPr>
                <w:rStyle w:val="Hyperlink"/>
                <w:noProof/>
              </w:rPr>
              <w:t>Summary of school disengagement at Years 4 to 7</w:t>
            </w:r>
            <w:r w:rsidR="00330CAF">
              <w:rPr>
                <w:noProof/>
                <w:webHidden/>
              </w:rPr>
              <w:tab/>
            </w:r>
            <w:r w:rsidR="00330CAF">
              <w:rPr>
                <w:noProof/>
                <w:webHidden/>
              </w:rPr>
              <w:fldChar w:fldCharType="begin"/>
            </w:r>
            <w:r w:rsidR="00330CAF">
              <w:rPr>
                <w:noProof/>
                <w:webHidden/>
              </w:rPr>
              <w:instrText xml:space="preserve"> PAGEREF _Toc501120742 \h </w:instrText>
            </w:r>
            <w:r w:rsidR="00330CAF">
              <w:rPr>
                <w:noProof/>
                <w:webHidden/>
              </w:rPr>
            </w:r>
            <w:r w:rsidR="00330CAF">
              <w:rPr>
                <w:noProof/>
                <w:webHidden/>
              </w:rPr>
              <w:fldChar w:fldCharType="separate"/>
            </w:r>
            <w:r w:rsidR="004C27B3">
              <w:rPr>
                <w:noProof/>
                <w:webHidden/>
              </w:rPr>
              <w:t>24</w:t>
            </w:r>
            <w:r w:rsidR="00330CAF">
              <w:rPr>
                <w:noProof/>
                <w:webHidden/>
              </w:rPr>
              <w:fldChar w:fldCharType="end"/>
            </w:r>
          </w:hyperlink>
        </w:p>
        <w:p w14:paraId="3E66760B" w14:textId="77777777"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3" w:history="1">
            <w:r w:rsidR="00330CAF" w:rsidRPr="00FF09A5">
              <w:rPr>
                <w:rStyle w:val="Hyperlink"/>
                <w:noProof/>
              </w:rPr>
              <w:t>Risk of disengagement by developmental vulnerability status</w:t>
            </w:r>
            <w:r w:rsidR="00330CAF">
              <w:rPr>
                <w:noProof/>
                <w:webHidden/>
              </w:rPr>
              <w:tab/>
            </w:r>
            <w:r w:rsidR="00330CAF">
              <w:rPr>
                <w:noProof/>
                <w:webHidden/>
              </w:rPr>
              <w:fldChar w:fldCharType="begin"/>
            </w:r>
            <w:r w:rsidR="00330CAF">
              <w:rPr>
                <w:noProof/>
                <w:webHidden/>
              </w:rPr>
              <w:instrText xml:space="preserve"> PAGEREF _Toc501120743 \h </w:instrText>
            </w:r>
            <w:r w:rsidR="00330CAF">
              <w:rPr>
                <w:noProof/>
                <w:webHidden/>
              </w:rPr>
            </w:r>
            <w:r w:rsidR="00330CAF">
              <w:rPr>
                <w:noProof/>
                <w:webHidden/>
              </w:rPr>
              <w:fldChar w:fldCharType="separate"/>
            </w:r>
            <w:r w:rsidR="004C27B3">
              <w:rPr>
                <w:noProof/>
                <w:webHidden/>
              </w:rPr>
              <w:t>25</w:t>
            </w:r>
            <w:r w:rsidR="00330CAF">
              <w:rPr>
                <w:noProof/>
                <w:webHidden/>
              </w:rPr>
              <w:fldChar w:fldCharType="end"/>
            </w:r>
          </w:hyperlink>
        </w:p>
        <w:p w14:paraId="7BCB6B78" w14:textId="2BD05185"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44" w:history="1">
            <w:r w:rsidR="00330CAF" w:rsidRPr="00FF09A5">
              <w:rPr>
                <w:rStyle w:val="Hyperlink"/>
                <w:noProof/>
              </w:rPr>
              <w:t>Results Chapter 3 – Wellbeing</w:t>
            </w:r>
            <w:r w:rsidR="00330CAF">
              <w:rPr>
                <w:noProof/>
                <w:webHidden/>
              </w:rPr>
              <w:tab/>
            </w:r>
            <w:r w:rsidR="00330CAF">
              <w:rPr>
                <w:noProof/>
                <w:webHidden/>
              </w:rPr>
              <w:fldChar w:fldCharType="begin"/>
            </w:r>
            <w:r w:rsidR="00330CAF">
              <w:rPr>
                <w:noProof/>
                <w:webHidden/>
              </w:rPr>
              <w:instrText xml:space="preserve"> PAGEREF _Toc501120744 \h </w:instrText>
            </w:r>
            <w:r w:rsidR="00330CAF">
              <w:rPr>
                <w:noProof/>
                <w:webHidden/>
              </w:rPr>
            </w:r>
            <w:r w:rsidR="00330CAF">
              <w:rPr>
                <w:noProof/>
                <w:webHidden/>
              </w:rPr>
              <w:fldChar w:fldCharType="separate"/>
            </w:r>
            <w:r w:rsidR="004C27B3">
              <w:rPr>
                <w:noProof/>
                <w:webHidden/>
              </w:rPr>
              <w:t>26</w:t>
            </w:r>
            <w:r w:rsidR="00330CAF">
              <w:rPr>
                <w:noProof/>
                <w:webHidden/>
              </w:rPr>
              <w:fldChar w:fldCharType="end"/>
            </w:r>
          </w:hyperlink>
        </w:p>
        <w:p w14:paraId="45E6D4E0" w14:textId="71D42139"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5" w:history="1">
            <w:r w:rsidR="00330CAF" w:rsidRPr="00FF09A5">
              <w:rPr>
                <w:rStyle w:val="Hyperlink"/>
                <w:noProof/>
              </w:rPr>
              <w:t>Summary of Student Wellbeing at Years 3 to 7</w:t>
            </w:r>
            <w:r w:rsidR="00330CAF">
              <w:rPr>
                <w:noProof/>
                <w:webHidden/>
              </w:rPr>
              <w:tab/>
            </w:r>
            <w:r w:rsidR="00330CAF">
              <w:rPr>
                <w:noProof/>
                <w:webHidden/>
              </w:rPr>
              <w:fldChar w:fldCharType="begin"/>
            </w:r>
            <w:r w:rsidR="00330CAF">
              <w:rPr>
                <w:noProof/>
                <w:webHidden/>
              </w:rPr>
              <w:instrText xml:space="preserve"> PAGEREF _Toc501120745 \h </w:instrText>
            </w:r>
            <w:r w:rsidR="00330CAF">
              <w:rPr>
                <w:noProof/>
                <w:webHidden/>
              </w:rPr>
            </w:r>
            <w:r w:rsidR="00330CAF">
              <w:rPr>
                <w:noProof/>
                <w:webHidden/>
              </w:rPr>
              <w:fldChar w:fldCharType="separate"/>
            </w:r>
            <w:r w:rsidR="004C27B3">
              <w:rPr>
                <w:noProof/>
                <w:webHidden/>
              </w:rPr>
              <w:t>27</w:t>
            </w:r>
            <w:r w:rsidR="00330CAF">
              <w:rPr>
                <w:noProof/>
                <w:webHidden/>
              </w:rPr>
              <w:fldChar w:fldCharType="end"/>
            </w:r>
          </w:hyperlink>
        </w:p>
        <w:p w14:paraId="43818000" w14:textId="720B739A"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6" w:history="1">
            <w:r w:rsidR="00330CAF" w:rsidRPr="00FF09A5">
              <w:rPr>
                <w:rStyle w:val="Hyperlink"/>
                <w:noProof/>
              </w:rPr>
              <w:t>Likelihood of poor wellbeing by developmental vulnerability status</w:t>
            </w:r>
            <w:r w:rsidR="00330CAF">
              <w:rPr>
                <w:noProof/>
                <w:webHidden/>
              </w:rPr>
              <w:tab/>
            </w:r>
            <w:r w:rsidR="00330CAF">
              <w:rPr>
                <w:noProof/>
                <w:webHidden/>
              </w:rPr>
              <w:fldChar w:fldCharType="begin"/>
            </w:r>
            <w:r w:rsidR="00330CAF">
              <w:rPr>
                <w:noProof/>
                <w:webHidden/>
              </w:rPr>
              <w:instrText xml:space="preserve"> PAGEREF _Toc501120746 \h </w:instrText>
            </w:r>
            <w:r w:rsidR="00330CAF">
              <w:rPr>
                <w:noProof/>
                <w:webHidden/>
              </w:rPr>
            </w:r>
            <w:r w:rsidR="00330CAF">
              <w:rPr>
                <w:noProof/>
                <w:webHidden/>
              </w:rPr>
              <w:fldChar w:fldCharType="separate"/>
            </w:r>
            <w:r w:rsidR="004C27B3">
              <w:rPr>
                <w:noProof/>
                <w:webHidden/>
              </w:rPr>
              <w:t>28</w:t>
            </w:r>
            <w:r w:rsidR="00330CAF">
              <w:rPr>
                <w:noProof/>
                <w:webHidden/>
              </w:rPr>
              <w:fldChar w:fldCharType="end"/>
            </w:r>
          </w:hyperlink>
        </w:p>
        <w:p w14:paraId="5A1845AF" w14:textId="3C5ECA5D"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47" w:history="1">
            <w:r w:rsidR="00330CAF" w:rsidRPr="00FF09A5">
              <w:rPr>
                <w:rStyle w:val="Hyperlink"/>
                <w:noProof/>
              </w:rPr>
              <w:t>Results Chapter 4 – Peer relationships</w:t>
            </w:r>
            <w:r w:rsidR="00330CAF">
              <w:rPr>
                <w:noProof/>
                <w:webHidden/>
              </w:rPr>
              <w:tab/>
            </w:r>
            <w:r w:rsidR="00330CAF">
              <w:rPr>
                <w:noProof/>
                <w:webHidden/>
              </w:rPr>
              <w:fldChar w:fldCharType="begin"/>
            </w:r>
            <w:r w:rsidR="00330CAF">
              <w:rPr>
                <w:noProof/>
                <w:webHidden/>
              </w:rPr>
              <w:instrText xml:space="preserve"> PAGEREF _Toc501120747 \h </w:instrText>
            </w:r>
            <w:r w:rsidR="00330CAF">
              <w:rPr>
                <w:noProof/>
                <w:webHidden/>
              </w:rPr>
            </w:r>
            <w:r w:rsidR="00330CAF">
              <w:rPr>
                <w:noProof/>
                <w:webHidden/>
              </w:rPr>
              <w:fldChar w:fldCharType="separate"/>
            </w:r>
            <w:r w:rsidR="004C27B3">
              <w:rPr>
                <w:noProof/>
                <w:webHidden/>
              </w:rPr>
              <w:t>31</w:t>
            </w:r>
            <w:r w:rsidR="00330CAF">
              <w:rPr>
                <w:noProof/>
                <w:webHidden/>
              </w:rPr>
              <w:fldChar w:fldCharType="end"/>
            </w:r>
          </w:hyperlink>
        </w:p>
        <w:p w14:paraId="70362190" w14:textId="1B862F86"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8" w:history="1">
            <w:r w:rsidR="00330CAF" w:rsidRPr="00FF09A5">
              <w:rPr>
                <w:rStyle w:val="Hyperlink"/>
                <w:noProof/>
              </w:rPr>
              <w:t>Summary of Peer relationships at Years 3 to 7</w:t>
            </w:r>
            <w:r w:rsidR="00330CAF">
              <w:rPr>
                <w:noProof/>
                <w:webHidden/>
              </w:rPr>
              <w:tab/>
            </w:r>
            <w:r w:rsidR="00330CAF">
              <w:rPr>
                <w:noProof/>
                <w:webHidden/>
              </w:rPr>
              <w:fldChar w:fldCharType="begin"/>
            </w:r>
            <w:r w:rsidR="00330CAF">
              <w:rPr>
                <w:noProof/>
                <w:webHidden/>
              </w:rPr>
              <w:instrText xml:space="preserve"> PAGEREF _Toc501120748 \h </w:instrText>
            </w:r>
            <w:r w:rsidR="00330CAF">
              <w:rPr>
                <w:noProof/>
                <w:webHidden/>
              </w:rPr>
            </w:r>
            <w:r w:rsidR="00330CAF">
              <w:rPr>
                <w:noProof/>
                <w:webHidden/>
              </w:rPr>
              <w:fldChar w:fldCharType="separate"/>
            </w:r>
            <w:r w:rsidR="004C27B3">
              <w:rPr>
                <w:noProof/>
                <w:webHidden/>
              </w:rPr>
              <w:t>31</w:t>
            </w:r>
            <w:r w:rsidR="00330CAF">
              <w:rPr>
                <w:noProof/>
                <w:webHidden/>
              </w:rPr>
              <w:fldChar w:fldCharType="end"/>
            </w:r>
          </w:hyperlink>
        </w:p>
        <w:p w14:paraId="67B28D18" w14:textId="05D9E413"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49" w:history="1">
            <w:r w:rsidR="00330CAF" w:rsidRPr="00FF09A5">
              <w:rPr>
                <w:rStyle w:val="Hyperlink"/>
                <w:noProof/>
              </w:rPr>
              <w:t>Likelihood of peer relationship outcomes by developmental vulnerability status</w:t>
            </w:r>
            <w:r w:rsidR="00330CAF">
              <w:rPr>
                <w:noProof/>
                <w:webHidden/>
              </w:rPr>
              <w:tab/>
            </w:r>
            <w:r w:rsidR="00330CAF">
              <w:rPr>
                <w:noProof/>
                <w:webHidden/>
              </w:rPr>
              <w:fldChar w:fldCharType="begin"/>
            </w:r>
            <w:r w:rsidR="00330CAF">
              <w:rPr>
                <w:noProof/>
                <w:webHidden/>
              </w:rPr>
              <w:instrText xml:space="preserve"> PAGEREF _Toc501120749 \h </w:instrText>
            </w:r>
            <w:r w:rsidR="00330CAF">
              <w:rPr>
                <w:noProof/>
                <w:webHidden/>
              </w:rPr>
            </w:r>
            <w:r w:rsidR="00330CAF">
              <w:rPr>
                <w:noProof/>
                <w:webHidden/>
              </w:rPr>
              <w:fldChar w:fldCharType="separate"/>
            </w:r>
            <w:r w:rsidR="004C27B3">
              <w:rPr>
                <w:noProof/>
                <w:webHidden/>
              </w:rPr>
              <w:t>32</w:t>
            </w:r>
            <w:r w:rsidR="00330CAF">
              <w:rPr>
                <w:noProof/>
                <w:webHidden/>
              </w:rPr>
              <w:fldChar w:fldCharType="end"/>
            </w:r>
          </w:hyperlink>
        </w:p>
        <w:p w14:paraId="47DBAE41" w14:textId="130F6FD1"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50" w:history="1">
            <w:r w:rsidR="00330CAF" w:rsidRPr="00FF09A5">
              <w:rPr>
                <w:rStyle w:val="Hyperlink"/>
                <w:noProof/>
              </w:rPr>
              <w:t>Chapter 5 – Relationships between DV, middle years indicators and Year 7 learning</w:t>
            </w:r>
            <w:r w:rsidR="00330CAF">
              <w:rPr>
                <w:noProof/>
                <w:webHidden/>
              </w:rPr>
              <w:tab/>
            </w:r>
            <w:r w:rsidR="00330CAF">
              <w:rPr>
                <w:noProof/>
                <w:webHidden/>
              </w:rPr>
              <w:fldChar w:fldCharType="begin"/>
            </w:r>
            <w:r w:rsidR="00330CAF">
              <w:rPr>
                <w:noProof/>
                <w:webHidden/>
              </w:rPr>
              <w:instrText xml:space="preserve"> PAGEREF _Toc501120750 \h </w:instrText>
            </w:r>
            <w:r w:rsidR="00330CAF">
              <w:rPr>
                <w:noProof/>
                <w:webHidden/>
              </w:rPr>
            </w:r>
            <w:r w:rsidR="00330CAF">
              <w:rPr>
                <w:noProof/>
                <w:webHidden/>
              </w:rPr>
              <w:fldChar w:fldCharType="separate"/>
            </w:r>
            <w:r w:rsidR="004C27B3">
              <w:rPr>
                <w:noProof/>
                <w:webHidden/>
              </w:rPr>
              <w:t>34</w:t>
            </w:r>
            <w:r w:rsidR="00330CAF">
              <w:rPr>
                <w:noProof/>
                <w:webHidden/>
              </w:rPr>
              <w:fldChar w:fldCharType="end"/>
            </w:r>
          </w:hyperlink>
        </w:p>
        <w:p w14:paraId="51B8D9F7" w14:textId="52416045"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51" w:history="1">
            <w:r w:rsidR="00330CAF" w:rsidRPr="00FF09A5">
              <w:rPr>
                <w:rStyle w:val="Hyperlink"/>
                <w:noProof/>
              </w:rPr>
              <w:t>Appendix 1: The Childhood to Adolescence Transition Study (CATS)</w:t>
            </w:r>
            <w:r w:rsidR="00330CAF">
              <w:rPr>
                <w:noProof/>
                <w:webHidden/>
              </w:rPr>
              <w:tab/>
            </w:r>
            <w:r w:rsidR="00330CAF">
              <w:rPr>
                <w:noProof/>
                <w:webHidden/>
              </w:rPr>
              <w:fldChar w:fldCharType="begin"/>
            </w:r>
            <w:r w:rsidR="00330CAF">
              <w:rPr>
                <w:noProof/>
                <w:webHidden/>
              </w:rPr>
              <w:instrText xml:space="preserve"> PAGEREF _Toc501120751 \h </w:instrText>
            </w:r>
            <w:r w:rsidR="00330CAF">
              <w:rPr>
                <w:noProof/>
                <w:webHidden/>
              </w:rPr>
            </w:r>
            <w:r w:rsidR="00330CAF">
              <w:rPr>
                <w:noProof/>
                <w:webHidden/>
              </w:rPr>
              <w:fldChar w:fldCharType="separate"/>
            </w:r>
            <w:r w:rsidR="004C27B3">
              <w:rPr>
                <w:noProof/>
                <w:webHidden/>
              </w:rPr>
              <w:t>39</w:t>
            </w:r>
            <w:r w:rsidR="00330CAF">
              <w:rPr>
                <w:noProof/>
                <w:webHidden/>
              </w:rPr>
              <w:fldChar w:fldCharType="end"/>
            </w:r>
          </w:hyperlink>
        </w:p>
        <w:p w14:paraId="3B8EB737" w14:textId="31170B83"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2" w:history="1">
            <w:r w:rsidR="00330CAF" w:rsidRPr="00FF09A5">
              <w:rPr>
                <w:rStyle w:val="Hyperlink"/>
                <w:noProof/>
              </w:rPr>
              <w:t>Overview</w:t>
            </w:r>
            <w:r w:rsidR="00330CAF">
              <w:rPr>
                <w:noProof/>
                <w:webHidden/>
              </w:rPr>
              <w:tab/>
            </w:r>
            <w:r w:rsidR="00330CAF">
              <w:rPr>
                <w:noProof/>
                <w:webHidden/>
              </w:rPr>
              <w:fldChar w:fldCharType="begin"/>
            </w:r>
            <w:r w:rsidR="00330CAF">
              <w:rPr>
                <w:noProof/>
                <w:webHidden/>
              </w:rPr>
              <w:instrText xml:space="preserve"> PAGEREF _Toc501120752 \h </w:instrText>
            </w:r>
            <w:r w:rsidR="00330CAF">
              <w:rPr>
                <w:noProof/>
                <w:webHidden/>
              </w:rPr>
            </w:r>
            <w:r w:rsidR="00330CAF">
              <w:rPr>
                <w:noProof/>
                <w:webHidden/>
              </w:rPr>
              <w:fldChar w:fldCharType="separate"/>
            </w:r>
            <w:r w:rsidR="004C27B3">
              <w:rPr>
                <w:noProof/>
                <w:webHidden/>
              </w:rPr>
              <w:t>39</w:t>
            </w:r>
            <w:r w:rsidR="00330CAF">
              <w:rPr>
                <w:noProof/>
                <w:webHidden/>
              </w:rPr>
              <w:fldChar w:fldCharType="end"/>
            </w:r>
          </w:hyperlink>
        </w:p>
        <w:p w14:paraId="6D1794B1" w14:textId="5C216F43"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3" w:history="1">
            <w:r w:rsidR="00330CAF" w:rsidRPr="00FF09A5">
              <w:rPr>
                <w:rStyle w:val="Hyperlink"/>
                <w:noProof/>
              </w:rPr>
              <w:t>Project governance</w:t>
            </w:r>
            <w:r w:rsidR="00330CAF">
              <w:rPr>
                <w:noProof/>
                <w:webHidden/>
              </w:rPr>
              <w:tab/>
            </w:r>
            <w:r w:rsidR="00330CAF">
              <w:rPr>
                <w:noProof/>
                <w:webHidden/>
              </w:rPr>
              <w:fldChar w:fldCharType="begin"/>
            </w:r>
            <w:r w:rsidR="00330CAF">
              <w:rPr>
                <w:noProof/>
                <w:webHidden/>
              </w:rPr>
              <w:instrText xml:space="preserve"> PAGEREF _Toc501120753 \h </w:instrText>
            </w:r>
            <w:r w:rsidR="00330CAF">
              <w:rPr>
                <w:noProof/>
                <w:webHidden/>
              </w:rPr>
            </w:r>
            <w:r w:rsidR="00330CAF">
              <w:rPr>
                <w:noProof/>
                <w:webHidden/>
              </w:rPr>
              <w:fldChar w:fldCharType="separate"/>
            </w:r>
            <w:r w:rsidR="004C27B3">
              <w:rPr>
                <w:noProof/>
                <w:webHidden/>
              </w:rPr>
              <w:t>39</w:t>
            </w:r>
            <w:r w:rsidR="00330CAF">
              <w:rPr>
                <w:noProof/>
                <w:webHidden/>
              </w:rPr>
              <w:fldChar w:fldCharType="end"/>
            </w:r>
          </w:hyperlink>
        </w:p>
        <w:p w14:paraId="3CB030BA" w14:textId="09B652E8"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4" w:history="1">
            <w:r w:rsidR="00330CAF" w:rsidRPr="00FF09A5">
              <w:rPr>
                <w:rStyle w:val="Hyperlink"/>
                <w:noProof/>
              </w:rPr>
              <w:t>Recruitment</w:t>
            </w:r>
            <w:r w:rsidR="00330CAF">
              <w:rPr>
                <w:noProof/>
                <w:webHidden/>
              </w:rPr>
              <w:tab/>
            </w:r>
            <w:r w:rsidR="00330CAF">
              <w:rPr>
                <w:noProof/>
                <w:webHidden/>
              </w:rPr>
              <w:fldChar w:fldCharType="begin"/>
            </w:r>
            <w:r w:rsidR="00330CAF">
              <w:rPr>
                <w:noProof/>
                <w:webHidden/>
              </w:rPr>
              <w:instrText xml:space="preserve"> PAGEREF _Toc501120754 \h </w:instrText>
            </w:r>
            <w:r w:rsidR="00330CAF">
              <w:rPr>
                <w:noProof/>
                <w:webHidden/>
              </w:rPr>
            </w:r>
            <w:r w:rsidR="00330CAF">
              <w:rPr>
                <w:noProof/>
                <w:webHidden/>
              </w:rPr>
              <w:fldChar w:fldCharType="separate"/>
            </w:r>
            <w:r w:rsidR="004C27B3">
              <w:rPr>
                <w:noProof/>
                <w:webHidden/>
              </w:rPr>
              <w:t>39</w:t>
            </w:r>
            <w:r w:rsidR="00330CAF">
              <w:rPr>
                <w:noProof/>
                <w:webHidden/>
              </w:rPr>
              <w:fldChar w:fldCharType="end"/>
            </w:r>
          </w:hyperlink>
        </w:p>
        <w:p w14:paraId="4E4A3519" w14:textId="32974189"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5" w:history="1">
            <w:r w:rsidR="00330CAF" w:rsidRPr="00FF09A5">
              <w:rPr>
                <w:rStyle w:val="Hyperlink"/>
                <w:noProof/>
              </w:rPr>
              <w:t>Measures</w:t>
            </w:r>
            <w:r w:rsidR="00330CAF">
              <w:rPr>
                <w:noProof/>
                <w:webHidden/>
              </w:rPr>
              <w:tab/>
            </w:r>
            <w:r w:rsidR="00330CAF">
              <w:rPr>
                <w:noProof/>
                <w:webHidden/>
              </w:rPr>
              <w:fldChar w:fldCharType="begin"/>
            </w:r>
            <w:r w:rsidR="00330CAF">
              <w:rPr>
                <w:noProof/>
                <w:webHidden/>
              </w:rPr>
              <w:instrText xml:space="preserve"> PAGEREF _Toc501120755 \h </w:instrText>
            </w:r>
            <w:r w:rsidR="00330CAF">
              <w:rPr>
                <w:noProof/>
                <w:webHidden/>
              </w:rPr>
            </w:r>
            <w:r w:rsidR="00330CAF">
              <w:rPr>
                <w:noProof/>
                <w:webHidden/>
              </w:rPr>
              <w:fldChar w:fldCharType="separate"/>
            </w:r>
            <w:r w:rsidR="004C27B3">
              <w:rPr>
                <w:noProof/>
                <w:webHidden/>
              </w:rPr>
              <w:t>40</w:t>
            </w:r>
            <w:r w:rsidR="00330CAF">
              <w:rPr>
                <w:noProof/>
                <w:webHidden/>
              </w:rPr>
              <w:fldChar w:fldCharType="end"/>
            </w:r>
          </w:hyperlink>
        </w:p>
        <w:p w14:paraId="0FE3DEA5" w14:textId="6FB9E189"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6" w:history="1">
            <w:r w:rsidR="00330CAF" w:rsidRPr="00FF09A5">
              <w:rPr>
                <w:rStyle w:val="Hyperlink"/>
                <w:noProof/>
              </w:rPr>
              <w:t>Demographic measures</w:t>
            </w:r>
            <w:r w:rsidR="00330CAF">
              <w:rPr>
                <w:noProof/>
                <w:webHidden/>
              </w:rPr>
              <w:tab/>
            </w:r>
            <w:r w:rsidR="00330CAF">
              <w:rPr>
                <w:noProof/>
                <w:webHidden/>
              </w:rPr>
              <w:fldChar w:fldCharType="begin"/>
            </w:r>
            <w:r w:rsidR="00330CAF">
              <w:rPr>
                <w:noProof/>
                <w:webHidden/>
              </w:rPr>
              <w:instrText xml:space="preserve"> PAGEREF _Toc501120756 \h </w:instrText>
            </w:r>
            <w:r w:rsidR="00330CAF">
              <w:rPr>
                <w:noProof/>
                <w:webHidden/>
              </w:rPr>
            </w:r>
            <w:r w:rsidR="00330CAF">
              <w:rPr>
                <w:noProof/>
                <w:webHidden/>
              </w:rPr>
              <w:fldChar w:fldCharType="separate"/>
            </w:r>
            <w:r w:rsidR="004C27B3">
              <w:rPr>
                <w:noProof/>
                <w:webHidden/>
              </w:rPr>
              <w:t>43</w:t>
            </w:r>
            <w:r w:rsidR="00330CAF">
              <w:rPr>
                <w:noProof/>
                <w:webHidden/>
              </w:rPr>
              <w:fldChar w:fldCharType="end"/>
            </w:r>
          </w:hyperlink>
        </w:p>
        <w:p w14:paraId="33E11C42" w14:textId="490E2A86"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7" w:history="1">
            <w:r w:rsidR="00330CAF" w:rsidRPr="00FF09A5">
              <w:rPr>
                <w:rStyle w:val="Hyperlink"/>
                <w:noProof/>
              </w:rPr>
              <w:t>Sample characteristics</w:t>
            </w:r>
            <w:r w:rsidR="00330CAF">
              <w:rPr>
                <w:noProof/>
                <w:webHidden/>
              </w:rPr>
              <w:tab/>
            </w:r>
            <w:r w:rsidR="00330CAF">
              <w:rPr>
                <w:noProof/>
                <w:webHidden/>
              </w:rPr>
              <w:fldChar w:fldCharType="begin"/>
            </w:r>
            <w:r w:rsidR="00330CAF">
              <w:rPr>
                <w:noProof/>
                <w:webHidden/>
              </w:rPr>
              <w:instrText xml:space="preserve"> PAGEREF _Toc501120757 \h </w:instrText>
            </w:r>
            <w:r w:rsidR="00330CAF">
              <w:rPr>
                <w:noProof/>
                <w:webHidden/>
              </w:rPr>
            </w:r>
            <w:r w:rsidR="00330CAF">
              <w:rPr>
                <w:noProof/>
                <w:webHidden/>
              </w:rPr>
              <w:fldChar w:fldCharType="separate"/>
            </w:r>
            <w:r w:rsidR="004C27B3">
              <w:rPr>
                <w:noProof/>
                <w:webHidden/>
              </w:rPr>
              <w:t>43</w:t>
            </w:r>
            <w:r w:rsidR="00330CAF">
              <w:rPr>
                <w:noProof/>
                <w:webHidden/>
              </w:rPr>
              <w:fldChar w:fldCharType="end"/>
            </w:r>
          </w:hyperlink>
        </w:p>
        <w:p w14:paraId="5E05F248" w14:textId="3F8223EE"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8" w:history="1">
            <w:r w:rsidR="00330CAF" w:rsidRPr="00FF09A5">
              <w:rPr>
                <w:rStyle w:val="Hyperlink"/>
                <w:noProof/>
              </w:rPr>
              <w:t>Sample maintenance</w:t>
            </w:r>
            <w:r w:rsidR="00330CAF">
              <w:rPr>
                <w:noProof/>
                <w:webHidden/>
              </w:rPr>
              <w:tab/>
            </w:r>
            <w:r w:rsidR="00330CAF">
              <w:rPr>
                <w:noProof/>
                <w:webHidden/>
              </w:rPr>
              <w:fldChar w:fldCharType="begin"/>
            </w:r>
            <w:r w:rsidR="00330CAF">
              <w:rPr>
                <w:noProof/>
                <w:webHidden/>
              </w:rPr>
              <w:instrText xml:space="preserve"> PAGEREF _Toc501120758 \h </w:instrText>
            </w:r>
            <w:r w:rsidR="00330CAF">
              <w:rPr>
                <w:noProof/>
                <w:webHidden/>
              </w:rPr>
            </w:r>
            <w:r w:rsidR="00330CAF">
              <w:rPr>
                <w:noProof/>
                <w:webHidden/>
              </w:rPr>
              <w:fldChar w:fldCharType="separate"/>
            </w:r>
            <w:r w:rsidR="004C27B3">
              <w:rPr>
                <w:noProof/>
                <w:webHidden/>
              </w:rPr>
              <w:t>45</w:t>
            </w:r>
            <w:r w:rsidR="00330CAF">
              <w:rPr>
                <w:noProof/>
                <w:webHidden/>
              </w:rPr>
              <w:fldChar w:fldCharType="end"/>
            </w:r>
          </w:hyperlink>
        </w:p>
        <w:p w14:paraId="252C99FC" w14:textId="7EA945B6"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59" w:history="1">
            <w:r w:rsidR="00330CAF" w:rsidRPr="00FF09A5">
              <w:rPr>
                <w:rStyle w:val="Hyperlink"/>
                <w:noProof/>
              </w:rPr>
              <w:t>Data collection</w:t>
            </w:r>
            <w:r w:rsidR="00330CAF">
              <w:rPr>
                <w:noProof/>
                <w:webHidden/>
              </w:rPr>
              <w:tab/>
            </w:r>
            <w:r w:rsidR="00330CAF">
              <w:rPr>
                <w:noProof/>
                <w:webHidden/>
              </w:rPr>
              <w:fldChar w:fldCharType="begin"/>
            </w:r>
            <w:r w:rsidR="00330CAF">
              <w:rPr>
                <w:noProof/>
                <w:webHidden/>
              </w:rPr>
              <w:instrText xml:space="preserve"> PAGEREF _Toc501120759 \h </w:instrText>
            </w:r>
            <w:r w:rsidR="00330CAF">
              <w:rPr>
                <w:noProof/>
                <w:webHidden/>
              </w:rPr>
            </w:r>
            <w:r w:rsidR="00330CAF">
              <w:rPr>
                <w:noProof/>
                <w:webHidden/>
              </w:rPr>
              <w:fldChar w:fldCharType="separate"/>
            </w:r>
            <w:r w:rsidR="004C27B3">
              <w:rPr>
                <w:noProof/>
                <w:webHidden/>
              </w:rPr>
              <w:t>45</w:t>
            </w:r>
            <w:r w:rsidR="00330CAF">
              <w:rPr>
                <w:noProof/>
                <w:webHidden/>
              </w:rPr>
              <w:fldChar w:fldCharType="end"/>
            </w:r>
          </w:hyperlink>
        </w:p>
        <w:p w14:paraId="3B1C2C9E" w14:textId="3EE458AB"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60" w:history="1">
            <w:r w:rsidR="00330CAF" w:rsidRPr="00FF09A5">
              <w:rPr>
                <w:rStyle w:val="Hyperlink"/>
                <w:noProof/>
              </w:rPr>
              <w:t>Appendix 2: Technical notes</w:t>
            </w:r>
            <w:r w:rsidR="00330CAF">
              <w:rPr>
                <w:noProof/>
                <w:webHidden/>
              </w:rPr>
              <w:tab/>
            </w:r>
            <w:r w:rsidR="00330CAF">
              <w:rPr>
                <w:noProof/>
                <w:webHidden/>
              </w:rPr>
              <w:fldChar w:fldCharType="begin"/>
            </w:r>
            <w:r w:rsidR="00330CAF">
              <w:rPr>
                <w:noProof/>
                <w:webHidden/>
              </w:rPr>
              <w:instrText xml:space="preserve"> PAGEREF _Toc501120760 \h </w:instrText>
            </w:r>
            <w:r w:rsidR="00330CAF">
              <w:rPr>
                <w:noProof/>
                <w:webHidden/>
              </w:rPr>
            </w:r>
            <w:r w:rsidR="00330CAF">
              <w:rPr>
                <w:noProof/>
                <w:webHidden/>
              </w:rPr>
              <w:fldChar w:fldCharType="separate"/>
            </w:r>
            <w:r w:rsidR="004C27B3">
              <w:rPr>
                <w:noProof/>
                <w:webHidden/>
              </w:rPr>
              <w:t>47</w:t>
            </w:r>
            <w:r w:rsidR="00330CAF">
              <w:rPr>
                <w:noProof/>
                <w:webHidden/>
              </w:rPr>
              <w:fldChar w:fldCharType="end"/>
            </w:r>
          </w:hyperlink>
        </w:p>
        <w:p w14:paraId="42E87B98" w14:textId="592A7435"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1" w:history="1">
            <w:r w:rsidR="00330CAF" w:rsidRPr="00FF09A5">
              <w:rPr>
                <w:rStyle w:val="Hyperlink"/>
                <w:noProof/>
              </w:rPr>
              <w:t>Data linkage</w:t>
            </w:r>
            <w:r w:rsidR="00330CAF">
              <w:rPr>
                <w:noProof/>
                <w:webHidden/>
              </w:rPr>
              <w:tab/>
            </w:r>
            <w:r w:rsidR="00330CAF">
              <w:rPr>
                <w:noProof/>
                <w:webHidden/>
              </w:rPr>
              <w:fldChar w:fldCharType="begin"/>
            </w:r>
            <w:r w:rsidR="00330CAF">
              <w:rPr>
                <w:noProof/>
                <w:webHidden/>
              </w:rPr>
              <w:instrText xml:space="preserve"> PAGEREF _Toc501120761 \h </w:instrText>
            </w:r>
            <w:r w:rsidR="00330CAF">
              <w:rPr>
                <w:noProof/>
                <w:webHidden/>
              </w:rPr>
            </w:r>
            <w:r w:rsidR="00330CAF">
              <w:rPr>
                <w:noProof/>
                <w:webHidden/>
              </w:rPr>
              <w:fldChar w:fldCharType="separate"/>
            </w:r>
            <w:r w:rsidR="004C27B3">
              <w:rPr>
                <w:noProof/>
                <w:webHidden/>
              </w:rPr>
              <w:t>47</w:t>
            </w:r>
            <w:r w:rsidR="00330CAF">
              <w:rPr>
                <w:noProof/>
                <w:webHidden/>
              </w:rPr>
              <w:fldChar w:fldCharType="end"/>
            </w:r>
          </w:hyperlink>
        </w:p>
        <w:p w14:paraId="6BDA5A05" w14:textId="4CB8F829"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2" w:history="1">
            <w:r w:rsidR="00330CAF" w:rsidRPr="00FF09A5">
              <w:rPr>
                <w:rStyle w:val="Hyperlink"/>
                <w:noProof/>
              </w:rPr>
              <w:t>Measurements</w:t>
            </w:r>
            <w:r w:rsidR="00330CAF">
              <w:rPr>
                <w:noProof/>
                <w:webHidden/>
              </w:rPr>
              <w:tab/>
            </w:r>
            <w:r w:rsidR="00330CAF">
              <w:rPr>
                <w:noProof/>
                <w:webHidden/>
              </w:rPr>
              <w:fldChar w:fldCharType="begin"/>
            </w:r>
            <w:r w:rsidR="00330CAF">
              <w:rPr>
                <w:noProof/>
                <w:webHidden/>
              </w:rPr>
              <w:instrText xml:space="preserve"> PAGEREF _Toc501120762 \h </w:instrText>
            </w:r>
            <w:r w:rsidR="00330CAF">
              <w:rPr>
                <w:noProof/>
                <w:webHidden/>
              </w:rPr>
            </w:r>
            <w:r w:rsidR="00330CAF">
              <w:rPr>
                <w:noProof/>
                <w:webHidden/>
              </w:rPr>
              <w:fldChar w:fldCharType="separate"/>
            </w:r>
            <w:r w:rsidR="004C27B3">
              <w:rPr>
                <w:noProof/>
                <w:webHidden/>
              </w:rPr>
              <w:t>47</w:t>
            </w:r>
            <w:r w:rsidR="00330CAF">
              <w:rPr>
                <w:noProof/>
                <w:webHidden/>
              </w:rPr>
              <w:fldChar w:fldCharType="end"/>
            </w:r>
          </w:hyperlink>
        </w:p>
        <w:p w14:paraId="32BC6FEC" w14:textId="6F150DBD"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3" w:history="1">
            <w:r w:rsidR="00330CAF" w:rsidRPr="00FF09A5">
              <w:rPr>
                <w:rStyle w:val="Hyperlink"/>
                <w:noProof/>
              </w:rPr>
              <w:t>Data analysis</w:t>
            </w:r>
            <w:r w:rsidR="00330CAF">
              <w:rPr>
                <w:noProof/>
                <w:webHidden/>
              </w:rPr>
              <w:tab/>
            </w:r>
            <w:r w:rsidR="00330CAF">
              <w:rPr>
                <w:noProof/>
                <w:webHidden/>
              </w:rPr>
              <w:fldChar w:fldCharType="begin"/>
            </w:r>
            <w:r w:rsidR="00330CAF">
              <w:rPr>
                <w:noProof/>
                <w:webHidden/>
              </w:rPr>
              <w:instrText xml:space="preserve"> PAGEREF _Toc501120763 \h </w:instrText>
            </w:r>
            <w:r w:rsidR="00330CAF">
              <w:rPr>
                <w:noProof/>
                <w:webHidden/>
              </w:rPr>
            </w:r>
            <w:r w:rsidR="00330CAF">
              <w:rPr>
                <w:noProof/>
                <w:webHidden/>
              </w:rPr>
              <w:fldChar w:fldCharType="separate"/>
            </w:r>
            <w:r w:rsidR="004C27B3">
              <w:rPr>
                <w:noProof/>
                <w:webHidden/>
              </w:rPr>
              <w:t>51</w:t>
            </w:r>
            <w:r w:rsidR="00330CAF">
              <w:rPr>
                <w:noProof/>
                <w:webHidden/>
              </w:rPr>
              <w:fldChar w:fldCharType="end"/>
            </w:r>
          </w:hyperlink>
        </w:p>
        <w:p w14:paraId="021E7F30" w14:textId="15BD0B7E"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64" w:history="1">
            <w:r w:rsidR="00330CAF" w:rsidRPr="00FF09A5">
              <w:rPr>
                <w:rStyle w:val="Hyperlink"/>
                <w:noProof/>
              </w:rPr>
              <w:t>Appendix 3 - Description of AEDC domains and characteristics of the developmentally vulnerable group in the CATS sample</w:t>
            </w:r>
            <w:r w:rsidR="00330CAF">
              <w:rPr>
                <w:noProof/>
                <w:webHidden/>
              </w:rPr>
              <w:tab/>
            </w:r>
            <w:r w:rsidR="00330CAF">
              <w:rPr>
                <w:noProof/>
                <w:webHidden/>
              </w:rPr>
              <w:fldChar w:fldCharType="begin"/>
            </w:r>
            <w:r w:rsidR="00330CAF">
              <w:rPr>
                <w:noProof/>
                <w:webHidden/>
              </w:rPr>
              <w:instrText xml:space="preserve"> PAGEREF _Toc501120764 \h </w:instrText>
            </w:r>
            <w:r w:rsidR="00330CAF">
              <w:rPr>
                <w:noProof/>
                <w:webHidden/>
              </w:rPr>
            </w:r>
            <w:r w:rsidR="00330CAF">
              <w:rPr>
                <w:noProof/>
                <w:webHidden/>
              </w:rPr>
              <w:fldChar w:fldCharType="separate"/>
            </w:r>
            <w:r w:rsidR="004C27B3">
              <w:rPr>
                <w:noProof/>
                <w:webHidden/>
              </w:rPr>
              <w:t>55</w:t>
            </w:r>
            <w:r w:rsidR="00330CAF">
              <w:rPr>
                <w:noProof/>
                <w:webHidden/>
              </w:rPr>
              <w:fldChar w:fldCharType="end"/>
            </w:r>
          </w:hyperlink>
        </w:p>
        <w:p w14:paraId="67020EBB" w14:textId="106E8FC2"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5" w:history="1">
            <w:r w:rsidR="00330CAF" w:rsidRPr="00FF09A5">
              <w:rPr>
                <w:rStyle w:val="Hyperlink"/>
                <w:noProof/>
              </w:rPr>
              <w:t>SECTION 1. Developmentally vulnerable on each domain</w:t>
            </w:r>
            <w:r w:rsidR="00330CAF">
              <w:rPr>
                <w:noProof/>
                <w:webHidden/>
              </w:rPr>
              <w:tab/>
            </w:r>
            <w:r w:rsidR="00330CAF">
              <w:rPr>
                <w:noProof/>
                <w:webHidden/>
              </w:rPr>
              <w:fldChar w:fldCharType="begin"/>
            </w:r>
            <w:r w:rsidR="00330CAF">
              <w:rPr>
                <w:noProof/>
                <w:webHidden/>
              </w:rPr>
              <w:instrText xml:space="preserve"> PAGEREF _Toc501120765 \h </w:instrText>
            </w:r>
            <w:r w:rsidR="00330CAF">
              <w:rPr>
                <w:noProof/>
                <w:webHidden/>
              </w:rPr>
            </w:r>
            <w:r w:rsidR="00330CAF">
              <w:rPr>
                <w:noProof/>
                <w:webHidden/>
              </w:rPr>
              <w:fldChar w:fldCharType="separate"/>
            </w:r>
            <w:r w:rsidR="004C27B3">
              <w:rPr>
                <w:noProof/>
                <w:webHidden/>
              </w:rPr>
              <w:t>55</w:t>
            </w:r>
            <w:r w:rsidR="00330CAF">
              <w:rPr>
                <w:noProof/>
                <w:webHidden/>
              </w:rPr>
              <w:fldChar w:fldCharType="end"/>
            </w:r>
          </w:hyperlink>
        </w:p>
        <w:p w14:paraId="54FC01EA" w14:textId="7C8DB4AE"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6" w:history="1">
            <w:r w:rsidR="00330CAF" w:rsidRPr="00FF09A5">
              <w:rPr>
                <w:rStyle w:val="Hyperlink"/>
                <w:noProof/>
              </w:rPr>
              <w:t>SECTION 2. Developmentally vulnerable on 0, 1, 2, 3, 4 and 5 domains</w:t>
            </w:r>
            <w:r w:rsidR="00330CAF">
              <w:rPr>
                <w:noProof/>
                <w:webHidden/>
              </w:rPr>
              <w:tab/>
            </w:r>
            <w:r w:rsidR="00330CAF">
              <w:rPr>
                <w:noProof/>
                <w:webHidden/>
              </w:rPr>
              <w:fldChar w:fldCharType="begin"/>
            </w:r>
            <w:r w:rsidR="00330CAF">
              <w:rPr>
                <w:noProof/>
                <w:webHidden/>
              </w:rPr>
              <w:instrText xml:space="preserve"> PAGEREF _Toc501120766 \h </w:instrText>
            </w:r>
            <w:r w:rsidR="00330CAF">
              <w:rPr>
                <w:noProof/>
                <w:webHidden/>
              </w:rPr>
            </w:r>
            <w:r w:rsidR="00330CAF">
              <w:rPr>
                <w:noProof/>
                <w:webHidden/>
              </w:rPr>
              <w:fldChar w:fldCharType="separate"/>
            </w:r>
            <w:r w:rsidR="004C27B3">
              <w:rPr>
                <w:noProof/>
                <w:webHidden/>
              </w:rPr>
              <w:t>55</w:t>
            </w:r>
            <w:r w:rsidR="00330CAF">
              <w:rPr>
                <w:noProof/>
                <w:webHidden/>
              </w:rPr>
              <w:fldChar w:fldCharType="end"/>
            </w:r>
          </w:hyperlink>
        </w:p>
        <w:p w14:paraId="62E240A7" w14:textId="635961AF"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7" w:history="1">
            <w:r w:rsidR="00330CAF" w:rsidRPr="00FF09A5">
              <w:rPr>
                <w:rStyle w:val="Hyperlink"/>
                <w:noProof/>
              </w:rPr>
              <w:t>SECTION 3. Demographic characteristics of vulnerable and non-vulnerable groups</w:t>
            </w:r>
            <w:r w:rsidR="00330CAF">
              <w:rPr>
                <w:noProof/>
                <w:webHidden/>
              </w:rPr>
              <w:tab/>
            </w:r>
            <w:r w:rsidR="00330CAF">
              <w:rPr>
                <w:noProof/>
                <w:webHidden/>
              </w:rPr>
              <w:fldChar w:fldCharType="begin"/>
            </w:r>
            <w:r w:rsidR="00330CAF">
              <w:rPr>
                <w:noProof/>
                <w:webHidden/>
              </w:rPr>
              <w:instrText xml:space="preserve"> PAGEREF _Toc501120767 \h </w:instrText>
            </w:r>
            <w:r w:rsidR="00330CAF">
              <w:rPr>
                <w:noProof/>
                <w:webHidden/>
              </w:rPr>
            </w:r>
            <w:r w:rsidR="00330CAF">
              <w:rPr>
                <w:noProof/>
                <w:webHidden/>
              </w:rPr>
              <w:fldChar w:fldCharType="separate"/>
            </w:r>
            <w:r w:rsidR="004C27B3">
              <w:rPr>
                <w:noProof/>
                <w:webHidden/>
              </w:rPr>
              <w:t>56</w:t>
            </w:r>
            <w:r w:rsidR="00330CAF">
              <w:rPr>
                <w:noProof/>
                <w:webHidden/>
              </w:rPr>
              <w:fldChar w:fldCharType="end"/>
            </w:r>
          </w:hyperlink>
        </w:p>
        <w:p w14:paraId="1CD72DEC" w14:textId="770554C2" w:rsidR="00330CAF" w:rsidRDefault="00403501">
          <w:pPr>
            <w:pStyle w:val="TOC2"/>
            <w:tabs>
              <w:tab w:val="right" w:leader="dot" w:pos="9010"/>
            </w:tabs>
            <w:rPr>
              <w:rFonts w:asciiTheme="minorHAnsi" w:eastAsiaTheme="minorEastAsia" w:hAnsiTheme="minorHAnsi"/>
              <w:noProof/>
              <w:sz w:val="22"/>
              <w:szCs w:val="22"/>
              <w:lang w:eastAsia="en-AU"/>
            </w:rPr>
          </w:pPr>
          <w:hyperlink w:anchor="_Toc501120768" w:history="1">
            <w:r w:rsidR="00330CAF" w:rsidRPr="00FF09A5">
              <w:rPr>
                <w:rStyle w:val="Hyperlink"/>
                <w:noProof/>
              </w:rPr>
              <w:t>SECTION 4. Correlations between domains</w:t>
            </w:r>
            <w:r w:rsidR="00330CAF">
              <w:rPr>
                <w:noProof/>
                <w:webHidden/>
              </w:rPr>
              <w:tab/>
            </w:r>
            <w:r w:rsidR="00330CAF">
              <w:rPr>
                <w:noProof/>
                <w:webHidden/>
              </w:rPr>
              <w:fldChar w:fldCharType="begin"/>
            </w:r>
            <w:r w:rsidR="00330CAF">
              <w:rPr>
                <w:noProof/>
                <w:webHidden/>
              </w:rPr>
              <w:instrText xml:space="preserve"> PAGEREF _Toc501120768 \h </w:instrText>
            </w:r>
            <w:r w:rsidR="00330CAF">
              <w:rPr>
                <w:noProof/>
                <w:webHidden/>
              </w:rPr>
            </w:r>
            <w:r w:rsidR="00330CAF">
              <w:rPr>
                <w:noProof/>
                <w:webHidden/>
              </w:rPr>
              <w:fldChar w:fldCharType="separate"/>
            </w:r>
            <w:r w:rsidR="004C27B3">
              <w:rPr>
                <w:noProof/>
                <w:webHidden/>
              </w:rPr>
              <w:t>57</w:t>
            </w:r>
            <w:r w:rsidR="00330CAF">
              <w:rPr>
                <w:noProof/>
                <w:webHidden/>
              </w:rPr>
              <w:fldChar w:fldCharType="end"/>
            </w:r>
          </w:hyperlink>
        </w:p>
        <w:p w14:paraId="060975C1" w14:textId="22917CAE"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69" w:history="1">
            <w:r w:rsidR="00330CAF" w:rsidRPr="00FF09A5">
              <w:rPr>
                <w:rStyle w:val="Hyperlink"/>
                <w:noProof/>
              </w:rPr>
              <w:t>Appendix 4 – Supplementary Results for Chapter 5</w:t>
            </w:r>
            <w:r w:rsidR="00330CAF">
              <w:rPr>
                <w:noProof/>
                <w:webHidden/>
              </w:rPr>
              <w:tab/>
            </w:r>
            <w:r w:rsidR="00330CAF">
              <w:rPr>
                <w:noProof/>
                <w:webHidden/>
              </w:rPr>
              <w:fldChar w:fldCharType="begin"/>
            </w:r>
            <w:r w:rsidR="00330CAF">
              <w:rPr>
                <w:noProof/>
                <w:webHidden/>
              </w:rPr>
              <w:instrText xml:space="preserve"> PAGEREF _Toc501120769 \h </w:instrText>
            </w:r>
            <w:r w:rsidR="00330CAF">
              <w:rPr>
                <w:noProof/>
                <w:webHidden/>
              </w:rPr>
            </w:r>
            <w:r w:rsidR="00330CAF">
              <w:rPr>
                <w:noProof/>
                <w:webHidden/>
              </w:rPr>
              <w:fldChar w:fldCharType="separate"/>
            </w:r>
            <w:r w:rsidR="004C27B3">
              <w:rPr>
                <w:noProof/>
                <w:webHidden/>
              </w:rPr>
              <w:t>58</w:t>
            </w:r>
            <w:r w:rsidR="00330CAF">
              <w:rPr>
                <w:noProof/>
                <w:webHidden/>
              </w:rPr>
              <w:fldChar w:fldCharType="end"/>
            </w:r>
          </w:hyperlink>
        </w:p>
        <w:p w14:paraId="33F71760" w14:textId="4268EFC2"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70" w:history="1">
            <w:r w:rsidR="00330CAF" w:rsidRPr="00FF09A5">
              <w:rPr>
                <w:rStyle w:val="Hyperlink"/>
                <w:noProof/>
              </w:rPr>
              <w:t>Appendix 5 – Acronyms and Abbreviations</w:t>
            </w:r>
            <w:r w:rsidR="00330CAF">
              <w:rPr>
                <w:noProof/>
                <w:webHidden/>
              </w:rPr>
              <w:tab/>
            </w:r>
            <w:r w:rsidR="00330CAF">
              <w:rPr>
                <w:noProof/>
                <w:webHidden/>
              </w:rPr>
              <w:fldChar w:fldCharType="begin"/>
            </w:r>
            <w:r w:rsidR="00330CAF">
              <w:rPr>
                <w:noProof/>
                <w:webHidden/>
              </w:rPr>
              <w:instrText xml:space="preserve"> PAGEREF _Toc501120770 \h </w:instrText>
            </w:r>
            <w:r w:rsidR="00330CAF">
              <w:rPr>
                <w:noProof/>
                <w:webHidden/>
              </w:rPr>
            </w:r>
            <w:r w:rsidR="00330CAF">
              <w:rPr>
                <w:noProof/>
                <w:webHidden/>
              </w:rPr>
              <w:fldChar w:fldCharType="separate"/>
            </w:r>
            <w:r w:rsidR="004C27B3">
              <w:rPr>
                <w:noProof/>
                <w:webHidden/>
              </w:rPr>
              <w:t>64</w:t>
            </w:r>
            <w:r w:rsidR="00330CAF">
              <w:rPr>
                <w:noProof/>
                <w:webHidden/>
              </w:rPr>
              <w:fldChar w:fldCharType="end"/>
            </w:r>
          </w:hyperlink>
        </w:p>
        <w:p w14:paraId="29488270" w14:textId="4EC2C96E" w:rsidR="00330CAF" w:rsidRDefault="00403501">
          <w:pPr>
            <w:pStyle w:val="TOC1"/>
            <w:tabs>
              <w:tab w:val="right" w:leader="dot" w:pos="9010"/>
            </w:tabs>
            <w:rPr>
              <w:rFonts w:asciiTheme="minorHAnsi" w:eastAsiaTheme="minorEastAsia" w:hAnsiTheme="minorHAnsi"/>
              <w:noProof/>
              <w:sz w:val="22"/>
              <w:szCs w:val="22"/>
              <w:lang w:eastAsia="en-AU"/>
            </w:rPr>
          </w:pPr>
          <w:hyperlink w:anchor="_Toc501120771" w:history="1">
            <w:r w:rsidR="00330CAF" w:rsidRPr="00FF09A5">
              <w:rPr>
                <w:rStyle w:val="Hyperlink"/>
                <w:noProof/>
              </w:rPr>
              <w:t>References</w:t>
            </w:r>
            <w:r w:rsidR="00330CAF">
              <w:rPr>
                <w:noProof/>
                <w:webHidden/>
              </w:rPr>
              <w:tab/>
            </w:r>
            <w:r w:rsidR="00330CAF">
              <w:rPr>
                <w:noProof/>
                <w:webHidden/>
              </w:rPr>
              <w:fldChar w:fldCharType="begin"/>
            </w:r>
            <w:r w:rsidR="00330CAF">
              <w:rPr>
                <w:noProof/>
                <w:webHidden/>
              </w:rPr>
              <w:instrText xml:space="preserve"> PAGEREF _Toc501120771 \h </w:instrText>
            </w:r>
            <w:r w:rsidR="00330CAF">
              <w:rPr>
                <w:noProof/>
                <w:webHidden/>
              </w:rPr>
            </w:r>
            <w:r w:rsidR="00330CAF">
              <w:rPr>
                <w:noProof/>
                <w:webHidden/>
              </w:rPr>
              <w:fldChar w:fldCharType="separate"/>
            </w:r>
            <w:r w:rsidR="004C27B3">
              <w:rPr>
                <w:noProof/>
                <w:webHidden/>
              </w:rPr>
              <w:t>66</w:t>
            </w:r>
            <w:r w:rsidR="00330CAF">
              <w:rPr>
                <w:noProof/>
                <w:webHidden/>
              </w:rPr>
              <w:fldChar w:fldCharType="end"/>
            </w:r>
          </w:hyperlink>
        </w:p>
        <w:p w14:paraId="60029F30" w14:textId="1677D098" w:rsidR="00A31AE8" w:rsidRDefault="000C664C" w:rsidP="005B1409">
          <w:r>
            <w:fldChar w:fldCharType="end"/>
          </w:r>
        </w:p>
      </w:sdtContent>
    </w:sdt>
    <w:p w14:paraId="614DD7FF" w14:textId="77777777" w:rsidR="00FC46AD" w:rsidRDefault="00FC46AD">
      <w:pPr>
        <w:spacing w:after="0" w:line="240" w:lineRule="auto"/>
        <w:rPr>
          <w:rFonts w:eastAsiaTheme="majorEastAsia" w:cstheme="majorBidi"/>
          <w:color w:val="2F5496" w:themeColor="accent1" w:themeShade="BF"/>
          <w:sz w:val="32"/>
          <w:szCs w:val="32"/>
        </w:rPr>
      </w:pPr>
      <w:r>
        <w:br w:type="page"/>
      </w:r>
    </w:p>
    <w:p w14:paraId="3C11D082" w14:textId="1278D70F" w:rsidR="00785532" w:rsidRDefault="00F65D58" w:rsidP="00BA2BA4">
      <w:pPr>
        <w:pStyle w:val="Heading1"/>
        <w:spacing w:before="0"/>
      </w:pPr>
      <w:bookmarkStart w:id="1" w:name="_Toc501120721"/>
      <w:r>
        <w:t>List of Figures</w:t>
      </w:r>
      <w:bookmarkEnd w:id="1"/>
    </w:p>
    <w:p w14:paraId="6FD2F53F" w14:textId="77777777" w:rsidR="0004749E" w:rsidRDefault="00785532">
      <w:pPr>
        <w:pStyle w:val="TableofFigures"/>
        <w:tabs>
          <w:tab w:val="right" w:leader="dot" w:pos="9010"/>
        </w:tabs>
        <w:rPr>
          <w:rFonts w:asciiTheme="minorHAnsi" w:eastAsiaTheme="minorEastAsia" w:hAnsiTheme="minorHAnsi"/>
          <w:noProof/>
          <w:sz w:val="22"/>
          <w:szCs w:val="22"/>
          <w:lang w:eastAsia="en-AU"/>
        </w:rPr>
      </w:pPr>
      <w:r>
        <w:rPr>
          <w:lang w:val="en-US"/>
        </w:rPr>
        <w:fldChar w:fldCharType="begin"/>
      </w:r>
      <w:r>
        <w:rPr>
          <w:lang w:val="en-US"/>
        </w:rPr>
        <w:instrText xml:space="preserve"> TOC \h \z \c "Figure" </w:instrText>
      </w:r>
      <w:r>
        <w:rPr>
          <w:lang w:val="en-US"/>
        </w:rPr>
        <w:fldChar w:fldCharType="separate"/>
      </w:r>
      <w:hyperlink w:anchor="_Toc502153721" w:history="1">
        <w:r w:rsidR="0004749E" w:rsidRPr="00742774">
          <w:rPr>
            <w:rStyle w:val="Hyperlink"/>
            <w:noProof/>
          </w:rPr>
          <w:t>Figure 1. Mean numeracy NSS at Years 3, 5 and 7, by developmental vulnerability status.</w:t>
        </w:r>
        <w:r w:rsidR="0004749E">
          <w:rPr>
            <w:noProof/>
            <w:webHidden/>
          </w:rPr>
          <w:tab/>
        </w:r>
        <w:r w:rsidR="0004749E">
          <w:rPr>
            <w:noProof/>
            <w:webHidden/>
          </w:rPr>
          <w:fldChar w:fldCharType="begin"/>
        </w:r>
        <w:r w:rsidR="0004749E">
          <w:rPr>
            <w:noProof/>
            <w:webHidden/>
          </w:rPr>
          <w:instrText xml:space="preserve"> PAGEREF _Toc502153721 \h </w:instrText>
        </w:r>
        <w:r w:rsidR="0004749E">
          <w:rPr>
            <w:noProof/>
            <w:webHidden/>
          </w:rPr>
        </w:r>
        <w:r w:rsidR="0004749E">
          <w:rPr>
            <w:noProof/>
            <w:webHidden/>
          </w:rPr>
          <w:fldChar w:fldCharType="separate"/>
        </w:r>
        <w:r w:rsidR="004C27B3">
          <w:rPr>
            <w:noProof/>
            <w:webHidden/>
          </w:rPr>
          <w:t>17</w:t>
        </w:r>
        <w:r w:rsidR="0004749E">
          <w:rPr>
            <w:noProof/>
            <w:webHidden/>
          </w:rPr>
          <w:fldChar w:fldCharType="end"/>
        </w:r>
      </w:hyperlink>
    </w:p>
    <w:p w14:paraId="0B175924" w14:textId="77777777"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2" w:history="1">
        <w:r w:rsidR="0004749E" w:rsidRPr="00742774">
          <w:rPr>
            <w:rStyle w:val="Hyperlink"/>
            <w:noProof/>
          </w:rPr>
          <w:t>Figure 2. Mean reading NSS at Years 3, 5 and 7, by developmental vulnerability status.</w:t>
        </w:r>
        <w:r w:rsidR="0004749E">
          <w:rPr>
            <w:noProof/>
            <w:webHidden/>
          </w:rPr>
          <w:tab/>
        </w:r>
        <w:r w:rsidR="0004749E">
          <w:rPr>
            <w:noProof/>
            <w:webHidden/>
          </w:rPr>
          <w:fldChar w:fldCharType="begin"/>
        </w:r>
        <w:r w:rsidR="0004749E">
          <w:rPr>
            <w:noProof/>
            <w:webHidden/>
          </w:rPr>
          <w:instrText xml:space="preserve"> PAGEREF _Toc502153722 \h </w:instrText>
        </w:r>
        <w:r w:rsidR="0004749E">
          <w:rPr>
            <w:noProof/>
            <w:webHidden/>
          </w:rPr>
        </w:r>
        <w:r w:rsidR="0004749E">
          <w:rPr>
            <w:noProof/>
            <w:webHidden/>
          </w:rPr>
          <w:fldChar w:fldCharType="separate"/>
        </w:r>
        <w:r w:rsidR="004C27B3">
          <w:rPr>
            <w:noProof/>
            <w:webHidden/>
          </w:rPr>
          <w:t>17</w:t>
        </w:r>
        <w:r w:rsidR="0004749E">
          <w:rPr>
            <w:noProof/>
            <w:webHidden/>
          </w:rPr>
          <w:fldChar w:fldCharType="end"/>
        </w:r>
      </w:hyperlink>
    </w:p>
    <w:p w14:paraId="19C3793F" w14:textId="77777777"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3" w:history="1">
        <w:r w:rsidR="0004749E" w:rsidRPr="00742774">
          <w:rPr>
            <w:rStyle w:val="Hyperlink"/>
            <w:noProof/>
          </w:rPr>
          <w:t>Figure 3. NAPLAN band distributions by DV status at Years 3, 5 and 7: numeracy.</w:t>
        </w:r>
        <w:r w:rsidR="0004749E">
          <w:rPr>
            <w:noProof/>
            <w:webHidden/>
          </w:rPr>
          <w:tab/>
        </w:r>
        <w:r w:rsidR="0004749E">
          <w:rPr>
            <w:noProof/>
            <w:webHidden/>
          </w:rPr>
          <w:fldChar w:fldCharType="begin"/>
        </w:r>
        <w:r w:rsidR="0004749E">
          <w:rPr>
            <w:noProof/>
            <w:webHidden/>
          </w:rPr>
          <w:instrText xml:space="preserve"> PAGEREF _Toc502153723 \h </w:instrText>
        </w:r>
        <w:r w:rsidR="0004749E">
          <w:rPr>
            <w:noProof/>
            <w:webHidden/>
          </w:rPr>
        </w:r>
        <w:r w:rsidR="0004749E">
          <w:rPr>
            <w:noProof/>
            <w:webHidden/>
          </w:rPr>
          <w:fldChar w:fldCharType="separate"/>
        </w:r>
        <w:r w:rsidR="004C27B3">
          <w:rPr>
            <w:noProof/>
            <w:webHidden/>
          </w:rPr>
          <w:t>18</w:t>
        </w:r>
        <w:r w:rsidR="0004749E">
          <w:rPr>
            <w:noProof/>
            <w:webHidden/>
          </w:rPr>
          <w:fldChar w:fldCharType="end"/>
        </w:r>
      </w:hyperlink>
    </w:p>
    <w:p w14:paraId="7B0F1E14" w14:textId="77777777"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4" w:history="1">
        <w:r w:rsidR="0004749E" w:rsidRPr="00742774">
          <w:rPr>
            <w:rStyle w:val="Hyperlink"/>
            <w:noProof/>
          </w:rPr>
          <w:t>Figure 4. NAPLAN band distributions by DV status at Years 3, 5 and 7: reading.</w:t>
        </w:r>
        <w:r w:rsidR="0004749E">
          <w:rPr>
            <w:noProof/>
            <w:webHidden/>
          </w:rPr>
          <w:tab/>
        </w:r>
        <w:r w:rsidR="0004749E">
          <w:rPr>
            <w:noProof/>
            <w:webHidden/>
          </w:rPr>
          <w:fldChar w:fldCharType="begin"/>
        </w:r>
        <w:r w:rsidR="0004749E">
          <w:rPr>
            <w:noProof/>
            <w:webHidden/>
          </w:rPr>
          <w:instrText xml:space="preserve"> PAGEREF _Toc502153724 \h </w:instrText>
        </w:r>
        <w:r w:rsidR="0004749E">
          <w:rPr>
            <w:noProof/>
            <w:webHidden/>
          </w:rPr>
        </w:r>
        <w:r w:rsidR="0004749E">
          <w:rPr>
            <w:noProof/>
            <w:webHidden/>
          </w:rPr>
          <w:fldChar w:fldCharType="separate"/>
        </w:r>
        <w:r w:rsidR="004C27B3">
          <w:rPr>
            <w:noProof/>
            <w:webHidden/>
          </w:rPr>
          <w:t>18</w:t>
        </w:r>
        <w:r w:rsidR="0004749E">
          <w:rPr>
            <w:noProof/>
            <w:webHidden/>
          </w:rPr>
          <w:fldChar w:fldCharType="end"/>
        </w:r>
      </w:hyperlink>
    </w:p>
    <w:p w14:paraId="0E01EE50" w14:textId="77777777"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5" w:history="1">
        <w:r w:rsidR="0004749E" w:rsidRPr="00742774">
          <w:rPr>
            <w:rStyle w:val="Hyperlink"/>
            <w:noProof/>
          </w:rPr>
          <w:t>Figure 5. Pathways of development and learning between the first year of primary school and Year 7: numeracy.</w:t>
        </w:r>
        <w:r w:rsidR="0004749E">
          <w:rPr>
            <w:noProof/>
            <w:webHidden/>
          </w:rPr>
          <w:tab/>
        </w:r>
        <w:r w:rsidR="0004749E">
          <w:rPr>
            <w:noProof/>
            <w:webHidden/>
          </w:rPr>
          <w:fldChar w:fldCharType="begin"/>
        </w:r>
        <w:r w:rsidR="0004749E">
          <w:rPr>
            <w:noProof/>
            <w:webHidden/>
          </w:rPr>
          <w:instrText xml:space="preserve"> PAGEREF _Toc502153725 \h </w:instrText>
        </w:r>
        <w:r w:rsidR="0004749E">
          <w:rPr>
            <w:noProof/>
            <w:webHidden/>
          </w:rPr>
        </w:r>
        <w:r w:rsidR="0004749E">
          <w:rPr>
            <w:noProof/>
            <w:webHidden/>
          </w:rPr>
          <w:fldChar w:fldCharType="separate"/>
        </w:r>
        <w:r w:rsidR="004C27B3">
          <w:rPr>
            <w:noProof/>
            <w:webHidden/>
          </w:rPr>
          <w:t>20</w:t>
        </w:r>
        <w:r w:rsidR="0004749E">
          <w:rPr>
            <w:noProof/>
            <w:webHidden/>
          </w:rPr>
          <w:fldChar w:fldCharType="end"/>
        </w:r>
      </w:hyperlink>
    </w:p>
    <w:p w14:paraId="7B202F14" w14:textId="77777777"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6" w:history="1">
        <w:r w:rsidR="0004749E" w:rsidRPr="00742774">
          <w:rPr>
            <w:rStyle w:val="Hyperlink"/>
            <w:noProof/>
          </w:rPr>
          <w:t>Figure 6. Pathways of development and learning between the first year of primary school and Year 7: reading.</w:t>
        </w:r>
        <w:r w:rsidR="0004749E">
          <w:rPr>
            <w:noProof/>
            <w:webHidden/>
          </w:rPr>
          <w:tab/>
        </w:r>
        <w:r w:rsidR="0004749E">
          <w:rPr>
            <w:noProof/>
            <w:webHidden/>
          </w:rPr>
          <w:fldChar w:fldCharType="begin"/>
        </w:r>
        <w:r w:rsidR="0004749E">
          <w:rPr>
            <w:noProof/>
            <w:webHidden/>
          </w:rPr>
          <w:instrText xml:space="preserve"> PAGEREF _Toc502153726 \h </w:instrText>
        </w:r>
        <w:r w:rsidR="0004749E">
          <w:rPr>
            <w:noProof/>
            <w:webHidden/>
          </w:rPr>
        </w:r>
        <w:r w:rsidR="0004749E">
          <w:rPr>
            <w:noProof/>
            <w:webHidden/>
          </w:rPr>
          <w:fldChar w:fldCharType="separate"/>
        </w:r>
        <w:r w:rsidR="004C27B3">
          <w:rPr>
            <w:noProof/>
            <w:webHidden/>
          </w:rPr>
          <w:t>20</w:t>
        </w:r>
        <w:r w:rsidR="0004749E">
          <w:rPr>
            <w:noProof/>
            <w:webHidden/>
          </w:rPr>
          <w:fldChar w:fldCharType="end"/>
        </w:r>
      </w:hyperlink>
    </w:p>
    <w:p w14:paraId="1CBAFF10" w14:textId="1424B73C"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7" w:history="1">
        <w:r w:rsidR="0004749E" w:rsidRPr="00742774">
          <w:rPr>
            <w:rStyle w:val="Hyperlink"/>
            <w:noProof/>
          </w:rPr>
          <w:t>Figure 7. Proportion of disengaged students by developmental vulnerability status in Years 4, 5, 6 and 7.</w:t>
        </w:r>
        <w:r w:rsidR="0004749E">
          <w:rPr>
            <w:noProof/>
            <w:webHidden/>
          </w:rPr>
          <w:tab/>
        </w:r>
        <w:r w:rsidR="0004749E">
          <w:rPr>
            <w:noProof/>
            <w:webHidden/>
          </w:rPr>
          <w:fldChar w:fldCharType="begin"/>
        </w:r>
        <w:r w:rsidR="0004749E">
          <w:rPr>
            <w:noProof/>
            <w:webHidden/>
          </w:rPr>
          <w:instrText xml:space="preserve"> PAGEREF _Toc502153727 \h </w:instrText>
        </w:r>
        <w:r w:rsidR="0004749E">
          <w:rPr>
            <w:noProof/>
            <w:webHidden/>
          </w:rPr>
        </w:r>
        <w:r w:rsidR="0004749E">
          <w:rPr>
            <w:noProof/>
            <w:webHidden/>
          </w:rPr>
          <w:fldChar w:fldCharType="separate"/>
        </w:r>
        <w:r w:rsidR="004C27B3">
          <w:rPr>
            <w:noProof/>
            <w:webHidden/>
          </w:rPr>
          <w:t>24</w:t>
        </w:r>
        <w:r w:rsidR="0004749E">
          <w:rPr>
            <w:noProof/>
            <w:webHidden/>
          </w:rPr>
          <w:fldChar w:fldCharType="end"/>
        </w:r>
      </w:hyperlink>
    </w:p>
    <w:p w14:paraId="4CD7D8C3" w14:textId="5F96460C"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8" w:history="1">
        <w:r w:rsidR="0004749E" w:rsidRPr="00742774">
          <w:rPr>
            <w:rStyle w:val="Hyperlink"/>
            <w:noProof/>
          </w:rPr>
          <w:t>Figure 8. Proportion of students with a) emotional problems b) behaviour problems and c) low subjective wellbeing by developmental vulnerability status in Years 3, 4, 5, 6 and 7.</w:t>
        </w:r>
        <w:r w:rsidR="0004749E">
          <w:rPr>
            <w:noProof/>
            <w:webHidden/>
          </w:rPr>
          <w:tab/>
        </w:r>
        <w:r w:rsidR="0004749E">
          <w:rPr>
            <w:noProof/>
            <w:webHidden/>
          </w:rPr>
          <w:fldChar w:fldCharType="begin"/>
        </w:r>
        <w:r w:rsidR="0004749E">
          <w:rPr>
            <w:noProof/>
            <w:webHidden/>
          </w:rPr>
          <w:instrText xml:space="preserve"> PAGEREF _Toc502153728 \h </w:instrText>
        </w:r>
        <w:r w:rsidR="0004749E">
          <w:rPr>
            <w:noProof/>
            <w:webHidden/>
          </w:rPr>
        </w:r>
        <w:r w:rsidR="0004749E">
          <w:rPr>
            <w:noProof/>
            <w:webHidden/>
          </w:rPr>
          <w:fldChar w:fldCharType="separate"/>
        </w:r>
        <w:r w:rsidR="004C27B3">
          <w:rPr>
            <w:noProof/>
            <w:webHidden/>
          </w:rPr>
          <w:t>27</w:t>
        </w:r>
        <w:r w:rsidR="0004749E">
          <w:rPr>
            <w:noProof/>
            <w:webHidden/>
          </w:rPr>
          <w:fldChar w:fldCharType="end"/>
        </w:r>
      </w:hyperlink>
    </w:p>
    <w:p w14:paraId="0FA3836A" w14:textId="230A1E9E"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29" w:history="1">
        <w:r w:rsidR="0004749E" w:rsidRPr="00742774">
          <w:rPr>
            <w:rStyle w:val="Hyperlink"/>
            <w:noProof/>
          </w:rPr>
          <w:t>Figure 9. Proportion of students reporting a) peer support and b) bullying by developmental vulnerability status in Years 3, 4, 5, 6 and 7.</w:t>
        </w:r>
        <w:r w:rsidR="0004749E">
          <w:rPr>
            <w:noProof/>
            <w:webHidden/>
          </w:rPr>
          <w:tab/>
        </w:r>
        <w:r w:rsidR="0004749E">
          <w:rPr>
            <w:noProof/>
            <w:webHidden/>
          </w:rPr>
          <w:fldChar w:fldCharType="begin"/>
        </w:r>
        <w:r w:rsidR="0004749E">
          <w:rPr>
            <w:noProof/>
            <w:webHidden/>
          </w:rPr>
          <w:instrText xml:space="preserve"> PAGEREF _Toc502153729 \h </w:instrText>
        </w:r>
        <w:r w:rsidR="0004749E">
          <w:rPr>
            <w:noProof/>
            <w:webHidden/>
          </w:rPr>
        </w:r>
        <w:r w:rsidR="0004749E">
          <w:rPr>
            <w:noProof/>
            <w:webHidden/>
          </w:rPr>
          <w:fldChar w:fldCharType="separate"/>
        </w:r>
        <w:r w:rsidR="004C27B3">
          <w:rPr>
            <w:noProof/>
            <w:webHidden/>
          </w:rPr>
          <w:t>32</w:t>
        </w:r>
        <w:r w:rsidR="0004749E">
          <w:rPr>
            <w:noProof/>
            <w:webHidden/>
          </w:rPr>
          <w:fldChar w:fldCharType="end"/>
        </w:r>
      </w:hyperlink>
    </w:p>
    <w:p w14:paraId="0EF5336E" w14:textId="120CAA53" w:rsidR="0004749E" w:rsidRDefault="00403501">
      <w:pPr>
        <w:pStyle w:val="TableofFigures"/>
        <w:tabs>
          <w:tab w:val="right" w:leader="dot" w:pos="9010"/>
        </w:tabs>
        <w:rPr>
          <w:rFonts w:asciiTheme="minorHAnsi" w:eastAsiaTheme="minorEastAsia" w:hAnsiTheme="minorHAnsi"/>
          <w:noProof/>
          <w:sz w:val="22"/>
          <w:szCs w:val="22"/>
          <w:lang w:eastAsia="en-AU"/>
        </w:rPr>
      </w:pPr>
      <w:hyperlink w:anchor="_Toc502153730" w:history="1">
        <w:r w:rsidR="0004749E" w:rsidRPr="00742774">
          <w:rPr>
            <w:rStyle w:val="Hyperlink"/>
            <w:noProof/>
          </w:rPr>
          <w:t>Figure 10. Flowchart of CATS participants from recruitment to Wave 5</w:t>
        </w:r>
        <w:r w:rsidR="009E77DF">
          <w:rPr>
            <w:rStyle w:val="Hyperlink"/>
            <w:noProof/>
          </w:rPr>
          <w:t xml:space="preserve"> of</w:t>
        </w:r>
        <w:r w:rsidR="0004749E" w:rsidRPr="00742774">
          <w:rPr>
            <w:rStyle w:val="Hyperlink"/>
            <w:noProof/>
          </w:rPr>
          <w:t xml:space="preserve"> data collection</w:t>
        </w:r>
        <w:r w:rsidR="0004749E">
          <w:rPr>
            <w:noProof/>
            <w:webHidden/>
          </w:rPr>
          <w:tab/>
        </w:r>
        <w:r w:rsidR="0004749E">
          <w:rPr>
            <w:noProof/>
            <w:webHidden/>
          </w:rPr>
          <w:fldChar w:fldCharType="begin"/>
        </w:r>
        <w:r w:rsidR="0004749E">
          <w:rPr>
            <w:noProof/>
            <w:webHidden/>
          </w:rPr>
          <w:instrText xml:space="preserve"> PAGEREF _Toc502153730 \h </w:instrText>
        </w:r>
        <w:r w:rsidR="0004749E">
          <w:rPr>
            <w:noProof/>
            <w:webHidden/>
          </w:rPr>
        </w:r>
        <w:r w:rsidR="0004749E">
          <w:rPr>
            <w:noProof/>
            <w:webHidden/>
          </w:rPr>
          <w:fldChar w:fldCharType="separate"/>
        </w:r>
        <w:r w:rsidR="004C27B3">
          <w:rPr>
            <w:noProof/>
            <w:webHidden/>
          </w:rPr>
          <w:t>41</w:t>
        </w:r>
        <w:r w:rsidR="0004749E">
          <w:rPr>
            <w:noProof/>
            <w:webHidden/>
          </w:rPr>
          <w:fldChar w:fldCharType="end"/>
        </w:r>
      </w:hyperlink>
    </w:p>
    <w:p w14:paraId="40DF0708" w14:textId="77777777" w:rsidR="00785532" w:rsidRPr="00785532" w:rsidRDefault="00785532" w:rsidP="00785532">
      <w:pPr>
        <w:rPr>
          <w:lang w:val="en-US"/>
        </w:rPr>
      </w:pPr>
      <w:r>
        <w:rPr>
          <w:lang w:val="en-US"/>
        </w:rPr>
        <w:fldChar w:fldCharType="end"/>
      </w:r>
    </w:p>
    <w:p w14:paraId="55C36704" w14:textId="77777777" w:rsidR="00785532" w:rsidRDefault="00785532">
      <w:pPr>
        <w:spacing w:after="0" w:line="240" w:lineRule="auto"/>
        <w:rPr>
          <w:rFonts w:eastAsiaTheme="majorEastAsia" w:cstheme="majorBidi"/>
          <w:color w:val="2F5496" w:themeColor="accent1" w:themeShade="BF"/>
          <w:sz w:val="32"/>
          <w:szCs w:val="32"/>
          <w:lang w:val="en-US"/>
        </w:rPr>
      </w:pPr>
      <w:r>
        <w:br w:type="page"/>
      </w:r>
    </w:p>
    <w:p w14:paraId="7F71DFFC" w14:textId="471D9AAB" w:rsidR="00785532" w:rsidRDefault="00F65D58" w:rsidP="00BA2BA4">
      <w:pPr>
        <w:pStyle w:val="Heading1"/>
        <w:spacing w:before="0"/>
      </w:pPr>
      <w:bookmarkStart w:id="2" w:name="_Toc501120722"/>
      <w:r>
        <w:t>List of Tables</w:t>
      </w:r>
      <w:bookmarkEnd w:id="2"/>
    </w:p>
    <w:p w14:paraId="0A66AC64" w14:textId="77777777" w:rsidR="001B0E9A" w:rsidRDefault="00D33045">
      <w:pPr>
        <w:pStyle w:val="TableofFigures"/>
        <w:tabs>
          <w:tab w:val="right" w:leader="dot" w:pos="9010"/>
        </w:tabs>
        <w:rPr>
          <w:rFonts w:asciiTheme="minorHAnsi" w:eastAsiaTheme="minorEastAsia" w:hAnsiTheme="minorHAnsi"/>
          <w:noProof/>
          <w:sz w:val="22"/>
          <w:szCs w:val="22"/>
          <w:lang w:eastAsia="en-AU"/>
        </w:rPr>
      </w:pPr>
      <w:r>
        <w:rPr>
          <w:lang w:val="en-US"/>
        </w:rPr>
        <w:fldChar w:fldCharType="begin"/>
      </w:r>
      <w:r>
        <w:rPr>
          <w:lang w:val="en-US"/>
        </w:rPr>
        <w:instrText xml:space="preserve"> TOC \h \z \c "Table" </w:instrText>
      </w:r>
      <w:r>
        <w:rPr>
          <w:lang w:val="en-US"/>
        </w:rPr>
        <w:fldChar w:fldCharType="separate"/>
      </w:r>
      <w:hyperlink w:anchor="_Toc503780741" w:history="1">
        <w:r w:rsidR="001B0E9A" w:rsidRPr="00D9658D">
          <w:rPr>
            <w:rStyle w:val="Hyperlink"/>
            <w:noProof/>
          </w:rPr>
          <w:t>Table 1. Equivalent Years of Learning (EYL) for each estimated mean numeracy and reading NSS by developmental vulnerability status.</w:t>
        </w:r>
        <w:r w:rsidR="001B0E9A">
          <w:rPr>
            <w:noProof/>
            <w:webHidden/>
          </w:rPr>
          <w:tab/>
        </w:r>
        <w:r w:rsidR="001B0E9A">
          <w:rPr>
            <w:noProof/>
            <w:webHidden/>
          </w:rPr>
          <w:fldChar w:fldCharType="begin"/>
        </w:r>
        <w:r w:rsidR="001B0E9A">
          <w:rPr>
            <w:noProof/>
            <w:webHidden/>
          </w:rPr>
          <w:instrText xml:space="preserve"> PAGEREF _Toc503780741 \h </w:instrText>
        </w:r>
        <w:r w:rsidR="001B0E9A">
          <w:rPr>
            <w:noProof/>
            <w:webHidden/>
          </w:rPr>
        </w:r>
        <w:r w:rsidR="001B0E9A">
          <w:rPr>
            <w:noProof/>
            <w:webHidden/>
          </w:rPr>
          <w:fldChar w:fldCharType="separate"/>
        </w:r>
        <w:r w:rsidR="004C27B3">
          <w:rPr>
            <w:noProof/>
            <w:webHidden/>
          </w:rPr>
          <w:t>19</w:t>
        </w:r>
        <w:r w:rsidR="001B0E9A">
          <w:rPr>
            <w:noProof/>
            <w:webHidden/>
          </w:rPr>
          <w:fldChar w:fldCharType="end"/>
        </w:r>
      </w:hyperlink>
    </w:p>
    <w:p w14:paraId="1FF01BFF"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2" w:history="1">
        <w:r w:rsidR="001B0E9A" w:rsidRPr="00D9658D">
          <w:rPr>
            <w:rStyle w:val="Hyperlink"/>
            <w:noProof/>
          </w:rPr>
          <w:t>Table 2. Demographic characteristics of the four developmental groups: numeracy.</w:t>
        </w:r>
        <w:r w:rsidR="001B0E9A">
          <w:rPr>
            <w:noProof/>
            <w:webHidden/>
          </w:rPr>
          <w:tab/>
        </w:r>
        <w:r w:rsidR="001B0E9A">
          <w:rPr>
            <w:noProof/>
            <w:webHidden/>
          </w:rPr>
          <w:fldChar w:fldCharType="begin"/>
        </w:r>
        <w:r w:rsidR="001B0E9A">
          <w:rPr>
            <w:noProof/>
            <w:webHidden/>
          </w:rPr>
          <w:instrText xml:space="preserve"> PAGEREF _Toc503780742 \h </w:instrText>
        </w:r>
        <w:r w:rsidR="001B0E9A">
          <w:rPr>
            <w:noProof/>
            <w:webHidden/>
          </w:rPr>
        </w:r>
        <w:r w:rsidR="001B0E9A">
          <w:rPr>
            <w:noProof/>
            <w:webHidden/>
          </w:rPr>
          <w:fldChar w:fldCharType="separate"/>
        </w:r>
        <w:r w:rsidR="004C27B3">
          <w:rPr>
            <w:noProof/>
            <w:webHidden/>
          </w:rPr>
          <w:t>22</w:t>
        </w:r>
        <w:r w:rsidR="001B0E9A">
          <w:rPr>
            <w:noProof/>
            <w:webHidden/>
          </w:rPr>
          <w:fldChar w:fldCharType="end"/>
        </w:r>
      </w:hyperlink>
    </w:p>
    <w:p w14:paraId="596ECACB"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3" w:history="1">
        <w:r w:rsidR="001B0E9A" w:rsidRPr="00D9658D">
          <w:rPr>
            <w:rStyle w:val="Hyperlink"/>
            <w:noProof/>
          </w:rPr>
          <w:t>Table 3. Demographic characteristics of the four developmental groups: reading.</w:t>
        </w:r>
        <w:r w:rsidR="001B0E9A">
          <w:rPr>
            <w:noProof/>
            <w:webHidden/>
          </w:rPr>
          <w:tab/>
        </w:r>
        <w:r w:rsidR="001B0E9A">
          <w:rPr>
            <w:noProof/>
            <w:webHidden/>
          </w:rPr>
          <w:fldChar w:fldCharType="begin"/>
        </w:r>
        <w:r w:rsidR="001B0E9A">
          <w:rPr>
            <w:noProof/>
            <w:webHidden/>
          </w:rPr>
          <w:instrText xml:space="preserve"> PAGEREF _Toc503780743 \h </w:instrText>
        </w:r>
        <w:r w:rsidR="001B0E9A">
          <w:rPr>
            <w:noProof/>
            <w:webHidden/>
          </w:rPr>
        </w:r>
        <w:r w:rsidR="001B0E9A">
          <w:rPr>
            <w:noProof/>
            <w:webHidden/>
          </w:rPr>
          <w:fldChar w:fldCharType="separate"/>
        </w:r>
        <w:r w:rsidR="004C27B3">
          <w:rPr>
            <w:noProof/>
            <w:webHidden/>
          </w:rPr>
          <w:t>23</w:t>
        </w:r>
        <w:r w:rsidR="001B0E9A">
          <w:rPr>
            <w:noProof/>
            <w:webHidden/>
          </w:rPr>
          <w:fldChar w:fldCharType="end"/>
        </w:r>
      </w:hyperlink>
    </w:p>
    <w:p w14:paraId="0A66C0B1"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4" w:history="1">
        <w:r w:rsidR="001B0E9A" w:rsidRPr="00D9658D">
          <w:rPr>
            <w:rStyle w:val="Hyperlink"/>
            <w:noProof/>
          </w:rPr>
          <w:t>Table 4. Likelihood of student disengagement in Year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_Toc503780744 \h </w:instrText>
        </w:r>
        <w:r w:rsidR="001B0E9A">
          <w:rPr>
            <w:noProof/>
            <w:webHidden/>
          </w:rPr>
        </w:r>
        <w:r w:rsidR="001B0E9A">
          <w:rPr>
            <w:noProof/>
            <w:webHidden/>
          </w:rPr>
          <w:fldChar w:fldCharType="separate"/>
        </w:r>
        <w:r w:rsidR="004C27B3">
          <w:rPr>
            <w:noProof/>
            <w:webHidden/>
          </w:rPr>
          <w:t>25</w:t>
        </w:r>
        <w:r w:rsidR="001B0E9A">
          <w:rPr>
            <w:noProof/>
            <w:webHidden/>
          </w:rPr>
          <w:fldChar w:fldCharType="end"/>
        </w:r>
      </w:hyperlink>
    </w:p>
    <w:p w14:paraId="22FAEBD8"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5" w:history="1">
        <w:r w:rsidR="001B0E9A" w:rsidRPr="00D9658D">
          <w:rPr>
            <w:rStyle w:val="Hyperlink"/>
            <w:noProof/>
          </w:rPr>
          <w:t>Table 5. Likelihood of emotional problems in Year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_Toc503780745 \h </w:instrText>
        </w:r>
        <w:r w:rsidR="001B0E9A">
          <w:rPr>
            <w:noProof/>
            <w:webHidden/>
          </w:rPr>
        </w:r>
        <w:r w:rsidR="001B0E9A">
          <w:rPr>
            <w:noProof/>
            <w:webHidden/>
          </w:rPr>
          <w:fldChar w:fldCharType="separate"/>
        </w:r>
        <w:r w:rsidR="004C27B3">
          <w:rPr>
            <w:noProof/>
            <w:webHidden/>
          </w:rPr>
          <w:t>29</w:t>
        </w:r>
        <w:r w:rsidR="001B0E9A">
          <w:rPr>
            <w:noProof/>
            <w:webHidden/>
          </w:rPr>
          <w:fldChar w:fldCharType="end"/>
        </w:r>
      </w:hyperlink>
    </w:p>
    <w:p w14:paraId="0F367106"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6" w:history="1">
        <w:r w:rsidR="001B0E9A" w:rsidRPr="00D9658D">
          <w:rPr>
            <w:rStyle w:val="Hyperlink"/>
            <w:noProof/>
          </w:rPr>
          <w:t>Table 6. Likelihood of behaviour problems in Year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_Toc503780746 \h </w:instrText>
        </w:r>
        <w:r w:rsidR="001B0E9A">
          <w:rPr>
            <w:noProof/>
            <w:webHidden/>
          </w:rPr>
        </w:r>
        <w:r w:rsidR="001B0E9A">
          <w:rPr>
            <w:noProof/>
            <w:webHidden/>
          </w:rPr>
          <w:fldChar w:fldCharType="separate"/>
        </w:r>
        <w:r w:rsidR="004C27B3">
          <w:rPr>
            <w:noProof/>
            <w:webHidden/>
          </w:rPr>
          <w:t>29</w:t>
        </w:r>
        <w:r w:rsidR="001B0E9A">
          <w:rPr>
            <w:noProof/>
            <w:webHidden/>
          </w:rPr>
          <w:fldChar w:fldCharType="end"/>
        </w:r>
      </w:hyperlink>
    </w:p>
    <w:p w14:paraId="369AA575"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7" w:history="1">
        <w:r w:rsidR="001B0E9A" w:rsidRPr="00D9658D">
          <w:rPr>
            <w:rStyle w:val="Hyperlink"/>
            <w:noProof/>
          </w:rPr>
          <w:t>Table 7. Likelihood of low subjective wellbeing in Year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_Toc503780747 \h </w:instrText>
        </w:r>
        <w:r w:rsidR="001B0E9A">
          <w:rPr>
            <w:noProof/>
            <w:webHidden/>
          </w:rPr>
        </w:r>
        <w:r w:rsidR="001B0E9A">
          <w:rPr>
            <w:noProof/>
            <w:webHidden/>
          </w:rPr>
          <w:fldChar w:fldCharType="separate"/>
        </w:r>
        <w:r w:rsidR="004C27B3">
          <w:rPr>
            <w:noProof/>
            <w:webHidden/>
          </w:rPr>
          <w:t>30</w:t>
        </w:r>
        <w:r w:rsidR="001B0E9A">
          <w:rPr>
            <w:noProof/>
            <w:webHidden/>
          </w:rPr>
          <w:fldChar w:fldCharType="end"/>
        </w:r>
      </w:hyperlink>
    </w:p>
    <w:p w14:paraId="65CA4EC5"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8" w:history="1">
        <w:r w:rsidR="001B0E9A" w:rsidRPr="00D9658D">
          <w:rPr>
            <w:rStyle w:val="Hyperlink"/>
            <w:noProof/>
          </w:rPr>
          <w:t>Table 8. Estimated likelihood of peer support in Year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_Toc503780748 \h </w:instrText>
        </w:r>
        <w:r w:rsidR="001B0E9A">
          <w:rPr>
            <w:noProof/>
            <w:webHidden/>
          </w:rPr>
        </w:r>
        <w:r w:rsidR="001B0E9A">
          <w:rPr>
            <w:noProof/>
            <w:webHidden/>
          </w:rPr>
          <w:fldChar w:fldCharType="separate"/>
        </w:r>
        <w:r w:rsidR="004C27B3">
          <w:rPr>
            <w:noProof/>
            <w:webHidden/>
          </w:rPr>
          <w:t>33</w:t>
        </w:r>
        <w:r w:rsidR="001B0E9A">
          <w:rPr>
            <w:noProof/>
            <w:webHidden/>
          </w:rPr>
          <w:fldChar w:fldCharType="end"/>
        </w:r>
      </w:hyperlink>
    </w:p>
    <w:p w14:paraId="1D3CD088"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49" w:history="1">
        <w:r w:rsidR="001B0E9A" w:rsidRPr="00D9658D">
          <w:rPr>
            <w:rStyle w:val="Hyperlink"/>
            <w:noProof/>
          </w:rPr>
          <w:t>Table 9. Estimated likelihood of bullying in Year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_Toc503780749 \h </w:instrText>
        </w:r>
        <w:r w:rsidR="001B0E9A">
          <w:rPr>
            <w:noProof/>
            <w:webHidden/>
          </w:rPr>
        </w:r>
        <w:r w:rsidR="001B0E9A">
          <w:rPr>
            <w:noProof/>
            <w:webHidden/>
          </w:rPr>
          <w:fldChar w:fldCharType="separate"/>
        </w:r>
        <w:r w:rsidR="004C27B3">
          <w:rPr>
            <w:noProof/>
            <w:webHidden/>
          </w:rPr>
          <w:t>33</w:t>
        </w:r>
        <w:r w:rsidR="001B0E9A">
          <w:rPr>
            <w:noProof/>
            <w:webHidden/>
          </w:rPr>
          <w:fldChar w:fldCharType="end"/>
        </w:r>
      </w:hyperlink>
    </w:p>
    <w:p w14:paraId="4118B9A3"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0" w:history="1">
        <w:r w:rsidR="001B0E9A" w:rsidRPr="00D9658D">
          <w:rPr>
            <w:rStyle w:val="Hyperlink"/>
            <w:noProof/>
          </w:rPr>
          <w:t>Table 10. Effect of developmental vulnerabilities at school entry on middle years indicators of wellbeing, engagement and peer relationships.</w:t>
        </w:r>
        <w:r w:rsidR="001B0E9A">
          <w:rPr>
            <w:noProof/>
            <w:webHidden/>
          </w:rPr>
          <w:tab/>
        </w:r>
        <w:r w:rsidR="001B0E9A">
          <w:rPr>
            <w:noProof/>
            <w:webHidden/>
          </w:rPr>
          <w:fldChar w:fldCharType="begin"/>
        </w:r>
        <w:r w:rsidR="001B0E9A">
          <w:rPr>
            <w:noProof/>
            <w:webHidden/>
          </w:rPr>
          <w:instrText xml:space="preserve"> PAGEREF _Toc503780750 \h </w:instrText>
        </w:r>
        <w:r w:rsidR="001B0E9A">
          <w:rPr>
            <w:noProof/>
            <w:webHidden/>
          </w:rPr>
        </w:r>
        <w:r w:rsidR="001B0E9A">
          <w:rPr>
            <w:noProof/>
            <w:webHidden/>
          </w:rPr>
          <w:fldChar w:fldCharType="separate"/>
        </w:r>
        <w:r w:rsidR="004C27B3">
          <w:rPr>
            <w:noProof/>
            <w:webHidden/>
          </w:rPr>
          <w:t>35</w:t>
        </w:r>
        <w:r w:rsidR="001B0E9A">
          <w:rPr>
            <w:noProof/>
            <w:webHidden/>
          </w:rPr>
          <w:fldChar w:fldCharType="end"/>
        </w:r>
      </w:hyperlink>
    </w:p>
    <w:p w14:paraId="6C967FF3"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1" w:history="1">
        <w:r w:rsidR="001B0E9A" w:rsidRPr="00D9658D">
          <w:rPr>
            <w:rStyle w:val="Hyperlink"/>
            <w:noProof/>
          </w:rPr>
          <w:t>Table 11. Results of separate logistic regression models predicting non-attainment of the Year 7 numeracy threshold with predictors: DV (Step 1), middle years indicator (Step 2), and DV and middle years indicator together (Step 3).</w:t>
        </w:r>
        <w:r w:rsidR="001B0E9A">
          <w:rPr>
            <w:noProof/>
            <w:webHidden/>
          </w:rPr>
          <w:tab/>
        </w:r>
        <w:r w:rsidR="001B0E9A">
          <w:rPr>
            <w:noProof/>
            <w:webHidden/>
          </w:rPr>
          <w:fldChar w:fldCharType="begin"/>
        </w:r>
        <w:r w:rsidR="001B0E9A">
          <w:rPr>
            <w:noProof/>
            <w:webHidden/>
          </w:rPr>
          <w:instrText xml:space="preserve"> PAGEREF _Toc503780751 \h </w:instrText>
        </w:r>
        <w:r w:rsidR="001B0E9A">
          <w:rPr>
            <w:noProof/>
            <w:webHidden/>
          </w:rPr>
        </w:r>
        <w:r w:rsidR="001B0E9A">
          <w:rPr>
            <w:noProof/>
            <w:webHidden/>
          </w:rPr>
          <w:fldChar w:fldCharType="separate"/>
        </w:r>
        <w:r w:rsidR="004C27B3">
          <w:rPr>
            <w:noProof/>
            <w:webHidden/>
          </w:rPr>
          <w:t>36</w:t>
        </w:r>
        <w:r w:rsidR="001B0E9A">
          <w:rPr>
            <w:noProof/>
            <w:webHidden/>
          </w:rPr>
          <w:fldChar w:fldCharType="end"/>
        </w:r>
      </w:hyperlink>
    </w:p>
    <w:p w14:paraId="64B77008"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2" w:history="1">
        <w:r w:rsidR="001B0E9A" w:rsidRPr="00D9658D">
          <w:rPr>
            <w:rStyle w:val="Hyperlink"/>
            <w:noProof/>
          </w:rPr>
          <w:t>Table 12. Outline of measures (Waves 1-5).</w:t>
        </w:r>
        <w:r w:rsidR="001B0E9A">
          <w:rPr>
            <w:noProof/>
            <w:webHidden/>
          </w:rPr>
          <w:tab/>
        </w:r>
        <w:r w:rsidR="001B0E9A">
          <w:rPr>
            <w:noProof/>
            <w:webHidden/>
          </w:rPr>
          <w:fldChar w:fldCharType="begin"/>
        </w:r>
        <w:r w:rsidR="001B0E9A">
          <w:rPr>
            <w:noProof/>
            <w:webHidden/>
          </w:rPr>
          <w:instrText xml:space="preserve"> PAGEREF _Toc503780752 \h </w:instrText>
        </w:r>
        <w:r w:rsidR="001B0E9A">
          <w:rPr>
            <w:noProof/>
            <w:webHidden/>
          </w:rPr>
        </w:r>
        <w:r w:rsidR="001B0E9A">
          <w:rPr>
            <w:noProof/>
            <w:webHidden/>
          </w:rPr>
          <w:fldChar w:fldCharType="separate"/>
        </w:r>
        <w:r w:rsidR="004C27B3">
          <w:rPr>
            <w:noProof/>
            <w:webHidden/>
          </w:rPr>
          <w:t>42</w:t>
        </w:r>
        <w:r w:rsidR="001B0E9A">
          <w:rPr>
            <w:noProof/>
            <w:webHidden/>
          </w:rPr>
          <w:fldChar w:fldCharType="end"/>
        </w:r>
      </w:hyperlink>
    </w:p>
    <w:p w14:paraId="6C51CC54"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3" w:history="1">
        <w:r w:rsidR="001B0E9A" w:rsidRPr="00D9658D">
          <w:rPr>
            <w:rStyle w:val="Hyperlink"/>
            <w:noProof/>
          </w:rPr>
          <w:t>Table 13. Overview of study participants at baseline.</w:t>
        </w:r>
        <w:r w:rsidR="001B0E9A">
          <w:rPr>
            <w:noProof/>
            <w:webHidden/>
          </w:rPr>
          <w:tab/>
        </w:r>
        <w:r w:rsidR="001B0E9A">
          <w:rPr>
            <w:noProof/>
            <w:webHidden/>
          </w:rPr>
          <w:fldChar w:fldCharType="begin"/>
        </w:r>
        <w:r w:rsidR="001B0E9A">
          <w:rPr>
            <w:noProof/>
            <w:webHidden/>
          </w:rPr>
          <w:instrText xml:space="preserve"> PAGEREF _Toc503780753 \h </w:instrText>
        </w:r>
        <w:r w:rsidR="001B0E9A">
          <w:rPr>
            <w:noProof/>
            <w:webHidden/>
          </w:rPr>
        </w:r>
        <w:r w:rsidR="001B0E9A">
          <w:rPr>
            <w:noProof/>
            <w:webHidden/>
          </w:rPr>
          <w:fldChar w:fldCharType="separate"/>
        </w:r>
        <w:r w:rsidR="004C27B3">
          <w:rPr>
            <w:noProof/>
            <w:webHidden/>
          </w:rPr>
          <w:t>44</w:t>
        </w:r>
        <w:r w:rsidR="001B0E9A">
          <w:rPr>
            <w:noProof/>
            <w:webHidden/>
          </w:rPr>
          <w:fldChar w:fldCharType="end"/>
        </w:r>
      </w:hyperlink>
    </w:p>
    <w:p w14:paraId="1918A229"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4" w:history="1">
        <w:r w:rsidR="001B0E9A" w:rsidRPr="00D9658D">
          <w:rPr>
            <w:rStyle w:val="Hyperlink"/>
            <w:noProof/>
          </w:rPr>
          <w:t>Table 14. Amount of observed data for key variables included in this report.</w:t>
        </w:r>
        <w:r w:rsidR="001B0E9A">
          <w:rPr>
            <w:noProof/>
            <w:webHidden/>
          </w:rPr>
          <w:tab/>
        </w:r>
        <w:r w:rsidR="001B0E9A">
          <w:rPr>
            <w:noProof/>
            <w:webHidden/>
          </w:rPr>
          <w:fldChar w:fldCharType="begin"/>
        </w:r>
        <w:r w:rsidR="001B0E9A">
          <w:rPr>
            <w:noProof/>
            <w:webHidden/>
          </w:rPr>
          <w:instrText xml:space="preserve"> PAGEREF _Toc503780754 \h </w:instrText>
        </w:r>
        <w:r w:rsidR="001B0E9A">
          <w:rPr>
            <w:noProof/>
            <w:webHidden/>
          </w:rPr>
        </w:r>
        <w:r w:rsidR="001B0E9A">
          <w:rPr>
            <w:noProof/>
            <w:webHidden/>
          </w:rPr>
          <w:fldChar w:fldCharType="separate"/>
        </w:r>
        <w:r w:rsidR="004C27B3">
          <w:rPr>
            <w:noProof/>
            <w:webHidden/>
          </w:rPr>
          <w:t>51</w:t>
        </w:r>
        <w:r w:rsidR="001B0E9A">
          <w:rPr>
            <w:noProof/>
            <w:webHidden/>
          </w:rPr>
          <w:fldChar w:fldCharType="end"/>
        </w:r>
      </w:hyperlink>
    </w:p>
    <w:p w14:paraId="6111CB3F"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5" w:history="1">
        <w:r w:rsidR="001B0E9A" w:rsidRPr="00D9658D">
          <w:rPr>
            <w:rStyle w:val="Hyperlink"/>
            <w:noProof/>
          </w:rPr>
          <w:t>Table 15. List of variables included in the imputation procedure.</w:t>
        </w:r>
        <w:r w:rsidR="001B0E9A">
          <w:rPr>
            <w:noProof/>
            <w:webHidden/>
          </w:rPr>
          <w:tab/>
        </w:r>
        <w:r w:rsidR="001B0E9A">
          <w:rPr>
            <w:noProof/>
            <w:webHidden/>
          </w:rPr>
          <w:fldChar w:fldCharType="begin"/>
        </w:r>
        <w:r w:rsidR="001B0E9A">
          <w:rPr>
            <w:noProof/>
            <w:webHidden/>
          </w:rPr>
          <w:instrText xml:space="preserve"> PAGEREF _Toc503780755 \h </w:instrText>
        </w:r>
        <w:r w:rsidR="001B0E9A">
          <w:rPr>
            <w:noProof/>
            <w:webHidden/>
          </w:rPr>
        </w:r>
        <w:r w:rsidR="001B0E9A">
          <w:rPr>
            <w:noProof/>
            <w:webHidden/>
          </w:rPr>
          <w:fldChar w:fldCharType="separate"/>
        </w:r>
        <w:r w:rsidR="004C27B3">
          <w:rPr>
            <w:noProof/>
            <w:webHidden/>
          </w:rPr>
          <w:t>53</w:t>
        </w:r>
        <w:r w:rsidR="001B0E9A">
          <w:rPr>
            <w:noProof/>
            <w:webHidden/>
          </w:rPr>
          <w:fldChar w:fldCharType="end"/>
        </w:r>
      </w:hyperlink>
    </w:p>
    <w:p w14:paraId="02AF0D40"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6" w:history="1">
        <w:r w:rsidR="001B0E9A" w:rsidRPr="00D9658D">
          <w:rPr>
            <w:rStyle w:val="Hyperlink"/>
            <w:noProof/>
          </w:rPr>
          <w:t>Table 16. List of outcome variables used in regression analyses - part one.</w:t>
        </w:r>
        <w:r w:rsidR="001B0E9A">
          <w:rPr>
            <w:noProof/>
            <w:webHidden/>
          </w:rPr>
          <w:tab/>
        </w:r>
        <w:r w:rsidR="001B0E9A">
          <w:rPr>
            <w:noProof/>
            <w:webHidden/>
          </w:rPr>
          <w:fldChar w:fldCharType="begin"/>
        </w:r>
        <w:r w:rsidR="001B0E9A">
          <w:rPr>
            <w:noProof/>
            <w:webHidden/>
          </w:rPr>
          <w:instrText xml:space="preserve"> PAGEREF _Toc503780756 \h </w:instrText>
        </w:r>
        <w:r w:rsidR="001B0E9A">
          <w:rPr>
            <w:noProof/>
            <w:webHidden/>
          </w:rPr>
        </w:r>
        <w:r w:rsidR="001B0E9A">
          <w:rPr>
            <w:noProof/>
            <w:webHidden/>
          </w:rPr>
          <w:fldChar w:fldCharType="separate"/>
        </w:r>
        <w:r w:rsidR="004C27B3">
          <w:rPr>
            <w:noProof/>
            <w:webHidden/>
          </w:rPr>
          <w:t>54</w:t>
        </w:r>
        <w:r w:rsidR="001B0E9A">
          <w:rPr>
            <w:noProof/>
            <w:webHidden/>
          </w:rPr>
          <w:fldChar w:fldCharType="end"/>
        </w:r>
      </w:hyperlink>
    </w:p>
    <w:p w14:paraId="109C102B"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7" w:history="1">
        <w:r w:rsidR="001B0E9A" w:rsidRPr="00D9658D">
          <w:rPr>
            <w:rStyle w:val="Hyperlink"/>
            <w:noProof/>
          </w:rPr>
          <w:t>Table 17. List of indicator variables used in regression analyses - parts two and three.</w:t>
        </w:r>
        <w:r w:rsidR="001B0E9A">
          <w:rPr>
            <w:noProof/>
            <w:webHidden/>
          </w:rPr>
          <w:tab/>
        </w:r>
        <w:r w:rsidR="001B0E9A">
          <w:rPr>
            <w:noProof/>
            <w:webHidden/>
          </w:rPr>
          <w:fldChar w:fldCharType="begin"/>
        </w:r>
        <w:r w:rsidR="001B0E9A">
          <w:rPr>
            <w:noProof/>
            <w:webHidden/>
          </w:rPr>
          <w:instrText xml:space="preserve"> PAGEREF _Toc503780757 \h </w:instrText>
        </w:r>
        <w:r w:rsidR="001B0E9A">
          <w:rPr>
            <w:noProof/>
            <w:webHidden/>
          </w:rPr>
        </w:r>
        <w:r w:rsidR="001B0E9A">
          <w:rPr>
            <w:noProof/>
            <w:webHidden/>
          </w:rPr>
          <w:fldChar w:fldCharType="separate"/>
        </w:r>
        <w:r w:rsidR="004C27B3">
          <w:rPr>
            <w:noProof/>
            <w:webHidden/>
          </w:rPr>
          <w:t>54</w:t>
        </w:r>
        <w:r w:rsidR="001B0E9A">
          <w:rPr>
            <w:noProof/>
            <w:webHidden/>
          </w:rPr>
          <w:fldChar w:fldCharType="end"/>
        </w:r>
      </w:hyperlink>
    </w:p>
    <w:p w14:paraId="4E24F2C7"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8" w:history="1">
        <w:r w:rsidR="001B0E9A" w:rsidRPr="00D9658D">
          <w:rPr>
            <w:rStyle w:val="Hyperlink"/>
            <w:noProof/>
          </w:rPr>
          <w:t>Table 18. Proportion of CATS participants that are vulnerable on each AEDC domain.</w:t>
        </w:r>
        <w:r w:rsidR="001B0E9A">
          <w:rPr>
            <w:noProof/>
            <w:webHidden/>
          </w:rPr>
          <w:tab/>
        </w:r>
        <w:r w:rsidR="001B0E9A">
          <w:rPr>
            <w:noProof/>
            <w:webHidden/>
          </w:rPr>
          <w:fldChar w:fldCharType="begin"/>
        </w:r>
        <w:r w:rsidR="001B0E9A">
          <w:rPr>
            <w:noProof/>
            <w:webHidden/>
          </w:rPr>
          <w:instrText xml:space="preserve"> PAGEREF _Toc503780758 \h </w:instrText>
        </w:r>
        <w:r w:rsidR="001B0E9A">
          <w:rPr>
            <w:noProof/>
            <w:webHidden/>
          </w:rPr>
        </w:r>
        <w:r w:rsidR="001B0E9A">
          <w:rPr>
            <w:noProof/>
            <w:webHidden/>
          </w:rPr>
          <w:fldChar w:fldCharType="separate"/>
        </w:r>
        <w:r w:rsidR="004C27B3">
          <w:rPr>
            <w:noProof/>
            <w:webHidden/>
          </w:rPr>
          <w:t>55</w:t>
        </w:r>
        <w:r w:rsidR="001B0E9A">
          <w:rPr>
            <w:noProof/>
            <w:webHidden/>
          </w:rPr>
          <w:fldChar w:fldCharType="end"/>
        </w:r>
      </w:hyperlink>
    </w:p>
    <w:p w14:paraId="7A828CC3"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59" w:history="1">
        <w:r w:rsidR="001B0E9A" w:rsidRPr="00D9658D">
          <w:rPr>
            <w:rStyle w:val="Hyperlink"/>
            <w:noProof/>
          </w:rPr>
          <w:t>Table 19. Proportion of CATS participants that are vulnerable on 0, 1, 2, 3, 4 or 5 domains.</w:t>
        </w:r>
        <w:r w:rsidR="001B0E9A">
          <w:rPr>
            <w:noProof/>
            <w:webHidden/>
          </w:rPr>
          <w:tab/>
        </w:r>
        <w:r w:rsidR="001B0E9A">
          <w:rPr>
            <w:noProof/>
            <w:webHidden/>
          </w:rPr>
          <w:fldChar w:fldCharType="begin"/>
        </w:r>
        <w:r w:rsidR="001B0E9A">
          <w:rPr>
            <w:noProof/>
            <w:webHidden/>
          </w:rPr>
          <w:instrText xml:space="preserve"> PAGEREF _Toc503780759 \h </w:instrText>
        </w:r>
        <w:r w:rsidR="001B0E9A">
          <w:rPr>
            <w:noProof/>
            <w:webHidden/>
          </w:rPr>
        </w:r>
        <w:r w:rsidR="001B0E9A">
          <w:rPr>
            <w:noProof/>
            <w:webHidden/>
          </w:rPr>
          <w:fldChar w:fldCharType="separate"/>
        </w:r>
        <w:r w:rsidR="004C27B3">
          <w:rPr>
            <w:noProof/>
            <w:webHidden/>
          </w:rPr>
          <w:t>55</w:t>
        </w:r>
        <w:r w:rsidR="001B0E9A">
          <w:rPr>
            <w:noProof/>
            <w:webHidden/>
          </w:rPr>
          <w:fldChar w:fldCharType="end"/>
        </w:r>
      </w:hyperlink>
    </w:p>
    <w:p w14:paraId="7D5F1830"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0" w:history="1">
        <w:r w:rsidR="001B0E9A" w:rsidRPr="00D9658D">
          <w:rPr>
            <w:rStyle w:val="Hyperlink"/>
            <w:noProof/>
          </w:rPr>
          <w:t>Table 20. Characteristics of the developmentally vulnerable group.</w:t>
        </w:r>
        <w:r w:rsidR="001B0E9A">
          <w:rPr>
            <w:noProof/>
            <w:webHidden/>
          </w:rPr>
          <w:tab/>
        </w:r>
        <w:r w:rsidR="001B0E9A">
          <w:rPr>
            <w:noProof/>
            <w:webHidden/>
          </w:rPr>
          <w:fldChar w:fldCharType="begin"/>
        </w:r>
        <w:r w:rsidR="001B0E9A">
          <w:rPr>
            <w:noProof/>
            <w:webHidden/>
          </w:rPr>
          <w:instrText xml:space="preserve"> PAGEREF _Toc503780760 \h </w:instrText>
        </w:r>
        <w:r w:rsidR="001B0E9A">
          <w:rPr>
            <w:noProof/>
            <w:webHidden/>
          </w:rPr>
        </w:r>
        <w:r w:rsidR="001B0E9A">
          <w:rPr>
            <w:noProof/>
            <w:webHidden/>
          </w:rPr>
          <w:fldChar w:fldCharType="separate"/>
        </w:r>
        <w:r w:rsidR="004C27B3">
          <w:rPr>
            <w:noProof/>
            <w:webHidden/>
          </w:rPr>
          <w:t>56</w:t>
        </w:r>
        <w:r w:rsidR="001B0E9A">
          <w:rPr>
            <w:noProof/>
            <w:webHidden/>
          </w:rPr>
          <w:fldChar w:fldCharType="end"/>
        </w:r>
      </w:hyperlink>
    </w:p>
    <w:p w14:paraId="442FD350"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1" w:history="1">
        <w:r w:rsidR="001B0E9A" w:rsidRPr="00D9658D">
          <w:rPr>
            <w:rStyle w:val="Hyperlink"/>
            <w:noProof/>
          </w:rPr>
          <w:t>Table 21. Spearman correlations between AEDC domains.</w:t>
        </w:r>
        <w:r w:rsidR="001B0E9A">
          <w:rPr>
            <w:noProof/>
            <w:webHidden/>
          </w:rPr>
          <w:tab/>
        </w:r>
        <w:r w:rsidR="001B0E9A">
          <w:rPr>
            <w:noProof/>
            <w:webHidden/>
          </w:rPr>
          <w:fldChar w:fldCharType="begin"/>
        </w:r>
        <w:r w:rsidR="001B0E9A">
          <w:rPr>
            <w:noProof/>
            <w:webHidden/>
          </w:rPr>
          <w:instrText xml:space="preserve"> PAGEREF _Toc503780761 \h </w:instrText>
        </w:r>
        <w:r w:rsidR="001B0E9A">
          <w:rPr>
            <w:noProof/>
            <w:webHidden/>
          </w:rPr>
        </w:r>
        <w:r w:rsidR="001B0E9A">
          <w:rPr>
            <w:noProof/>
            <w:webHidden/>
          </w:rPr>
          <w:fldChar w:fldCharType="separate"/>
        </w:r>
        <w:r w:rsidR="004C27B3">
          <w:rPr>
            <w:noProof/>
            <w:webHidden/>
          </w:rPr>
          <w:t>57</w:t>
        </w:r>
        <w:r w:rsidR="001B0E9A">
          <w:rPr>
            <w:noProof/>
            <w:webHidden/>
          </w:rPr>
          <w:fldChar w:fldCharType="end"/>
        </w:r>
      </w:hyperlink>
    </w:p>
    <w:p w14:paraId="79CA70DC"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2" w:history="1">
        <w:r w:rsidR="001B0E9A" w:rsidRPr="00D9658D">
          <w:rPr>
            <w:rStyle w:val="Hyperlink"/>
            <w:noProof/>
          </w:rPr>
          <w:t>Table 22: Mean difference (β coefficient) in numeracy and reading NSS at Years 3, 5 and 7, by developmental vulnerability status</w:t>
        </w:r>
        <w:r w:rsidR="001B0E9A">
          <w:rPr>
            <w:noProof/>
            <w:webHidden/>
          </w:rPr>
          <w:tab/>
        </w:r>
        <w:r w:rsidR="001B0E9A">
          <w:rPr>
            <w:noProof/>
            <w:webHidden/>
          </w:rPr>
          <w:fldChar w:fldCharType="begin"/>
        </w:r>
        <w:r w:rsidR="001B0E9A">
          <w:rPr>
            <w:noProof/>
            <w:webHidden/>
          </w:rPr>
          <w:instrText xml:space="preserve"> PAGEREF _Toc503780762 \h </w:instrText>
        </w:r>
        <w:r w:rsidR="001B0E9A">
          <w:rPr>
            <w:noProof/>
            <w:webHidden/>
          </w:rPr>
        </w:r>
        <w:r w:rsidR="001B0E9A">
          <w:rPr>
            <w:noProof/>
            <w:webHidden/>
          </w:rPr>
          <w:fldChar w:fldCharType="separate"/>
        </w:r>
        <w:r w:rsidR="004C27B3">
          <w:rPr>
            <w:noProof/>
            <w:webHidden/>
          </w:rPr>
          <w:t>58</w:t>
        </w:r>
        <w:r w:rsidR="001B0E9A">
          <w:rPr>
            <w:noProof/>
            <w:webHidden/>
          </w:rPr>
          <w:fldChar w:fldCharType="end"/>
        </w:r>
      </w:hyperlink>
    </w:p>
    <w:p w14:paraId="6658AF17"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3" w:history="1">
        <w:r w:rsidR="001B0E9A" w:rsidRPr="00D9658D">
          <w:rPr>
            <w:rStyle w:val="Hyperlink"/>
            <w:noProof/>
          </w:rPr>
          <w:t>Table 23: Likelihood of student disengagement in Year 4, 5, 6 and 7 associated with developmental vulnerability status (unadjusted).</w:t>
        </w:r>
        <w:r w:rsidR="001B0E9A">
          <w:rPr>
            <w:noProof/>
            <w:webHidden/>
          </w:rPr>
          <w:tab/>
        </w:r>
        <w:r w:rsidR="001B0E9A">
          <w:rPr>
            <w:noProof/>
            <w:webHidden/>
          </w:rPr>
          <w:fldChar w:fldCharType="begin"/>
        </w:r>
        <w:r w:rsidR="001B0E9A">
          <w:rPr>
            <w:noProof/>
            <w:webHidden/>
          </w:rPr>
          <w:instrText xml:space="preserve"> PAGEREF _Toc503780763 \h </w:instrText>
        </w:r>
        <w:r w:rsidR="001B0E9A">
          <w:rPr>
            <w:noProof/>
            <w:webHidden/>
          </w:rPr>
        </w:r>
        <w:r w:rsidR="001B0E9A">
          <w:rPr>
            <w:noProof/>
            <w:webHidden/>
          </w:rPr>
          <w:fldChar w:fldCharType="separate"/>
        </w:r>
        <w:r w:rsidR="004C27B3">
          <w:rPr>
            <w:noProof/>
            <w:webHidden/>
          </w:rPr>
          <w:t>58</w:t>
        </w:r>
        <w:r w:rsidR="001B0E9A">
          <w:rPr>
            <w:noProof/>
            <w:webHidden/>
          </w:rPr>
          <w:fldChar w:fldCharType="end"/>
        </w:r>
      </w:hyperlink>
    </w:p>
    <w:p w14:paraId="7341F944"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4" w:history="1">
        <w:r w:rsidR="001B0E9A" w:rsidRPr="00D9658D">
          <w:rPr>
            <w:rStyle w:val="Hyperlink"/>
            <w:noProof/>
          </w:rPr>
          <w:t>Table 24: Likelihood of emotional problems/behaviour problems/low subjective wellbeing in Years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_Toc503780764 \h </w:instrText>
        </w:r>
        <w:r w:rsidR="001B0E9A">
          <w:rPr>
            <w:noProof/>
            <w:webHidden/>
          </w:rPr>
        </w:r>
        <w:r w:rsidR="001B0E9A">
          <w:rPr>
            <w:noProof/>
            <w:webHidden/>
          </w:rPr>
          <w:fldChar w:fldCharType="separate"/>
        </w:r>
        <w:r w:rsidR="004C27B3">
          <w:rPr>
            <w:noProof/>
            <w:webHidden/>
          </w:rPr>
          <w:t>59</w:t>
        </w:r>
        <w:r w:rsidR="001B0E9A">
          <w:rPr>
            <w:noProof/>
            <w:webHidden/>
          </w:rPr>
          <w:fldChar w:fldCharType="end"/>
        </w:r>
      </w:hyperlink>
    </w:p>
    <w:p w14:paraId="4504A5D5" w14:textId="77777777"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5" w:history="1">
        <w:r w:rsidR="001B0E9A" w:rsidRPr="00D9658D">
          <w:rPr>
            <w:rStyle w:val="Hyperlink"/>
            <w:noProof/>
          </w:rPr>
          <w:t>Table 25: Likelihood of peer support/bullying in Years 3, 4, 5, 6 and 7 associated with developmental vulnerability status.</w:t>
        </w:r>
        <w:r w:rsidR="001B0E9A">
          <w:rPr>
            <w:noProof/>
            <w:webHidden/>
          </w:rPr>
          <w:tab/>
        </w:r>
        <w:r w:rsidR="001B0E9A">
          <w:rPr>
            <w:noProof/>
            <w:webHidden/>
          </w:rPr>
          <w:fldChar w:fldCharType="begin"/>
        </w:r>
        <w:r w:rsidR="001B0E9A">
          <w:rPr>
            <w:noProof/>
            <w:webHidden/>
          </w:rPr>
          <w:instrText xml:space="preserve"> PAGEREF _Toc503780765 \h </w:instrText>
        </w:r>
        <w:r w:rsidR="001B0E9A">
          <w:rPr>
            <w:noProof/>
            <w:webHidden/>
          </w:rPr>
        </w:r>
        <w:r w:rsidR="001B0E9A">
          <w:rPr>
            <w:noProof/>
            <w:webHidden/>
          </w:rPr>
          <w:fldChar w:fldCharType="separate"/>
        </w:r>
        <w:r w:rsidR="004C27B3">
          <w:rPr>
            <w:noProof/>
            <w:webHidden/>
          </w:rPr>
          <w:t>61</w:t>
        </w:r>
        <w:r w:rsidR="001B0E9A">
          <w:rPr>
            <w:noProof/>
            <w:webHidden/>
          </w:rPr>
          <w:fldChar w:fldCharType="end"/>
        </w:r>
      </w:hyperlink>
    </w:p>
    <w:p w14:paraId="5E5AA73B" w14:textId="1D0B589F" w:rsidR="001B0E9A" w:rsidRDefault="00403501">
      <w:pPr>
        <w:pStyle w:val="TableofFigures"/>
        <w:tabs>
          <w:tab w:val="right" w:leader="dot" w:pos="9010"/>
        </w:tabs>
        <w:rPr>
          <w:rFonts w:asciiTheme="minorHAnsi" w:eastAsiaTheme="minorEastAsia" w:hAnsiTheme="minorHAnsi"/>
          <w:noProof/>
          <w:sz w:val="22"/>
          <w:szCs w:val="22"/>
          <w:lang w:eastAsia="en-AU"/>
        </w:rPr>
      </w:pPr>
      <w:hyperlink w:anchor="_Toc503780766" w:history="1">
        <w:r w:rsidR="001B0E9A">
          <w:rPr>
            <w:rStyle w:val="Hyperlink"/>
            <w:noProof/>
          </w:rPr>
          <w:t>Table 26:</w:t>
        </w:r>
        <w:r w:rsidR="001B0E9A" w:rsidRPr="00D9658D">
          <w:rPr>
            <w:rStyle w:val="Hyperlink"/>
            <w:noProof/>
          </w:rPr>
          <w:t xml:space="preserve"> Results of separate logistic regression models predicting non-attainment of the Year 7 reading threshold with predictors: DV (Step 1), middle years indicator (Step 2), and DV and middle years indicator together (Step 3).</w:t>
        </w:r>
        <w:r w:rsidR="001B0E9A">
          <w:rPr>
            <w:noProof/>
            <w:webHidden/>
          </w:rPr>
          <w:tab/>
        </w:r>
        <w:r w:rsidR="001B0E9A">
          <w:rPr>
            <w:noProof/>
            <w:webHidden/>
          </w:rPr>
          <w:fldChar w:fldCharType="begin"/>
        </w:r>
        <w:r w:rsidR="001B0E9A">
          <w:rPr>
            <w:noProof/>
            <w:webHidden/>
          </w:rPr>
          <w:instrText xml:space="preserve"> PAGEREF _Toc503780766 \h </w:instrText>
        </w:r>
        <w:r w:rsidR="001B0E9A">
          <w:rPr>
            <w:noProof/>
            <w:webHidden/>
          </w:rPr>
        </w:r>
        <w:r w:rsidR="001B0E9A">
          <w:rPr>
            <w:noProof/>
            <w:webHidden/>
          </w:rPr>
          <w:fldChar w:fldCharType="separate"/>
        </w:r>
        <w:r w:rsidR="004C27B3">
          <w:rPr>
            <w:noProof/>
            <w:webHidden/>
          </w:rPr>
          <w:t>62</w:t>
        </w:r>
        <w:r w:rsidR="001B0E9A">
          <w:rPr>
            <w:noProof/>
            <w:webHidden/>
          </w:rPr>
          <w:fldChar w:fldCharType="end"/>
        </w:r>
      </w:hyperlink>
    </w:p>
    <w:p w14:paraId="615A97DE" w14:textId="254DD273" w:rsidR="00F65D58" w:rsidRPr="00330CAF" w:rsidRDefault="00D33045" w:rsidP="00330CAF">
      <w:pPr>
        <w:rPr>
          <w:lang w:val="en-US"/>
        </w:rPr>
      </w:pPr>
      <w:r>
        <w:rPr>
          <w:lang w:val="en-US"/>
        </w:rPr>
        <w:fldChar w:fldCharType="end"/>
      </w:r>
      <w:r w:rsidR="00F65D58">
        <w:br w:type="page"/>
      </w:r>
    </w:p>
    <w:p w14:paraId="3DC1A9A7" w14:textId="77777777" w:rsidR="00694F83" w:rsidRDefault="00694F83" w:rsidP="0080039C">
      <w:pPr>
        <w:pStyle w:val="Heading1"/>
        <w:spacing w:before="0"/>
      </w:pPr>
      <w:bookmarkStart w:id="3" w:name="_Toc501096686"/>
      <w:bookmarkStart w:id="4" w:name="_Toc501120723"/>
      <w:r>
        <w:t>A</w:t>
      </w:r>
      <w:r w:rsidRPr="00FC46AD">
        <w:t>cknowledgements</w:t>
      </w:r>
      <w:bookmarkEnd w:id="3"/>
      <w:bookmarkEnd w:id="4"/>
    </w:p>
    <w:p w14:paraId="22465CCF" w14:textId="77777777" w:rsidR="00694F83" w:rsidRDefault="00694F83" w:rsidP="0080039C">
      <w:pPr>
        <w:spacing w:after="0"/>
      </w:pPr>
      <w:r>
        <w:t>We would like to thank all schools, staff, families and young people involved in the Childhood to Adolescence Transition Study (CATS), without whom this research would not be possible. Thank you also to the data collection coordinator, Elissa Phillips and all research staff, students and volunteers involved in data collection and processing.</w:t>
      </w:r>
    </w:p>
    <w:p w14:paraId="20B38437" w14:textId="77777777" w:rsidR="0080039C" w:rsidRPr="00EE0D6C" w:rsidRDefault="0080039C" w:rsidP="0080039C">
      <w:pPr>
        <w:spacing w:after="0"/>
        <w:rPr>
          <w:rFonts w:ascii="Calibri" w:hAnsi="Calibri"/>
        </w:rPr>
      </w:pPr>
    </w:p>
    <w:p w14:paraId="00633E14" w14:textId="77777777" w:rsidR="00694F83" w:rsidRDefault="00694F83" w:rsidP="0080039C">
      <w:pPr>
        <w:spacing w:after="0"/>
      </w:pPr>
      <w:r>
        <w:t>The CATS study has received funding from the National Health and Medical Research Council (NH&amp;MRC, Project Grant #1010018), Australian Rotary Health, the Invergowrie Foundation, and the Department of Education and Training (Victoria) to support various aspects of data collection. The Murdoch Children’s Research Institute’s (MCRI) research is supported by the Victorian Government’s Operational Infrastructure Program.</w:t>
      </w:r>
    </w:p>
    <w:p w14:paraId="43DE461C" w14:textId="77777777" w:rsidR="0080039C" w:rsidRDefault="0080039C" w:rsidP="0080039C">
      <w:pPr>
        <w:spacing w:after="0"/>
      </w:pPr>
    </w:p>
    <w:p w14:paraId="7A5146AD" w14:textId="77777777" w:rsidR="00694F83" w:rsidRDefault="00694F83" w:rsidP="0080039C">
      <w:pPr>
        <w:spacing w:after="0"/>
        <w:rPr>
          <w:rStyle w:val="Hyperlink"/>
        </w:rPr>
      </w:pPr>
      <w:r>
        <w:t xml:space="preserve">Further information on the CATS study can be found at </w:t>
      </w:r>
      <w:hyperlink r:id="rId14" w:history="1">
        <w:r>
          <w:rPr>
            <w:rStyle w:val="Hyperlink"/>
          </w:rPr>
          <w:t>https://cats.mcri.edu.au/</w:t>
        </w:r>
      </w:hyperlink>
      <w:r>
        <w:t xml:space="preserve"> or on Facebook </w:t>
      </w:r>
      <w:hyperlink r:id="rId15" w:history="1">
        <w:r>
          <w:rPr>
            <w:rStyle w:val="Hyperlink"/>
          </w:rPr>
          <w:t>https://www.facebook.com/CATS.Study.12</w:t>
        </w:r>
      </w:hyperlink>
    </w:p>
    <w:p w14:paraId="6B206EE5" w14:textId="77777777" w:rsidR="0080039C" w:rsidRDefault="0080039C" w:rsidP="0080039C">
      <w:pPr>
        <w:spacing w:after="0"/>
      </w:pPr>
    </w:p>
    <w:p w14:paraId="1B114AA5" w14:textId="4942678A" w:rsidR="00694F83" w:rsidRDefault="00694F83" w:rsidP="00694F83">
      <w:r>
        <w:t xml:space="preserve">We are grateful for the advice and support on statistical analysis conducted for this report received from Dr Margarita Moreno </w:t>
      </w:r>
      <w:proofErr w:type="spellStart"/>
      <w:r>
        <w:t>Betancur</w:t>
      </w:r>
      <w:proofErr w:type="spellEnd"/>
      <w:r>
        <w:t xml:space="preserve">, Clinical Epidemiology &amp; Biostatistics (CEBU) </w:t>
      </w:r>
      <w:r w:rsidR="00583C22">
        <w:t>and MCRI</w:t>
      </w:r>
      <w:r>
        <w:t>. We would also like to acknowledge the invaluable contributions of Ashleigh Salmon, Paul Hockey</w:t>
      </w:r>
      <w:r>
        <w:rPr>
          <w:color w:val="1F497D"/>
        </w:rPr>
        <w:t xml:space="preserve">, </w:t>
      </w:r>
      <w:proofErr w:type="spellStart"/>
      <w:r>
        <w:t>Tehani</w:t>
      </w:r>
      <w:proofErr w:type="spellEnd"/>
      <w:r>
        <w:t xml:space="preserve"> </w:t>
      </w:r>
      <w:proofErr w:type="spellStart"/>
      <w:r w:rsidRPr="000D0026">
        <w:t>Paiva</w:t>
      </w:r>
      <w:proofErr w:type="spellEnd"/>
      <w:r w:rsidRPr="000D0026">
        <w:t xml:space="preserve"> and Michael Wilson </w:t>
      </w:r>
      <w:r>
        <w:t>of the CATS team towards the production of this report.</w:t>
      </w:r>
    </w:p>
    <w:p w14:paraId="431D4A8B" w14:textId="77777777" w:rsidR="00F65D58" w:rsidRPr="00F65D58" w:rsidRDefault="00F65D58" w:rsidP="00F65D58">
      <w:pPr>
        <w:rPr>
          <w:lang w:val="en-US"/>
        </w:rPr>
        <w:sectPr w:rsidR="00F65D58" w:rsidRPr="00F65D58" w:rsidSect="00F65D58">
          <w:footerReference w:type="default" r:id="rId16"/>
          <w:pgSz w:w="11900" w:h="16840"/>
          <w:pgMar w:top="2157" w:right="1440" w:bottom="1440" w:left="1440" w:header="708" w:footer="708" w:gutter="0"/>
          <w:pgNumType w:fmt="lowerRoman" w:start="1"/>
          <w:cols w:space="708"/>
          <w:docGrid w:linePitch="360"/>
        </w:sectPr>
      </w:pPr>
    </w:p>
    <w:p w14:paraId="45E04012" w14:textId="77777777" w:rsidR="00036E9A" w:rsidRPr="00036E9A" w:rsidRDefault="00036E9A" w:rsidP="00222F6C">
      <w:pPr>
        <w:pStyle w:val="Heading1"/>
        <w:spacing w:before="0"/>
      </w:pPr>
      <w:bookmarkStart w:id="5" w:name="_Toc501120724"/>
      <w:r w:rsidRPr="00036E9A">
        <w:t>Executive Summary</w:t>
      </w:r>
      <w:bookmarkEnd w:id="5"/>
    </w:p>
    <w:p w14:paraId="6BF24A5D" w14:textId="77777777" w:rsidR="00036E9A" w:rsidRPr="00036E9A" w:rsidRDefault="00036E9A" w:rsidP="00222F6C">
      <w:pPr>
        <w:pStyle w:val="Heading2"/>
        <w:spacing w:before="0" w:after="120"/>
      </w:pPr>
      <w:bookmarkStart w:id="6" w:name="_Toc501120725"/>
      <w:r w:rsidRPr="00036E9A">
        <w:t>Aim and outline of the report</w:t>
      </w:r>
      <w:bookmarkEnd w:id="6"/>
    </w:p>
    <w:p w14:paraId="564B2680" w14:textId="36298EDF" w:rsidR="0080039C" w:rsidRDefault="005B1409" w:rsidP="0080039C">
      <w:pPr>
        <w:spacing w:after="0"/>
      </w:pPr>
      <w:r w:rsidRPr="005B1409">
        <w:t>In Australia and many other countries, the provision of the healthiest possible start in life for all children has been a priority for government. Evidence to support the importance of the early years for future development has accumulated over the past two decades</w:t>
      </w:r>
      <w:r w:rsidR="00180E52">
        <w:t xml:space="preserve"> </w:t>
      </w:r>
      <w:r w:rsidR="00B22107">
        <w:fldChar w:fldCharType="begin"/>
      </w:r>
      <w:r w:rsidR="00B22107">
        <w:instrText xml:space="preserve"> ADDIN EN.CITE &lt;EndNote&gt;&lt;Cite&gt;&lt;Author&gt;Cunningham&lt;/Author&gt;&lt;Year&gt;1997&lt;/Year&gt;&lt;RecNum&gt;1291&lt;/RecNum&gt;&lt;DisplayText&gt;[1]&lt;/DisplayText&gt;&lt;record&gt;&lt;rec-number&gt;1291&lt;/rec-number&gt;&lt;foreign-keys&gt;&lt;key app="EN" db-id="fztfxtw2kew9raetd235rfx625vrvpf9e0df" timestamp="1513905754"&gt;1291&lt;/key&gt;&lt;key app="ENWeb" db-id=""&gt;0&lt;/key&gt;&lt;/foreign-keys&gt;&lt;ref-type name="Journal Article"&gt;17&lt;/ref-type&gt;&lt;contributors&gt;&lt;authors&gt;&lt;author&gt;Cunningham, Anne E.&lt;/author&gt;&lt;author&gt;Stanovich, Keith E.&lt;/author&gt;&lt;/authors&gt;&lt;/contributors&gt;&lt;titles&gt;&lt;title&gt;Early reading acquisition and its relation to reading experience and ability 10 years later&lt;/title&gt;&lt;secondary-title&gt;Developmental Psychology&lt;/secondary-title&gt;&lt;/titles&gt;&lt;periodical&gt;&lt;full-title&gt;Developmental Psychology&lt;/full-title&gt;&lt;/periodical&gt;&lt;pages&gt;934-945&lt;/pages&gt;&lt;volume&gt;33&lt;/volume&gt;&lt;number&gt;6&lt;/number&gt;&lt;keywords&gt;&lt;keyword&gt;Developmental reading -- Research&lt;/keyword&gt;&lt;keyword&gt;Reading, Psychology of -- Research&lt;/keyword&gt;&lt;keyword&gt;Developmental psychology -- Research&lt;/keyword&gt;&lt;keyword&gt;Child psychology -- Research&lt;/keyword&gt;&lt;/keywords&gt;&lt;dates&gt;&lt;year&gt;1997&lt;/year&gt;&lt;/dates&gt;&lt;publisher&gt;American Psychological Association, Inc.&lt;/publisher&gt;&lt;isbn&gt;0012-1649&lt;/isbn&gt;&lt;accession-num&gt;edsgcl.20446881&lt;/accession-num&gt;&lt;urls&gt;&lt;related-urls&gt;&lt;url&gt;https://ezp.lib.unimelb.edu.au/login?url=https://search.ebscohost.com/login.aspx?direct=true&amp;amp;db=edsgao&amp;amp;AN=edsgcl.20446881&amp;amp;site=eds-live&amp;amp;scope=site&lt;/url&gt;&lt;/related-urls&gt;&lt;/urls&gt;&lt;remote-database-name&gt;edsgao&lt;/remote-database-name&gt;&lt;remote-database-provider&gt;EBSCOhost&lt;/remote-database-provider&gt;&lt;/record&gt;&lt;/Cite&gt;&lt;/EndNote&gt;</w:instrText>
      </w:r>
      <w:r w:rsidR="00B22107">
        <w:fldChar w:fldCharType="separate"/>
      </w:r>
      <w:r w:rsidR="00B22107">
        <w:rPr>
          <w:noProof/>
        </w:rPr>
        <w:t>[1]</w:t>
      </w:r>
      <w:r w:rsidR="00B22107">
        <w:fldChar w:fldCharType="end"/>
      </w:r>
      <w:r w:rsidRPr="00180E52">
        <w:t>.</w:t>
      </w:r>
      <w:r w:rsidRPr="005B1409">
        <w:t xml:space="preserve"> Patterns of childhood development predict health, wellbeing, learning and behaviour and lay a foundation for children to grow up with the skills to succeed, bringing benefits for them and the community as a </w:t>
      </w:r>
      <w:r w:rsidRPr="00180E52">
        <w:t xml:space="preserve">whole </w:t>
      </w:r>
      <w:r w:rsidR="00B22107">
        <w:fldChar w:fldCharType="begin"/>
      </w:r>
      <w:r w:rsidR="00B22107">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fldChar w:fldCharType="separate"/>
      </w:r>
      <w:r w:rsidR="00B22107">
        <w:rPr>
          <w:noProof/>
        </w:rPr>
        <w:t>[2]</w:t>
      </w:r>
      <w:r w:rsidR="00B22107">
        <w:fldChar w:fldCharType="end"/>
      </w:r>
      <w:r w:rsidRPr="00180E52">
        <w:t>.</w:t>
      </w:r>
    </w:p>
    <w:p w14:paraId="4F383E31" w14:textId="1C10D824" w:rsidR="005B1409" w:rsidRPr="005B1409" w:rsidRDefault="005B1409" w:rsidP="0080039C">
      <w:pPr>
        <w:spacing w:after="0"/>
      </w:pPr>
      <w:r w:rsidRPr="005B1409">
        <w:t xml:space="preserve"> </w:t>
      </w:r>
    </w:p>
    <w:p w14:paraId="7328E1B6" w14:textId="77777777" w:rsidR="0080039C" w:rsidRDefault="005B1409" w:rsidP="0080039C">
      <w:pPr>
        <w:spacing w:after="0"/>
      </w:pPr>
      <w:r w:rsidRPr="005B1409">
        <w:t xml:space="preserve">The Australian Early Development Census (AEDC) is one major investment within the national agenda for early childhood development. Established in 2009, the AEDC is a triannual assessment of the physical, cognitive, social and emotional development of every child starting formal full-time education in </w:t>
      </w:r>
      <w:r w:rsidRPr="0007629B">
        <w:t>Australia</w:t>
      </w:r>
      <w:r w:rsidR="0007629B" w:rsidRPr="0007629B">
        <w:t xml:space="preserve"> </w:t>
      </w:r>
      <w:r w:rsidR="00B22107">
        <w:fldChar w:fldCharType="begin">
          <w:fldData xml:space="preserve">PEVuZE5vdGU+PENpdGU+PEF1dGhvcj5Ccmlua21hbjwvQXV0aG9yPjxZZWFyPjIwMTQ8L1llYXI+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</w:fldData>
        </w:fldChar>
      </w:r>
      <w:r w:rsidR="00B22107">
        <w:instrText xml:space="preserve"> ADDIN EN.CITE </w:instrText>
      </w:r>
      <w:r w:rsidR="00B22107">
        <w:fldChar w:fldCharType="begin">
          <w:fldData xml:space="preserve">PEVuZE5vdGU+PENpdGU+PEF1dGhvcj5Ccmlua21hbjwvQXV0aG9yPjxZZWFyPjIwMTQ8L1llYXI+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</w:fldData>
        </w:fldChar>
      </w:r>
      <w:r w:rsidR="00B22107">
        <w:instrText xml:space="preserve"> ADDIN EN.CITE.DATA </w:instrText>
      </w:r>
      <w:r w:rsidR="00B22107">
        <w:fldChar w:fldCharType="end"/>
      </w:r>
      <w:r w:rsidR="00B22107">
        <w:fldChar w:fldCharType="separate"/>
      </w:r>
      <w:r w:rsidR="00B22107">
        <w:rPr>
          <w:noProof/>
        </w:rPr>
        <w:t>[3]</w:t>
      </w:r>
      <w:r w:rsidR="00B22107">
        <w:fldChar w:fldCharType="end"/>
      </w:r>
      <w:r w:rsidRPr="0007629B">
        <w:t>.</w:t>
      </w:r>
      <w:r w:rsidRPr="005B1409">
        <w:t xml:space="preserve"> It provides information to communities, governments and schools to support their planning and service provision. It also allows identification of groups of students who are developmentally vulnerable (DV) when entering the education system.</w:t>
      </w:r>
    </w:p>
    <w:p w14:paraId="3BB6C786" w14:textId="0267EF3E" w:rsidR="005B1409" w:rsidRPr="005B1409" w:rsidRDefault="005B1409" w:rsidP="0080039C">
      <w:pPr>
        <w:spacing w:after="0"/>
      </w:pPr>
      <w:r w:rsidRPr="005B1409">
        <w:t xml:space="preserve"> </w:t>
      </w:r>
    </w:p>
    <w:p w14:paraId="6E1144D5" w14:textId="74EC5488" w:rsidR="005B1409" w:rsidRDefault="005B1409" w:rsidP="0080039C">
      <w:pPr>
        <w:spacing w:after="0"/>
      </w:pPr>
      <w:r w:rsidRPr="005B1409">
        <w:t xml:space="preserve">In contrast to a policy and research emphasis on the first 5 years of life over recent decades, much less attention has been given to later childhood development </w:t>
      </w:r>
      <w:r w:rsidR="00B22107">
        <w:fldChar w:fldCharType="begin">
          <w:fldData xml:space="preserve">PEVuZE5vdGU+PENpdGUgRXhjbHVkZVllYXI9IjEiPjxBdXRob3I+QnVuZHk8L0F1dGhvcj48UmVj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</w:fldData>
        </w:fldChar>
      </w:r>
      <w:r w:rsidR="00B22107">
        <w:instrText xml:space="preserve"> ADDIN EN.CITE </w:instrText>
      </w:r>
      <w:r w:rsidR="00B22107">
        <w:fldChar w:fldCharType="begin">
          <w:fldData xml:space="preserve">PEVuZE5vdGU+PENpdGUgRXhjbHVkZVllYXI9IjEiPjxBdXRob3I+QnVuZHk8L0F1dGhvcj48UmVj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</w:fldData>
        </w:fldChar>
      </w:r>
      <w:r w:rsidR="00B22107">
        <w:instrText xml:space="preserve"> ADDIN EN.CITE.DATA </w:instrText>
      </w:r>
      <w:r w:rsidR="00B22107">
        <w:fldChar w:fldCharType="end"/>
      </w:r>
      <w:r w:rsidR="00B22107">
        <w:fldChar w:fldCharType="separate"/>
      </w:r>
      <w:r w:rsidR="00B22107">
        <w:rPr>
          <w:noProof/>
        </w:rPr>
        <w:t>[4]</w:t>
      </w:r>
      <w:r w:rsidR="00B22107">
        <w:fldChar w:fldCharType="end"/>
      </w:r>
      <w:r w:rsidR="004C744C">
        <w:t xml:space="preserve">. </w:t>
      </w:r>
      <w:r w:rsidRPr="005B1409">
        <w:t>Given important lifelong intellectual, social, emotional and behavioural skills are developed at all stages of education</w:t>
      </w:r>
      <w:r w:rsidRPr="005B1409">
        <w:rPr>
          <w:color w:val="232323"/>
          <w:shd w:val="clear" w:color="auto" w:fill="FFFFFF"/>
        </w:rPr>
        <w:t xml:space="preserve"> </w:t>
      </w:r>
      <w:r w:rsidRPr="005B1409">
        <w:t xml:space="preserve">there is a pressing need to understand the significance of being identified as developmentally vulnerable. Are these children at higher risk for school disengagement? Do they lag behind their peers in their learning? Are they more likely to experience poorer wellbeing and peer relationship quality? </w:t>
      </w:r>
    </w:p>
    <w:p w14:paraId="407564B8" w14:textId="77777777" w:rsidR="0080039C" w:rsidRPr="005B1409" w:rsidRDefault="0080039C" w:rsidP="0080039C">
      <w:pPr>
        <w:spacing w:after="0"/>
      </w:pPr>
    </w:p>
    <w:p w14:paraId="278A8176" w14:textId="48C329A4" w:rsidR="005B1409" w:rsidRDefault="005B1409" w:rsidP="0080039C">
      <w:pPr>
        <w:spacing w:after="0"/>
      </w:pPr>
      <w:r w:rsidRPr="005B1409">
        <w:t xml:space="preserve">Equally important is the development of students </w:t>
      </w:r>
      <w:r w:rsidRPr="005B1409">
        <w:rPr>
          <w:i/>
        </w:rPr>
        <w:t>not</w:t>
      </w:r>
      <w:r w:rsidRPr="005B1409">
        <w:t xml:space="preserve"> identified as DV at the start of school. How commonly do education problems emerge amongst students with no detectable early vulnerabilities? How do problems emerging later in development during the middle years (defined here as 8 to 14 years of age, or Years 3-7 of schooling) affect schooling outcomes? This report seeks to answer some of these questions.</w:t>
      </w:r>
    </w:p>
    <w:p w14:paraId="7B1B402C" w14:textId="77777777" w:rsidR="0080039C" w:rsidRPr="005B1409" w:rsidRDefault="0080039C" w:rsidP="0080039C">
      <w:pPr>
        <w:spacing w:after="0"/>
      </w:pPr>
    </w:p>
    <w:p w14:paraId="07955CDE" w14:textId="360A6BC7" w:rsidR="005B1409" w:rsidRDefault="005B1409" w:rsidP="004F2C6A">
      <w:pPr>
        <w:spacing w:after="0"/>
      </w:pPr>
      <w:r w:rsidRPr="005B1409">
        <w:t xml:space="preserve">This report presents findings from a linkage study involving the 2009 AEDC and CATS (Childhood to Adolescence Transition Study) datasets. CATS is an ongoing longitudinal study of health, wellbeing and educational achievement through late childhood and early adolescence. The sample comprises over 1,200 students and their parents drawn from Year 3 in 2012 from randomly selected schools across metropolitan Melbourne. We obtained information annually from students, parents and teachers on students’ mental health and wellbeing, peer and family relationships, school engagement and the primary to secondary school transition. Student </w:t>
      </w:r>
      <w:r w:rsidR="00FA6B12">
        <w:t xml:space="preserve">academic </w:t>
      </w:r>
      <w:r w:rsidRPr="005B1409">
        <w:t>achievement data was obtained from linked NAPLAN scores at Years 3, 5 and 7. Linkage with the AEDC provided a unique opportunity to study the relationships between developmental vulnerabilities in children at entry to primary school (2009; 5-6 years of age) and learning, wellbeing and social outcomes from Year 3 (2012: 8-9 years of age) through to the first year of secondary school (2016; 12-13 years of age).</w:t>
      </w:r>
    </w:p>
    <w:p w14:paraId="085DD3EE" w14:textId="77777777" w:rsidR="004F2C6A" w:rsidRPr="005B1409" w:rsidRDefault="004F2C6A" w:rsidP="004F2C6A">
      <w:pPr>
        <w:spacing w:after="0"/>
      </w:pPr>
    </w:p>
    <w:p w14:paraId="081871B1" w14:textId="735ADC32" w:rsidR="005B1409" w:rsidRDefault="005B1409" w:rsidP="004F2C6A">
      <w:pPr>
        <w:spacing w:after="0"/>
      </w:pPr>
      <w:r w:rsidRPr="005B1409">
        <w:t xml:space="preserve">A recent report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rsidRPr="005B1409">
        <w:t xml:space="preserve"> utilising longitudinal data from the </w:t>
      </w:r>
      <w:r w:rsidR="00BA00B7">
        <w:t xml:space="preserve">metropolitan Melbourne </w:t>
      </w:r>
      <w:r w:rsidRPr="005B1409">
        <w:t xml:space="preserve">CATS study showed that a significant minority of children in the middle years’ experience mental health and wellbeing problems which profoundly affects school engagement and learning outcomes. The report found a rise in the prevalence of these problems in the later primary school years, most likely a result of extensive social, emotional and biological changes during this period. It also demonstrated the inter-relationships between wellbeing, engagement and learning supporting a conceptual framework for quality education in which these characteristics are all inter-dependent and reinforcing over time (Figure 1: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rsidRPr="005B1409">
        <w:t>).</w:t>
      </w:r>
    </w:p>
    <w:p w14:paraId="720F8964" w14:textId="77777777" w:rsidR="004F2C6A" w:rsidRPr="005B1409" w:rsidRDefault="004F2C6A" w:rsidP="004F2C6A">
      <w:pPr>
        <w:spacing w:after="0"/>
      </w:pPr>
    </w:p>
    <w:p w14:paraId="2CCE39E4" w14:textId="77777777" w:rsidR="005B1409" w:rsidRDefault="005B1409" w:rsidP="004F2C6A">
      <w:pPr>
        <w:spacing w:after="0"/>
      </w:pPr>
      <w:r w:rsidRPr="005B1409">
        <w:t>Guided by the conceptual framework described in our previous report, the current report uses a linked longitudinal dataset of student development and academic achievement spanning the entire primary school years (from the first year of primary school; 5-6 years of age through to Year 7; 12-13 years of age) to address the following questions:</w:t>
      </w:r>
    </w:p>
    <w:p w14:paraId="2598EB72" w14:textId="77777777" w:rsidR="004F2C6A" w:rsidRPr="005B1409" w:rsidRDefault="004F2C6A" w:rsidP="004F2C6A">
      <w:pPr>
        <w:spacing w:after="0"/>
      </w:pPr>
    </w:p>
    <w:p w14:paraId="7E8FA835" w14:textId="77777777" w:rsidR="005B1409" w:rsidRPr="005B1409" w:rsidRDefault="005B1409">
      <w:pPr>
        <w:numPr>
          <w:ilvl w:val="0"/>
          <w:numId w:val="16"/>
        </w:numPr>
        <w:contextualSpacing/>
        <w:rPr>
          <w:i/>
        </w:rPr>
      </w:pPr>
      <w:r w:rsidRPr="005B1409">
        <w:rPr>
          <w:i/>
        </w:rPr>
        <w:t>What is the relationship between early developmental vulnerability on the AEDC and later learning, school engagement and wellbeing?</w:t>
      </w:r>
    </w:p>
    <w:p w14:paraId="792235D8" w14:textId="48CD224E" w:rsidR="00BA00B7" w:rsidRDefault="005B1409" w:rsidP="00BA00B7">
      <w:pPr>
        <w:numPr>
          <w:ilvl w:val="0"/>
          <w:numId w:val="16"/>
        </w:numPr>
        <w:contextualSpacing/>
        <w:rPr>
          <w:i/>
        </w:rPr>
      </w:pPr>
      <w:r w:rsidRPr="005B1409">
        <w:rPr>
          <w:i/>
        </w:rPr>
        <w:t>How might any relationship between early developmental vulnerability and learning at Year 7 be affected by wellbeing and school engagement across Years 3, 4 and 5?</w:t>
      </w:r>
    </w:p>
    <w:p w14:paraId="6F780EFF" w14:textId="77777777" w:rsidR="00BA00B7" w:rsidRDefault="00BA00B7" w:rsidP="00BA00B7">
      <w:pPr>
        <w:contextualSpacing/>
      </w:pPr>
    </w:p>
    <w:p w14:paraId="00A9D69E" w14:textId="546398A4" w:rsidR="00BA00B7" w:rsidRDefault="00BA00B7" w:rsidP="00BA00B7">
      <w:pPr>
        <w:contextualSpacing/>
      </w:pPr>
      <w:r>
        <w:t>Academic achievement</w:t>
      </w:r>
      <w:r w:rsidR="000E4A29">
        <w:t xml:space="preserve"> or learning success</w:t>
      </w:r>
      <w:r>
        <w:t xml:space="preserve"> </w:t>
      </w:r>
      <w:r w:rsidR="000E4A29">
        <w:t>can</w:t>
      </w:r>
      <w:r>
        <w:t xml:space="preserve"> be measured in several different ways, </w:t>
      </w:r>
      <w:r w:rsidR="000E4A29">
        <w:t xml:space="preserve">however, </w:t>
      </w:r>
      <w:r>
        <w:t xml:space="preserve">for </w:t>
      </w:r>
      <w:r w:rsidRPr="007746B4">
        <w:t>th</w:t>
      </w:r>
      <w:r w:rsidR="000E4A29" w:rsidRPr="007746B4">
        <w:t>e</w:t>
      </w:r>
      <w:r w:rsidRPr="007746B4">
        <w:t xml:space="preserve"> </w:t>
      </w:r>
      <w:r w:rsidR="000E4A29" w:rsidRPr="007746B4">
        <w:t xml:space="preserve">purposes of this </w:t>
      </w:r>
      <w:r w:rsidRPr="007746B4">
        <w:t xml:space="preserve">report </w:t>
      </w:r>
      <w:r w:rsidR="000E4A29" w:rsidRPr="007746B4">
        <w:t xml:space="preserve">we </w:t>
      </w:r>
      <w:r w:rsidR="00301504" w:rsidRPr="007746B4">
        <w:t xml:space="preserve">followed the approach taken by Lamb et al in their report on Educational Opportunity in Australia 2015 </w:t>
      </w:r>
      <w:r w:rsidR="00545FD3" w:rsidRPr="00057A30">
        <w:fldChar w:fldCharType="begin"/>
      </w:r>
      <w:r w:rsidR="00545FD3" w:rsidRPr="007746B4">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545FD3" w:rsidRPr="00057A30">
        <w:fldChar w:fldCharType="separate"/>
      </w:r>
      <w:r w:rsidR="00545FD3" w:rsidRPr="007746B4">
        <w:rPr>
          <w:noProof/>
        </w:rPr>
        <w:t>[6]</w:t>
      </w:r>
      <w:r w:rsidR="00545FD3" w:rsidRPr="00057A30">
        <w:fldChar w:fldCharType="end"/>
      </w:r>
      <w:r w:rsidR="00301504" w:rsidRPr="007746B4">
        <w:t xml:space="preserve"> who </w:t>
      </w:r>
      <w:r w:rsidR="000E4A29" w:rsidRPr="007746B4">
        <w:t>established a performance threshold for Year 7 learning success that is half a NAPLAN band higher than the national minimum standard (NMS)</w:t>
      </w:r>
      <w:r w:rsidR="00301504" w:rsidRPr="007746B4">
        <w:t xml:space="preserve"> </w:t>
      </w:r>
      <w:r w:rsidR="00545FD3" w:rsidRPr="00057A30">
        <w:fldChar w:fldCharType="begin"/>
      </w:r>
      <w:r w:rsidR="00545FD3" w:rsidRPr="007746B4">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545FD3" w:rsidRPr="00057A30">
        <w:fldChar w:fldCharType="separate"/>
      </w:r>
      <w:r w:rsidR="00545FD3" w:rsidRPr="007746B4">
        <w:rPr>
          <w:noProof/>
        </w:rPr>
        <w:t>[6]</w:t>
      </w:r>
      <w:r w:rsidR="00545FD3" w:rsidRPr="00057A30">
        <w:fldChar w:fldCharType="end"/>
      </w:r>
      <w:r w:rsidR="00301504" w:rsidRPr="007746B4">
        <w:t>.</w:t>
      </w:r>
      <w:r w:rsidR="000E4A29" w:rsidRPr="007746B4">
        <w:t xml:space="preserve"> The NMS is set by ACARA as the second lowest band, Band 5 in Year 7 </w:t>
      </w:r>
      <w:r w:rsidR="00545FD3" w:rsidRPr="00057A30">
        <w:fldChar w:fldCharType="begin"/>
      </w:r>
      <w:r w:rsidR="00545FD3" w:rsidRPr="007746B4">
        <w:instrText xml:space="preserve"> ADDIN EN.CITE &lt;EndNote&gt;&lt;Cite&gt;&lt;Author&gt;Australian Curriculum Assessment and Reporting Authority&lt;/Author&gt;&lt;Year&gt;2016&lt;/Year&gt;&lt;RecNum&gt;1324&lt;/RecNum&gt;&lt;DisplayText&gt;[7]&lt;/DisplayText&gt;&lt;record&gt;&lt;rec-number&gt;1324&lt;/rec-number&gt;&lt;foreign-keys&gt;&lt;key app="EN" db-id="fztfxtw2kew9raetd235rfx625vrvpf9e0df" timestamp="1513905861"&gt;1324&lt;/key&gt;&lt;key app="ENWeb" db-id=""&gt;0&lt;/key&gt;&lt;/foreign-keys&gt;&lt;ref-type name="Report"&gt;27&lt;/ref-type&gt;&lt;contributors&gt;&lt;authors&gt;&lt;author&gt;Australian Curriculum Assessment and Reporting Authority,&lt;/author&gt;&lt;/authors&gt;&lt;/contributors&gt;&lt;titles&gt;&lt;title&gt;NAPLAN Achievement in Reading, Writing, Language Conventions and Numeracy: National Report for 2016&lt;/title&gt;&lt;/titles&gt;&lt;dates&gt;&lt;year&gt;2016&lt;/year&gt;&lt;/dates&gt;&lt;pub-location&gt;Sydney&lt;/pub-location&gt;&lt;publisher&gt;ACARA&lt;/publisher&gt;&lt;urls&gt;&lt;/urls&gt;&lt;/record&gt;&lt;/Cite&gt;&lt;/EndNote&gt;</w:instrText>
      </w:r>
      <w:r w:rsidR="00545FD3" w:rsidRPr="00057A30">
        <w:fldChar w:fldCharType="separate"/>
      </w:r>
      <w:r w:rsidR="00545FD3" w:rsidRPr="007746B4">
        <w:rPr>
          <w:noProof/>
        </w:rPr>
        <w:t>[7]</w:t>
      </w:r>
      <w:r w:rsidR="00545FD3" w:rsidRPr="00057A30">
        <w:fldChar w:fldCharType="end"/>
      </w:r>
      <w:r w:rsidR="000E4A29" w:rsidRPr="007746B4">
        <w:t xml:space="preserve"> and is reached by the vast majority of students; in 2016 95.5% of Australian Year 7 students achieved the NMS for numeracy and 94.6% achieved the NMS for reading.</w:t>
      </w:r>
    </w:p>
    <w:p w14:paraId="7856DA06" w14:textId="77777777" w:rsidR="00BA2BA4" w:rsidRPr="00545FD3" w:rsidRDefault="00BA2BA4" w:rsidP="00BA2BA4">
      <w:pPr>
        <w:spacing w:after="0"/>
        <w:contextualSpacing/>
      </w:pPr>
    </w:p>
    <w:p w14:paraId="26B84A51" w14:textId="77777777" w:rsidR="00036E9A" w:rsidRPr="00036E9A" w:rsidRDefault="00036E9A" w:rsidP="00222F6C">
      <w:pPr>
        <w:pStyle w:val="Heading2"/>
        <w:spacing w:before="0" w:after="120"/>
      </w:pPr>
      <w:bookmarkStart w:id="7" w:name="_Toc501120726"/>
      <w:r w:rsidRPr="00036E9A">
        <w:t>Key findings</w:t>
      </w:r>
      <w:bookmarkEnd w:id="7"/>
    </w:p>
    <w:p w14:paraId="18EE83D9" w14:textId="40ADC261" w:rsidR="002104F2" w:rsidRPr="005265DE" w:rsidRDefault="002104F2" w:rsidP="00222F6C">
      <w:pPr>
        <w:spacing w:after="120"/>
        <w:rPr>
          <w:b/>
          <w:u w:val="single"/>
        </w:rPr>
      </w:pPr>
      <w:r w:rsidRPr="005265DE">
        <w:rPr>
          <w:b/>
          <w:u w:val="single"/>
        </w:rPr>
        <w:t>Developmental vulnerability as a predictor of poor future outcomes</w:t>
      </w:r>
    </w:p>
    <w:p w14:paraId="53692E95" w14:textId="1AFC76E7" w:rsidR="00301504" w:rsidRDefault="00301504" w:rsidP="004F2C6A">
      <w:pPr>
        <w:spacing w:after="0"/>
      </w:pPr>
      <w:r>
        <w:rPr>
          <w:b/>
        </w:rPr>
        <w:t>As</w:t>
      </w:r>
      <w:r w:rsidRPr="00036E9A">
        <w:rPr>
          <w:b/>
        </w:rPr>
        <w:t xml:space="preserve"> a group, students who enter school with developmental vulnerabilities have higher rates of difficulties in education than those starting school on track.</w:t>
      </w:r>
      <w:r w:rsidRPr="00E9289B">
        <w:t xml:space="preserve"> For most outcomes, these difficulties are present at Year 3 and are maintained up to Year 7.</w:t>
      </w:r>
    </w:p>
    <w:p w14:paraId="768D3214" w14:textId="77777777" w:rsidR="004F2C6A" w:rsidRDefault="004F2C6A" w:rsidP="004F2C6A">
      <w:pPr>
        <w:spacing w:after="0"/>
      </w:pPr>
    </w:p>
    <w:p w14:paraId="25DB4BBA" w14:textId="77777777" w:rsidR="002104F2" w:rsidRPr="007746B4" w:rsidRDefault="002104F2" w:rsidP="002104F2">
      <w:pPr>
        <w:pStyle w:val="ListParagraph"/>
        <w:numPr>
          <w:ilvl w:val="0"/>
          <w:numId w:val="27"/>
        </w:numPr>
      </w:pPr>
      <w:r>
        <w:t xml:space="preserve">DV students, on average, have lower NAPLAN numeracy and reading scores in Years 3, 5 and 7. When NAPLAN scores are expressed in terms of Equivalent Years of Learning (EYL), the </w:t>
      </w:r>
      <w:r w:rsidRPr="007746B4">
        <w:t>learning gap between developmentally vulnerable and not-vulnerable students increases over time; at Year 3 the DV group has a 1 year delay relative to their not-DV peers and this grows to over 2 years by Year 7.</w:t>
      </w:r>
    </w:p>
    <w:p w14:paraId="68F4E96C" w14:textId="77777777" w:rsidR="002104F2" w:rsidRPr="007746B4" w:rsidRDefault="002104F2" w:rsidP="002104F2">
      <w:pPr>
        <w:pStyle w:val="ListParagraph"/>
        <w:numPr>
          <w:ilvl w:val="0"/>
          <w:numId w:val="27"/>
        </w:numPr>
        <w:rPr>
          <w:rFonts w:eastAsia="Times New Roman" w:cs="Times New Roman"/>
          <w:lang w:eastAsia="en-GB"/>
        </w:rPr>
      </w:pPr>
      <w:r w:rsidRPr="007746B4">
        <w:t>DV students are at higher risk of early school disengagement. In Year 4, over 17% of DV students are disengaged from school, over double the proportion of not-DV students (8%).</w:t>
      </w:r>
    </w:p>
    <w:p w14:paraId="16ABBFAF" w14:textId="77777777" w:rsidR="002104F2" w:rsidRPr="007746B4" w:rsidRDefault="002104F2" w:rsidP="002104F2">
      <w:pPr>
        <w:pStyle w:val="ListParagraph"/>
        <w:numPr>
          <w:ilvl w:val="0"/>
          <w:numId w:val="27"/>
        </w:numPr>
      </w:pPr>
      <w:r w:rsidRPr="007746B4">
        <w:t>DV students are more likely than their not-DV peers to experience poor wellbeing:</w:t>
      </w:r>
    </w:p>
    <w:p w14:paraId="55E5622E" w14:textId="77777777" w:rsidR="002104F2" w:rsidRPr="007746B4" w:rsidRDefault="002104F2" w:rsidP="002104F2">
      <w:pPr>
        <w:pStyle w:val="ListParagraph"/>
        <w:numPr>
          <w:ilvl w:val="1"/>
          <w:numId w:val="27"/>
        </w:numPr>
      </w:pPr>
      <w:r w:rsidRPr="007746B4">
        <w:t>They are at increased risk of emotional problems in Years 3 to 5 (DV students are over two-times more likely to experience persistent emotional problems than their not-DV peers) but this risk does not continue into Years 6 and 7.</w:t>
      </w:r>
    </w:p>
    <w:p w14:paraId="5BF47519" w14:textId="77777777" w:rsidR="002104F2" w:rsidRPr="007746B4" w:rsidRDefault="002104F2" w:rsidP="002104F2">
      <w:pPr>
        <w:pStyle w:val="ListParagraph"/>
        <w:numPr>
          <w:ilvl w:val="1"/>
          <w:numId w:val="27"/>
        </w:numPr>
      </w:pPr>
      <w:r w:rsidRPr="007746B4">
        <w:t xml:space="preserve">They are at increased risk of single episodes and persistent behaviour problems in Years 3 to 5 (DV students are over three-times more likely to have behaviour problems than their not-DV peers). The risk of behaviour problems remains substantially higher for DV students in Years 6 and 7. </w:t>
      </w:r>
    </w:p>
    <w:p w14:paraId="4C3D199F" w14:textId="77777777" w:rsidR="002104F2" w:rsidRPr="007746B4" w:rsidRDefault="002104F2" w:rsidP="002104F2">
      <w:pPr>
        <w:pStyle w:val="ListParagraph"/>
        <w:numPr>
          <w:ilvl w:val="1"/>
          <w:numId w:val="27"/>
        </w:numPr>
      </w:pPr>
      <w:r w:rsidRPr="007746B4">
        <w:t>They are more likely to report low subjective wellbeing in Years 3 to 5 (DV students are over two-times more likely to report persistent low wellbeing than their not-DV peers). The risk of low wellbeing remains substantially higher for DV students in Years 6 and 7.</w:t>
      </w:r>
    </w:p>
    <w:p w14:paraId="5F0CC4EC" w14:textId="77777777" w:rsidR="002104F2" w:rsidRPr="004F2C6A" w:rsidRDefault="002104F2" w:rsidP="004F2C6A">
      <w:pPr>
        <w:pStyle w:val="ListParagraph"/>
        <w:numPr>
          <w:ilvl w:val="0"/>
          <w:numId w:val="27"/>
        </w:numPr>
        <w:spacing w:after="0"/>
      </w:pPr>
      <w:r w:rsidRPr="007746B4">
        <w:t>DV students are at almost double the risk of being persistently bullied across Years 3, 4 and 5. This risk appears to decrease across time: In Year 3, 38.1% DV students versus 29.0% not-</w:t>
      </w:r>
      <w:r>
        <w:t>DV students were bullied and in Year 6, 16.7% DV students versus 14.9% not-DV students were bullied.</w:t>
      </w:r>
      <w:r>
        <w:rPr>
          <w:b/>
        </w:rPr>
        <w:t xml:space="preserve"> </w:t>
      </w:r>
    </w:p>
    <w:p w14:paraId="3A0BE40C" w14:textId="77777777" w:rsidR="004F2C6A" w:rsidRDefault="004F2C6A" w:rsidP="004F2C6A">
      <w:pPr>
        <w:pStyle w:val="ListParagraph"/>
        <w:spacing w:after="0"/>
      </w:pPr>
    </w:p>
    <w:p w14:paraId="22B76177" w14:textId="00D3C709" w:rsidR="00301504" w:rsidRDefault="002104F2" w:rsidP="00222F6C">
      <w:pPr>
        <w:spacing w:after="0"/>
      </w:pPr>
      <w:r>
        <w:rPr>
          <w:b/>
        </w:rPr>
        <w:t xml:space="preserve">However, </w:t>
      </w:r>
      <w:r w:rsidRPr="007746B4">
        <w:rPr>
          <w:b/>
        </w:rPr>
        <w:t>m</w:t>
      </w:r>
      <w:r w:rsidR="00301504" w:rsidRPr="007746B4">
        <w:rPr>
          <w:b/>
        </w:rPr>
        <w:t>ore than half of students with early developmental vulnerabilities</w:t>
      </w:r>
      <w:r w:rsidR="00301504" w:rsidRPr="007746B4">
        <w:t xml:space="preserve"> </w:t>
      </w:r>
      <w:r w:rsidR="00301504" w:rsidRPr="007746B4">
        <w:rPr>
          <w:b/>
        </w:rPr>
        <w:t>do not experience educational delay at Year 7:</w:t>
      </w:r>
      <w:r w:rsidR="00301504" w:rsidRPr="007746B4">
        <w:t xml:space="preserve"> </w:t>
      </w:r>
      <w:r w:rsidR="0060407A" w:rsidRPr="005265DE">
        <w:t xml:space="preserve">62.8 </w:t>
      </w:r>
      <w:r w:rsidR="00301504" w:rsidRPr="005265DE">
        <w:t>and 55</w:t>
      </w:r>
      <w:r w:rsidR="007D6820" w:rsidRPr="007746B4">
        <w:t>.4</w:t>
      </w:r>
      <w:r w:rsidR="00301504" w:rsidRPr="007746B4">
        <w:t xml:space="preserve">% of students presenting with DV at school entry attain the numeracy and reading </w:t>
      </w:r>
      <w:r w:rsidR="0095595F" w:rsidRPr="007746B4">
        <w:t xml:space="preserve">academic threshold </w:t>
      </w:r>
      <w:r w:rsidR="00301504" w:rsidRPr="007746B4">
        <w:t>respectively.</w:t>
      </w:r>
      <w:r w:rsidRPr="007746B4">
        <w:t xml:space="preserve"> A large majority of students starting school not-DV go on to attain the Year 7 numeracy and reading threshold (</w:t>
      </w:r>
      <w:r w:rsidR="007D6820" w:rsidRPr="005265DE">
        <w:t>87.7</w:t>
      </w:r>
      <w:r w:rsidRPr="005265DE">
        <w:t xml:space="preserve">% and </w:t>
      </w:r>
      <w:r w:rsidR="007D6820" w:rsidRPr="005265DE">
        <w:t>83.5</w:t>
      </w:r>
      <w:r w:rsidRPr="005265DE">
        <w:t>%</w:t>
      </w:r>
      <w:r w:rsidRPr="007746B4">
        <w:t xml:space="preserve"> respectively).</w:t>
      </w:r>
    </w:p>
    <w:p w14:paraId="0F535FCC" w14:textId="77777777" w:rsidR="00222F6C" w:rsidRDefault="00222F6C" w:rsidP="00222F6C">
      <w:pPr>
        <w:spacing w:after="0"/>
      </w:pPr>
    </w:p>
    <w:p w14:paraId="39C538F0" w14:textId="5153D158" w:rsidR="002104F2" w:rsidRPr="005265DE" w:rsidRDefault="002104F2" w:rsidP="00222F6C">
      <w:pPr>
        <w:spacing w:after="120"/>
        <w:rPr>
          <w:b/>
          <w:u w:val="single"/>
        </w:rPr>
      </w:pPr>
      <w:r w:rsidRPr="005265DE">
        <w:rPr>
          <w:b/>
          <w:u w:val="single"/>
        </w:rPr>
        <w:t>Academic outcomes at Year 7</w:t>
      </w:r>
    </w:p>
    <w:p w14:paraId="721D2C22" w14:textId="77777777" w:rsidR="00545FD3" w:rsidRDefault="00545FD3" w:rsidP="004F2C6A">
      <w:pPr>
        <w:spacing w:after="0"/>
      </w:pPr>
      <w:r>
        <w:t>In fact, m</w:t>
      </w:r>
      <w:r>
        <w:rPr>
          <w:b/>
        </w:rPr>
        <w:t xml:space="preserve">ost students with poor learning outcomes at Year 7 were not identified as developmentally vulnerable on school entry. </w:t>
      </w:r>
      <w:r>
        <w:t xml:space="preserve">Two-thirds of students failing to meet the Year 7 performance threshold for numeracy and reading had not been identified as developmentally vulnerable on the AEDC in their first year of school. </w:t>
      </w:r>
    </w:p>
    <w:p w14:paraId="137DFF26" w14:textId="77777777" w:rsidR="004F2C6A" w:rsidRDefault="004F2C6A" w:rsidP="004F2C6A">
      <w:pPr>
        <w:spacing w:after="0"/>
        <w:rPr>
          <w:rFonts w:asciiTheme="minorHAnsi" w:hAnsiTheme="minorHAnsi"/>
        </w:rPr>
      </w:pPr>
    </w:p>
    <w:p w14:paraId="0A522566" w14:textId="7EA86745" w:rsidR="005B1409" w:rsidRDefault="00301504" w:rsidP="00BA2BA4">
      <w:pPr>
        <w:spacing w:after="0"/>
      </w:pPr>
      <w:r w:rsidRPr="00036E9A">
        <w:rPr>
          <w:b/>
        </w:rPr>
        <w:t xml:space="preserve">Poor wellbeing, school disengagement, being bullied in mid-childhood together with emotional and behaviour </w:t>
      </w:r>
      <w:r>
        <w:rPr>
          <w:b/>
        </w:rPr>
        <w:t xml:space="preserve">problems </w:t>
      </w:r>
      <w:r w:rsidRPr="00036E9A">
        <w:rPr>
          <w:b/>
        </w:rPr>
        <w:t>predict poor Year 7 learning outcomes.</w:t>
      </w:r>
      <w:r>
        <w:t xml:space="preserve"> This effect appears </w:t>
      </w:r>
      <w:r w:rsidRPr="00E9289B">
        <w:t xml:space="preserve">relatively independent of </w:t>
      </w:r>
      <w:r>
        <w:t>early DV.</w:t>
      </w:r>
      <w:r w:rsidRPr="00E9289B">
        <w:t xml:space="preserve"> </w:t>
      </w:r>
    </w:p>
    <w:p w14:paraId="1A5AEAA6" w14:textId="77777777" w:rsidR="00BA2BA4" w:rsidRPr="00E9289B" w:rsidRDefault="00BA2BA4" w:rsidP="00BA2BA4">
      <w:pPr>
        <w:spacing w:after="0"/>
      </w:pPr>
    </w:p>
    <w:p w14:paraId="264048A7" w14:textId="77777777" w:rsidR="00036E9A" w:rsidRPr="00036E9A" w:rsidRDefault="00036E9A" w:rsidP="00222F6C">
      <w:pPr>
        <w:pStyle w:val="Heading2"/>
        <w:spacing w:before="0" w:after="120"/>
      </w:pPr>
      <w:bookmarkStart w:id="8" w:name="_Toc501120727"/>
      <w:r w:rsidRPr="00036E9A">
        <w:t>Conclusions</w:t>
      </w:r>
      <w:bookmarkEnd w:id="8"/>
      <w:r w:rsidRPr="00036E9A">
        <w:t xml:space="preserve"> </w:t>
      </w:r>
    </w:p>
    <w:p w14:paraId="4FBEDADA" w14:textId="4A947948" w:rsidR="005B1409" w:rsidRDefault="005B1409" w:rsidP="005265DE">
      <w:pPr>
        <w:spacing w:after="0"/>
      </w:pPr>
      <w:r w:rsidRPr="00E9289B">
        <w:t>The results from this report show</w:t>
      </w:r>
      <w:r w:rsidR="004E15D7">
        <w:t xml:space="preserve"> that the strong relationship between middle years indicators and Year 7 learning outcomes is largely independent of DV status at school entry suggesting that problems in the middle years, whether emergent or not, are important risk factors for poor learning outcomes. The report also shows</w:t>
      </w:r>
      <w:r w:rsidRPr="00E9289B">
        <w:t xml:space="preserve"> that a majority of those who enter school with developmental vulnerabilities do not fall into the categories of poor emotional wellbeing and poor educational attainment by Year 7. Nevertheless, th</w:t>
      </w:r>
      <w:r w:rsidR="004E15D7">
        <w:t xml:space="preserve">ose presenting with </w:t>
      </w:r>
      <w:r w:rsidR="00DA0258">
        <w:t>DV at school entry as a</w:t>
      </w:r>
      <w:r w:rsidRPr="00E9289B">
        <w:t xml:space="preserve"> group </w:t>
      </w:r>
      <w:r w:rsidR="00DA0258">
        <w:t>are</w:t>
      </w:r>
      <w:r w:rsidRPr="00E9289B">
        <w:t xml:space="preserve"> at higher risk than those who began school without these vulnerabilities, suggesting that the AEDC has</w:t>
      </w:r>
      <w:r>
        <w:t xml:space="preserve"> some</w:t>
      </w:r>
      <w:r w:rsidRPr="00E9289B">
        <w:t xml:space="preserve"> </w:t>
      </w:r>
      <w:r w:rsidRPr="00B77E25">
        <w:t>utility i</w:t>
      </w:r>
      <w:r w:rsidRPr="00E9289B">
        <w:t xml:space="preserve">n identifying </w:t>
      </w:r>
      <w:r w:rsidR="004E15D7">
        <w:t xml:space="preserve">those </w:t>
      </w:r>
      <w:r>
        <w:t xml:space="preserve">at risk of poor later child </w:t>
      </w:r>
      <w:r w:rsidRPr="00E9289B">
        <w:t>development</w:t>
      </w:r>
      <w:r>
        <w:t xml:space="preserve">. </w:t>
      </w:r>
    </w:p>
    <w:p w14:paraId="67DEC172" w14:textId="77777777" w:rsidR="005B1409" w:rsidRDefault="005B1409" w:rsidP="005265DE">
      <w:pPr>
        <w:spacing w:after="0"/>
      </w:pPr>
      <w:r w:rsidRPr="00E9289B">
        <w:t xml:space="preserve">Education systems, schools and teachers </w:t>
      </w:r>
      <w:r>
        <w:t xml:space="preserve">also </w:t>
      </w:r>
      <w:r w:rsidRPr="00E9289B">
        <w:t>need to consider</w:t>
      </w:r>
      <w:r>
        <w:t xml:space="preserve"> the needs of </w:t>
      </w:r>
      <w:r w:rsidRPr="00E9289B">
        <w:t>students who start school without any apparent vulnerabilities. The primary to secondary school transition is</w:t>
      </w:r>
      <w:r>
        <w:t>, for example,</w:t>
      </w:r>
      <w:r w:rsidRPr="00E9289B">
        <w:t xml:space="preserve"> a time when problems often arise and should be promptly attended to. The indicators of academic progress, disengagement, wellbeing and peer relationships used in this report are examples of tools that could be used to identify and track </w:t>
      </w:r>
      <w:r>
        <w:t xml:space="preserve">the </w:t>
      </w:r>
      <w:r w:rsidRPr="00E9289B">
        <w:t>progress of students</w:t>
      </w:r>
      <w:r>
        <w:t xml:space="preserve"> through mid-childhood</w:t>
      </w:r>
      <w:r w:rsidRPr="00E9289B">
        <w:t>.</w:t>
      </w:r>
    </w:p>
    <w:p w14:paraId="17DDE6BD" w14:textId="77777777" w:rsidR="004F2C6A" w:rsidRPr="00E9289B" w:rsidRDefault="004F2C6A" w:rsidP="004F2C6A">
      <w:pPr>
        <w:spacing w:after="0"/>
      </w:pPr>
    </w:p>
    <w:p w14:paraId="67B033F7" w14:textId="68FA3BEA" w:rsidR="005B1409" w:rsidRDefault="005B1409" w:rsidP="004F2C6A">
      <w:pPr>
        <w:spacing w:after="0"/>
      </w:pPr>
      <w:r w:rsidRPr="007746B4">
        <w:t>Education systems, schools and teachers need to support those who enter school with</w:t>
      </w:r>
      <w:r w:rsidR="00FA6B12" w:rsidRPr="007746B4">
        <w:t xml:space="preserve"> developmental vulnerabilities</w:t>
      </w:r>
      <w:r w:rsidRPr="007746B4">
        <w:t xml:space="preserve">. In our sample </w:t>
      </w:r>
      <w:r w:rsidR="00EA46C2" w:rsidRPr="007746B4">
        <w:t>17.7</w:t>
      </w:r>
      <w:r w:rsidRPr="005265DE">
        <w:t>%</w:t>
      </w:r>
      <w:r w:rsidRPr="007746B4">
        <w:t xml:space="preserve"> of students began school with one or more developmental vulnerability. Each commencing primary school class can therefore be expected to have 4 to 5 students with at least one</w:t>
      </w:r>
      <w:r w:rsidRPr="00E9289B">
        <w:t xml:space="preserve"> developmental vulnerability</w:t>
      </w:r>
      <w:r w:rsidRPr="001234AD">
        <w:t xml:space="preserve">. Important approaches are likely to include: </w:t>
      </w:r>
      <w:r w:rsidRPr="00E9289B">
        <w:t>prevent</w:t>
      </w:r>
      <w:r>
        <w:t>ion of</w:t>
      </w:r>
      <w:r w:rsidRPr="00E9289B">
        <w:t xml:space="preserve"> early school disengagement; </w:t>
      </w:r>
      <w:r>
        <w:t>promotion of</w:t>
      </w:r>
      <w:r w:rsidRPr="00E9289B">
        <w:t xml:space="preserve"> social </w:t>
      </w:r>
      <w:r>
        <w:t xml:space="preserve">inclusion </w:t>
      </w:r>
      <w:r w:rsidRPr="00E9289B">
        <w:t>and</w:t>
      </w:r>
      <w:r>
        <w:t xml:space="preserve"> supporting positive </w:t>
      </w:r>
      <w:r w:rsidRPr="00E9289B">
        <w:t>emotional development</w:t>
      </w:r>
      <w:r>
        <w:t>;</w:t>
      </w:r>
      <w:r w:rsidRPr="00E9289B">
        <w:t xml:space="preserve"> and</w:t>
      </w:r>
      <w:r>
        <w:t xml:space="preserve"> prevention of </w:t>
      </w:r>
      <w:r w:rsidRPr="00E9289B">
        <w:t>bullying.</w:t>
      </w:r>
    </w:p>
    <w:p w14:paraId="734B0BDA" w14:textId="77777777" w:rsidR="004F2C6A" w:rsidRPr="00E9289B" w:rsidRDefault="004F2C6A" w:rsidP="004F2C6A">
      <w:pPr>
        <w:spacing w:after="0"/>
      </w:pPr>
    </w:p>
    <w:p w14:paraId="6DC666BD" w14:textId="77777777" w:rsidR="005B1409" w:rsidRPr="00E9289B" w:rsidRDefault="005B1409" w:rsidP="005265DE">
      <w:pPr>
        <w:spacing w:after="0"/>
      </w:pPr>
      <w:r w:rsidRPr="00E9289B">
        <w:t xml:space="preserve">This report is </w:t>
      </w:r>
      <w:r>
        <w:t>a</w:t>
      </w:r>
      <w:r w:rsidRPr="00E9289B">
        <w:t xml:space="preserve"> first step towards understanding the relationships between early developmental vulnerabilities and </w:t>
      </w:r>
      <w:r>
        <w:t>later social, emotional and academic adjustment</w:t>
      </w:r>
      <w:r w:rsidRPr="00E9289B">
        <w:t>. Future research</w:t>
      </w:r>
      <w:r>
        <w:t xml:space="preserve"> would usefully focus on </w:t>
      </w:r>
      <w:r w:rsidRPr="00E9289B">
        <w:t>the pathways taken by students as they move through the education system.</w:t>
      </w:r>
      <w:r>
        <w:t xml:space="preserve"> Areas </w:t>
      </w:r>
      <w:r w:rsidRPr="00E9289B">
        <w:t xml:space="preserve">for enquiry </w:t>
      </w:r>
      <w:r>
        <w:t xml:space="preserve">might </w:t>
      </w:r>
      <w:r w:rsidRPr="00E9289B">
        <w:t>include:</w:t>
      </w:r>
    </w:p>
    <w:p w14:paraId="497BF36A" w14:textId="77777777" w:rsidR="005B1409" w:rsidRPr="00E9289B" w:rsidRDefault="005B1409" w:rsidP="00DF5A21">
      <w:pPr>
        <w:pStyle w:val="ListParagraph"/>
        <w:numPr>
          <w:ilvl w:val="0"/>
          <w:numId w:val="25"/>
        </w:numPr>
      </w:pPr>
      <w:r w:rsidRPr="00E9289B">
        <w:t xml:space="preserve">Examination of longer term </w:t>
      </w:r>
      <w:r>
        <w:t xml:space="preserve">social, emotional and </w:t>
      </w:r>
      <w:r w:rsidRPr="00E9289B">
        <w:t>education outcomes (</w:t>
      </w:r>
      <w:r>
        <w:t xml:space="preserve">including </w:t>
      </w:r>
      <w:r w:rsidRPr="00E9289B">
        <w:t xml:space="preserve">learning, engagement and wellbeing) </w:t>
      </w:r>
      <w:r>
        <w:t>for developmentally vulnerable children</w:t>
      </w:r>
      <w:r w:rsidRPr="00E9289B">
        <w:t xml:space="preserve"> beyond Year 7</w:t>
      </w:r>
      <w:r>
        <w:t>.</w:t>
      </w:r>
    </w:p>
    <w:p w14:paraId="33360E96" w14:textId="77777777" w:rsidR="005B1409" w:rsidRPr="00E9289B" w:rsidRDefault="005B1409" w:rsidP="00AB5F88">
      <w:pPr>
        <w:pStyle w:val="ListParagraph"/>
        <w:numPr>
          <w:ilvl w:val="0"/>
          <w:numId w:val="25"/>
        </w:numPr>
      </w:pPr>
      <w:r>
        <w:t>Extending current understandings of the predictors of social, emotional and educational outcomes for developmentally vulnerable children</w:t>
      </w:r>
      <w:r w:rsidRPr="00E9289B">
        <w:t>.</w:t>
      </w:r>
      <w:r>
        <w:t xml:space="preserve"> This would include a better understanding of the extent to which experiences in mid-childhood within the school setting might mediate the relationship between early vulnerability and these outcomes in early adolescence.</w:t>
      </w:r>
    </w:p>
    <w:p w14:paraId="45FAB01C" w14:textId="6A83813B" w:rsidR="004F2C6A" w:rsidRDefault="005B1409" w:rsidP="004F2C6A">
      <w:pPr>
        <w:pStyle w:val="ListParagraph"/>
        <w:numPr>
          <w:ilvl w:val="0"/>
          <w:numId w:val="25"/>
        </w:numPr>
      </w:pPr>
      <w:r>
        <w:t>Children with poor social, emotional and educational adjustment and not identified as developmentally vulnerable should become a priority in further work. They constitute the majority of those who are failing academically at year 7 and have until now been largely outside of a policy focus.</w:t>
      </w:r>
    </w:p>
    <w:p w14:paraId="5201AECA" w14:textId="77777777" w:rsidR="004F2C6A" w:rsidRDefault="004F2C6A" w:rsidP="004F2C6A">
      <w:pPr>
        <w:pStyle w:val="ListParagraph"/>
        <w:spacing w:after="0"/>
      </w:pPr>
    </w:p>
    <w:p w14:paraId="16CDB5D8" w14:textId="77777777" w:rsidR="00BF5A98" w:rsidRDefault="005B1409" w:rsidP="004F2C6A">
      <w:pPr>
        <w:spacing w:after="0"/>
      </w:pPr>
      <w:r w:rsidRPr="00E9289B">
        <w:t>The</w:t>
      </w:r>
      <w:r>
        <w:t xml:space="preserve"> major </w:t>
      </w:r>
      <w:r w:rsidRPr="00E9289B">
        <w:t>policy and research emphasis on the first 5 years of life</w:t>
      </w:r>
      <w:r>
        <w:t xml:space="preserve"> over recent decades stands in contrast to the relative</w:t>
      </w:r>
      <w:r w:rsidRPr="00E9289B">
        <w:t xml:space="preserve"> neglect of later childhood and early adolescence. The findings from this report</w:t>
      </w:r>
      <w:r>
        <w:t xml:space="preserve"> suggest </w:t>
      </w:r>
      <w:r w:rsidRPr="00E9289B">
        <w:t>that</w:t>
      </w:r>
      <w:r>
        <w:t xml:space="preserve"> major </w:t>
      </w:r>
      <w:r w:rsidRPr="00E9289B">
        <w:t>modifiable determinants of educational success</w:t>
      </w:r>
      <w:r>
        <w:t xml:space="preserve"> act across </w:t>
      </w:r>
      <w:r w:rsidRPr="00E9289B">
        <w:t>the mid-childhood years</w:t>
      </w:r>
      <w:r>
        <w:t xml:space="preserve"> for all students and should become a greater focus in policy and research</w:t>
      </w:r>
      <w:r w:rsidRPr="00E9289B">
        <w:t>.</w:t>
      </w:r>
    </w:p>
    <w:p w14:paraId="553D32E8" w14:textId="6CC5EBAB" w:rsidR="00036E9A" w:rsidRPr="005B1409" w:rsidRDefault="00036E9A">
      <w:r>
        <w:br w:type="page"/>
      </w:r>
    </w:p>
    <w:p w14:paraId="449B099B" w14:textId="5ED8C98C" w:rsidR="009F4A94" w:rsidRDefault="00833C0A" w:rsidP="00222F6C">
      <w:pPr>
        <w:pStyle w:val="Heading1"/>
        <w:spacing w:before="0"/>
      </w:pPr>
      <w:bookmarkStart w:id="9" w:name="_Toc501120728"/>
      <w:r>
        <w:t>Glossary</w:t>
      </w:r>
      <w:bookmarkEnd w:id="9"/>
    </w:p>
    <w:p w14:paraId="228369D2" w14:textId="77777777" w:rsidR="00833C0A" w:rsidRDefault="00833C0A" w:rsidP="00222F6C">
      <w:pPr>
        <w:pStyle w:val="Heading3"/>
        <w:spacing w:before="0" w:after="120"/>
      </w:pPr>
      <w:r>
        <w:t>Adolescence</w:t>
      </w:r>
    </w:p>
    <w:p w14:paraId="267F5530" w14:textId="77777777" w:rsidR="00833C0A" w:rsidRPr="005114E4" w:rsidRDefault="00833C0A" w:rsidP="005A235F">
      <w:pPr>
        <w:rPr>
          <w:rFonts w:ascii="Times New Roman" w:eastAsia="Times New Roman" w:hAnsi="Times New Roman"/>
        </w:rPr>
      </w:pPr>
      <w:r>
        <w:t xml:space="preserve">Adolescence is the period of physical, cognitive, and social maturation between childhood and adulthood. Although there is variation in how societies and cultures define adolescence, its beginning is marked by the onset of puberty and its end is generally considered as the uptake of stable adult roles. </w:t>
      </w:r>
      <w:r w:rsidRPr="00016293">
        <w:t>The </w:t>
      </w:r>
      <w:bookmarkStart w:id="10" w:name="ref1149170"/>
      <w:bookmarkEnd w:id="10"/>
      <w:r w:rsidRPr="00016293">
        <w:fldChar w:fldCharType="begin"/>
      </w:r>
      <w:r w:rsidRPr="00016293">
        <w:instrText xml:space="preserve"> HYPERLINK "https://www.britannica.com/topic/World-Health-Organization" </w:instrText>
      </w:r>
      <w:r w:rsidRPr="00016293">
        <w:fldChar w:fldCharType="separate"/>
      </w:r>
      <w:r w:rsidRPr="00016293">
        <w:t>World Health Organization</w:t>
      </w:r>
      <w:r w:rsidRPr="00016293">
        <w:fldChar w:fldCharType="end"/>
      </w:r>
      <w:r w:rsidRPr="00016293">
        <w:t> (WHO) defines an adolescent as any</w:t>
      </w:r>
      <w:r>
        <w:t xml:space="preserve"> person between ages 10 and 19.</w:t>
      </w:r>
    </w:p>
    <w:p w14:paraId="11E56B65" w14:textId="77777777" w:rsidR="00833C0A" w:rsidRDefault="00833C0A" w:rsidP="00222F6C">
      <w:pPr>
        <w:pStyle w:val="Heading3"/>
        <w:spacing w:before="0" w:after="120"/>
      </w:pPr>
      <w:r w:rsidRPr="002C7892">
        <w:t>Australian Early Development Census</w:t>
      </w:r>
    </w:p>
    <w:p w14:paraId="667BD4B6" w14:textId="77777777" w:rsidR="00833C0A" w:rsidRDefault="00833C0A">
      <w:r>
        <w:t xml:space="preserve">The Australian Early Development Census (AEDC) is a nationwide survey of child development conducted in a student’s first year of full-time school. The AEDC collects data from school teachers for each child on five key areas: Physical health and wellbeing, social competence, emotional maturity, language and cognitive skills, and communication skills and general knowledge. It has been conducted </w:t>
      </w:r>
      <w:r w:rsidRPr="002C7892">
        <w:t>every three years since 2009.</w:t>
      </w:r>
    </w:p>
    <w:p w14:paraId="2955BD7C" w14:textId="379C2DB3" w:rsidR="00833C0A" w:rsidRDefault="00833C0A" w:rsidP="00222F6C">
      <w:pPr>
        <w:pStyle w:val="Heading3"/>
        <w:spacing w:before="0" w:after="120"/>
      </w:pPr>
      <w:r w:rsidRPr="002C7892">
        <w:t>Australian Early Development Index</w:t>
      </w:r>
    </w:p>
    <w:p w14:paraId="595315F0" w14:textId="77777777" w:rsidR="00833C0A" w:rsidRPr="00CC3AD4" w:rsidRDefault="00833C0A">
      <w:r>
        <w:t>The Australian Early Development Census (AEDC) was formerly known as the Australian Early Development Index (AEDI). It became the AEDC on the 1</w:t>
      </w:r>
      <w:r w:rsidRPr="00CC3AD4">
        <w:rPr>
          <w:vertAlign w:val="superscript"/>
        </w:rPr>
        <w:t>st</w:t>
      </w:r>
      <w:r>
        <w:t xml:space="preserve"> of July, 2014.</w:t>
      </w:r>
    </w:p>
    <w:p w14:paraId="637D747F" w14:textId="77777777" w:rsidR="00833C0A" w:rsidRDefault="00833C0A" w:rsidP="00222F6C">
      <w:pPr>
        <w:pStyle w:val="Heading3"/>
        <w:spacing w:before="0" w:after="120"/>
        <w:rPr>
          <w:rFonts w:eastAsia="Times New Roman"/>
          <w:lang w:eastAsia="en-AU"/>
        </w:rPr>
      </w:pPr>
      <w:r w:rsidRPr="008E146C">
        <w:rPr>
          <w:rFonts w:eastAsia="Times New Roman"/>
          <w:lang w:eastAsia="en-AU"/>
        </w:rPr>
        <w:t>Behav</w:t>
      </w:r>
      <w:r>
        <w:rPr>
          <w:rFonts w:eastAsia="Times New Roman"/>
          <w:lang w:eastAsia="en-AU"/>
        </w:rPr>
        <w:t>iour problems</w:t>
      </w:r>
    </w:p>
    <w:p w14:paraId="5EEB23F2" w14:textId="77777777" w:rsidR="00833C0A" w:rsidRDefault="00833C0A">
      <w:r>
        <w:t>Behaviour problems refer to displays of behaviour that deviate</w:t>
      </w:r>
      <w:r w:rsidRPr="00F729B7">
        <w:t xml:space="preserve"> from social norms </w:t>
      </w:r>
      <w:r>
        <w:t>and are</w:t>
      </w:r>
      <w:r w:rsidRPr="00F729B7">
        <w:t xml:space="preserve"> socially disapproved from those of authority</w:t>
      </w:r>
      <w:r>
        <w:t xml:space="preserve">. Behaviour problems can be the </w:t>
      </w:r>
      <w:r w:rsidRPr="00F729B7">
        <w:t xml:space="preserve">symptomatic expression of emotional </w:t>
      </w:r>
      <w:r>
        <w:t xml:space="preserve">problems </w:t>
      </w:r>
      <w:r w:rsidRPr="00F729B7">
        <w:t>or interpersonal maladjustment</w:t>
      </w:r>
      <w:r>
        <w:t xml:space="preserve"> and include</w:t>
      </w:r>
      <w:r w:rsidRPr="00077BC8">
        <w:t xml:space="preserve"> </w:t>
      </w:r>
      <w:hyperlink r:id="rId17" w:tooltip="Attention-deficit hyperactivity disorder" w:history="1">
        <w:r w:rsidRPr="00077BC8">
          <w:t>attention-deficit hyperactivity disorder</w:t>
        </w:r>
      </w:hyperlink>
      <w:r w:rsidRPr="00077BC8">
        <w:t xml:space="preserve"> (ADHD), </w:t>
      </w:r>
      <w:hyperlink r:id="rId18" w:tooltip="Oppositional defiant disorder" w:history="1">
        <w:r w:rsidRPr="00077BC8">
          <w:t>oppositional defiant disorder</w:t>
        </w:r>
      </w:hyperlink>
      <w:r w:rsidRPr="00077BC8">
        <w:t xml:space="preserve"> (ODD), or </w:t>
      </w:r>
      <w:hyperlink r:id="rId19" w:tooltip="Conduct disorder" w:history="1">
        <w:r w:rsidRPr="00077BC8">
          <w:t>conduct disorder</w:t>
        </w:r>
      </w:hyperlink>
      <w:r w:rsidRPr="00077BC8">
        <w:t xml:space="preserve"> (CD).</w:t>
      </w:r>
      <w:r>
        <w:t xml:space="preserve"> Behaviour problems are sometimes described as externalising problems.</w:t>
      </w:r>
    </w:p>
    <w:p w14:paraId="7DCEE5C2" w14:textId="77777777" w:rsidR="00833C0A" w:rsidRDefault="00833C0A" w:rsidP="00222F6C">
      <w:pPr>
        <w:pStyle w:val="Heading3"/>
        <w:spacing w:before="0" w:after="120"/>
        <w:rPr>
          <w:rFonts w:eastAsia="Times New Roman"/>
          <w:lang w:eastAsia="en-AU"/>
        </w:rPr>
      </w:pPr>
      <w:r>
        <w:rPr>
          <w:rFonts w:eastAsia="Times New Roman"/>
          <w:lang w:eastAsia="en-AU"/>
        </w:rPr>
        <w:t>Bullying</w:t>
      </w:r>
    </w:p>
    <w:p w14:paraId="0551446F" w14:textId="77777777" w:rsidR="00833C0A" w:rsidRDefault="00833C0A">
      <w:r w:rsidRPr="00342DFC">
        <w:t>Bullying is repeated verbal, physical, social or psychological aggressive behaviour by a person or group directed towards a less powerful person or group that is intended to cause harm, distress or fear.</w:t>
      </w:r>
      <w:r>
        <w:t xml:space="preserve"> Bullying is sometimes referred to as peer victimisation.</w:t>
      </w:r>
    </w:p>
    <w:p w14:paraId="19BAFAAB" w14:textId="77777777" w:rsidR="00833C0A" w:rsidRDefault="00833C0A" w:rsidP="00222F6C">
      <w:pPr>
        <w:pStyle w:val="Heading3"/>
        <w:spacing w:before="0" w:after="120"/>
      </w:pPr>
      <w:r>
        <w:t>Developmental vulnerability (DV)</w:t>
      </w:r>
    </w:p>
    <w:p w14:paraId="6D4F09EA" w14:textId="317245BB" w:rsidR="00833C0A" w:rsidRDefault="00833C0A">
      <w:r>
        <w:t xml:space="preserve">Students are classified as developmentally vulnerable on each of the five AEDC domains as follows:  for each domain, </w:t>
      </w:r>
      <w:r w:rsidRPr="005221C8">
        <w:t xml:space="preserve">children receive a score between zero and ten, where zero is most developmentally vulnerable. </w:t>
      </w:r>
      <w:r>
        <w:t>Cut-offs to dichotomise this distribution into developmentally vulnerable and not developmentally vulnerable groups were established by the AEDC in 2009. The cut-offs were set such that the lowest 10 percent of participants in each domain in 2009 were classified as developmentally vulnerable. The binary AEDC variable, DV1, classifies students as vulnerable (developmentally vulnerable on 1 or more domains) or not vulnerable (not developmentally vulnerable on any of the 5 domains).</w:t>
      </w:r>
    </w:p>
    <w:p w14:paraId="0C3C4BA6" w14:textId="77777777" w:rsidR="00833C0A" w:rsidRDefault="00833C0A" w:rsidP="00222F6C">
      <w:pPr>
        <w:pStyle w:val="Heading3"/>
        <w:spacing w:before="0" w:after="120"/>
        <w:rPr>
          <w:rFonts w:eastAsia="Times New Roman"/>
          <w:lang w:eastAsia="en-AU"/>
        </w:rPr>
      </w:pPr>
      <w:r>
        <w:rPr>
          <w:rFonts w:eastAsia="Times New Roman"/>
          <w:lang w:eastAsia="en-AU"/>
        </w:rPr>
        <w:t>Early development index (EDI)</w:t>
      </w:r>
    </w:p>
    <w:p w14:paraId="002ED9AE" w14:textId="77777777" w:rsidR="00833C0A" w:rsidRPr="000C59EB" w:rsidRDefault="00833C0A">
      <w:pPr>
        <w:rPr>
          <w:lang w:eastAsia="en-AU"/>
        </w:rPr>
      </w:pPr>
      <w:r>
        <w:rPr>
          <w:lang w:eastAsia="en-AU"/>
        </w:rPr>
        <w:t>The EDI is the survey instrument used to assess child development in the AEDC. It was originally developed in Canada and has been adapted for the Australian context. It contains 96 items for teachers to complete across 5 developmental domains and has proven reliability and validity.</w:t>
      </w:r>
    </w:p>
    <w:p w14:paraId="2061886F" w14:textId="77777777" w:rsidR="00833C0A" w:rsidRDefault="00833C0A" w:rsidP="00222F6C">
      <w:pPr>
        <w:pStyle w:val="Heading3"/>
        <w:spacing w:before="0" w:after="120"/>
        <w:rPr>
          <w:rFonts w:eastAsia="Times New Roman"/>
          <w:lang w:eastAsia="en-AU"/>
        </w:rPr>
      </w:pPr>
      <w:r w:rsidRPr="008E146C">
        <w:rPr>
          <w:rFonts w:eastAsia="Times New Roman"/>
          <w:lang w:eastAsia="en-AU"/>
        </w:rPr>
        <w:t>Emotional problems</w:t>
      </w:r>
    </w:p>
    <w:p w14:paraId="58BBC1D9" w14:textId="77777777" w:rsidR="00833C0A" w:rsidRDefault="00833C0A">
      <w:r>
        <w:t xml:space="preserve">Emotional problems refer to symptoms of anxiety and depression </w:t>
      </w:r>
      <w:r w:rsidRPr="007A5100">
        <w:t>such as sadness, loneliness, worrying, feelings of worthlessness and anxiousness</w:t>
      </w:r>
      <w:r>
        <w:t>. Emotional problems are sometimes described as internalising problems.</w:t>
      </w:r>
    </w:p>
    <w:p w14:paraId="36087A8C" w14:textId="77777777" w:rsidR="00833C0A" w:rsidRDefault="00833C0A" w:rsidP="00222F6C">
      <w:pPr>
        <w:pStyle w:val="Heading3"/>
        <w:spacing w:before="0" w:after="120"/>
      </w:pPr>
      <w:r>
        <w:t>Equivalent Year Level (EYL)</w:t>
      </w:r>
    </w:p>
    <w:p w14:paraId="7E522918" w14:textId="77777777" w:rsidR="00833C0A" w:rsidRDefault="00833C0A">
      <w:r>
        <w:t xml:space="preserve">A metric developed by the Grattan Institute. The EYL corresponds to the </w:t>
      </w:r>
      <w:r w:rsidRPr="00CF368D">
        <w:t>NAPLAN Scale Score</w:t>
      </w:r>
      <w:r>
        <w:t xml:space="preserve"> (NSS) the median (typical) student is expected to achieve.</w:t>
      </w:r>
    </w:p>
    <w:p w14:paraId="2F1C9B54" w14:textId="77777777" w:rsidR="00833C0A" w:rsidRDefault="00833C0A" w:rsidP="00222F6C">
      <w:pPr>
        <w:pStyle w:val="Heading3"/>
        <w:spacing w:before="0" w:after="120"/>
      </w:pPr>
      <w:r>
        <w:t>Learning</w:t>
      </w:r>
    </w:p>
    <w:p w14:paraId="777FAB6C" w14:textId="77777777" w:rsidR="00833C0A" w:rsidRDefault="00833C0A">
      <w:r w:rsidRPr="000B49C6">
        <w:t>Student learning encompasses the knowledge, skills, and abilities that students attain as a result of their involvement in education. Academic progress is a key component of this</w:t>
      </w:r>
      <w:r>
        <w:t>,</w:t>
      </w:r>
      <w:r w:rsidRPr="000B49C6">
        <w:t xml:space="preserve"> </w:t>
      </w:r>
      <w:r>
        <w:t xml:space="preserve">but </w:t>
      </w:r>
      <w:r w:rsidRPr="000B49C6">
        <w:t xml:space="preserve">this concept </w:t>
      </w:r>
      <w:r>
        <w:t>also</w:t>
      </w:r>
      <w:r w:rsidRPr="000B49C6">
        <w:t xml:space="preserve"> include</w:t>
      </w:r>
      <w:r>
        <w:t>s</w:t>
      </w:r>
      <w:r w:rsidRPr="000B49C6">
        <w:t xml:space="preserve"> important life skills not</w:t>
      </w:r>
      <w:r>
        <w:t xml:space="preserve"> directly measured by standardis</w:t>
      </w:r>
      <w:r w:rsidRPr="000B49C6">
        <w:t>ed tests such as resilience, self-efficacy, perseverance and social skills.</w:t>
      </w:r>
    </w:p>
    <w:p w14:paraId="77E03A21" w14:textId="77777777" w:rsidR="00833C0A" w:rsidRDefault="00833C0A" w:rsidP="00222F6C">
      <w:pPr>
        <w:pStyle w:val="Heading3"/>
        <w:spacing w:before="0" w:after="120"/>
      </w:pPr>
      <w:r>
        <w:t>Learning progress</w:t>
      </w:r>
    </w:p>
    <w:p w14:paraId="7022F367" w14:textId="77777777" w:rsidR="00833C0A" w:rsidRPr="004A79EB" w:rsidRDefault="00833C0A">
      <w:pPr>
        <w:rPr>
          <w:b/>
        </w:rPr>
      </w:pPr>
      <w:r w:rsidRPr="00861D59">
        <w:t>Improvements in knowledge, skills, and abilities that students attain over time as a result of their involvement in education.</w:t>
      </w:r>
    </w:p>
    <w:p w14:paraId="07E0BA85" w14:textId="77777777" w:rsidR="00833C0A" w:rsidRDefault="00833C0A" w:rsidP="00222F6C">
      <w:pPr>
        <w:pStyle w:val="Heading3"/>
        <w:spacing w:before="0" w:after="120"/>
      </w:pPr>
      <w:r w:rsidRPr="002C7892">
        <w:t>Logistic Regression</w:t>
      </w:r>
    </w:p>
    <w:p w14:paraId="53603CC8" w14:textId="77777777" w:rsidR="00833C0A" w:rsidRPr="003B66D8" w:rsidRDefault="00833C0A">
      <w:r>
        <w:t xml:space="preserve">Logistic regression is a method of statistical analysis used when the dependent variable is dichotomous (has two possible outcomes), and there are one or more independent variables that can determine these outcomes. Logistic regression aims to describe the relationship between a set of predictive variables (independent) and the extent to which they predict the binary outcomes (dependent variables). </w:t>
      </w:r>
    </w:p>
    <w:p w14:paraId="2E08B4E6" w14:textId="77777777" w:rsidR="00833C0A" w:rsidRDefault="00833C0A" w:rsidP="00222F6C">
      <w:pPr>
        <w:pStyle w:val="Heading3"/>
        <w:spacing w:before="0" w:after="120"/>
      </w:pPr>
      <w:r>
        <w:t>Mental health problems</w:t>
      </w:r>
    </w:p>
    <w:p w14:paraId="1F10B924" w14:textId="77777777" w:rsidR="00833C0A" w:rsidRPr="00EF3AE9" w:rsidRDefault="00833C0A">
      <w:r>
        <w:t>Mental health problems, sometimes referred to as mental illness or mental disorders, are a wide range of conditions that affect mood, thinking and behaviour. Many people will have symptoms of poor mental health from time to time but it becomes a problem (or disorder) when the symptoms are on-going and affect the ability to function.</w:t>
      </w:r>
    </w:p>
    <w:p w14:paraId="5F9B6EE5" w14:textId="77777777" w:rsidR="00833C0A" w:rsidRDefault="00833C0A" w:rsidP="00222F6C">
      <w:pPr>
        <w:pStyle w:val="Heading3"/>
        <w:spacing w:before="0" w:after="120"/>
      </w:pPr>
      <w:r>
        <w:t>Middle years</w:t>
      </w:r>
    </w:p>
    <w:p w14:paraId="68FA38B5" w14:textId="77777777" w:rsidR="00833C0A" w:rsidRPr="00FB1AD5" w:rsidRDefault="00833C0A">
      <w:r>
        <w:t>The middle years, in this report defined as 8 to 14 years of age, are a period of rapid physical, emotional and intellectual growth. This is also a period of transitions, for example the transition from childhood to adolescence, and from primary to secondary school.</w:t>
      </w:r>
    </w:p>
    <w:p w14:paraId="625E58B6" w14:textId="77777777" w:rsidR="00833C0A" w:rsidRDefault="00833C0A" w:rsidP="00222F6C">
      <w:pPr>
        <w:pStyle w:val="Heading3"/>
        <w:spacing w:before="0" w:after="120"/>
      </w:pPr>
      <w:r>
        <w:t>NAPLAN</w:t>
      </w:r>
    </w:p>
    <w:p w14:paraId="587E199A" w14:textId="77777777" w:rsidR="00833C0A" w:rsidRPr="001154DB" w:rsidRDefault="00833C0A">
      <w:r>
        <w:t>The National Assessment Program – Literacy and Numeracy (NAPLAN) is an annual test of all Australian students in Years 3, 5, 7 and 9. Testing covers four domains: reading, writing, language conventions (spelling, grammar and punctuation) and numeracy.</w:t>
      </w:r>
    </w:p>
    <w:p w14:paraId="78A920D4" w14:textId="77777777" w:rsidR="00833C0A" w:rsidRDefault="00833C0A" w:rsidP="00222F6C">
      <w:pPr>
        <w:pStyle w:val="Heading3"/>
        <w:spacing w:before="0" w:after="120"/>
      </w:pPr>
      <w:r>
        <w:t>NAPLAN scale score (NSS)</w:t>
      </w:r>
    </w:p>
    <w:p w14:paraId="0B5D56D6" w14:textId="77777777" w:rsidR="00833C0A" w:rsidRDefault="00833C0A">
      <w:r>
        <w:t>The scale score is an estimate of student ability at a given point in time. For each NAPLAN domain, students in Years 3, 5, 7 and 9 are scored along the same scale that has a range of 0 to 1000.</w:t>
      </w:r>
    </w:p>
    <w:p w14:paraId="16D8FFED" w14:textId="77777777" w:rsidR="00833C0A" w:rsidRDefault="00833C0A" w:rsidP="00222F6C">
      <w:pPr>
        <w:pStyle w:val="Heading3"/>
        <w:spacing w:before="0" w:after="120"/>
      </w:pPr>
      <w:r>
        <w:t>Odds Ratio (OR)</w:t>
      </w:r>
    </w:p>
    <w:p w14:paraId="1DDED2B5" w14:textId="77777777" w:rsidR="00833C0A" w:rsidRPr="00277CF9" w:rsidRDefault="00833C0A">
      <w:pPr>
        <w:rPr>
          <w:rFonts w:ascii="Times New Roman" w:eastAsia="Times New Roman" w:hAnsi="Times New Roman"/>
        </w:rPr>
      </w:pPr>
      <w:r w:rsidRPr="001E1DBA">
        <w:rPr>
          <w:shd w:val="clear" w:color="auto" w:fill="FFFFFF"/>
        </w:rPr>
        <w:t>An </w:t>
      </w:r>
      <w:r w:rsidRPr="001E1DBA">
        <w:rPr>
          <w:bCs/>
        </w:rPr>
        <w:t>odds ratio</w:t>
      </w:r>
      <w:r>
        <w:rPr>
          <w:bCs/>
        </w:rPr>
        <w:t xml:space="preserve"> (OR)</w:t>
      </w:r>
      <w:r w:rsidRPr="001E1DBA">
        <w:rPr>
          <w:shd w:val="clear" w:color="auto" w:fill="FFFFFF"/>
        </w:rPr>
        <w:t> is a </w:t>
      </w:r>
      <w:r w:rsidRPr="003868A7">
        <w:rPr>
          <w:shd w:val="clear" w:color="auto" w:fill="FFFFFF"/>
        </w:rPr>
        <w:t>measure</w:t>
      </w:r>
      <w:r w:rsidRPr="001E1DBA">
        <w:rPr>
          <w:shd w:val="clear" w:color="auto" w:fill="FFFFFF"/>
        </w:rPr>
        <w:t xml:space="preserve"> of association between an exposure </w:t>
      </w:r>
      <w:r>
        <w:rPr>
          <w:shd w:val="clear" w:color="auto" w:fill="FFFFFF"/>
        </w:rPr>
        <w:t xml:space="preserve">(e.g. emotional problems) </w:t>
      </w:r>
      <w:r w:rsidRPr="001E1DBA">
        <w:rPr>
          <w:shd w:val="clear" w:color="auto" w:fill="FFFFFF"/>
        </w:rPr>
        <w:t>and an outcome</w:t>
      </w:r>
      <w:r>
        <w:rPr>
          <w:shd w:val="clear" w:color="auto" w:fill="FFFFFF"/>
        </w:rPr>
        <w:t xml:space="preserve"> (e.g. school disengagement)</w:t>
      </w:r>
      <w:r w:rsidRPr="001E1DBA">
        <w:rPr>
          <w:shd w:val="clear" w:color="auto" w:fill="FFFFFF"/>
        </w:rPr>
        <w:t>. The OR represents the </w:t>
      </w:r>
      <w:r w:rsidRPr="003868A7">
        <w:rPr>
          <w:shd w:val="clear" w:color="auto" w:fill="FFFFFF"/>
        </w:rPr>
        <w:t>odds</w:t>
      </w:r>
      <w:r w:rsidRPr="001E1DBA">
        <w:rPr>
          <w:shd w:val="clear" w:color="auto" w:fill="FFFFFF"/>
        </w:rPr>
        <w:t> that an outcome will occur given a particular exposure, compared to the </w:t>
      </w:r>
      <w:r w:rsidRPr="003868A7">
        <w:rPr>
          <w:shd w:val="clear" w:color="auto" w:fill="FFFFFF"/>
        </w:rPr>
        <w:t>odds</w:t>
      </w:r>
      <w:r w:rsidRPr="001E1DBA">
        <w:rPr>
          <w:shd w:val="clear" w:color="auto" w:fill="FFFFFF"/>
        </w:rPr>
        <w:t> of the outcome occurring in the absence of that exposure.</w:t>
      </w:r>
      <w:r>
        <w:rPr>
          <w:shd w:val="clear" w:color="auto" w:fill="FFFFFF"/>
        </w:rPr>
        <w:t xml:space="preserve"> I</w:t>
      </w:r>
      <w:r w:rsidRPr="001E1DBA">
        <w:rPr>
          <w:shd w:val="clear" w:color="auto" w:fill="FFFFFF"/>
        </w:rPr>
        <w:t xml:space="preserve">f the outcome is the same in both </w:t>
      </w:r>
      <w:proofErr w:type="gramStart"/>
      <w:r w:rsidRPr="001E1DBA">
        <w:rPr>
          <w:shd w:val="clear" w:color="auto" w:fill="FFFFFF"/>
        </w:rPr>
        <w:t>groups</w:t>
      </w:r>
      <w:proofErr w:type="gramEnd"/>
      <w:r w:rsidRPr="001E1DBA">
        <w:rPr>
          <w:shd w:val="clear" w:color="auto" w:fill="FFFFFF"/>
        </w:rPr>
        <w:t xml:space="preserve"> the </w:t>
      </w:r>
      <w:r w:rsidRPr="001E1DBA">
        <w:rPr>
          <w:bCs/>
        </w:rPr>
        <w:t>ratio</w:t>
      </w:r>
      <w:r w:rsidRPr="001E1DBA">
        <w:rPr>
          <w:shd w:val="clear" w:color="auto" w:fill="FFFFFF"/>
        </w:rPr>
        <w:t> will be 1</w:t>
      </w:r>
      <w:r>
        <w:rPr>
          <w:shd w:val="clear" w:color="auto" w:fill="FFFFFF"/>
        </w:rPr>
        <w:t>.</w:t>
      </w:r>
    </w:p>
    <w:p w14:paraId="084638A8" w14:textId="77777777" w:rsidR="00833C0A" w:rsidRDefault="00833C0A" w:rsidP="00222F6C">
      <w:pPr>
        <w:pStyle w:val="Heading3"/>
        <w:spacing w:before="0" w:after="120"/>
        <w:rPr>
          <w:rFonts w:eastAsia="Times New Roman"/>
          <w:lang w:eastAsia="en-AU"/>
        </w:rPr>
      </w:pPr>
      <w:r w:rsidRPr="008E146C">
        <w:rPr>
          <w:rFonts w:eastAsia="Times New Roman"/>
          <w:lang w:eastAsia="en-AU"/>
        </w:rPr>
        <w:t>Peer support</w:t>
      </w:r>
    </w:p>
    <w:p w14:paraId="08F842C7" w14:textId="77777777" w:rsidR="00833C0A" w:rsidRDefault="00833C0A">
      <w:r w:rsidRPr="0002619C">
        <w:t xml:space="preserve">Peer support refers to the functions performed for </w:t>
      </w:r>
      <w:r>
        <w:t>an</w:t>
      </w:r>
      <w:r w:rsidRPr="0002619C">
        <w:t xml:space="preserve"> individual by </w:t>
      </w:r>
      <w:r>
        <w:t>friends and classmates. It</w:t>
      </w:r>
      <w:r w:rsidRPr="0002619C">
        <w:t xml:space="preserve"> can include emotional support (demonstrations of love and caring, esteem and value, encouragement, and sympathy), instrumental support (provision of facts or advice that may help a person solve problems) and informational support (supplying behavioural or material assistance with practical tasks or problems)</w:t>
      </w:r>
      <w:r>
        <w:t>.</w:t>
      </w:r>
    </w:p>
    <w:p w14:paraId="3726732E" w14:textId="77777777" w:rsidR="00833C0A" w:rsidRDefault="00833C0A" w:rsidP="00222F6C">
      <w:pPr>
        <w:pStyle w:val="Heading3"/>
        <w:spacing w:before="0" w:after="120"/>
      </w:pPr>
      <w:r w:rsidRPr="00180E68">
        <w:rPr>
          <w:rFonts w:eastAsia="Times New Roman"/>
          <w:shd w:val="clear" w:color="auto" w:fill="FFFFFF"/>
        </w:rPr>
        <w:t xml:space="preserve">Programme for International Student Assessment </w:t>
      </w:r>
      <w:r>
        <w:rPr>
          <w:rFonts w:eastAsia="Times New Roman"/>
          <w:shd w:val="clear" w:color="auto" w:fill="FFFFFF"/>
        </w:rPr>
        <w:t>(</w:t>
      </w:r>
      <w:r>
        <w:t>PISA)</w:t>
      </w:r>
    </w:p>
    <w:p w14:paraId="591D8FF7" w14:textId="77777777" w:rsidR="00833C0A" w:rsidRPr="002D2D44" w:rsidRDefault="00833C0A">
      <w:pPr>
        <w:rPr>
          <w:shd w:val="clear" w:color="auto" w:fill="FFFFFF"/>
        </w:rPr>
      </w:pPr>
      <w:r w:rsidRPr="00180E68">
        <w:rPr>
          <w:shd w:val="clear" w:color="auto" w:fill="FFFFFF"/>
        </w:rPr>
        <w:t xml:space="preserve">The Programme for International Student Assessment (PISA) is a triennial international survey </w:t>
      </w:r>
      <w:r>
        <w:rPr>
          <w:shd w:val="clear" w:color="auto" w:fill="FFFFFF"/>
        </w:rPr>
        <w:t xml:space="preserve">conducted by the Organisation for Economic Co-operation and Development (OECD) </w:t>
      </w:r>
      <w:r w:rsidRPr="00180E68">
        <w:rPr>
          <w:shd w:val="clear" w:color="auto" w:fill="FFFFFF"/>
        </w:rPr>
        <w:t>which aims to evaluate education systems worldwide by testing the skills and knowledge of 15-year-old students.</w:t>
      </w:r>
      <w:r>
        <w:rPr>
          <w:shd w:val="clear" w:color="auto" w:fill="FFFFFF"/>
        </w:rPr>
        <w:t xml:space="preserve"> </w:t>
      </w:r>
      <w:r w:rsidRPr="004C0964">
        <w:rPr>
          <w:shd w:val="clear" w:color="auto" w:fill="FFFFFF"/>
        </w:rPr>
        <w:t>The last assessment in 2015 tested over half a million students, representing 28 million 15-year-olds in 72 countries and economies. Students were assessed in science, mathematics, reading, collaborative problem solving and financial literacy.</w:t>
      </w:r>
    </w:p>
    <w:p w14:paraId="5E28D1EB" w14:textId="77777777" w:rsidR="00833C0A" w:rsidRDefault="00833C0A" w:rsidP="00222F6C">
      <w:pPr>
        <w:pStyle w:val="Heading3"/>
        <w:spacing w:before="0" w:after="120"/>
      </w:pPr>
      <w:r>
        <w:t>Puberty</w:t>
      </w:r>
    </w:p>
    <w:p w14:paraId="5F0A0062" w14:textId="77777777" w:rsidR="00833C0A" w:rsidRDefault="00833C0A">
      <w:r>
        <w:t>Puberty is a universal experience in normal human development and marks the transition from childhood to adulthood. It is accompanied by physical growth, brain maturation and sexual maturation and results in reproductive capability. Puberty is a combination of physiological processes with the hormonal changes beginning several years before the physical changes. There are at least three hormonal events involved in puberty: adrenarche, gonadarche, and the growth spurt.</w:t>
      </w:r>
    </w:p>
    <w:p w14:paraId="1DBD8B8A" w14:textId="77777777" w:rsidR="00833C0A" w:rsidRDefault="00833C0A" w:rsidP="00222F6C">
      <w:pPr>
        <w:pStyle w:val="Heading3"/>
        <w:spacing w:before="0" w:after="120"/>
      </w:pPr>
      <w:r>
        <w:t>Quality education</w:t>
      </w:r>
    </w:p>
    <w:p w14:paraId="0B9F021B" w14:textId="77777777" w:rsidR="00833C0A" w:rsidRPr="00E242D3" w:rsidRDefault="00833C0A">
      <w:r>
        <w:t xml:space="preserve">Quality education fosters </w:t>
      </w:r>
      <w:r w:rsidRPr="00800785">
        <w:t xml:space="preserve">the social, emotional, mental, physical, and cognitive development of each </w:t>
      </w:r>
      <w:r>
        <w:t>child</w:t>
      </w:r>
      <w:r w:rsidRPr="00800785">
        <w:t>.</w:t>
      </w:r>
      <w:r>
        <w:t xml:space="preserve"> It aims to develop the full potential of each and every student </w:t>
      </w:r>
      <w:r w:rsidRPr="00800785">
        <w:t>regardless of gender, race, ethnicity, socioeconomic status, or geographic location</w:t>
      </w:r>
      <w:r>
        <w:t>.</w:t>
      </w:r>
    </w:p>
    <w:p w14:paraId="6E207888" w14:textId="77777777" w:rsidR="00833C0A" w:rsidRDefault="00833C0A" w:rsidP="00222F6C">
      <w:pPr>
        <w:pStyle w:val="Heading3"/>
        <w:spacing w:before="0" w:after="120"/>
        <w:rPr>
          <w:rFonts w:eastAsia="Times New Roman"/>
          <w:lang w:eastAsia="en-AU"/>
        </w:rPr>
      </w:pPr>
      <w:r w:rsidRPr="002C7892">
        <w:rPr>
          <w:rFonts w:eastAsia="Times New Roman"/>
          <w:lang w:eastAsia="en-AU"/>
        </w:rPr>
        <w:t>Risk ratio (RR)</w:t>
      </w:r>
    </w:p>
    <w:p w14:paraId="6EBCF87B" w14:textId="77777777" w:rsidR="00833C0A" w:rsidRPr="009504D2" w:rsidRDefault="00833C0A">
      <w:pPr>
        <w:rPr>
          <w:lang w:eastAsia="en-AU"/>
        </w:rPr>
      </w:pPr>
      <w:r>
        <w:rPr>
          <w:lang w:eastAsia="en-AU"/>
        </w:rPr>
        <w:t>Risk ratio (RR) represents the probability of an event occurring in one group, compared to the probability of the same event occurring in another group. A risk ratio of one means there is no difference between the two groups. If the risk ratio is greater than one, there is an increased probability of the event occurring. Likewise, if the risk ratio is less than one, there is a decreased probability of the event occurring.</w:t>
      </w:r>
    </w:p>
    <w:p w14:paraId="62958948" w14:textId="77777777" w:rsidR="00833C0A" w:rsidRPr="008E146C" w:rsidRDefault="00833C0A" w:rsidP="00222F6C">
      <w:pPr>
        <w:pStyle w:val="Heading3"/>
        <w:spacing w:before="0" w:after="120"/>
        <w:rPr>
          <w:rFonts w:eastAsia="Times New Roman"/>
          <w:lang w:eastAsia="en-AU"/>
        </w:rPr>
      </w:pPr>
      <w:r w:rsidRPr="008E146C">
        <w:rPr>
          <w:rFonts w:eastAsia="Times New Roman"/>
          <w:lang w:eastAsia="en-AU"/>
        </w:rPr>
        <w:t>School engagement</w:t>
      </w:r>
      <w:r>
        <w:rPr>
          <w:rFonts w:eastAsia="Times New Roman"/>
          <w:lang w:eastAsia="en-AU"/>
        </w:rPr>
        <w:t>/disengagement</w:t>
      </w:r>
    </w:p>
    <w:p w14:paraId="1DC08013" w14:textId="77777777" w:rsidR="00833C0A" w:rsidRDefault="00833C0A">
      <w:r>
        <w:t>School engagement refers to a student’s’ relationship with school, school staff, other students and learning. It includes behavioural, emotional and cognitive components; a highly engaged student will participate in academic and social activities, will have a sense of belonging or connection with school, and will be motivated in their learning. Engagement is measured on a continuum with the lower part of the distribution considered to be disengaged. Disengagement is characterised by low attendance and participation, a lack of motivation for learning and low connection with teachers and school.</w:t>
      </w:r>
    </w:p>
    <w:p w14:paraId="7CFE2879" w14:textId="77777777" w:rsidR="00833C0A" w:rsidRDefault="00833C0A" w:rsidP="00222F6C">
      <w:pPr>
        <w:pStyle w:val="Heading3"/>
        <w:spacing w:before="0" w:after="120"/>
      </w:pPr>
      <w:r w:rsidRPr="00822BC6">
        <w:rPr>
          <w:rFonts w:eastAsia="Times New Roman"/>
        </w:rPr>
        <w:t>Socio-Economic Indexes for Areas (SEIFA)</w:t>
      </w:r>
    </w:p>
    <w:p w14:paraId="3D63A66A" w14:textId="77777777" w:rsidR="00833C0A" w:rsidRPr="00C338AF" w:rsidRDefault="00833C0A">
      <w:pPr>
        <w:rPr>
          <w:rFonts w:ascii="Times New Roman" w:eastAsia="Times New Roman" w:hAnsi="Times New Roman"/>
        </w:rPr>
      </w:pPr>
      <w:r>
        <w:t>Socio-Economic Indexes for Areas (SEIFA)</w:t>
      </w:r>
      <w:r w:rsidRPr="00822BC6">
        <w:t xml:space="preserve"> is a </w:t>
      </w:r>
      <w:r>
        <w:t xml:space="preserve">metric </w:t>
      </w:r>
      <w:r w:rsidRPr="00822BC6">
        <w:t xml:space="preserve">developed by the </w:t>
      </w:r>
      <w:r>
        <w:t>Australian Bureau of Statistics (</w:t>
      </w:r>
      <w:r w:rsidRPr="00822BC6">
        <w:t>ABS</w:t>
      </w:r>
      <w:r>
        <w:t>)</w:t>
      </w:r>
      <w:r w:rsidRPr="00822BC6">
        <w:t xml:space="preserve"> that ranks areas in Australia according to relative socio-economic advantage and disadvantage. </w:t>
      </w:r>
      <w:r>
        <w:t>It is</w:t>
      </w:r>
      <w:r w:rsidRPr="00822BC6">
        <w:t xml:space="preserve"> based on information from the five-yearly Census.</w:t>
      </w:r>
      <w:r>
        <w:t xml:space="preserve"> </w:t>
      </w:r>
      <w:r w:rsidRPr="009927D1">
        <w:t>Th</w:t>
      </w:r>
      <w:r>
        <w:t>e census variables used include: E</w:t>
      </w:r>
      <w:r w:rsidRPr="009927D1">
        <w:t>ducation, employment, occupation, </w:t>
      </w:r>
      <w:hyperlink r:id="rId20" w:tooltip="Home ownership in Australia" w:history="1">
        <w:r w:rsidRPr="009927D1">
          <w:t>housing</w:t>
        </w:r>
      </w:hyperlink>
      <w:r w:rsidRPr="009927D1">
        <w:t> and other indicators of advantage and disadvantage.</w:t>
      </w:r>
    </w:p>
    <w:p w14:paraId="32F3FF1C" w14:textId="77777777" w:rsidR="00833C0A" w:rsidRDefault="00833C0A" w:rsidP="00222F6C">
      <w:pPr>
        <w:pStyle w:val="Heading3"/>
        <w:spacing w:before="0" w:after="120"/>
      </w:pPr>
      <w:r>
        <w:t>Social and emotional skills/social and emotional learning</w:t>
      </w:r>
    </w:p>
    <w:p w14:paraId="558E9D67" w14:textId="77777777" w:rsidR="00833C0A" w:rsidRPr="00AA02F5" w:rsidRDefault="00833C0A">
      <w:r>
        <w:rPr>
          <w:lang w:val="en-US"/>
        </w:rPr>
        <w:t>Social and emotional learning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p>
    <w:p w14:paraId="5B395627" w14:textId="77777777" w:rsidR="00833C0A" w:rsidRDefault="00833C0A" w:rsidP="00222F6C">
      <w:pPr>
        <w:pStyle w:val="Heading3"/>
        <w:spacing w:before="0" w:after="120"/>
        <w:rPr>
          <w:rFonts w:eastAsia="Times New Roman"/>
          <w:lang w:eastAsia="en-AU"/>
        </w:rPr>
      </w:pPr>
      <w:r>
        <w:rPr>
          <w:rFonts w:eastAsia="Times New Roman"/>
          <w:lang w:eastAsia="en-AU"/>
        </w:rPr>
        <w:t>Subjective w</w:t>
      </w:r>
      <w:r w:rsidRPr="008E146C">
        <w:rPr>
          <w:rFonts w:eastAsia="Times New Roman"/>
          <w:lang w:eastAsia="en-AU"/>
        </w:rPr>
        <w:t>ellbeing</w:t>
      </w:r>
    </w:p>
    <w:p w14:paraId="41AAF8EC" w14:textId="77777777" w:rsidR="00833C0A" w:rsidRDefault="00833C0A">
      <w:pPr>
        <w:rPr>
          <w:lang w:eastAsia="en-AU"/>
        </w:rPr>
      </w:pPr>
      <w:r>
        <w:rPr>
          <w:lang w:eastAsia="en-AU"/>
        </w:rPr>
        <w:t>Subjective wellbeing is the individual’s rating of their own happiness and quality of life.</w:t>
      </w:r>
    </w:p>
    <w:p w14:paraId="571C5F02" w14:textId="77777777" w:rsidR="00833C0A" w:rsidRDefault="00833C0A" w:rsidP="00222F6C">
      <w:pPr>
        <w:pStyle w:val="Heading3"/>
        <w:spacing w:before="0" w:after="120"/>
      </w:pPr>
      <w:r>
        <w:t>Wellbeing</w:t>
      </w:r>
    </w:p>
    <w:p w14:paraId="7675B16E" w14:textId="77777777" w:rsidR="00833C0A" w:rsidRDefault="00833C0A">
      <w:pPr>
        <w:rPr>
          <w:rFonts w:cs="Calibri"/>
        </w:rPr>
      </w:pPr>
      <w:r w:rsidRPr="00A66A38">
        <w:t>Wellbeing is a broad and multi-faceted concept describing an aspiration for students to live a happy and fulfilling life. Wellbeing includes a student’s subjective experience and their capabilities (psychological, cognitive, social and physical functioning). It is strongly influenced by objective circumstances such as physical environments and social relationships.</w:t>
      </w:r>
    </w:p>
    <w:p w14:paraId="1C24C3C5" w14:textId="77777777" w:rsidR="00833C0A" w:rsidRDefault="00833C0A" w:rsidP="00222F6C">
      <w:pPr>
        <w:pStyle w:val="Heading3"/>
        <w:spacing w:before="0" w:after="120"/>
      </w:pPr>
      <w:r>
        <w:t>Years of (learning) progress (YOP)</w:t>
      </w:r>
    </w:p>
    <w:p w14:paraId="5E95C0AE" w14:textId="358F4578" w:rsidR="009F4A94" w:rsidRDefault="00833C0A">
      <w:r>
        <w:t>A metric developed by the Grattan Institute. Years of progress (YOP) is the difference in years and months between Equivalent Years of Learning (EYLs) between two points in time for a given student.</w:t>
      </w:r>
    </w:p>
    <w:p w14:paraId="4185F6B3" w14:textId="77777777" w:rsidR="009F4A94" w:rsidRDefault="009F4A94" w:rsidP="00D52B12">
      <w:pPr>
        <w:rPr>
          <w:rFonts w:asciiTheme="majorHAnsi" w:eastAsiaTheme="majorEastAsia" w:hAnsiTheme="majorHAnsi" w:cstheme="majorBidi"/>
          <w:color w:val="2F5496" w:themeColor="accent1" w:themeShade="BF"/>
          <w:sz w:val="26"/>
          <w:szCs w:val="26"/>
        </w:rPr>
      </w:pPr>
      <w:r>
        <w:br w:type="page"/>
      </w:r>
    </w:p>
    <w:p w14:paraId="0DB1D243" w14:textId="77777777" w:rsidR="003F59C4" w:rsidRDefault="003F59C4" w:rsidP="00222F6C">
      <w:pPr>
        <w:pStyle w:val="Heading1"/>
        <w:spacing w:before="0"/>
      </w:pPr>
      <w:bookmarkStart w:id="11" w:name="_Toc501120729"/>
      <w:r>
        <w:t>Introduction</w:t>
      </w:r>
      <w:bookmarkEnd w:id="11"/>
    </w:p>
    <w:p w14:paraId="07C8DE40" w14:textId="77777777" w:rsidR="003F59C4" w:rsidRDefault="003F59C4" w:rsidP="005265DE">
      <w:pPr>
        <w:pStyle w:val="Heading2"/>
        <w:spacing w:before="0" w:after="120"/>
      </w:pPr>
      <w:bookmarkStart w:id="12" w:name="_Toc501120730"/>
      <w:r>
        <w:t>Background</w:t>
      </w:r>
      <w:bookmarkEnd w:id="12"/>
    </w:p>
    <w:p w14:paraId="0B491973" w14:textId="77777777" w:rsidR="005B1409" w:rsidRDefault="005B1409" w:rsidP="004F2C6A">
      <w:pPr>
        <w:spacing w:after="0"/>
      </w:pPr>
      <w:r w:rsidRPr="005B1409">
        <w:t>There is general agreement that the provision of the healthiest possible start to life is a major priority for the Australian government, and one that has great community support and benefits for all. Over the past two decades in Australia the major focus of policy and public investment in child health has been on the first five years of life. Yet this concentration of policy and public investment has failed to translate into better health and improved social and educational outcomes for Australian children. One likely reason is that development continues beyond these very early years in which case it is essential public policy continue to invest in later childhood and adolescence when children are still growing and learning.</w:t>
      </w:r>
    </w:p>
    <w:p w14:paraId="1EAB912A" w14:textId="77777777" w:rsidR="004F2C6A" w:rsidRPr="005B1409" w:rsidRDefault="004F2C6A" w:rsidP="004F2C6A">
      <w:pPr>
        <w:spacing w:after="0"/>
      </w:pPr>
    </w:p>
    <w:p w14:paraId="0E6205AE" w14:textId="421EB95F" w:rsidR="005B1409" w:rsidRPr="005B1409" w:rsidRDefault="005B1409" w:rsidP="004F2C6A">
      <w:pPr>
        <w:spacing w:after="0"/>
      </w:pPr>
      <w:r w:rsidRPr="005B1409">
        <w:t xml:space="preserve">Despite increases in education expenditure over the past decade results from national and international tests, such as </w:t>
      </w:r>
      <w:r w:rsidR="00833C0A">
        <w:t>the National Assessment Program – Literacy and Numeracy (</w:t>
      </w:r>
      <w:r w:rsidRPr="005B1409">
        <w:t>NAPLAN</w:t>
      </w:r>
      <w:r w:rsidR="00833C0A">
        <w:t>)</w:t>
      </w:r>
      <w:r w:rsidRPr="005B1409">
        <w:t xml:space="preserve">, </w:t>
      </w:r>
      <w:r w:rsidR="00833C0A" w:rsidRPr="00CC34BE">
        <w:t xml:space="preserve">Trends in International Mathematics and Science Study </w:t>
      </w:r>
      <w:r w:rsidR="00833C0A">
        <w:t>(</w:t>
      </w:r>
      <w:r w:rsidRPr="005B1409">
        <w:t>TIMSS</w:t>
      </w:r>
      <w:r w:rsidR="00833C0A">
        <w:t>)</w:t>
      </w:r>
      <w:r w:rsidRPr="005B1409">
        <w:t xml:space="preserve"> and </w:t>
      </w:r>
      <w:r w:rsidR="00833C0A">
        <w:t>the Programme for International Student Assessment (</w:t>
      </w:r>
      <w:r w:rsidRPr="005B1409">
        <w:t>PISA</w:t>
      </w:r>
      <w:r w:rsidR="00833C0A">
        <w:t>)</w:t>
      </w:r>
      <w:r w:rsidRPr="005B1409">
        <w:t xml:space="preserve"> show that education outcomes of Australian children show little improvement and are even declining in the middle years </w:t>
      </w:r>
      <w:r w:rsidR="00B22107">
        <w:fldChar w:fldCharType="begin">
          <w:fldData xml:space="preserve">PEVuZE5vdGU+PENpdGU+PEF1dGhvcj5DdW5uaW5naGFtPC9BdXRob3I+PFllYXI+MTk5NzwvWWVh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</w:fldData>
        </w:fldChar>
      </w:r>
      <w:r w:rsidR="00545FD3">
        <w:instrText xml:space="preserve"> ADDIN EN.CITE </w:instrText>
      </w:r>
      <w:r w:rsidR="00545FD3">
        <w:fldChar w:fldCharType="begin">
          <w:fldData xml:space="preserve">PEVuZE5vdGU+PENpdGU+PEF1dGhvcj5DdW5uaW5naGFtPC9BdXRob3I+PFllYXI+MTk5NzwvWWVh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</w:fldData>
        </w:fldChar>
      </w:r>
      <w:r w:rsidR="00545FD3">
        <w:instrText xml:space="preserve"> ADDIN EN.CITE.DATA </w:instrText>
      </w:r>
      <w:r w:rsidR="00545FD3">
        <w:fldChar w:fldCharType="end"/>
      </w:r>
      <w:r w:rsidR="00B22107">
        <w:fldChar w:fldCharType="separate"/>
      </w:r>
      <w:r w:rsidR="00545FD3">
        <w:rPr>
          <w:noProof/>
        </w:rPr>
        <w:t>[1, 8]</w:t>
      </w:r>
      <w:r w:rsidR="00B22107">
        <w:fldChar w:fldCharType="end"/>
      </w:r>
      <w:r w:rsidRPr="005B1409">
        <w:t xml:space="preserve">. Grattan Institute (2016) analyses also showed that the learning gap for disadvantaged students triples between Years 3 and 9 </w:t>
      </w:r>
      <w:r w:rsidR="00B22107">
        <w:fldChar w:fldCharType="begin"/>
      </w:r>
      <w:r w:rsidR="00545FD3">
        <w:instrText xml:space="preserve"> ADDIN EN.CITE &lt;EndNote&gt;&lt;Cite&gt;&lt;Author&gt;Goss&lt;/Author&gt;&lt;Year&gt;2016&lt;/Year&gt;&lt;RecNum&gt;1188&lt;/RecNum&gt;&lt;DisplayText&gt;[9]&lt;/DisplayText&gt;&lt;record&gt;&lt;rec-number&gt;1188&lt;/rec-number&gt;&lt;foreign-keys&gt;&lt;key app="EN" db-id="fztfxtw2kew9raetd235rfx625vrvpf9e0df" timestamp="1513905462"&gt;1188&lt;/key&gt;&lt;/foreign-keys&gt;&lt;ref-type name="Report"&gt;27&lt;/ref-type&gt;&lt;contributors&gt;&lt;authors&gt;&lt;author&gt;Goss, P&lt;/author&gt;&lt;author&gt;Sonnemann, J&lt;/author&gt;&lt;author&gt;Chisholm, C&lt;/author&gt;&lt;author&gt;Nelson, L&lt;/author&gt;&lt;/authors&gt;&lt;/contributors&gt;&lt;titles&gt;&lt;title&gt;Widening gaps: What NAPLAN tells us about student progress&lt;/title&gt;&lt;/titles&gt;&lt;dates&gt;&lt;year&gt;2016&lt;/year&gt;&lt;/dates&gt;&lt;publisher&gt;Grattan Institute&lt;/publisher&gt;&lt;urls&gt;&lt;related-urls&gt;&lt;url&gt;https://grattan.edu.au/wp-content/uploads/2016/03/937-Widening-gaps.pdf&lt;/url&gt;&lt;/related-urls&gt;&lt;/urls&gt;&lt;/record&gt;&lt;/Cite&gt;&lt;/EndNote&gt;</w:instrText>
      </w:r>
      <w:r w:rsidR="00B22107">
        <w:fldChar w:fldCharType="separate"/>
      </w:r>
      <w:r w:rsidR="00545FD3">
        <w:rPr>
          <w:noProof/>
        </w:rPr>
        <w:t>[9]</w:t>
      </w:r>
      <w:r w:rsidR="00B22107">
        <w:fldChar w:fldCharType="end"/>
      </w:r>
      <w:r w:rsidRPr="005B1409">
        <w:t xml:space="preserve">. International comparative data indicate that this is not the case in other countries with characteristics similar to Australia where improvements in such outcomes have been observed </w:t>
      </w:r>
      <w:r w:rsidR="00B22107">
        <w:fldChar w:fldCharType="begin"/>
      </w:r>
      <w:r w:rsidR="00545FD3">
        <w:instrText xml:space="preserve"> ADDIN EN.CITE &lt;EndNote&gt;&lt;Cite&gt;&lt;Author&gt;Institute of Medicine&lt;/Author&gt;&lt;Year&gt;2000&lt;/Year&gt;&lt;RecNum&gt;1287&lt;/RecNum&gt;&lt;DisplayText&gt;[10]&lt;/DisplayText&gt;&lt;record&gt;&lt;rec-number&gt;1287&lt;/rec-number&gt;&lt;foreign-keys&gt;&lt;key app="EN" db-id="fztfxtw2kew9raetd235rfx625vrvpf9e0df" timestamp="1513905746"&gt;1287&lt;/key&gt;&lt;/foreign-keys&gt;&lt;ref-type name="Book"&gt;6&lt;/ref-type&gt;&lt;contributors&gt;&lt;authors&gt;&lt;author&gt;Institute of Medicine,&lt;/author&gt;&lt;/authors&gt;&lt;secondary-authors&gt;&lt;author&gt;Shonkoff, Jack, P.&lt;/author&gt;&lt;author&gt;Phillips, Deborah, A.&lt;/author&gt;&lt;/secondary-authors&gt;&lt;/contributors&gt;&lt;titles&gt;&lt;title&gt;From Neurons to Neighborhoods: The Science of Early Childhood Development&lt;/title&gt;&lt;/titles&gt;&lt;keywords&gt;&lt;keyword&gt;Behavioral and Social Sciences&lt;/keyword&gt;&lt;keyword&gt;Education&lt;/keyword&gt;&lt;/keywords&gt;&lt;dates&gt;&lt;year&gt;2000&lt;/year&gt;&lt;/dates&gt;&lt;pub-location&gt;Washington, DC&lt;/pub-location&gt;&lt;publisher&gt;The National Academies Press&lt;/publisher&gt;&lt;isbn&gt;978-0-309-06988-5&lt;/isbn&gt;&lt;urls&gt;&lt;related-urls&gt;&lt;url&gt;https://www.nap.edu/catalog/9824/from-neurons-to-neighborhoods-the-science-of-early-childhood-development&lt;/url&gt;&lt;/related-urls&gt;&lt;/urls&gt;&lt;electronic-resource-num&gt;10.17226/9824&lt;/electronic-resource-num&gt;&lt;language&gt;English&lt;/language&gt;&lt;/record&gt;&lt;/Cite&gt;&lt;/EndNote&gt;</w:instrText>
      </w:r>
      <w:r w:rsidR="00B22107">
        <w:fldChar w:fldCharType="separate"/>
      </w:r>
      <w:r w:rsidR="00545FD3">
        <w:rPr>
          <w:noProof/>
        </w:rPr>
        <w:t>[10]</w:t>
      </w:r>
      <w:r w:rsidR="00B22107">
        <w:fldChar w:fldCharType="end"/>
      </w:r>
      <w:r w:rsidRPr="005B1409">
        <w:t>. This suggests that there are unique factors in the Australian context requiring examination.</w:t>
      </w:r>
    </w:p>
    <w:p w14:paraId="35944BE9" w14:textId="77777777" w:rsidR="004F2C6A" w:rsidRDefault="004F2C6A" w:rsidP="004F2C6A">
      <w:pPr>
        <w:spacing w:after="0"/>
      </w:pPr>
    </w:p>
    <w:p w14:paraId="6180A0D4" w14:textId="4B0C2F60" w:rsidR="005B1409" w:rsidRDefault="005B1409" w:rsidP="004F2C6A">
      <w:pPr>
        <w:spacing w:after="0"/>
      </w:pPr>
      <w:r w:rsidRPr="005B1409">
        <w:t xml:space="preserve">The policy focus on early investment in the first five years of life is well established and is supported by research evidence </w:t>
      </w:r>
      <w:r w:rsidR="00B22107">
        <w:fldChar w:fldCharType="begin">
          <w:fldData xml:space="preserve">PEVuZE5vdGU+PENpdGU+PEF1dGhvcj5BdXN0cmFsaWFuIERlcGFydG1lbnQgb2YgRWR1Y2F0aW9u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</w:fldData>
        </w:fldChar>
      </w:r>
      <w:r w:rsidR="00B22107">
        <w:instrText xml:space="preserve"> ADDIN EN.CITE </w:instrText>
      </w:r>
      <w:r w:rsidR="00B22107">
        <w:fldChar w:fldCharType="begin">
          <w:fldData xml:space="preserve">PEVuZE5vdGU+PENpdGU+PEF1dGhvcj5BdXN0cmFsaWFuIERlcGFydG1lbnQgb2YgRWR1Y2F0aW9u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</w:fldData>
        </w:fldChar>
      </w:r>
      <w:r w:rsidR="00B22107">
        <w:instrText xml:space="preserve"> ADDIN EN.CITE.DATA </w:instrText>
      </w:r>
      <w:r w:rsidR="00B22107">
        <w:fldChar w:fldCharType="end"/>
      </w:r>
      <w:r w:rsidR="00B22107">
        <w:fldChar w:fldCharType="separate"/>
      </w:r>
      <w:r w:rsidR="00B22107">
        <w:rPr>
          <w:noProof/>
        </w:rPr>
        <w:t>[2-4]</w:t>
      </w:r>
      <w:r w:rsidR="00B22107">
        <w:fldChar w:fldCharType="end"/>
      </w:r>
      <w:r w:rsidRPr="005B1409">
        <w:t xml:space="preserve">. In contrast, the evidence to support ongoing investment in later childhood and adolescence is limited and policies have not been directed towards middle to late primary school, or the transition to secondary school. Longitudinal research is needed to track children as they pass through the education system and to examine the factors that might influence any change in academic achievement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rsidRPr="005B1409">
        <w:t>.</w:t>
      </w:r>
    </w:p>
    <w:p w14:paraId="310B36DB" w14:textId="77777777" w:rsidR="004F2C6A" w:rsidRPr="005B1409" w:rsidRDefault="004F2C6A" w:rsidP="004F2C6A">
      <w:pPr>
        <w:spacing w:after="0"/>
      </w:pPr>
    </w:p>
    <w:p w14:paraId="1EA6BCD5" w14:textId="62D97665" w:rsidR="005B1409" w:rsidRDefault="005B1409" w:rsidP="004F2C6A">
      <w:pPr>
        <w:spacing w:after="0"/>
      </w:pPr>
      <w:r w:rsidRPr="005B1409">
        <w:t>The Australian Early Development Census (AEDC) assesses development across five key domains of functioning in children’s first full-time year of school. These domains are: physical health and wellbeing; social competence; emotional maturity; language and cognitive skills; communication skills and general knowledge. It provides a unique opportunity to identify groups of students who may be at risk of developmental problems and poor educational outcomes at school entry i.e. who are developmentally vulnerable. There is a pressing need to better understand what happens to these vulnerable students as they pass through the education system. It is important to understand what factors are predictive of better or worse education outcomes, and whether their learning, social and emotional needs are being met once in school. Furthermore, there is most likely a group of students with no developmental difficulties evident at school entry (i.e. have no developmental vulnerabilities on the AEDC) who develop problems academically, emotionally, behaviourally and socially later in school. Research is therefore needed to identify what factors may predict these problems.</w:t>
      </w:r>
    </w:p>
    <w:p w14:paraId="0DB5F66B" w14:textId="77777777" w:rsidR="004F2C6A" w:rsidRPr="005B1409" w:rsidRDefault="004F2C6A" w:rsidP="004F2C6A">
      <w:pPr>
        <w:spacing w:after="0"/>
      </w:pPr>
    </w:p>
    <w:p w14:paraId="0C9FEAC7" w14:textId="4B9FDA3B" w:rsidR="005B1409" w:rsidRDefault="005B1409" w:rsidP="005265DE">
      <w:pPr>
        <w:spacing w:after="0"/>
      </w:pPr>
      <w:r w:rsidRPr="005B1409">
        <w:t xml:space="preserve">This project will provide the Australian Government, as well as the wider policy and research community, with valuable evidence to fill a gap in our understanding of the factors driving outcomes of </w:t>
      </w:r>
      <w:r w:rsidR="00DA0258">
        <w:t>Melbourne metropolitan</w:t>
      </w:r>
      <w:r w:rsidRPr="005B1409">
        <w:t xml:space="preserve"> school children as they transition through the middle years. This project makes use of the globally unique Childhood to Adolescence Transition Study (CATS), which has been linked with the AEDC dataset, to examine these questions. In this respect, this project</w:t>
      </w:r>
      <w:r w:rsidR="00DA0258">
        <w:t xml:space="preserve"> linking CATS, AEDC and NAPLAN outcomes</w:t>
      </w:r>
      <w:r w:rsidRPr="005B1409">
        <w:t xml:space="preserve"> provides fundamental knowledge around the investments that should be made in later childhood to improve educational outcomes including school engagement, learning, and healthy social and emotional development.</w:t>
      </w:r>
    </w:p>
    <w:p w14:paraId="458DA873" w14:textId="77777777" w:rsidR="00BF5A98" w:rsidRDefault="00BF5A98" w:rsidP="005265DE">
      <w:pPr>
        <w:spacing w:after="0"/>
      </w:pPr>
    </w:p>
    <w:p w14:paraId="6EE99793" w14:textId="6DFE988D" w:rsidR="003F59C4" w:rsidRPr="00E06A83" w:rsidRDefault="003F59C4" w:rsidP="00222F6C">
      <w:pPr>
        <w:pStyle w:val="Heading2"/>
        <w:spacing w:before="0" w:after="120"/>
      </w:pPr>
      <w:bookmarkStart w:id="13" w:name="_Toc501120731"/>
      <w:r w:rsidRPr="00E06A83">
        <w:t>Early childhood development</w:t>
      </w:r>
      <w:bookmarkEnd w:id="13"/>
    </w:p>
    <w:p w14:paraId="522AAFF7" w14:textId="6DCA5CC3" w:rsidR="005B1409" w:rsidRPr="006E034D" w:rsidRDefault="005B1409">
      <w:r>
        <w:t xml:space="preserve">Evidence to support the importance of the early years (first five years of life) for future development has accumulated over the past two </w:t>
      </w:r>
      <w:r w:rsidRPr="00326095">
        <w:t xml:space="preserve">decades </w:t>
      </w:r>
      <w:r w:rsidR="00B22107">
        <w:fldChar w:fldCharType="begin">
          <w:fldData xml:space="preserve">PEVuZE5vdGU+PENpdGU+PEF1dGhvcj5DdW5uaW5naGFtPC9BdXRob3I+PFllYXI+MTk5NzwvWWVh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</w:fldData>
        </w:fldChar>
      </w:r>
      <w:r w:rsidR="00545FD3">
        <w:instrText xml:space="preserve"> ADDIN EN.CITE </w:instrText>
      </w:r>
      <w:r w:rsidR="00545FD3">
        <w:fldChar w:fldCharType="begin">
          <w:fldData xml:space="preserve">PEVuZE5vdGU+PENpdGU+PEF1dGhvcj5DdW5uaW5naGFtPC9BdXRob3I+PFllYXI+MTk5NzwvWWVh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</w:fldData>
        </w:fldChar>
      </w:r>
      <w:r w:rsidR="00545FD3">
        <w:instrText xml:space="preserve"> ADDIN EN.CITE.DATA </w:instrText>
      </w:r>
      <w:r w:rsidR="00545FD3">
        <w:fldChar w:fldCharType="end"/>
      </w:r>
      <w:r w:rsidR="00B22107">
        <w:fldChar w:fldCharType="separate"/>
      </w:r>
      <w:r w:rsidR="00545FD3">
        <w:rPr>
          <w:noProof/>
        </w:rPr>
        <w:t>[1, 8, 10, 11]</w:t>
      </w:r>
      <w:r w:rsidR="00B22107">
        <w:fldChar w:fldCharType="end"/>
      </w:r>
      <w:r>
        <w:t>. A large body of r</w:t>
      </w:r>
      <w:r w:rsidRPr="009A342A">
        <w:t xml:space="preserve">esearch </w:t>
      </w:r>
      <w:r>
        <w:t xml:space="preserve">exists which </w:t>
      </w:r>
      <w:r w:rsidRPr="009A342A">
        <w:t xml:space="preserve">has examined links between </w:t>
      </w:r>
      <w:r w:rsidR="00234B4B">
        <w:t xml:space="preserve">early </w:t>
      </w:r>
      <w:r w:rsidR="00234B4B" w:rsidRPr="009A342A">
        <w:t xml:space="preserve">school </w:t>
      </w:r>
      <w:r w:rsidRPr="009A342A">
        <w:t xml:space="preserve">assessments of cognitive and social and </w:t>
      </w:r>
      <w:r w:rsidRPr="007746B4">
        <w:t xml:space="preserve">emotional skills and early school outcomes. For example the Mitchell Institute’s 2015 report, ‘Educational Opportunity in Australia 2015: Who Succeeds and Who Misses Out’, demonstrated that many of the children who enter school developmentally vulnerable fail to catch up, with around </w:t>
      </w:r>
      <w:r w:rsidRPr="005265DE">
        <w:t xml:space="preserve">10% </w:t>
      </w:r>
      <w:r w:rsidRPr="007746B4">
        <w:t xml:space="preserve">remaining behind their peers throughout the middle years and in their later attempts to transition into further education or work </w:t>
      </w:r>
      <w:r w:rsidR="00B22107" w:rsidRPr="00057A30">
        <w:fldChar w:fldCharType="begin"/>
      </w:r>
      <w:r w:rsidR="00545FD3" w:rsidRPr="007746B4">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B22107" w:rsidRPr="00057A30">
        <w:fldChar w:fldCharType="separate"/>
      </w:r>
      <w:r w:rsidR="00545FD3" w:rsidRPr="007746B4">
        <w:rPr>
          <w:noProof/>
        </w:rPr>
        <w:t>[6]</w:t>
      </w:r>
      <w:r w:rsidR="00B22107" w:rsidRPr="00057A30">
        <w:fldChar w:fldCharType="end"/>
      </w:r>
      <w:r w:rsidRPr="007746B4">
        <w:t xml:space="preserve">. A report by the Canadian Education Quality and Accountability Office found similarly poor outcomes for developmentally vulnerable children </w:t>
      </w:r>
      <w:r w:rsidR="00B22107" w:rsidRPr="00057A30">
        <w:fldChar w:fldCharType="begin"/>
      </w:r>
      <w:r w:rsidR="00545FD3" w:rsidRPr="007746B4">
        <w:instrText xml:space="preserve"> ADDIN EN.CITE &lt;EndNote&gt;&lt;Cite&gt;&lt;Author&gt;Calman&lt;/Author&gt;&lt;Year&gt;2013&lt;/Year&gt;&lt;RecNum&gt;1325&lt;/RecNum&gt;&lt;DisplayText&gt;[12]&lt;/DisplayText&gt;&lt;record&gt;&lt;rec-number&gt;1325&lt;/rec-number&gt;&lt;foreign-keys&gt;&lt;key app="EN" db-id="fztfxtw2kew9raetd235rfx625vrvpf9e0df" timestamp="1513905892"&gt;1325&lt;/key&gt;&lt;key app="ENWeb" db-id=""&gt;0&lt;/key&gt;&lt;/foreign-keys&gt;&lt;ref-type name="Report"&gt;27&lt;/ref-type&gt;&lt;contributors&gt;&lt;authors&gt;&lt;author&gt;Calman, Ruth C.&lt;/author&gt;&lt;author&gt;Crawford, Patricia J.&lt;/author&gt;&lt;/authors&gt;&lt;/contributors&gt;&lt;titles&gt;&lt;title&gt;Starting Early: Teaching, Learning and Assessment. Linking early-childhood development with academic outcomes—a detailed look&lt;/title&gt;&lt;/titles&gt;&lt;dates&gt;&lt;year&gt;2013&lt;/year&gt;&lt;/dates&gt;&lt;pub-location&gt;Ontario&lt;/pub-location&gt;&lt;publisher&gt;Education Quality and Accountability Office (EQAO)&lt;/publisher&gt;&lt;urls&gt;&lt;/urls&gt;&lt;/record&gt;&lt;/Cite&gt;&lt;/EndNote&gt;</w:instrText>
      </w:r>
      <w:r w:rsidR="00B22107" w:rsidRPr="00057A30">
        <w:fldChar w:fldCharType="separate"/>
      </w:r>
      <w:r w:rsidR="00545FD3" w:rsidRPr="007746B4">
        <w:rPr>
          <w:noProof/>
        </w:rPr>
        <w:t>[12]</w:t>
      </w:r>
      <w:r w:rsidR="00B22107" w:rsidRPr="00057A30">
        <w:fldChar w:fldCharType="end"/>
      </w:r>
      <w:r w:rsidRPr="007746B4">
        <w:t>. Children ‘</w:t>
      </w:r>
      <w:r>
        <w:t>vulnerable’ or ‘</w:t>
      </w:r>
      <w:r w:rsidRPr="00763A1A">
        <w:t>at risk</w:t>
      </w:r>
      <w:r>
        <w:t>’</w:t>
      </w:r>
      <w:r w:rsidRPr="00763A1A">
        <w:t xml:space="preserve"> in </w:t>
      </w:r>
      <w:r w:rsidR="00234B4B">
        <w:t>the first year of school</w:t>
      </w:r>
      <w:r w:rsidR="00234B4B" w:rsidRPr="00763A1A">
        <w:t xml:space="preserve"> </w:t>
      </w:r>
      <w:r>
        <w:t xml:space="preserve">were </w:t>
      </w:r>
      <w:r w:rsidRPr="00763A1A">
        <w:t>less likely to meet provincial standard</w:t>
      </w:r>
      <w:r>
        <w:t>s</w:t>
      </w:r>
      <w:r w:rsidRPr="00763A1A">
        <w:t xml:space="preserve"> in reading, writing and mathematics in </w:t>
      </w:r>
      <w:r>
        <w:t>G</w:t>
      </w:r>
      <w:r w:rsidRPr="00763A1A">
        <w:t xml:space="preserve">rade 3 than those who </w:t>
      </w:r>
      <w:r>
        <w:t>were</w:t>
      </w:r>
      <w:r w:rsidRPr="00763A1A">
        <w:t xml:space="preserve"> </w:t>
      </w:r>
      <w:r>
        <w:t xml:space="preserve">not. </w:t>
      </w:r>
      <w:r w:rsidRPr="009A342A">
        <w:t xml:space="preserve">An early meta-review of studies conducted between 1985 and 1998 found that individual differences in cognitive skills at the commencement of primary school predicted academic performance in the early school years. These findings have been </w:t>
      </w:r>
      <w:r>
        <w:t>replicated</w:t>
      </w:r>
      <w:r w:rsidRPr="009A342A">
        <w:t xml:space="preserve"> in more recent studies </w:t>
      </w:r>
      <w:r w:rsidR="00B22107">
        <w:fldChar w:fldCharType="begin"/>
      </w:r>
      <w:r w:rsidR="00545FD3">
        <w:instrText xml:space="preserve"> ADDIN EN.CITE &lt;EndNote&gt;&lt;Cite&gt;&lt;Author&gt;Duncan&lt;/Author&gt;&lt;Year&gt;2007&lt;/Year&gt;&lt;RecNum&gt;1277&lt;/RecNum&gt;&lt;DisplayText&gt;[13]&lt;/DisplayText&gt;&lt;record&gt;&lt;rec-number&gt;1277&lt;/rec-number&gt;&lt;foreign-keys&gt;&lt;key app="EN" db-id="fztfxtw2kew9raetd235rfx625vrvpf9e0df" timestamp="1513905690"&gt;1277&lt;/key&gt;&lt;key app="ENWeb" db-id=""&gt;0&lt;/key&gt;&lt;/foreign-keys&gt;&lt;ref-type name="Journal Article"&gt;17&lt;/ref-type&gt;&lt;contributors&gt;&lt;authors&gt;&lt;author&gt;Duncan, Greg J&lt;/author&gt;&lt;author&gt;Dowsett, Chantelle J&lt;/author&gt;&lt;author&gt;Claessens, Amy&lt;/author&gt;&lt;author&gt;Magnuson, Katherine&lt;/author&gt;&lt;author&gt;Huston, Aletha C&lt;/author&gt;&lt;author&gt;Klebanov, Pamela&lt;/author&gt;&lt;author&gt;Pagani, Linda S&lt;/author&gt;&lt;author&gt;Feinstein, Leon&lt;/author&gt;&lt;author&gt;Engel, Mimi&lt;/author&gt;&lt;author&gt;Brooks-Gunn, Jeanne&lt;/author&gt;&lt;/authors&gt;&lt;/contributors&gt;&lt;titles&gt;&lt;title&gt;School readiness and later achievement&lt;/title&gt;&lt;secondary-title&gt;Developmental psychology&lt;/secondary-title&gt;&lt;/titles&gt;&lt;periodical&gt;&lt;full-title&gt;Developmental Psychology&lt;/full-title&gt;&lt;/periodical&gt;&lt;pages&gt;1428&lt;/pages&gt;&lt;volume&gt;43&lt;/volume&gt;&lt;number&gt;6&lt;/number&gt;&lt;dates&gt;&lt;year&gt;2007&lt;/year&gt;&lt;/dates&gt;&lt;isbn&gt;1939-0599&lt;/isbn&gt;&lt;urls&gt;&lt;/urls&gt;&lt;/record&gt;&lt;/Cite&gt;&lt;/EndNote&gt;</w:instrText>
      </w:r>
      <w:r w:rsidR="00B22107">
        <w:fldChar w:fldCharType="separate"/>
      </w:r>
      <w:r w:rsidR="00545FD3">
        <w:rPr>
          <w:noProof/>
        </w:rPr>
        <w:t>[13]</w:t>
      </w:r>
      <w:r w:rsidR="00B22107">
        <w:fldChar w:fldCharType="end"/>
      </w:r>
      <w:r w:rsidRPr="009A342A">
        <w:t>.</w:t>
      </w:r>
      <w:r>
        <w:t xml:space="preserve"> The continuity of cognitive (academic)</w:t>
      </w:r>
      <w:r w:rsidRPr="009A342A">
        <w:t xml:space="preserve"> skills continues beyond early primary school into the late primary </w:t>
      </w:r>
      <w:r w:rsidR="00B22107">
        <w:fldChar w:fldCharType="begin"/>
      </w:r>
      <w:r w:rsidR="00545FD3">
        <w:instrText xml:space="preserve"> ADDIN EN.CITE &lt;EndNote&gt;&lt;Cite&gt;&lt;Author&gt;Claessens&lt;/Author&gt;&lt;Year&gt;2009&lt;/Year&gt;&lt;RecNum&gt;1267&lt;/RecNum&gt;&lt;DisplayText&gt;[14]&lt;/DisplayText&gt;&lt;record&gt;&lt;rec-number&gt;1267&lt;/rec-number&gt;&lt;foreign-keys&gt;&lt;key app="EN" db-id="fztfxtw2kew9raetd235rfx625vrvpf9e0df" timestamp="1513905668"&gt;1267&lt;/key&gt;&lt;key app="ENWeb" db-id=""&gt;0&lt;/key&gt;&lt;/foreign-keys&gt;&lt;ref-type name="Journal Article"&gt;17&lt;/ref-type&gt;&lt;contributors&gt;&lt;authors&gt;&lt;author&gt;Claessens, Amy&lt;/author&gt;&lt;author&gt;Duncan, Greg&lt;/author&gt;&lt;author&gt;Engel, Mimi&lt;/author&gt;&lt;/authors&gt;&lt;/contributors&gt;&lt;titles&gt;&lt;title&gt;Kindergarten skills and fifth-grade achievement: Evidence from the ECLS-K&lt;/title&gt;&lt;secondary-title&gt;Economics of Education Review&lt;/secondary-title&gt;&lt;/titles&gt;&lt;periodical&gt;&lt;full-title&gt;Economics of Education Review&lt;/full-title&gt;&lt;/periodical&gt;&lt;pages&gt;415-427&lt;/pages&gt;&lt;volume&gt;28&lt;/volume&gt;&lt;number&gt;4&lt;/number&gt;&lt;dates&gt;&lt;year&gt;2009&lt;/year&gt;&lt;/dates&gt;&lt;isbn&gt;0272-7757&lt;/isbn&gt;&lt;urls&gt;&lt;/urls&gt;&lt;/record&gt;&lt;/Cite&gt;&lt;/EndNote&gt;</w:instrText>
      </w:r>
      <w:r w:rsidR="00B22107">
        <w:fldChar w:fldCharType="separate"/>
      </w:r>
      <w:r w:rsidR="00545FD3">
        <w:rPr>
          <w:noProof/>
        </w:rPr>
        <w:t>[14]</w:t>
      </w:r>
      <w:r w:rsidR="00B22107">
        <w:fldChar w:fldCharType="end"/>
      </w:r>
      <w:r w:rsidRPr="009A342A">
        <w:t xml:space="preserve"> and secondary years</w:t>
      </w:r>
      <w:r>
        <w:t>, and possibly throughout life.</w:t>
      </w:r>
    </w:p>
    <w:p w14:paraId="5BF84F92" w14:textId="7995A0BD" w:rsidR="003F59C4" w:rsidRDefault="005B1409" w:rsidP="005265DE">
      <w:pPr>
        <w:spacing w:after="0"/>
      </w:pPr>
      <w:r w:rsidRPr="009A342A">
        <w:t>Whilst e</w:t>
      </w:r>
      <w:r w:rsidR="00234B4B">
        <w:t xml:space="preserve">arly </w:t>
      </w:r>
      <w:r w:rsidRPr="009A342A">
        <w:t xml:space="preserve">school levels of cognitive skills are an important predictor of later school success it is clear that other aspects of a </w:t>
      </w:r>
      <w:r>
        <w:t xml:space="preserve">young </w:t>
      </w:r>
      <w:r w:rsidRPr="009A342A">
        <w:t xml:space="preserve">child’s development such as physical health, emotional wellbeing and social skills, play a critical role in success at school and later life </w:t>
      </w:r>
      <w:r w:rsidR="00B22107">
        <w:fldChar w:fldCharType="begin"/>
      </w:r>
      <w:r w:rsidR="00545FD3">
        <w:instrText xml:space="preserve"> ADDIN EN.CITE &lt;EndNote&gt;&lt;Cite&gt;&lt;Author&gt;OECD&lt;/Author&gt;&lt;Year&gt;2015&lt;/Year&gt;&lt;RecNum&gt;1245&lt;/RecNum&gt;&lt;DisplayText&gt;[15]&lt;/DisplayText&gt;&lt;record&gt;&lt;rec-number&gt;1245&lt;/rec-number&gt;&lt;foreign-keys&gt;&lt;key app="EN" db-id="fztfxtw2kew9raetd235rfx625vrvpf9e0df" timestamp="1513905562"&gt;1245&lt;/key&gt;&lt;key app="ENWeb" db-id=""&gt;0&lt;/key&gt;&lt;/foreign-keys&gt;&lt;ref-type name="Report"&gt;27&lt;/ref-type&gt;&lt;contributors&gt;&lt;authors&gt;&lt;author&gt;OECD&lt;/author&gt;&lt;/authors&gt;&lt;tertiary-authors&gt;&lt;author&gt;OECD Publishing&lt;/author&gt;&lt;/tertiary-authors&gt;&lt;/contributors&gt;&lt;titles&gt;&lt;title&gt;Skills for Social Progress: The Power of Social and Emotional Skills&lt;/title&gt;&lt;/titles&gt;&lt;dates&gt;&lt;year&gt;2015&lt;/year&gt;&lt;/dates&gt;&lt;publisher&gt;OECD Skills Studies&lt;/publisher&gt;&lt;urls&gt;&lt;/urls&gt;&lt;electronic-resource-num&gt;http://dx.doi.org/10.1787/9789264226159-en&lt;/electronic-resource-num&gt;&lt;/record&gt;&lt;/Cite&gt;&lt;/EndNote&gt;</w:instrText>
      </w:r>
      <w:r w:rsidR="00B22107">
        <w:fldChar w:fldCharType="separate"/>
      </w:r>
      <w:r w:rsidR="00545FD3">
        <w:rPr>
          <w:noProof/>
        </w:rPr>
        <w:t>[15]</w:t>
      </w:r>
      <w:r w:rsidR="00B22107">
        <w:fldChar w:fldCharType="end"/>
      </w:r>
      <w:r w:rsidRPr="009A342A">
        <w:t xml:space="preserve">. Although </w:t>
      </w:r>
      <w:r w:rsidR="00234B4B">
        <w:t xml:space="preserve">early </w:t>
      </w:r>
      <w:r w:rsidRPr="009A342A">
        <w:t xml:space="preserve">school levels of social and emotional skills appear less predictive of later academic outcomes than cognitive skills </w:t>
      </w:r>
      <w:r w:rsidR="00B22107">
        <w:fldChar w:fldCharType="begin">
          <w:fldData xml:space="preserve">PEVuZE5vdGU+PENpdGU+PEF1dGhvcj5MYSBQYXJvPC9BdXRob3I+PFllYXI+MjAwMDwvWWVhcj48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</w:fldData>
        </w:fldChar>
      </w:r>
      <w:r w:rsidR="00545FD3">
        <w:instrText xml:space="preserve"> ADDIN EN.CITE </w:instrText>
      </w:r>
      <w:r w:rsidR="00545FD3">
        <w:fldChar w:fldCharType="begin">
          <w:fldData xml:space="preserve">PEVuZE5vdGU+PENpdGU+PEF1dGhvcj5MYSBQYXJvPC9BdXRob3I+PFllYXI+MjAwMDwvWWVhcj48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</w:fldData>
        </w:fldChar>
      </w:r>
      <w:r w:rsidR="00545FD3">
        <w:instrText xml:space="preserve"> ADDIN EN.CITE.DATA </w:instrText>
      </w:r>
      <w:r w:rsidR="00545FD3">
        <w:fldChar w:fldCharType="end"/>
      </w:r>
      <w:r w:rsidR="00B22107">
        <w:fldChar w:fldCharType="separate"/>
      </w:r>
      <w:r w:rsidR="00545FD3">
        <w:rPr>
          <w:noProof/>
        </w:rPr>
        <w:t>[13, 14, 16]</w:t>
      </w:r>
      <w:r w:rsidR="00B22107">
        <w:fldChar w:fldCharType="end"/>
      </w:r>
      <w:r>
        <w:t>,</w:t>
      </w:r>
      <w:r w:rsidRPr="009A342A">
        <w:t xml:space="preserve"> they appear to be strongly related to other important </w:t>
      </w:r>
      <w:r>
        <w:t>educational</w:t>
      </w:r>
      <w:r w:rsidRPr="009A342A">
        <w:t xml:space="preserve"> outcomes such as engagement in school and motivation for learning, peer and teacher relationships and school adjus</w:t>
      </w:r>
      <w:r>
        <w:t xml:space="preserve">tment </w:t>
      </w:r>
      <w:r w:rsidR="00B22107">
        <w:fldChar w:fldCharType="begin"/>
      </w:r>
      <w:r w:rsidR="00545FD3">
        <w:instrText xml:space="preserve"> ADDIN EN.CITE &lt;EndNote&gt;&lt;Cite&gt;&lt;Author&gt;Greenberg&lt;/Author&gt;&lt;Year&gt;2003&lt;/Year&gt;&lt;RecNum&gt;1288&lt;/RecNum&gt;&lt;DisplayText&gt;[17]&lt;/DisplayText&gt;&lt;record&gt;&lt;rec-number&gt;1288&lt;/rec-number&gt;&lt;foreign-keys&gt;&lt;key app="EN" db-id="fztfxtw2kew9raetd235rfx625vrvpf9e0df" timestamp="1513905746"&gt;1288&lt;/key&gt;&lt;/foreign-keys&gt;&lt;ref-type name="Journal Article"&gt;17&lt;/ref-type&gt;&lt;contributors&gt;&lt;authors&gt;&lt;author&gt;Greenberg, Mark T.&lt;/author&gt;&lt;author&gt;Weissberg, Roger P.&lt;/author&gt;&lt;author&gt;O&amp;apos;Brien, Mary Utne&lt;/author&gt;&lt;author&gt;Zins, Joseph E.&lt;/author&gt;&lt;author&gt;Fredericks, Linda&lt;/author&gt;&lt;author&gt;Resnik, Hank&lt;/author&gt;&lt;author&gt;Elias, Maurice J.&lt;/author&gt;&lt;/authors&gt;&lt;/contributors&gt;&lt;titles&gt;&lt;title&gt;Enhancing school-based prevention and youth development through coordinated social, emotional, and academic learning&lt;/title&gt;&lt;secondary-title&gt;The American Psychologist&lt;/secondary-title&gt;&lt;/titles&gt;&lt;periodical&gt;&lt;full-title&gt;The American Psychologist&lt;/full-title&gt;&lt;/periodical&gt;&lt;pages&gt;466–474&lt;/pages&gt;&lt;volume&gt;58&lt;/volume&gt;&lt;number&gt;6-7&lt;/number&gt;&lt;keywords&gt;&lt;keyword&gt;Company business management&lt;/keyword&gt;&lt;keyword&gt;Schools -- Management&lt;/keyword&gt;&lt;keyword&gt;Psychological research -- Analysis&lt;/keyword&gt;&lt;keyword&gt;Schools -- United States&lt;/keyword&gt;&lt;keyword&gt;United States&lt;/keyword&gt;&lt;/keywords&gt;&lt;dates&gt;&lt;year&gt;2003&lt;/year&gt;&lt;/dates&gt;&lt;publisher&gt;American Psychological Association, Inc.&lt;/publisher&gt;&lt;isbn&gt;0003-066X&lt;/isbn&gt;&lt;accession-num&gt;edsgcl.106863387&lt;/accession-num&gt;&lt;work-type&gt;Author Abstract&lt;/work-type&gt;&lt;urls&gt;&lt;related-urls&gt;&lt;url&gt;https://ezp.lib.unimelb.edu.au/login?url=https://search.ebscohost.com/login.aspx?direct=true&amp;amp;db=edsgao&amp;amp;AN=edsgcl.106863387&amp;amp;site=eds-live&amp;amp;scope=site&lt;/url&gt;&lt;/related-urls&gt;&lt;/urls&gt;&lt;remote-database-name&gt;edsgao&lt;/remote-database-name&gt;&lt;remote-database-provider&gt;EBSCOhost&lt;/remote-database-provider&gt;&lt;/record&gt;&lt;/Cite&gt;&lt;/EndNote&gt;</w:instrText>
      </w:r>
      <w:r w:rsidR="00B22107">
        <w:fldChar w:fldCharType="separate"/>
      </w:r>
      <w:r w:rsidR="00545FD3">
        <w:rPr>
          <w:noProof/>
        </w:rPr>
        <w:t>[17]</w:t>
      </w:r>
      <w:r w:rsidR="00B22107">
        <w:fldChar w:fldCharType="end"/>
      </w:r>
      <w:r>
        <w:t>. Additionally, s</w:t>
      </w:r>
      <w:r w:rsidRPr="009A342A">
        <w:t xml:space="preserve">ocial and emotional skills show less stability </w:t>
      </w:r>
      <w:r>
        <w:t xml:space="preserve">than cognitive skills </w:t>
      </w:r>
      <w:r w:rsidRPr="009A342A">
        <w:t>across this period suggesting they are more malleable to environmental influenc</w:t>
      </w:r>
      <w:r>
        <w:t>es.</w:t>
      </w:r>
    </w:p>
    <w:p w14:paraId="7FEEF4E8" w14:textId="77777777" w:rsidR="00BF5A98" w:rsidRPr="006E034D" w:rsidRDefault="00BF5A98" w:rsidP="005265DE">
      <w:pPr>
        <w:spacing w:after="0"/>
      </w:pPr>
    </w:p>
    <w:p w14:paraId="26BCE2B6" w14:textId="77777777" w:rsidR="003F59C4" w:rsidRDefault="003F59C4" w:rsidP="00222F6C">
      <w:pPr>
        <w:pStyle w:val="Heading2"/>
        <w:spacing w:before="0" w:after="120"/>
      </w:pPr>
      <w:bookmarkStart w:id="14" w:name="_Toc501120732"/>
      <w:r>
        <w:t>The middle years</w:t>
      </w:r>
      <w:bookmarkEnd w:id="14"/>
    </w:p>
    <w:p w14:paraId="5F157A63" w14:textId="61F8B0F9" w:rsidR="005B1409" w:rsidRDefault="005B1409" w:rsidP="004F2C6A">
      <w:pPr>
        <w:spacing w:after="0"/>
      </w:pPr>
      <w:r w:rsidRPr="004D7070">
        <w:t>The middle years (which in this report are defined as 8-14 years of age, or Years 3-7 of schooling) are a time of major physical, social and educational change for children</w:t>
      </w:r>
      <w:r>
        <w:t xml:space="preserve"> </w:t>
      </w:r>
      <w:r w:rsidR="00B22107">
        <w:fldChar w:fldCharType="begin"/>
      </w:r>
      <w:r w:rsidR="00545FD3">
        <w:instrText xml:space="preserve"> ADDIN EN.CITE &lt;EndNote&gt;&lt;Cite&gt;&lt;Author&gt;Patton&lt;/Author&gt;&lt;Year&gt;2016&lt;/Year&gt;&lt;RecNum&gt;1171&lt;/RecNum&gt;&lt;DisplayText&gt;[18]&lt;/DisplayText&gt;&lt;record&gt;&lt;rec-number&gt;1171&lt;/rec-number&gt;&lt;foreign-keys&gt;&lt;key app="EN" db-id="fztfxtw2kew9raetd235rfx625vrvpf9e0df" timestamp="1513905460"&gt;1171&lt;/key&gt;&lt;/foreign-keys&gt;&lt;ref-type name="Journal Article"&gt;17&lt;/ref-type&gt;&lt;contributors&gt;&lt;authors&gt;&lt;author&gt;Patton, G. C.&lt;/author&gt;&lt;author&gt;Sawyer, Susan M&lt;/author&gt;&lt;author&gt;Santelli, John S&lt;/author&gt;&lt;author&gt;Ross, David A&lt;/author&gt;&lt;author&gt;Afifi, Rima&lt;/author&gt;&lt;author&gt;Allen, Nicholas B&lt;/author&gt;&lt;author&gt;Arora, Monika&lt;/author&gt;&lt;author&gt;Azzopardi, Peter&lt;/author&gt;&lt;author&gt;Baldwin, Wendy&lt;/author&gt;&lt;author&gt;Bonell, Christopher&lt;/author&gt;&lt;/authors&gt;&lt;/contributors&gt;&lt;titles&gt;&lt;title&gt;Our future: a Lancet commission on adolescent health and wellbeing&lt;/title&gt;&lt;secondary-title&gt;The Lancet&lt;/secondary-title&gt;&lt;/titles&gt;&lt;periodical&gt;&lt;full-title&gt;The Lancet&lt;/full-title&gt;&lt;/periodical&gt;&lt;pages&gt;2423-2478&lt;/pages&gt;&lt;volume&gt;387&lt;/volume&gt;&lt;number&gt;10036&lt;/number&gt;&lt;dates&gt;&lt;year&gt;2016&lt;/year&gt;&lt;/dates&gt;&lt;isbn&gt;0140-6736&lt;/isbn&gt;&lt;urls&gt;&lt;/urls&gt;&lt;/record&gt;&lt;/Cite&gt;&lt;/EndNote&gt;</w:instrText>
      </w:r>
      <w:r w:rsidR="00B22107">
        <w:fldChar w:fldCharType="separate"/>
      </w:r>
      <w:r w:rsidR="00545FD3">
        <w:rPr>
          <w:noProof/>
        </w:rPr>
        <w:t>[18]</w:t>
      </w:r>
      <w:r w:rsidR="00B22107">
        <w:fldChar w:fldCharType="end"/>
      </w:r>
      <w:r w:rsidRPr="004D7070">
        <w:t>. In this period children pass through puberty, with its associated changes to growth, secondary sex characteristics and brain development</w:t>
      </w:r>
      <w:r>
        <w:t xml:space="preserve"> </w:t>
      </w:r>
      <w:r w:rsidR="00B22107">
        <w:fldChar w:fldCharType="begin">
          <w:fldData xml:space="preserve">PEVuZE5vdGU+PENpdGU+PEF1dGhvcj5QYXR0b248L0F1dGhvcj48WWVhcj4yMDA3PC9ZZWFyPjxS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</w:fldData>
        </w:fldChar>
      </w:r>
      <w:r w:rsidR="00545FD3">
        <w:instrText xml:space="preserve"> ADDIN EN.CITE </w:instrText>
      </w:r>
      <w:r w:rsidR="00545FD3">
        <w:fldChar w:fldCharType="begin">
          <w:fldData xml:space="preserve">PEVuZE5vdGU+PENpdGU+PEF1dGhvcj5QYXR0b248L0F1dGhvcj48WWVhcj4yMDA3PC9ZZWFyPjxS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</w:fldData>
        </w:fldChar>
      </w:r>
      <w:r w:rsidR="00545FD3">
        <w:instrText xml:space="preserve"> ADDIN EN.CITE.DATA </w:instrText>
      </w:r>
      <w:r w:rsidR="00545FD3">
        <w:fldChar w:fldCharType="end"/>
      </w:r>
      <w:r w:rsidR="00B22107">
        <w:fldChar w:fldCharType="separate"/>
      </w:r>
      <w:r w:rsidR="00545FD3">
        <w:rPr>
          <w:noProof/>
        </w:rPr>
        <w:t>[19, 20]</w:t>
      </w:r>
      <w:r w:rsidR="00B22107">
        <w:fldChar w:fldCharType="end"/>
      </w:r>
      <w:r>
        <w:t xml:space="preserve"> as well as </w:t>
      </w:r>
      <w:r w:rsidRPr="004D7070">
        <w:t>mak</w:t>
      </w:r>
      <w:r>
        <w:t>ing</w:t>
      </w:r>
      <w:r w:rsidRPr="004D7070">
        <w:t xml:space="preserve"> one of the most significant transitions in their educational lives</w:t>
      </w:r>
      <w:r>
        <w:t xml:space="preserve">, </w:t>
      </w:r>
      <w:r w:rsidRPr="004D7070">
        <w:t>with the</w:t>
      </w:r>
      <w:r>
        <w:t xml:space="preserve"> move from primary to secondary school </w:t>
      </w:r>
      <w:r w:rsidR="00B22107">
        <w:fldChar w:fldCharType="begin"/>
      </w:r>
      <w:r w:rsidR="00545FD3">
        <w:instrText xml:space="preserve"> ADDIN EN.CITE &lt;EndNote&gt;&lt;Cite&gt;&lt;Author&gt;Fares&lt;/Author&gt;&lt;Year&gt;2006&lt;/Year&gt;&lt;RecNum&gt;1316&lt;/RecNum&gt;&lt;DisplayText&gt;[21]&lt;/DisplayText&gt;&lt;record&gt;&lt;rec-number&gt;1316&lt;/rec-number&gt;&lt;foreign-keys&gt;&lt;key app="EN" db-id="fztfxtw2kew9raetd235rfx625vrvpf9e0df" timestamp="1513905832"&gt;1316&lt;/key&gt;&lt;key app="ENWeb" db-id=""&gt;0&lt;/key&gt;&lt;/foreign-keys&gt;&lt;ref-type name="Report"&gt;27&lt;/ref-type&gt;&lt;contributors&gt;&lt;authors&gt;&lt;author&gt;Fares, J&lt;/author&gt;&lt;author&gt;Gauri, V&lt;/author&gt;&lt;author&gt;Jimenez, E.Y&lt;/author&gt;&lt;/authors&gt;&lt;/contributors&gt;&lt;titles&gt;&lt;title&gt;World development report 2007: development and the next generation&lt;/title&gt;&lt;/titles&gt;&lt;dates&gt;&lt;year&gt;2006&lt;/year&gt;&lt;/dates&gt;&lt;pub-location&gt;Washington&lt;/pub-location&gt;&lt;publisher&gt;DC World Bank Group&lt;/publisher&gt;&lt;urls&gt;&lt;/urls&gt;&lt;/record&gt;&lt;/Cite&gt;&lt;/EndNote&gt;</w:instrText>
      </w:r>
      <w:r w:rsidR="00B22107">
        <w:fldChar w:fldCharType="separate"/>
      </w:r>
      <w:r w:rsidR="00545FD3">
        <w:rPr>
          <w:noProof/>
        </w:rPr>
        <w:t>[21]</w:t>
      </w:r>
      <w:r w:rsidR="00B22107">
        <w:fldChar w:fldCharType="end"/>
      </w:r>
      <w:r>
        <w:t>. This</w:t>
      </w:r>
      <w:r w:rsidRPr="004D7070">
        <w:t xml:space="preserve"> </w:t>
      </w:r>
      <w:r>
        <w:t>transition</w:t>
      </w:r>
      <w:r w:rsidRPr="004D7070">
        <w:t xml:space="preserve"> involves changes in relationships with peers and teachers, schoolwork, and the school environment. This is reflected in the marked changes in academic achievement, falling engagement with education and rising suspension rates that follow the move to secondary school. Despite this, there are currently no evidence-based, system-wide </w:t>
      </w:r>
      <w:r>
        <w:t>polic</w:t>
      </w:r>
      <w:r w:rsidRPr="004D7070">
        <w:t>ies to support students in the</w:t>
      </w:r>
      <w:r>
        <w:t>se middle years</w:t>
      </w:r>
      <w:r w:rsidRPr="004D7070">
        <w:t xml:space="preserve"> transition</w:t>
      </w:r>
      <w:r>
        <w:t xml:space="preserve"> </w:t>
      </w:r>
      <w:r w:rsidR="00B22107">
        <w:fldChar w:fldCharType="begin"/>
      </w:r>
      <w:r w:rsidR="00545FD3">
        <w:instrText xml:space="preserve"> ADDIN EN.CITE &lt;EndNote&gt;&lt;Cite&gt;&lt;Author&gt;Victorian Auditor-General&amp;apos;s Report&lt;/Author&gt;&lt;Year&gt;2015&lt;/Year&gt;&lt;RecNum&gt;1330&lt;/RecNum&gt;&lt;DisplayText&gt;[22]&lt;/DisplayText&gt;&lt;record&gt;&lt;rec-number&gt;1330&lt;/rec-number&gt;&lt;foreign-keys&gt;&lt;key app="EN" db-id="fztfxtw2kew9raetd235rfx625vrvpf9e0df" timestamp="1513905906"&gt;1330&lt;/key&gt;&lt;key app="ENWeb" db-id=""&gt;0&lt;/key&gt;&lt;/foreign-keys&gt;&lt;ref-type name="Report"&gt;27&lt;/ref-type&gt;&lt;contributors&gt;&lt;authors&gt;&lt;author&gt;Victorian Auditor-General&amp;apos;s Report,&lt;/author&gt;&lt;/authors&gt;&lt;/contributors&gt;&lt;titles&gt;&lt;title&gt;Education Transitions&lt;/title&gt;&lt;/titles&gt;&lt;dates&gt;&lt;year&gt;2015&lt;/year&gt;&lt;/dates&gt;&lt;pub-location&gt;Melbourne&lt;/pub-location&gt;&lt;publisher&gt;Auditor-General&lt;/publisher&gt;&lt;urls&gt;&lt;related-urls&gt;&lt;url&gt;http://www.audit.vic.gov.au/publications/20150318-Education-transitions/20150318-Education-transitions.pdf&lt;/url&gt;&lt;/related-urls&gt;&lt;/urls&gt;&lt;access-date&gt;1st July 2015&lt;/access-date&gt;&lt;/record&gt;&lt;/Cite&gt;&lt;/EndNote&gt;</w:instrText>
      </w:r>
      <w:r w:rsidR="00B22107">
        <w:fldChar w:fldCharType="separate"/>
      </w:r>
      <w:r w:rsidR="00545FD3">
        <w:rPr>
          <w:noProof/>
        </w:rPr>
        <w:t>[22]</w:t>
      </w:r>
      <w:r w:rsidR="00B22107">
        <w:fldChar w:fldCharType="end"/>
      </w:r>
      <w:r>
        <w:t>.</w:t>
      </w:r>
      <w:r w:rsidRPr="004D7070">
        <w:t xml:space="preserve"> </w:t>
      </w:r>
    </w:p>
    <w:p w14:paraId="18BB2836" w14:textId="77777777" w:rsidR="004F2C6A" w:rsidRDefault="004F2C6A" w:rsidP="004F2C6A">
      <w:pPr>
        <w:spacing w:after="0"/>
      </w:pPr>
    </w:p>
    <w:p w14:paraId="5605223F" w14:textId="18685FDC" w:rsidR="005B1409" w:rsidRDefault="005B1409" w:rsidP="004F2C6A">
      <w:pPr>
        <w:spacing w:after="0"/>
      </w:pPr>
      <w:r>
        <w:t>The middle years are a time when social and emotional</w:t>
      </w:r>
      <w:r w:rsidRPr="004D7070">
        <w:t xml:space="preserve"> skills develop r</w:t>
      </w:r>
      <w:r>
        <w:t xml:space="preserve">apidly. </w:t>
      </w:r>
      <w:r w:rsidRPr="004D7070">
        <w:t xml:space="preserve">There is now broad agreement among educators, policy makers and the public that social and emotional skills, sometimes referred to as non-cognitive or </w:t>
      </w:r>
      <w:r>
        <w:t>‘</w:t>
      </w:r>
      <w:r w:rsidRPr="004D7070">
        <w:t>soft</w:t>
      </w:r>
      <w:r>
        <w:t>’</w:t>
      </w:r>
      <w:r w:rsidRPr="004D7070">
        <w:t xml:space="preserve"> skills, are educational goals in themselves, </w:t>
      </w:r>
      <w:r w:rsidR="00B22107">
        <w:fldChar w:fldCharType="begin"/>
      </w:r>
      <w:r w:rsidR="00545FD3">
        <w:instrText xml:space="preserve"> ADDIN EN.CITE &lt;EndNote&gt;&lt;Cite&gt;&lt;Author&gt;Durlak&lt;/Author&gt;&lt;Year&gt;2011&lt;/Year&gt;&lt;RecNum&gt;1312&lt;/RecNum&gt;&lt;DisplayText&gt;[23]&lt;/DisplayText&gt;&lt;record&gt;&lt;rec-number&gt;1312&lt;/rec-number&gt;&lt;foreign-keys&gt;&lt;key app="EN" db-id="fztfxtw2kew9raetd235rfx625vrvpf9e0df" timestamp="1513905828"&gt;1312&lt;/key&gt;&lt;key app="ENWeb" db-id=""&gt;0&lt;/key&gt;&lt;/foreign-keys&gt;&lt;ref-type name="Journal Article"&gt;17&lt;/ref-type&gt;&lt;contributors&gt;&lt;authors&gt;&lt;author&gt;Durlak, Joseph A.&lt;/author&gt;&lt;author&gt;Weissberg, Roger P.&lt;/author&gt;&lt;author&gt;Dymnicki, Allison B.&lt;/author&gt;&lt;author&gt;Taylor, Rebecca D.&lt;/author&gt;&lt;author&gt;Schellinger, Kriston B.&lt;/author&gt;&lt;/authors&gt;&lt;/contributors&gt;&lt;titles&gt;&lt;title&gt;The Impact of Enhancing Students’ Social and Emotional Learning: A Meta-Analysis of School-Based Universal Interventions&lt;/title&gt;&lt;secondary-title&gt;Child Development&lt;/secondary-title&gt;&lt;/titles&gt;&lt;periodical&gt;&lt;full-title&gt;Child Development&lt;/full-title&gt;&lt;/periodical&gt;&lt;pages&gt;405-432&lt;/pages&gt;&lt;volume&gt;82&lt;/volume&gt;&lt;number&gt;1&lt;/number&gt;&lt;dates&gt;&lt;year&gt;2011&lt;/year&gt;&lt;/dates&gt;&lt;publisher&gt;Blackwell Publishing Ltd&lt;/publisher&gt;&lt;isbn&gt;1467-8624&lt;/isbn&gt;&lt;urls&gt;&lt;related-urls&gt;&lt;url&gt;http://dx.doi.org/10.1111/j.1467-8624.2010.01564.x&lt;/url&gt;&lt;url&gt;http://onlinelibrary.wiley.com/doi/10.1111/j.1467-8624.2010.01564.x/abstract&lt;/url&gt;&lt;/related-urls&gt;&lt;/urls&gt;&lt;electronic-resource-num&gt;10.1111/j.1467-8624.2010.01564.x&lt;/electronic-resource-num&gt;&lt;/record&gt;&lt;/Cite&gt;&lt;/EndNote&gt;</w:instrText>
      </w:r>
      <w:r w:rsidR="00B22107">
        <w:fldChar w:fldCharType="separate"/>
      </w:r>
      <w:r w:rsidR="00545FD3">
        <w:rPr>
          <w:noProof/>
        </w:rPr>
        <w:t>[23]</w:t>
      </w:r>
      <w:r w:rsidR="00B22107">
        <w:fldChar w:fldCharType="end"/>
      </w:r>
      <w:r>
        <w:t xml:space="preserve"> </w:t>
      </w:r>
      <w:r w:rsidRPr="004D7070">
        <w:t xml:space="preserve">as well </w:t>
      </w:r>
      <w:r>
        <w:t xml:space="preserve">as </w:t>
      </w:r>
      <w:r w:rsidRPr="004D7070">
        <w:t xml:space="preserve">important </w:t>
      </w:r>
      <w:r>
        <w:t>facilitators of</w:t>
      </w:r>
      <w:r w:rsidRPr="004D7070">
        <w:t xml:space="preserve"> academic achievement. </w:t>
      </w:r>
      <w:r>
        <w:t>Yet t</w:t>
      </w:r>
      <w:r w:rsidRPr="004D7070">
        <w:t>he middle years are also a time when emotional and behavioural problems commonly emerge. Fifty percent of mental health problems are evident by 14 years of age</w:t>
      </w:r>
      <w:r>
        <w:t>,</w:t>
      </w:r>
      <w:r w:rsidRPr="004D7070">
        <w:t xml:space="preserve"> with the symptoms of these disorders emerging in mid-late primary school </w:t>
      </w:r>
      <w:r w:rsidR="00B22107">
        <w:fldChar w:fldCharType="begin"/>
      </w:r>
      <w:r w:rsidR="00545FD3">
        <w:instrText xml:space="preserve"> ADDIN EN.CITE &lt;EndNote&gt;&lt;Cite&gt;&lt;Author&gt;Kessler&lt;/Author&gt;&lt;Year&gt;2005&lt;/Year&gt;&lt;RecNum&gt;694&lt;/RecNum&gt;&lt;DisplayText&gt;[24]&lt;/DisplayText&gt;&lt;record&gt;&lt;rec-number&gt;694&lt;/rec-number&gt;&lt;foreign-keys&gt;&lt;key app="EN" db-id="fztfxtw2kew9raetd235rfx625vrvpf9e0df" timestamp="1513904999"&gt;694&lt;/key&gt;&lt;key app="ENWeb" db-id=""&gt;0&lt;/key&gt;&lt;/foreign-keys&gt;&lt;ref-type name="Journal Article"&gt;17&lt;/ref-type&gt;&lt;contributors&gt;&lt;authors&gt;&lt;author&gt;Kessler, Ronald C&lt;/author&gt;&lt;author&gt;Berglund, Patricia&lt;/author&gt;&lt;author&gt;Demler, Olga&lt;/author&gt;&lt;author&gt;Jin, Robert&lt;/author&gt;&lt;author&gt;Merikangas, Kathleen R&lt;/author&gt;&lt;author&gt;Walters, Ellen E&lt;/author&gt;&lt;/authors&gt;&lt;/contributors&gt;&lt;titles&gt;&lt;title&gt;Lifetime prevalence and age-of-onset distributions of DSM-IV disorders in the National Comorbidity Survey Replication&lt;/title&gt;&lt;secondary-title&gt;Archives of General Psychiatry&lt;/secondary-title&gt;&lt;/titles&gt;&lt;periodical&gt;&lt;full-title&gt;Archives of General Psychiatry&lt;/full-title&gt;&lt;/periodical&gt;&lt;pages&gt;593-602&lt;/pages&gt;&lt;volume&gt;62&lt;/volume&gt;&lt;number&gt;6&lt;/number&gt;&lt;dates&gt;&lt;year&gt;2005&lt;/year&gt;&lt;/dates&gt;&lt;isbn&gt;0003-990X&lt;/isbn&gt;&lt;urls&gt;&lt;related-urls&gt;&lt;url&gt;http://archpsyc.jamanetwork.com/data/Journals/PSYCH/5219/yoa40305.pdf&lt;/url&gt;&lt;/related-urls&gt;&lt;/urls&gt;&lt;/record&gt;&lt;/Cite&gt;&lt;/EndNote&gt;</w:instrText>
      </w:r>
      <w:r w:rsidR="00B22107">
        <w:fldChar w:fldCharType="separate"/>
      </w:r>
      <w:r w:rsidR="00545FD3">
        <w:rPr>
          <w:noProof/>
        </w:rPr>
        <w:t>[24]</w:t>
      </w:r>
      <w:r w:rsidR="00B22107">
        <w:fldChar w:fldCharType="end"/>
      </w:r>
      <w:r w:rsidRPr="004D7070">
        <w:t xml:space="preserve">. Emotional and behavioural problems have profound effects on school engagement and performance </w:t>
      </w:r>
      <w:r w:rsidR="00B22107">
        <w:fldChar w:fldCharType="begin"/>
      </w:r>
      <w:r w:rsidR="00545FD3">
        <w:instrText xml:space="preserve"> ADDIN EN.CITE &lt;EndNote&gt;&lt;Cite&gt;&lt;Author&gt;Mundy&lt;/Author&gt;&lt;Year&gt;2017&lt;/Year&gt;&lt;RecNum&gt;1196&lt;/RecNum&gt;&lt;DisplayText&gt;[5, 25]&lt;/DisplayText&gt;&lt;record&gt;&lt;rec-number&gt;1196&lt;/rec-number&gt;&lt;foreign-keys&gt;&lt;key app="EN" db-id="fztfxtw2kew9raetd235rfx625vrvpf9e0df" timestamp="1513905462"&gt;1196&lt;/key&gt;&lt;/foreign-keys&gt;&lt;ref-type name="Journal Article"&gt;17&lt;/ref-type&gt;&lt;contributors&gt;&lt;authors&gt;&lt;author&gt;Mundy, L. K.&lt;/author&gt;&lt;author&gt;Canterford, Louise&lt;/author&gt;&lt;author&gt;Tucker, Dawn&lt;/author&gt;&lt;author&gt;Bayer, Jordana&lt;/author&gt;&lt;author&gt;Romaniuk, Helena&lt;/author&gt;&lt;author&gt;Sawyer, Susan&lt;/author&gt;&lt;author&gt;Lietz, Petra&lt;/author&gt;&lt;author&gt;Redmond, Gerry&lt;/author&gt;&lt;author&gt;Proimos, Jenny&lt;/author&gt;&lt;author&gt;Allen, Nicholas&lt;/author&gt;&lt;/authors&gt;&lt;/contributors&gt;&lt;titles&gt;&lt;title&gt;Academic Performance in Primary School Children With Common Emotional and Behavioral Problems&lt;/title&gt;&lt;secondary-title&gt;Journal of School Health&lt;/secondary-title&gt;&lt;/titles&gt;&lt;periodical&gt;&lt;full-title&gt;Journal of School Health&lt;/full-title&gt;&lt;/periodical&gt;&lt;pages&gt;593-601&lt;/pages&gt;&lt;volume&gt;87&lt;/volume&gt;&lt;number&gt;8&lt;/number&gt;&lt;dates&gt;&lt;year&gt;2017&lt;/year&gt;&lt;/dates&gt;&lt;isbn&gt;1746-1561&lt;/isbn&gt;&lt;urls&gt;&lt;/urls&gt;&lt;/record&gt;&lt;/Cite&gt;&lt;Cite&gt;&lt;Author&gt;Evans-Whipp&lt;/Author&gt;&lt;Year&gt;2017&lt;/Year&gt;&lt;RecNum&gt;1281&lt;/RecNum&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545FD3">
        <w:rPr>
          <w:noProof/>
        </w:rPr>
        <w:t>[5, 25]</w:t>
      </w:r>
      <w:r w:rsidR="00B22107">
        <w:fldChar w:fldCharType="end"/>
      </w:r>
      <w:r w:rsidRPr="004D7070">
        <w:t xml:space="preserve">. It is estimated that individuals with mental health problems account for almost one half of all high school dropouts </w:t>
      </w:r>
      <w:r w:rsidR="00B22107">
        <w:fldChar w:fldCharType="begin"/>
      </w:r>
      <w:r w:rsidR="00545FD3">
        <w:instrText xml:space="preserve"> ADDIN EN.CITE &lt;EndNote&gt;&lt;Cite&gt;&lt;Author&gt;Kessler&lt;/Author&gt;&lt;Year&gt;1995&lt;/Year&gt;&lt;RecNum&gt;775&lt;/RecNum&gt;&lt;DisplayText&gt;[26]&lt;/DisplayText&gt;&lt;record&gt;&lt;rec-number&gt;775&lt;/rec-number&gt;&lt;foreign-keys&gt;&lt;key app="EN" db-id="fztfxtw2kew9raetd235rfx625vrvpf9e0df" timestamp="1513905159"&gt;775&lt;/key&gt;&lt;key app="ENWeb" db-id=""&gt;0&lt;/key&gt;&lt;/foreign-keys&gt;&lt;ref-type name="Journal Article"&gt;17&lt;/ref-type&gt;&lt;contributors&gt;&lt;authors&gt;&lt;author&gt;Kessler, Ronald C&lt;/author&gt;&lt;author&gt;Foster, Cindy L&lt;/author&gt;&lt;author&gt;Saunders, William B&lt;/author&gt;&lt;author&gt;Stang, Paul E&lt;/author&gt;&lt;/authors&gt;&lt;/contributors&gt;&lt;titles&gt;&lt;title&gt;Social consequences of psychiatric disorders, I: Educational attainment&lt;/title&gt;&lt;secondary-title&gt;American Journal of Psychiatry&lt;/secondary-title&gt;&lt;/titles&gt;&lt;periodical&gt;&lt;full-title&gt;American Journal of Psychiatry&lt;/full-title&gt;&lt;/periodical&gt;&lt;pages&gt;1026-1032&lt;/pages&gt;&lt;volume&gt;152&lt;/volume&gt;&lt;number&gt;7&lt;/number&gt;&lt;dates&gt;&lt;year&gt;1995&lt;/year&gt;&lt;/dates&gt;&lt;isbn&gt;0002-953X&lt;/isbn&gt;&lt;urls&gt;&lt;related-urls&gt;&lt;url&gt;http://ajp.psychiatryonline.org/article.aspx?articleid=171111&lt;/url&gt;&lt;/related-urls&gt;&lt;/urls&gt;&lt;/record&gt;&lt;/Cite&gt;&lt;/EndNote&gt;</w:instrText>
      </w:r>
      <w:r w:rsidR="00B22107">
        <w:fldChar w:fldCharType="separate"/>
      </w:r>
      <w:r w:rsidR="00545FD3">
        <w:rPr>
          <w:noProof/>
        </w:rPr>
        <w:t>[26]</w:t>
      </w:r>
      <w:r w:rsidR="00B22107">
        <w:fldChar w:fldCharType="end"/>
      </w:r>
      <w:r>
        <w:t>. It is therefore important to identify the factors in early childhood that are predictive of healthy social and emotional development during the middle years.</w:t>
      </w:r>
    </w:p>
    <w:p w14:paraId="7BFC0A0F" w14:textId="77777777" w:rsidR="004F2C6A" w:rsidRPr="004D7070" w:rsidRDefault="004F2C6A" w:rsidP="004F2C6A">
      <w:pPr>
        <w:spacing w:after="0"/>
      </w:pPr>
    </w:p>
    <w:p w14:paraId="1DFFC0FA" w14:textId="10D32320" w:rsidR="005B1409" w:rsidRDefault="00870D49" w:rsidP="005265DE">
      <w:pPr>
        <w:spacing w:after="0"/>
      </w:pPr>
      <w:r>
        <w:t>T</w:t>
      </w:r>
      <w:r w:rsidR="005B1409">
        <w:t>he middle years present exciting opportunities for investment from the education sector. The focus on the early years as key determinants of health, education and social outcomes has created an impression that the middle years are simply a phase during which early vulnerabilities are compounded and expressed as poor outcomes. However, the dynamic nature of development in the middle years may see a change in the trajectories of developmentally vulnerable children as well as seeing the emergence of new vulnerabilities that lead to loss of potential in adolescence and beyond.</w:t>
      </w:r>
    </w:p>
    <w:p w14:paraId="0B3F2D13" w14:textId="77777777" w:rsidR="00BF5A98" w:rsidRDefault="00BF5A98" w:rsidP="005265DE">
      <w:pPr>
        <w:spacing w:after="0" w:line="240" w:lineRule="auto"/>
      </w:pPr>
    </w:p>
    <w:p w14:paraId="1CD67F41" w14:textId="77777777" w:rsidR="003F59C4" w:rsidRDefault="003F59C4" w:rsidP="00222F6C">
      <w:pPr>
        <w:pStyle w:val="Heading2"/>
        <w:spacing w:before="0" w:after="120"/>
      </w:pPr>
      <w:bookmarkStart w:id="15" w:name="_Toc501120733"/>
      <w:r>
        <w:t>The Australian Early Development Census</w:t>
      </w:r>
      <w:bookmarkEnd w:id="15"/>
    </w:p>
    <w:p w14:paraId="62DE1CE5" w14:textId="54FDD3E5" w:rsidR="005B1409" w:rsidRDefault="005B1409" w:rsidP="004F2C6A">
      <w:pPr>
        <w:spacing w:after="0"/>
        <w:rPr>
          <w:lang w:val="en"/>
        </w:rPr>
      </w:pPr>
      <w:r w:rsidRPr="00FD4770">
        <w:rPr>
          <w:lang w:val="en"/>
        </w:rPr>
        <w:t xml:space="preserve">The Australian Early Development Census (AEDC) is a population-based </w:t>
      </w:r>
      <w:r>
        <w:rPr>
          <w:lang w:val="en"/>
        </w:rPr>
        <w:t>assessment</w:t>
      </w:r>
      <w:r w:rsidRPr="00FD4770">
        <w:rPr>
          <w:lang w:val="en"/>
        </w:rPr>
        <w:t xml:space="preserve"> of early childhood development </w:t>
      </w:r>
      <w:r>
        <w:rPr>
          <w:lang w:val="en"/>
        </w:rPr>
        <w:t xml:space="preserve">undertaken tri-annually in Australia since 2009 </w:t>
      </w:r>
      <w:r w:rsidR="00B22107">
        <w:rPr>
          <w:lang w:val="en"/>
        </w:rPr>
        <w:fldChar w:fldCharType="begin"/>
      </w:r>
      <w:r w:rsidR="00B22107">
        <w:rPr>
          <w:lang w:val="en"/>
        </w:rPr>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rPr>
          <w:lang w:val="en"/>
        </w:rPr>
        <w:fldChar w:fldCharType="separate"/>
      </w:r>
      <w:r w:rsidR="00B22107">
        <w:rPr>
          <w:noProof/>
          <w:lang w:val="en"/>
        </w:rPr>
        <w:t>[2]</w:t>
      </w:r>
      <w:r w:rsidR="00B22107">
        <w:rPr>
          <w:lang w:val="en"/>
        </w:rPr>
        <w:fldChar w:fldCharType="end"/>
      </w:r>
      <w:r w:rsidRPr="00FD4770">
        <w:rPr>
          <w:lang w:val="en"/>
        </w:rPr>
        <w:t>.</w:t>
      </w:r>
      <w:r>
        <w:rPr>
          <w:lang w:val="en"/>
        </w:rPr>
        <w:t xml:space="preserve"> The AEDC collects data from teachers for all students in their first year of primary school using the</w:t>
      </w:r>
      <w:r w:rsidR="00234B4B">
        <w:rPr>
          <w:lang w:val="en"/>
        </w:rPr>
        <w:t xml:space="preserve"> Australian version of the</w:t>
      </w:r>
      <w:r>
        <w:rPr>
          <w:lang w:val="en"/>
        </w:rPr>
        <w:t xml:space="preserve"> Early Development Instrument (EDI). The EDI </w:t>
      </w:r>
      <w:r w:rsidRPr="00FD4770">
        <w:rPr>
          <w:lang w:val="en"/>
        </w:rPr>
        <w:t>was de</w:t>
      </w:r>
      <w:r>
        <w:rPr>
          <w:lang w:val="en"/>
        </w:rPr>
        <w:t xml:space="preserve">veloped </w:t>
      </w:r>
      <w:r w:rsidRPr="00FD4770">
        <w:rPr>
          <w:lang w:val="en"/>
        </w:rPr>
        <w:t>in Ontario, Canada</w:t>
      </w:r>
      <w:r>
        <w:rPr>
          <w:lang w:val="en"/>
        </w:rPr>
        <w:t xml:space="preserve"> and adapted for the Australian context. It was designed</w:t>
      </w:r>
      <w:r w:rsidRPr="00FD4770">
        <w:rPr>
          <w:lang w:val="en"/>
        </w:rPr>
        <w:t xml:space="preserve"> to measure ‘school readiness’ as marked by child development in five specific domains relevant to meeting the demands of school</w:t>
      </w:r>
      <w:r>
        <w:rPr>
          <w:lang w:val="en"/>
        </w:rPr>
        <w:t>-</w:t>
      </w:r>
      <w:r w:rsidRPr="00FD4770">
        <w:rPr>
          <w:lang w:val="en"/>
        </w:rPr>
        <w:t xml:space="preserve">based learning </w:t>
      </w:r>
      <w:r w:rsidR="00B22107">
        <w:rPr>
          <w:lang w:val="en"/>
        </w:rPr>
        <w:fldChar w:fldCharType="begin"/>
      </w:r>
      <w:r w:rsidR="00545FD3">
        <w:rPr>
          <w:lang w:val="en"/>
        </w:rPr>
        <w:instrText xml:space="preserve"> ADDIN EN.CITE &lt;EndNote&gt;&lt;Cite&gt;&lt;Author&gt;Janus&lt;/Author&gt;&lt;Year&gt;2007&lt;/Year&gt;&lt;RecNum&gt;1328&lt;/RecNum&gt;&lt;DisplayText&gt;[27]&lt;/DisplayText&gt;&lt;record&gt;&lt;rec-number&gt;1328&lt;/rec-number&gt;&lt;foreign-keys&gt;&lt;key app="EN" db-id="fztfxtw2kew9raetd235rfx625vrvpf9e0df" timestamp="1513905902"&gt;1328&lt;/key&gt;&lt;key app="ENWeb" db-id=""&gt;0&lt;/key&gt;&lt;/foreign-keys&gt;&lt;ref-type name="Journal Article"&gt;17&lt;/ref-type&gt;&lt;contributors&gt;&lt;authors&gt;&lt;author&gt;Janus, Magdalena&lt;/author&gt;&lt;author&gt;Offord, David R&lt;/author&gt;&lt;/authors&gt;&lt;/contributors&gt;&lt;titles&gt;&lt;title&gt;Development and psychometric properties of the Early Development Instrument (EDI): A measure of children&amp;apos;s school readiness&lt;/title&gt;&lt;secondary-title&gt;Canadian Journal of Behavioural Science&lt;/secondary-title&gt;&lt;/titles&gt;&lt;periodical&gt;&lt;full-title&gt;Canadian Journal of Behavioural Science&lt;/full-title&gt;&lt;/periodical&gt;&lt;pages&gt;1-22&lt;/pages&gt;&lt;volume&gt;39&lt;/volume&gt;&lt;number&gt;1&lt;/number&gt;&lt;dates&gt;&lt;year&gt;2007&lt;/year&gt;&lt;/dates&gt;&lt;isbn&gt;1879-2669&lt;/isbn&gt;&lt;urls&gt;&lt;/urls&gt;&lt;/record&gt;&lt;/Cite&gt;&lt;/EndNote&gt;</w:instrText>
      </w:r>
      <w:r w:rsidR="00B22107">
        <w:rPr>
          <w:lang w:val="en"/>
        </w:rPr>
        <w:fldChar w:fldCharType="separate"/>
      </w:r>
      <w:r w:rsidR="00545FD3">
        <w:rPr>
          <w:noProof/>
          <w:lang w:val="en"/>
        </w:rPr>
        <w:t>[27]</w:t>
      </w:r>
      <w:r w:rsidR="00B22107">
        <w:rPr>
          <w:lang w:val="en"/>
        </w:rPr>
        <w:fldChar w:fldCharType="end"/>
      </w:r>
      <w:r w:rsidRPr="00FD4770">
        <w:rPr>
          <w:lang w:val="en"/>
        </w:rPr>
        <w:t xml:space="preserve">. Assessments of the EDI have demonstrated excellent </w:t>
      </w:r>
      <w:r>
        <w:rPr>
          <w:lang w:val="en"/>
        </w:rPr>
        <w:t xml:space="preserve">validity and reliability </w:t>
      </w:r>
      <w:r w:rsidR="00B22107">
        <w:rPr>
          <w:lang w:val="en"/>
        </w:rPr>
        <w:fldChar w:fldCharType="begin"/>
      </w:r>
      <w:r w:rsidR="00545FD3">
        <w:rPr>
          <w:lang w:val="en"/>
        </w:rPr>
        <w:instrText xml:space="preserve"> ADDIN EN.CITE &lt;EndNote&gt;&lt;Cite&gt;&lt;Author&gt;Janus&lt;/Author&gt;&lt;Year&gt;2007&lt;/Year&gt;&lt;RecNum&gt;1328&lt;/RecNum&gt;&lt;DisplayText&gt;[27]&lt;/DisplayText&gt;&lt;record&gt;&lt;rec-number&gt;1328&lt;/rec-number&gt;&lt;foreign-keys&gt;&lt;key app="EN" db-id="fztfxtw2kew9raetd235rfx625vrvpf9e0df" timestamp="1513905902"&gt;1328&lt;/key&gt;&lt;key app="ENWeb" db-id=""&gt;0&lt;/key&gt;&lt;/foreign-keys&gt;&lt;ref-type name="Journal Article"&gt;17&lt;/ref-type&gt;&lt;contributors&gt;&lt;authors&gt;&lt;author&gt;Janus, Magdalena&lt;/author&gt;&lt;author&gt;Offord, David R&lt;/author&gt;&lt;/authors&gt;&lt;/contributors&gt;&lt;titles&gt;&lt;title&gt;Development and psychometric properties of the Early Development Instrument (EDI): A measure of children&amp;apos;s school readiness&lt;/title&gt;&lt;secondary-title&gt;Canadian Journal of Behavioural Science&lt;/secondary-title&gt;&lt;/titles&gt;&lt;periodical&gt;&lt;full-title&gt;Canadian Journal of Behavioural Science&lt;/full-title&gt;&lt;/periodical&gt;&lt;pages&gt;1-22&lt;/pages&gt;&lt;volume&gt;39&lt;/volume&gt;&lt;number&gt;1&lt;/number&gt;&lt;dates&gt;&lt;year&gt;2007&lt;/year&gt;&lt;/dates&gt;&lt;isbn&gt;1879-2669&lt;/isbn&gt;&lt;urls&gt;&lt;/urls&gt;&lt;/record&gt;&lt;/Cite&gt;&lt;/EndNote&gt;</w:instrText>
      </w:r>
      <w:r w:rsidR="00B22107">
        <w:rPr>
          <w:lang w:val="en"/>
        </w:rPr>
        <w:fldChar w:fldCharType="separate"/>
      </w:r>
      <w:r w:rsidR="00545FD3">
        <w:rPr>
          <w:noProof/>
          <w:lang w:val="en"/>
        </w:rPr>
        <w:t>[27]</w:t>
      </w:r>
      <w:r w:rsidR="00B22107">
        <w:rPr>
          <w:lang w:val="en"/>
        </w:rPr>
        <w:fldChar w:fldCharType="end"/>
      </w:r>
      <w:r>
        <w:rPr>
          <w:lang w:val="en"/>
        </w:rPr>
        <w:t xml:space="preserve"> and it has b</w:t>
      </w:r>
      <w:r w:rsidRPr="00FD4770">
        <w:rPr>
          <w:lang w:val="en"/>
        </w:rPr>
        <w:t>een used in over t</w:t>
      </w:r>
      <w:r>
        <w:rPr>
          <w:lang w:val="en"/>
        </w:rPr>
        <w:t>wenty</w:t>
      </w:r>
      <w:r w:rsidRPr="00FD4770">
        <w:rPr>
          <w:lang w:val="en"/>
        </w:rPr>
        <w:t xml:space="preserve"> countries worldwide </w:t>
      </w:r>
      <w:r>
        <w:rPr>
          <w:lang w:val="en"/>
        </w:rPr>
        <w:t>since it was developed</w:t>
      </w:r>
      <w:r w:rsidRPr="00FD4770">
        <w:rPr>
          <w:lang w:val="en"/>
        </w:rPr>
        <w:t xml:space="preserve"> </w:t>
      </w:r>
      <w:r>
        <w:rPr>
          <w:lang w:val="en"/>
        </w:rPr>
        <w:t xml:space="preserve">in the 1990s </w:t>
      </w:r>
      <w:r w:rsidR="00B22107">
        <w:rPr>
          <w:lang w:val="en"/>
        </w:rPr>
        <w:fldChar w:fldCharType="begin">
          <w:fldData xml:space="preserve">PEVuZE5vdGU+PENpdGU+PEF1dGhvcj5Ccmlua21hbjwvQXV0aG9yPjxZZWFyPjIwMTc8L1llYXI+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</w:fldData>
        </w:fldChar>
      </w:r>
      <w:r w:rsidR="00545FD3">
        <w:rPr>
          <w:lang w:val="en"/>
        </w:rPr>
        <w:instrText xml:space="preserve"> ADDIN EN.CITE </w:instrText>
      </w:r>
      <w:r w:rsidR="00545FD3">
        <w:rPr>
          <w:lang w:val="en"/>
        </w:rPr>
        <w:fldChar w:fldCharType="begin">
          <w:fldData xml:space="preserve">PEVuZE5vdGU+PENpdGU+PEF1dGhvcj5Ccmlua21hbjwvQXV0aG9yPjxZZWFyPjIwMTc8L1llYXI+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</w:fldData>
        </w:fldChar>
      </w:r>
      <w:r w:rsidR="00545FD3">
        <w:rPr>
          <w:lang w:val="en"/>
        </w:rPr>
        <w:instrText xml:space="preserve"> ADDIN EN.CITE.DATA </w:instrText>
      </w:r>
      <w:r w:rsidR="00545FD3">
        <w:rPr>
          <w:lang w:val="en"/>
        </w:rPr>
      </w:r>
      <w:r w:rsidR="00545FD3">
        <w:rPr>
          <w:lang w:val="en"/>
        </w:rPr>
        <w:fldChar w:fldCharType="end"/>
      </w:r>
      <w:r w:rsidR="00B22107">
        <w:rPr>
          <w:lang w:val="en"/>
        </w:rPr>
      </w:r>
      <w:r w:rsidR="00B22107">
        <w:rPr>
          <w:lang w:val="en"/>
        </w:rPr>
        <w:fldChar w:fldCharType="separate"/>
      </w:r>
      <w:r w:rsidR="00545FD3">
        <w:rPr>
          <w:noProof/>
          <w:lang w:val="en"/>
        </w:rPr>
        <w:t>[28]</w:t>
      </w:r>
      <w:r w:rsidR="00B22107">
        <w:rPr>
          <w:lang w:val="en"/>
        </w:rPr>
        <w:fldChar w:fldCharType="end"/>
      </w:r>
      <w:r>
        <w:rPr>
          <w:lang w:val="en"/>
        </w:rPr>
        <w:t>.</w:t>
      </w:r>
      <w:r w:rsidRPr="00FD4770">
        <w:rPr>
          <w:lang w:val="en"/>
        </w:rPr>
        <w:t xml:space="preserve"> </w:t>
      </w:r>
    </w:p>
    <w:p w14:paraId="0F1AEDF1" w14:textId="77777777" w:rsidR="004F2C6A" w:rsidRDefault="004F2C6A" w:rsidP="004F2C6A">
      <w:pPr>
        <w:spacing w:after="0"/>
        <w:rPr>
          <w:lang w:val="en"/>
        </w:rPr>
      </w:pPr>
    </w:p>
    <w:p w14:paraId="7E077A18" w14:textId="4C65A2C4" w:rsidR="005B1409" w:rsidRDefault="005B1409" w:rsidP="004F2C6A">
      <w:pPr>
        <w:spacing w:after="0"/>
      </w:pPr>
      <w:r>
        <w:t xml:space="preserve">The AEDC was adapted from the EDI after extensive piloting from 2002 until 2008 </w:t>
      </w:r>
      <w:r w:rsidR="00B22107">
        <w:fldChar w:fldCharType="begin"/>
      </w:r>
      <w:r w:rsidR="00545FD3">
        <w:instrText xml:space="preserve"> ADDIN EN.CITE &lt;EndNote&gt;&lt;Cite&gt;&lt;Author&gt;Goldfeld&lt;/Author&gt;&lt;Year&gt;2009&lt;/Year&gt;&lt;RecNum&gt;1235&lt;/RecNum&gt;&lt;DisplayText&gt;[11]&lt;/DisplayText&gt;&lt;record&gt;&lt;rec-number&gt;1235&lt;/rec-number&gt;&lt;foreign-keys&gt;&lt;key app="EN" db-id="fztfxtw2kew9raetd235rfx625vrvpf9e0df" timestamp="1513905496"&gt;1235&lt;/key&gt;&lt;key app="ENWeb" db-id=""&gt;0&lt;/key&gt;&lt;/foreign-keys&gt;&lt;ref-type name="Journal Article"&gt;17&lt;/ref-type&gt;&lt;contributors&gt;&lt;authors&gt;&lt;author&gt;Goldfeld, Sharon&lt;/author&gt;&lt;author&gt;Sayers, Mary&lt;/author&gt;&lt;author&gt;Brinkman, Sally&lt;/author&gt;&lt;author&gt;Silburn, Sven&lt;/author&gt;&lt;author&gt;Oberklaid, Frank&lt;/author&gt;&lt;/authors&gt;&lt;/contributors&gt;&lt;titles&gt;&lt;title&gt;The Process and Policy Challenges of Adapting and Implementing the Early Development Instrument in Australia&lt;/title&gt;&lt;secondary-title&gt;Early Education &amp;amp; Development&lt;/secondary-title&gt;&lt;/titles&gt;&lt;periodical&gt;&lt;full-title&gt;Early Education &amp;amp; Development&lt;/full-title&gt;&lt;/periodical&gt;&lt;pages&gt;978-991&lt;/pages&gt;&lt;volume&gt;20&lt;/volume&gt;&lt;number&gt;6&lt;/number&gt;&lt;keywords&gt;&lt;keyword&gt;Child development&lt;/keyword&gt;&lt;keyword&gt;Government policy&lt;/keyword&gt;&lt;keyword&gt;Families&lt;/keyword&gt;&lt;keyword&gt;Children &amp;amp; the environment&lt;/keyword&gt;&lt;keyword&gt;Psychometry (Parapsychology)&lt;/keyword&gt;&lt;keyword&gt;Australia&lt;/keyword&gt;&lt;/keywords&gt;&lt;dates&gt;&lt;year&gt;2009&lt;/year&gt;&lt;/dates&gt;&lt;publisher&gt;Taylor &amp;amp; Francis Ltd&lt;/publisher&gt;&lt;isbn&gt;10409289&lt;/isbn&gt;&lt;accession-num&gt;46722853&lt;/accession-num&gt;&lt;work-type&gt;Article&lt;/work-type&gt;&lt;urls&gt;&lt;related-urls&gt;&lt;url&gt;https://ezp.lib.unimelb.edu.au/login?url=https://search.ebscohost.com/login.aspx?direct=true&amp;amp;db=ehh&amp;amp;AN=46722853&amp;amp;site=eds-live&amp;amp;scope=site&lt;/url&gt;&lt;/related-urls&gt;&lt;/urls&gt;&lt;electronic-resource-num&gt;10.1080/10409280903375800&lt;/electronic-resource-num&gt;&lt;remote-database-name&gt;ehh&lt;/remote-database-name&gt;&lt;remote-database-provider&gt;EBSCOhost&lt;/remote-database-provider&gt;&lt;/record&gt;&lt;/Cite&gt;&lt;/EndNote&gt;</w:instrText>
      </w:r>
      <w:r w:rsidR="00B22107">
        <w:fldChar w:fldCharType="separate"/>
      </w:r>
      <w:r w:rsidR="00545FD3">
        <w:rPr>
          <w:noProof/>
        </w:rPr>
        <w:t>[11]</w:t>
      </w:r>
      <w:r w:rsidR="00B22107">
        <w:fldChar w:fldCharType="end"/>
      </w:r>
      <w:r>
        <w:t xml:space="preserve">. Piloting demonstrated the measure had good psychometric properties when administered in the broader Australian population, in the </w:t>
      </w:r>
      <w:r w:rsidR="00E6712B">
        <w:t xml:space="preserve">Aboriginal and Torres Strait Islander (ATSI) </w:t>
      </w:r>
      <w:r>
        <w:t xml:space="preserve">populations and in children from a non-English speaking background </w:t>
      </w:r>
      <w:r w:rsidR="00B22107">
        <w:fldChar w:fldCharType="begin">
          <w:fldData xml:space="preserve">PEVuZE5vdGU+PENpdGU+PEF1dGhvcj5Ccmlua21hbjwvQXV0aG9yPjxZZWFyPjIwMDc8L1llYXI+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</w:fldData>
        </w:fldChar>
      </w:r>
      <w:r w:rsidR="00545FD3">
        <w:instrText xml:space="preserve"> ADDIN EN.CITE </w:instrText>
      </w:r>
      <w:r w:rsidR="00545FD3">
        <w:fldChar w:fldCharType="begin">
          <w:fldData xml:space="preserve">PEVuZE5vdGU+PENpdGU+PEF1dGhvcj5Ccmlua21hbjwvQXV0aG9yPjxZZWFyPjIwMDc8L1llYXI+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</w:fldData>
        </w:fldChar>
      </w:r>
      <w:r w:rsidR="00545FD3">
        <w:instrText xml:space="preserve"> ADDIN EN.CITE.DATA </w:instrText>
      </w:r>
      <w:r w:rsidR="00545FD3">
        <w:fldChar w:fldCharType="end"/>
      </w:r>
      <w:r w:rsidR="00B22107">
        <w:fldChar w:fldCharType="separate"/>
      </w:r>
      <w:r w:rsidR="00545FD3">
        <w:rPr>
          <w:noProof/>
        </w:rPr>
        <w:t>[29-32]</w:t>
      </w:r>
      <w:r w:rsidR="00B22107">
        <w:fldChar w:fldCharType="end"/>
      </w:r>
      <w:r>
        <w:t xml:space="preserve">. A </w:t>
      </w:r>
      <w:r w:rsidRPr="00162EE9">
        <w:t>qualitative study conducted across three iterative implementation cycles confirmed the feasibility and usefulness of community implementation of the AEDC and its findings</w:t>
      </w:r>
      <w:r>
        <w:t xml:space="preserve"> </w:t>
      </w:r>
      <w:r w:rsidR="00B22107">
        <w:fldChar w:fldCharType="begin"/>
      </w:r>
      <w:r w:rsidR="00545FD3">
        <w:instrText xml:space="preserve"> ADDIN EN.CITE &lt;EndNote&gt;&lt;Cite&gt;&lt;Author&gt;Sayers&lt;/Author&gt;&lt;Year&gt;2007&lt;/Year&gt;&lt;RecNum&gt;1300&lt;/RecNum&gt;&lt;DisplayText&gt;[33]&lt;/DisplayText&gt;&lt;record&gt;&lt;rec-number&gt;1300&lt;/rec-number&gt;&lt;foreign-keys&gt;&lt;key app="EN" db-id="fztfxtw2kew9raetd235rfx625vrvpf9e0df" timestamp="1513905797"&gt;1300&lt;/key&gt;&lt;key app="ENWeb" db-id=""&gt;0&lt;/key&gt;&lt;/foreign-keys&gt;&lt;ref-type name="Journal Article"&gt;17&lt;/ref-type&gt;&lt;contributors&gt;&lt;authors&gt;&lt;author&gt;Sayers, Mary&lt;/author&gt;&lt;author&gt;Coutts, Melissa&lt;/author&gt;&lt;author&gt;Goldfeld, Sharon&lt;/author&gt;&lt;author&gt;Oberklaid, Frank&lt;/author&gt;&lt;author&gt;Brinkman, Sally&lt;/author&gt;&lt;author&gt;Silburn, Sven&lt;/author&gt;&lt;/authors&gt;&lt;/contributors&gt;&lt;titles&gt;&lt;title&gt;Building Better Communities for Children: Community Implementation and Evaluation of the Australian Early Development Index&lt;/title&gt;&lt;secondary-title&gt;Early Education and Development&lt;/secondary-title&gt;&lt;/titles&gt;&lt;periodical&gt;&lt;full-title&gt;Early Education and Development&lt;/full-title&gt;&lt;/periodical&gt;&lt;pages&gt;519-534&lt;/pages&gt;&lt;volume&gt;18&lt;/volume&gt;&lt;number&gt;3&lt;/number&gt;&lt;dates&gt;&lt;year&gt;2007&lt;/year&gt;&lt;pub-dates&gt;&lt;date&gt;2007/10/11&lt;/date&gt;&lt;/pub-dates&gt;&lt;/dates&gt;&lt;publisher&gt;Routledge&lt;/publisher&gt;&lt;isbn&gt;1040-9289&lt;/isbn&gt;&lt;urls&gt;&lt;related-urls&gt;&lt;url&gt;https://doi.org/10.1080/10409280701610879&lt;/url&gt;&lt;/related-urls&gt;&lt;/urls&gt;&lt;electronic-resource-num&gt;10.1080/10409280701610879&lt;/electronic-resource-num&gt;&lt;/record&gt;&lt;/Cite&gt;&lt;/EndNote&gt;</w:instrText>
      </w:r>
      <w:r w:rsidR="00B22107">
        <w:fldChar w:fldCharType="separate"/>
      </w:r>
      <w:r w:rsidR="00545FD3">
        <w:rPr>
          <w:noProof/>
        </w:rPr>
        <w:t>[33]</w:t>
      </w:r>
      <w:r w:rsidR="00B22107">
        <w:fldChar w:fldCharType="end"/>
      </w:r>
      <w:r>
        <w:t>.</w:t>
      </w:r>
    </w:p>
    <w:p w14:paraId="46B7F74A" w14:textId="77777777" w:rsidR="004F2C6A" w:rsidRPr="00FD4770" w:rsidRDefault="004F2C6A" w:rsidP="004F2C6A">
      <w:pPr>
        <w:spacing w:after="0"/>
        <w:rPr>
          <w:lang w:val="en"/>
        </w:rPr>
      </w:pPr>
    </w:p>
    <w:p w14:paraId="7FE3E30D" w14:textId="5FC28513" w:rsidR="005B1409" w:rsidRPr="007746B4" w:rsidRDefault="005B1409" w:rsidP="005265DE">
      <w:pPr>
        <w:widowControl w:val="0"/>
        <w:autoSpaceDE w:val="0"/>
        <w:autoSpaceDN w:val="0"/>
        <w:adjustRightInd w:val="0"/>
        <w:spacing w:after="0"/>
        <w:rPr>
          <w:lang w:val="en"/>
        </w:rPr>
      </w:pPr>
      <w:r>
        <w:rPr>
          <w:lang w:val="en"/>
        </w:rPr>
        <w:t>In 2007, t</w:t>
      </w:r>
      <w:r w:rsidRPr="00FD4770">
        <w:rPr>
          <w:lang w:val="en"/>
        </w:rPr>
        <w:t xml:space="preserve">he AEDC was endorsed by the Council of Australian Governments (COAG) as a national progress measure of early childhood health and development. Its primary aim is to provide evidence to support policy, planning and action for health and education across the country rather than to provide </w:t>
      </w:r>
      <w:r>
        <w:rPr>
          <w:lang w:val="en"/>
        </w:rPr>
        <w:t xml:space="preserve">diagnostic data on individuals </w:t>
      </w:r>
      <w:r w:rsidR="00B22107">
        <w:rPr>
          <w:lang w:val="en"/>
        </w:rPr>
        <w:fldChar w:fldCharType="begin"/>
      </w:r>
      <w:r w:rsidR="00545FD3">
        <w:rPr>
          <w:lang w:val="en"/>
        </w:rPr>
        <w:instrText xml:space="preserve"> ADDIN EN.CITE &lt;EndNote&gt;&lt;Cite&gt;&lt;Author&gt;Goldfeld&lt;/Author&gt;&lt;Year&gt;2009&lt;/Year&gt;&lt;RecNum&gt;1235&lt;/RecNum&gt;&lt;DisplayText&gt;[11]&lt;/DisplayText&gt;&lt;record&gt;&lt;rec-number&gt;1235&lt;/rec-number&gt;&lt;foreign-keys&gt;&lt;key app="EN" db-id="fztfxtw2kew9raetd235rfx625vrvpf9e0df" timestamp="1513905496"&gt;1235&lt;/key&gt;&lt;key app="ENWeb" db-id=""&gt;0&lt;/key&gt;&lt;/foreign-keys&gt;&lt;ref-type name="Journal Article"&gt;17&lt;/ref-type&gt;&lt;contributors&gt;&lt;authors&gt;&lt;author&gt;Goldfeld, Sharon&lt;/author&gt;&lt;author&gt;Sayers, Mary&lt;/author&gt;&lt;author&gt;Brinkman, Sally&lt;/author&gt;&lt;author&gt;Silburn, Sven&lt;/author&gt;&lt;author&gt;Oberklaid, Frank&lt;/author&gt;&lt;/authors&gt;&lt;/contributors&gt;&lt;titles&gt;&lt;title&gt;The Process and Policy Challenges of Adapting and Implementing the Early Development Instrument in Australia&lt;/title&gt;&lt;secondary-title&gt;Early Education &amp;amp; Development&lt;/secondary-title&gt;&lt;/titles&gt;&lt;periodical&gt;&lt;full-title&gt;Early Education &amp;amp; Development&lt;/full-title&gt;&lt;/periodical&gt;&lt;pages&gt;978-991&lt;/pages&gt;&lt;volume&gt;20&lt;/volume&gt;&lt;number&gt;6&lt;/number&gt;&lt;keywords&gt;&lt;keyword&gt;Child development&lt;/keyword&gt;&lt;keyword&gt;Government policy&lt;/keyword&gt;&lt;keyword&gt;Families&lt;/keyword&gt;&lt;keyword&gt;Children &amp;amp; the environment&lt;/keyword&gt;&lt;keyword&gt;Psychometry (Parapsychology)&lt;/keyword&gt;&lt;keyword&gt;Australia&lt;/keyword&gt;&lt;/keywords&gt;&lt;dates&gt;&lt;year&gt;2009&lt;/year&gt;&lt;/dates&gt;&lt;publisher&gt;Taylor &amp;amp; Francis Ltd&lt;/publisher&gt;&lt;isbn&gt;10409289&lt;/isbn&gt;&lt;accession-num&gt;46722853&lt;/accession-num&gt;&lt;work-type&gt;Article&lt;/work-type&gt;&lt;urls&gt;&lt;related-urls&gt;&lt;url&gt;https://ezp.lib.unimelb.edu.au/login?url=https://search.ebscohost.com/login.aspx?direct=true&amp;amp;db=ehh&amp;amp;AN=46722853&amp;amp;site=eds-live&amp;amp;scope=site&lt;/url&gt;&lt;/related-urls&gt;&lt;/urls&gt;&lt;electronic-resource-num&gt;10.1080/10409280903375800&lt;/electronic-resource-num&gt;&lt;remote-database-name&gt;ehh&lt;/remote-database-name&gt;&lt;remote-database-provider&gt;EBSCOhost&lt;/remote-database-provider&gt;&lt;/record&gt;&lt;/Cite&gt;&lt;/EndNote&gt;</w:instrText>
      </w:r>
      <w:r w:rsidR="00B22107">
        <w:rPr>
          <w:lang w:val="en"/>
        </w:rPr>
        <w:fldChar w:fldCharType="separate"/>
      </w:r>
      <w:r w:rsidR="00545FD3">
        <w:rPr>
          <w:noProof/>
          <w:lang w:val="en"/>
        </w:rPr>
        <w:t>[11]</w:t>
      </w:r>
      <w:r w:rsidR="00B22107">
        <w:rPr>
          <w:lang w:val="en"/>
        </w:rPr>
        <w:fldChar w:fldCharType="end"/>
      </w:r>
      <w:r w:rsidRPr="00FD4770">
        <w:rPr>
          <w:lang w:val="en"/>
        </w:rPr>
        <w:t xml:space="preserve">. </w:t>
      </w:r>
      <w:r>
        <w:rPr>
          <w:lang w:val="en"/>
        </w:rPr>
        <w:t xml:space="preserve">To this end, individual scores are aggregated </w:t>
      </w:r>
      <w:r w:rsidRPr="007F768A">
        <w:rPr>
          <w:lang w:val="en"/>
        </w:rPr>
        <w:t xml:space="preserve">to </w:t>
      </w:r>
      <w:r>
        <w:rPr>
          <w:lang w:val="en"/>
        </w:rPr>
        <w:t xml:space="preserve">the </w:t>
      </w:r>
      <w:r w:rsidRPr="007F768A">
        <w:rPr>
          <w:lang w:val="en"/>
        </w:rPr>
        <w:t>school, neighbour</w:t>
      </w:r>
      <w:r>
        <w:rPr>
          <w:lang w:val="en"/>
        </w:rPr>
        <w:t xml:space="preserve">hood, regional or country level. </w:t>
      </w:r>
      <w:r w:rsidRPr="00FD4770">
        <w:rPr>
          <w:lang w:val="en"/>
        </w:rPr>
        <w:t>In 2009</w:t>
      </w:r>
      <w:r>
        <w:rPr>
          <w:lang w:val="en"/>
        </w:rPr>
        <w:t>,</w:t>
      </w:r>
      <w:r w:rsidRPr="00FD4770">
        <w:rPr>
          <w:lang w:val="en"/>
        </w:rPr>
        <w:t xml:space="preserve"> Australia became the first country in the world to collect national data on the developmental health of all children at school entry. The first full national census conducted in 2009 has been followed with tri-annual data collection.</w:t>
      </w:r>
      <w:r>
        <w:rPr>
          <w:lang w:val="en"/>
        </w:rPr>
        <w:t xml:space="preserve"> </w:t>
      </w:r>
      <w:r w:rsidRPr="007746B4">
        <w:rPr>
          <w:lang w:val="en"/>
        </w:rPr>
        <w:t xml:space="preserve">Response rates for AEDC have been consistently high across each collection, ranging from 96.5-97.5% completion for the estimated number of eligible Australian students in each year </w:t>
      </w:r>
      <w:r w:rsidR="00B22107" w:rsidRPr="00057A30">
        <w:rPr>
          <w:lang w:val="en"/>
        </w:rPr>
        <w:fldChar w:fldCharType="begin"/>
      </w:r>
      <w:r w:rsidR="00B22107" w:rsidRPr="007746B4">
        <w:rPr>
          <w:lang w:val="en"/>
        </w:rPr>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rsidRPr="00057A30">
        <w:rPr>
          <w:lang w:val="en"/>
        </w:rPr>
        <w:fldChar w:fldCharType="separate"/>
      </w:r>
      <w:r w:rsidR="00B22107" w:rsidRPr="007746B4">
        <w:rPr>
          <w:noProof/>
          <w:lang w:val="en"/>
        </w:rPr>
        <w:t>[2]</w:t>
      </w:r>
      <w:r w:rsidR="00B22107" w:rsidRPr="00057A30">
        <w:rPr>
          <w:lang w:val="en"/>
        </w:rPr>
        <w:fldChar w:fldCharType="end"/>
      </w:r>
      <w:r w:rsidRPr="007746B4">
        <w:rPr>
          <w:lang w:val="en"/>
        </w:rPr>
        <w:t xml:space="preserve">. </w:t>
      </w:r>
    </w:p>
    <w:p w14:paraId="5D8F67E7" w14:textId="77777777" w:rsidR="004F2C6A" w:rsidRPr="007746B4" w:rsidRDefault="004F2C6A" w:rsidP="004F2C6A">
      <w:pPr>
        <w:widowControl w:val="0"/>
        <w:autoSpaceDE w:val="0"/>
        <w:autoSpaceDN w:val="0"/>
        <w:adjustRightInd w:val="0"/>
        <w:spacing w:after="0"/>
        <w:rPr>
          <w:lang w:val="en"/>
        </w:rPr>
      </w:pPr>
    </w:p>
    <w:p w14:paraId="648A5F22" w14:textId="22EFCFAE" w:rsidR="005B1409" w:rsidRDefault="005B1409" w:rsidP="001B680A">
      <w:pPr>
        <w:rPr>
          <w:lang w:val="en"/>
        </w:rPr>
      </w:pPr>
      <w:r w:rsidRPr="007746B4">
        <w:rPr>
          <w:lang w:val="en"/>
        </w:rPr>
        <w:t>Using data from the 2009 national collection of the AEDC, administrators of the AEDC have developed</w:t>
      </w:r>
      <w:r>
        <w:rPr>
          <w:lang w:val="en"/>
        </w:rPr>
        <w:t xml:space="preserve"> three categories of indicators to aid the interpretation</w:t>
      </w:r>
      <w:r w:rsidR="003724FB">
        <w:rPr>
          <w:lang w:val="en"/>
        </w:rPr>
        <w:t xml:space="preserve"> of</w:t>
      </w:r>
      <w:r>
        <w:rPr>
          <w:lang w:val="en"/>
        </w:rPr>
        <w:t xml:space="preserve"> AEDC data; Domain Indicators, Vulnerability Summary Indicators and the Multiple Strengths Indicator </w:t>
      </w:r>
      <w:r w:rsidR="00B22107">
        <w:rPr>
          <w:lang w:val="en"/>
        </w:rPr>
        <w:fldChar w:fldCharType="begin"/>
      </w:r>
      <w:r w:rsidR="00545FD3">
        <w:rPr>
          <w:lang w:val="en"/>
        </w:rPr>
        <w:instrText xml:space="preserve"> ADDIN EN.CITE &lt;EndNote&gt;&lt;Cite&gt;&lt;Author&gt;Australian Department of Education and Training&lt;/Author&gt;&lt;Year&gt;2017&lt;/Year&gt;&lt;RecNum&gt;1274&lt;/RecNum&gt;&lt;DisplayText&gt;[32]&lt;/DisplayText&gt;&lt;record&gt;&lt;rec-number&gt;1274&lt;/rec-number&gt;&lt;foreign-keys&gt;&lt;key app="EN" db-id="fztfxtw2kew9raetd235rfx625vrvpf9e0df" timestamp="1513905682"&gt;1274&lt;/key&gt;&lt;key app="ENWeb" db-id=""&gt;0&lt;/key&gt;&lt;/foreign-keys&gt;&lt;ref-type name="Government Document"&gt;46&lt;/ref-type&gt;&lt;contributors&gt;&lt;authors&gt;&lt;author&gt;Australian Department of Education and Training,&lt;/author&gt;&lt;/authors&gt;&lt;/contributors&gt;&lt;titles&gt;&lt;title&gt;Australian Early Development Census (AEDC): Data Guidelines&lt;/title&gt;&lt;/titles&gt;&lt;dates&gt;&lt;year&gt;2017&lt;/year&gt;&lt;/dates&gt;&lt;urls&gt;&lt;related-urls&gt;&lt;url&gt;https://www.aedc.gov.au/resources/detail/aedc-data-guidelines-2017&lt;/url&gt;&lt;/related-urls&gt;&lt;/urls&gt;&lt;custom1&gt;Commonwealth of Australia&lt;/custom1&gt;&lt;/record&gt;&lt;/Cite&gt;&lt;/EndNote&gt;</w:instrText>
      </w:r>
      <w:r w:rsidR="00B22107">
        <w:rPr>
          <w:lang w:val="en"/>
        </w:rPr>
        <w:fldChar w:fldCharType="separate"/>
      </w:r>
      <w:r w:rsidR="00545FD3">
        <w:rPr>
          <w:noProof/>
          <w:lang w:val="en"/>
        </w:rPr>
        <w:t>[32]</w:t>
      </w:r>
      <w:r w:rsidR="00B22107">
        <w:rPr>
          <w:lang w:val="en"/>
        </w:rPr>
        <w:fldChar w:fldCharType="end"/>
      </w:r>
      <w:r>
        <w:rPr>
          <w:lang w:val="en"/>
        </w:rPr>
        <w:t>.</w:t>
      </w:r>
      <w:r w:rsidRPr="00FD4770">
        <w:rPr>
          <w:lang w:val="en"/>
        </w:rPr>
        <w:t xml:space="preserve"> </w:t>
      </w:r>
      <w:r>
        <w:rPr>
          <w:lang w:val="en"/>
        </w:rPr>
        <w:t xml:space="preserve">The Domain Indicators use ranked scores from the 2009 AEDC collection to generate cut-offs for each domain. Students are classified as </w:t>
      </w:r>
      <w:r w:rsidRPr="008223B5">
        <w:rPr>
          <w:lang w:val="en"/>
        </w:rPr>
        <w:t>“developmentally vulnerable” (</w:t>
      </w:r>
      <w:r>
        <w:rPr>
          <w:lang w:val="en"/>
        </w:rPr>
        <w:t>scores ranked below the 10th</w:t>
      </w:r>
      <w:r w:rsidRPr="008223B5">
        <w:rPr>
          <w:lang w:val="en"/>
        </w:rPr>
        <w:t xml:space="preserve"> percent</w:t>
      </w:r>
      <w:r>
        <w:rPr>
          <w:lang w:val="en"/>
        </w:rPr>
        <w:t>ile</w:t>
      </w:r>
      <w:r w:rsidRPr="008223B5">
        <w:rPr>
          <w:lang w:val="en"/>
        </w:rPr>
        <w:t>)</w:t>
      </w:r>
      <w:r>
        <w:rPr>
          <w:lang w:val="en"/>
        </w:rPr>
        <w:t xml:space="preserve">, </w:t>
      </w:r>
      <w:r w:rsidRPr="008223B5">
        <w:rPr>
          <w:lang w:val="en"/>
        </w:rPr>
        <w:t>“developmentally at risk” (</w:t>
      </w:r>
      <w:r>
        <w:rPr>
          <w:lang w:val="en"/>
        </w:rPr>
        <w:t>scores ranked between the 10th and 25th percentile</w:t>
      </w:r>
      <w:r w:rsidRPr="008223B5">
        <w:rPr>
          <w:lang w:val="en"/>
        </w:rPr>
        <w:t>)</w:t>
      </w:r>
      <w:r>
        <w:rPr>
          <w:lang w:val="en"/>
        </w:rPr>
        <w:t>,</w:t>
      </w:r>
      <w:r w:rsidRPr="008223B5">
        <w:rPr>
          <w:lang w:val="en"/>
        </w:rPr>
        <w:t xml:space="preserve"> </w:t>
      </w:r>
      <w:r>
        <w:rPr>
          <w:lang w:val="en"/>
        </w:rPr>
        <w:t xml:space="preserve">or </w:t>
      </w:r>
      <w:r w:rsidRPr="008223B5">
        <w:rPr>
          <w:lang w:val="en"/>
        </w:rPr>
        <w:t>“developmentally on track” (</w:t>
      </w:r>
      <w:r>
        <w:rPr>
          <w:lang w:val="en"/>
        </w:rPr>
        <w:t xml:space="preserve">scores ranked above the 25th percentile) </w:t>
      </w:r>
      <w:r w:rsidR="00B22107">
        <w:rPr>
          <w:lang w:val="en"/>
        </w:rPr>
        <w:fldChar w:fldCharType="begin"/>
      </w:r>
      <w:r w:rsidR="00545FD3">
        <w:rPr>
          <w:lang w:val="en"/>
        </w:rPr>
        <w:instrText xml:space="preserve"> ADDIN EN.CITE &lt;EndNote&gt;&lt;Cite&gt;&lt;Author&gt;Australian Department of Education and Training&lt;/Author&gt;&lt;Year&gt;2017&lt;/Year&gt;&lt;RecNum&gt;1274&lt;/RecNum&gt;&lt;DisplayText&gt;[32]&lt;/DisplayText&gt;&lt;record&gt;&lt;rec-number&gt;1274&lt;/rec-number&gt;&lt;foreign-keys&gt;&lt;key app="EN" db-id="fztfxtw2kew9raetd235rfx625vrvpf9e0df" timestamp="1513905682"&gt;1274&lt;/key&gt;&lt;key app="ENWeb" db-id=""&gt;0&lt;/key&gt;&lt;/foreign-keys&gt;&lt;ref-type name="Government Document"&gt;46&lt;/ref-type&gt;&lt;contributors&gt;&lt;authors&gt;&lt;author&gt;Australian Department of Education and Training,&lt;/author&gt;&lt;/authors&gt;&lt;/contributors&gt;&lt;titles&gt;&lt;title&gt;Australian Early Development Census (AEDC): Data Guidelines&lt;/title&gt;&lt;/titles&gt;&lt;dates&gt;&lt;year&gt;2017&lt;/year&gt;&lt;/dates&gt;&lt;urls&gt;&lt;related-urls&gt;&lt;url&gt;https://www.aedc.gov.au/resources/detail/aedc-data-guidelines-2017&lt;/url&gt;&lt;/related-urls&gt;&lt;/urls&gt;&lt;custom1&gt;Commonwealth of Australia&lt;/custom1&gt;&lt;/record&gt;&lt;/Cite&gt;&lt;/EndNote&gt;</w:instrText>
      </w:r>
      <w:r w:rsidR="00B22107">
        <w:rPr>
          <w:lang w:val="en"/>
        </w:rPr>
        <w:fldChar w:fldCharType="separate"/>
      </w:r>
      <w:r w:rsidR="00545FD3">
        <w:rPr>
          <w:noProof/>
          <w:lang w:val="en"/>
        </w:rPr>
        <w:t>[32]</w:t>
      </w:r>
      <w:r w:rsidR="00B22107">
        <w:rPr>
          <w:lang w:val="en"/>
        </w:rPr>
        <w:fldChar w:fldCharType="end"/>
      </w:r>
      <w:r>
        <w:rPr>
          <w:lang w:val="en"/>
        </w:rPr>
        <w:t>.</w:t>
      </w:r>
    </w:p>
    <w:p w14:paraId="2B708D78" w14:textId="624FD798" w:rsidR="005B1409" w:rsidRDefault="005B1409" w:rsidP="004F2C6A">
      <w:pPr>
        <w:spacing w:after="0"/>
        <w:rPr>
          <w:lang w:val="en"/>
        </w:rPr>
      </w:pPr>
      <w:r>
        <w:rPr>
          <w:lang w:val="en"/>
        </w:rPr>
        <w:t>Based on the Domain Indicators, two V</w:t>
      </w:r>
      <w:r w:rsidRPr="008223B5">
        <w:rPr>
          <w:lang w:val="en"/>
        </w:rPr>
        <w:t>ulnerability Summary Indicator</w:t>
      </w:r>
      <w:r>
        <w:rPr>
          <w:lang w:val="en"/>
        </w:rPr>
        <w:t>s are generated.</w:t>
      </w:r>
      <w:r w:rsidRPr="008223B5">
        <w:rPr>
          <w:lang w:val="en"/>
        </w:rPr>
        <w:t xml:space="preserve"> </w:t>
      </w:r>
      <w:r>
        <w:rPr>
          <w:lang w:val="en"/>
        </w:rPr>
        <w:t>These</w:t>
      </w:r>
      <w:r w:rsidRPr="008223B5">
        <w:rPr>
          <w:lang w:val="en"/>
        </w:rPr>
        <w:t xml:space="preserve"> </w:t>
      </w:r>
      <w:r>
        <w:rPr>
          <w:lang w:val="en"/>
        </w:rPr>
        <w:t xml:space="preserve">are binary measures which </w:t>
      </w:r>
      <w:r w:rsidRPr="008223B5">
        <w:rPr>
          <w:lang w:val="en"/>
        </w:rPr>
        <w:t>refer to whether a participant is either developmentally vulnerable on one or more domain (DV1) or developmentally vulnerable on two or more domains (DV2)</w:t>
      </w:r>
      <w:r>
        <w:rPr>
          <w:lang w:val="en"/>
        </w:rPr>
        <w:t xml:space="preserve"> </w:t>
      </w:r>
      <w:r w:rsidR="00B22107">
        <w:rPr>
          <w:lang w:val="en"/>
        </w:rPr>
        <w:fldChar w:fldCharType="begin"/>
      </w:r>
      <w:r w:rsidR="00545FD3">
        <w:rPr>
          <w:lang w:val="en"/>
        </w:rPr>
        <w:instrText xml:space="preserve"> ADDIN EN.CITE &lt;EndNote&gt;&lt;Cite&gt;&lt;Author&gt;Australian Department of Education and Training&lt;/Author&gt;&lt;Year&gt;2017&lt;/Year&gt;&lt;RecNum&gt;1274&lt;/RecNum&gt;&lt;DisplayText&gt;[32]&lt;/DisplayText&gt;&lt;record&gt;&lt;rec-number&gt;1274&lt;/rec-number&gt;&lt;foreign-keys&gt;&lt;key app="EN" db-id="fztfxtw2kew9raetd235rfx625vrvpf9e0df" timestamp="1513905682"&gt;1274&lt;/key&gt;&lt;key app="ENWeb" db-id=""&gt;0&lt;/key&gt;&lt;/foreign-keys&gt;&lt;ref-type name="Government Document"&gt;46&lt;/ref-type&gt;&lt;contributors&gt;&lt;authors&gt;&lt;author&gt;Australian Department of Education and Training,&lt;/author&gt;&lt;/authors&gt;&lt;/contributors&gt;&lt;titles&gt;&lt;title&gt;Australian Early Development Census (AEDC): Data Guidelines&lt;/title&gt;&lt;/titles&gt;&lt;dates&gt;&lt;year&gt;2017&lt;/year&gt;&lt;/dates&gt;&lt;urls&gt;&lt;related-urls&gt;&lt;url&gt;https://www.aedc.gov.au/resources/detail/aedc-data-guidelines-2017&lt;/url&gt;&lt;/related-urls&gt;&lt;/urls&gt;&lt;custom1&gt;Commonwealth of Australia&lt;/custom1&gt;&lt;/record&gt;&lt;/Cite&gt;&lt;/EndNote&gt;</w:instrText>
      </w:r>
      <w:r w:rsidR="00B22107">
        <w:rPr>
          <w:lang w:val="en"/>
        </w:rPr>
        <w:fldChar w:fldCharType="separate"/>
      </w:r>
      <w:r w:rsidR="00545FD3">
        <w:rPr>
          <w:noProof/>
          <w:lang w:val="en"/>
        </w:rPr>
        <w:t>[32]</w:t>
      </w:r>
      <w:r w:rsidR="00B22107">
        <w:rPr>
          <w:lang w:val="en"/>
        </w:rPr>
        <w:fldChar w:fldCharType="end"/>
      </w:r>
      <w:r w:rsidRPr="008223B5">
        <w:rPr>
          <w:lang w:val="en"/>
        </w:rPr>
        <w:t xml:space="preserve">. </w:t>
      </w:r>
      <w:r>
        <w:rPr>
          <w:lang w:val="en"/>
        </w:rPr>
        <w:t xml:space="preserve">In this report, the DV1 variable is used as the key indicator of developmental vulnerability following the work of others </w:t>
      </w:r>
      <w:r w:rsidR="00B22107">
        <w:rPr>
          <w:lang w:val="en"/>
        </w:rPr>
        <w:fldChar w:fldCharType="begin"/>
      </w:r>
      <w:r w:rsidR="00545FD3">
        <w:rPr>
          <w:lang w:val="en"/>
        </w:rPr>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B22107">
        <w:rPr>
          <w:lang w:val="en"/>
        </w:rPr>
        <w:fldChar w:fldCharType="separate"/>
      </w:r>
      <w:r w:rsidR="00545FD3">
        <w:rPr>
          <w:noProof/>
          <w:lang w:val="en"/>
        </w:rPr>
        <w:t>[6]</w:t>
      </w:r>
      <w:r w:rsidR="00B22107">
        <w:rPr>
          <w:lang w:val="en"/>
        </w:rPr>
        <w:fldChar w:fldCharType="end"/>
      </w:r>
      <w:r>
        <w:rPr>
          <w:lang w:val="en"/>
        </w:rPr>
        <w:t>.</w:t>
      </w:r>
    </w:p>
    <w:p w14:paraId="38EF873E" w14:textId="77777777" w:rsidR="004F2C6A" w:rsidRDefault="004F2C6A" w:rsidP="004F2C6A">
      <w:pPr>
        <w:spacing w:after="0"/>
      </w:pPr>
    </w:p>
    <w:p w14:paraId="6D52C1EB" w14:textId="37E7BFDE" w:rsidR="005B1409" w:rsidRDefault="005B1409" w:rsidP="005265DE">
      <w:pPr>
        <w:spacing w:after="0"/>
        <w:rPr>
          <w:lang w:val="en"/>
        </w:rPr>
      </w:pPr>
      <w:r>
        <w:rPr>
          <w:lang w:val="en"/>
        </w:rPr>
        <w:t>Finally, the Multiple Strength Indicator (MSI) uses 39 items from the AEDC to measure developmental strengths. Scores for these items from the 2009 AEDC were ranked and used to generate cut-offs for three classifications; “highly developed strengths” (scores ranked above the 50</w:t>
      </w:r>
      <w:r w:rsidRPr="00EE5397">
        <w:rPr>
          <w:vertAlign w:val="superscript"/>
          <w:lang w:val="en"/>
        </w:rPr>
        <w:t>th</w:t>
      </w:r>
      <w:r>
        <w:rPr>
          <w:lang w:val="en"/>
        </w:rPr>
        <w:t xml:space="preserve"> percentile), “well developed strengths” (scores ranked between the 25</w:t>
      </w:r>
      <w:r w:rsidRPr="00EE5397">
        <w:rPr>
          <w:vertAlign w:val="superscript"/>
          <w:lang w:val="en"/>
        </w:rPr>
        <w:t>th</w:t>
      </w:r>
      <w:r>
        <w:rPr>
          <w:lang w:val="en"/>
        </w:rPr>
        <w:t xml:space="preserve"> and 50</w:t>
      </w:r>
      <w:r w:rsidRPr="00EE5397">
        <w:rPr>
          <w:vertAlign w:val="superscript"/>
          <w:lang w:val="en"/>
        </w:rPr>
        <w:t>th</w:t>
      </w:r>
      <w:r>
        <w:rPr>
          <w:lang w:val="en"/>
        </w:rPr>
        <w:t xml:space="preserve"> percentile) and “emerging strengths” (scores below the 25th percentile) </w:t>
      </w:r>
      <w:r w:rsidR="00B22107">
        <w:rPr>
          <w:lang w:val="en"/>
        </w:rPr>
        <w:fldChar w:fldCharType="begin"/>
      </w:r>
      <w:r w:rsidR="00545FD3">
        <w:rPr>
          <w:lang w:val="en"/>
        </w:rPr>
        <w:instrText xml:space="preserve"> ADDIN EN.CITE &lt;EndNote&gt;&lt;Cite&gt;&lt;Author&gt;Australian Department of Education and Training&lt;/Author&gt;&lt;Year&gt;2017&lt;/Year&gt;&lt;RecNum&gt;1274&lt;/RecNum&gt;&lt;DisplayText&gt;[32]&lt;/DisplayText&gt;&lt;record&gt;&lt;rec-number&gt;1274&lt;/rec-number&gt;&lt;foreign-keys&gt;&lt;key app="EN" db-id="fztfxtw2kew9raetd235rfx625vrvpf9e0df" timestamp="1513905682"&gt;1274&lt;/key&gt;&lt;key app="ENWeb" db-id=""&gt;0&lt;/key&gt;&lt;/foreign-keys&gt;&lt;ref-type name="Government Document"&gt;46&lt;/ref-type&gt;&lt;contributors&gt;&lt;authors&gt;&lt;author&gt;Australian Department of Education and Training,&lt;/author&gt;&lt;/authors&gt;&lt;/contributors&gt;&lt;titles&gt;&lt;title&gt;Australian Early Development Census (AEDC): Data Guidelines&lt;/title&gt;&lt;/titles&gt;&lt;dates&gt;&lt;year&gt;2017&lt;/year&gt;&lt;/dates&gt;&lt;urls&gt;&lt;related-urls&gt;&lt;url&gt;https://www.aedc.gov.au/resources/detail/aedc-data-guidelines-2017&lt;/url&gt;&lt;/related-urls&gt;&lt;/urls&gt;&lt;custom1&gt;Commonwealth of Australia&lt;/custom1&gt;&lt;/record&gt;&lt;/Cite&gt;&lt;/EndNote&gt;</w:instrText>
      </w:r>
      <w:r w:rsidR="00B22107">
        <w:rPr>
          <w:lang w:val="en"/>
        </w:rPr>
        <w:fldChar w:fldCharType="separate"/>
      </w:r>
      <w:r w:rsidR="00545FD3">
        <w:rPr>
          <w:noProof/>
          <w:lang w:val="en"/>
        </w:rPr>
        <w:t>[32]</w:t>
      </w:r>
      <w:r w:rsidR="00B22107">
        <w:rPr>
          <w:lang w:val="en"/>
        </w:rPr>
        <w:fldChar w:fldCharType="end"/>
      </w:r>
      <w:r>
        <w:rPr>
          <w:lang w:val="en"/>
        </w:rPr>
        <w:t xml:space="preserve">. </w:t>
      </w:r>
    </w:p>
    <w:p w14:paraId="32B6549F" w14:textId="77777777" w:rsidR="00BF5A98" w:rsidRDefault="00BF5A98" w:rsidP="005265DE">
      <w:pPr>
        <w:spacing w:after="0"/>
        <w:rPr>
          <w:lang w:val="en"/>
        </w:rPr>
      </w:pPr>
    </w:p>
    <w:p w14:paraId="2CC8EED3" w14:textId="77777777" w:rsidR="003F59C4" w:rsidRDefault="003F59C4" w:rsidP="00222F6C">
      <w:pPr>
        <w:pStyle w:val="Heading2"/>
        <w:spacing w:before="0" w:after="120"/>
      </w:pPr>
      <w:bookmarkStart w:id="16" w:name="_Toc501120734"/>
      <w:r>
        <w:t>Links between the EDI and later outcomes</w:t>
      </w:r>
      <w:bookmarkEnd w:id="16"/>
    </w:p>
    <w:p w14:paraId="2541A6BD" w14:textId="558B0668" w:rsidR="005B1409" w:rsidRDefault="005B1409" w:rsidP="004F2C6A">
      <w:pPr>
        <w:spacing w:after="0"/>
      </w:pPr>
      <w:r w:rsidRPr="0027390A">
        <w:t xml:space="preserve">Most </w:t>
      </w:r>
      <w:r>
        <w:t xml:space="preserve">studies investigating the association of AEDC or Canadian EDI domains with later outcomes have focussed on academic achievement. All five EDI domains are generally found to be associated with later academic achievement, with lower ratings linked to poorer academic outcomes. For example, using the Canadian EDI, </w:t>
      </w:r>
      <w:proofErr w:type="spellStart"/>
      <w:r>
        <w:t>D’Angiulli</w:t>
      </w:r>
      <w:proofErr w:type="spellEnd"/>
      <w:r>
        <w:t xml:space="preserve"> et al., 2009 found that children with </w:t>
      </w:r>
      <w:r w:rsidR="004566A2">
        <w:t xml:space="preserve">a </w:t>
      </w:r>
      <w:r>
        <w:t xml:space="preserve">vulnerability in any EDI domain </w:t>
      </w:r>
      <w:r w:rsidR="003724FB">
        <w:t>in the first year of school</w:t>
      </w:r>
      <w:r>
        <w:t xml:space="preserve"> were 2 to 3 times more likely to score ‘below expectations’ in </w:t>
      </w:r>
      <w:r w:rsidRPr="00C861C5">
        <w:t>numeracy, reading comprehension and writing skills</w:t>
      </w:r>
      <w:r>
        <w:t xml:space="preserve"> at Grade 4 </w:t>
      </w:r>
      <w:r w:rsidR="00B22107">
        <w:fldChar w:fldCharType="begin"/>
      </w:r>
      <w:r w:rsidR="00545FD3">
        <w:instrText xml:space="preserve"> ADDIN EN.CITE &lt;EndNote&gt;&lt;Cite&gt;&lt;Author&gt;D&amp;apos;Angiulli&lt;/Author&gt;&lt;Year&gt;2009&lt;/Year&gt;&lt;RecNum&gt;1259&lt;/RecNum&gt;&lt;DisplayText&gt;[34]&lt;/DisplayText&gt;&lt;record&gt;&lt;rec-number&gt;1259&lt;/rec-number&gt;&lt;foreign-keys&gt;&lt;key app="EN" db-id="fztfxtw2kew9raetd235rfx625vrvpf9e0df" timestamp="1513905614"&gt;1259&lt;/key&gt;&lt;key app="ENWeb" db-id=""&gt;0&lt;/key&gt;&lt;/foreign-keys&gt;&lt;ref-type name="Journal Article"&gt;17&lt;/ref-type&gt;&lt;contributors&gt;&lt;authors&gt;&lt;author&gt;D&amp;apos;Angiulli, A.&lt;/author&gt;&lt;author&gt;Warburton, W.&lt;/author&gt;&lt;author&gt;Dahinten, S.&lt;/author&gt;&lt;author&gt;Hertzman, C.&lt;/author&gt;&lt;/authors&gt;&lt;/contributors&gt;&lt;auth-address&gt;Institute of Interdisciplinary Studies, Carleton University, Ottawa, Canada. amedeo@connect.carleton.ca&lt;/auth-address&gt;&lt;titles&gt;&lt;title&gt;Population-level associations between preschool vulnerability and grade-four basic skills&lt;/title&gt;&lt;secondary-title&gt;PLoS One&lt;/secondary-title&gt;&lt;alt-title&gt;PloS one&lt;/alt-title&gt;&lt;/titles&gt;&lt;periodical&gt;&lt;full-title&gt;PLoS ONE&lt;/full-title&gt;&lt;/periodical&gt;&lt;alt-periodical&gt;&lt;full-title&gt;PLoS ONE&lt;/full-title&gt;&lt;/alt-periodical&gt;&lt;pages&gt;e7692&lt;/pages&gt;&lt;volume&gt;4&lt;/volume&gt;&lt;number&gt;11&lt;/number&gt;&lt;edition&gt;2009/12/01&lt;/edition&gt;&lt;keywords&gt;&lt;keyword&gt;Child&lt;/keyword&gt;&lt;keyword&gt;Child Development&lt;/keyword&gt;&lt;keyword&gt;Child, Preschool&lt;/keyword&gt;&lt;keyword&gt;Developmental Disabilities&lt;/keyword&gt;&lt;keyword&gt;Early Intervention (Education)&lt;/keyword&gt;&lt;keyword&gt;*Educational Measurement&lt;/keyword&gt;&lt;keyword&gt;*Educational Status&lt;/keyword&gt;&lt;keyword&gt;Female&lt;/keyword&gt;&lt;keyword&gt;Humans&lt;/keyword&gt;&lt;keyword&gt;Language Tests&lt;/keyword&gt;&lt;keyword&gt;Male&lt;/keyword&gt;&lt;keyword&gt;Risk&lt;/keyword&gt;&lt;keyword&gt;Schools&lt;/keyword&gt;&lt;/keywords&gt;&lt;dates&gt;&lt;year&gt;2009&lt;/year&gt;&lt;pub-dates&gt;&lt;date&gt;Nov 25&lt;/date&gt;&lt;/pub-dates&gt;&lt;/dates&gt;&lt;isbn&gt;1932-6203&lt;/isbn&gt;&lt;accession-num&gt;19946366&lt;/accession-num&gt;&lt;urls&gt;&lt;/urls&gt;&lt;custom2&gt;Pmc2776982&lt;/custom2&gt;&lt;electronic-resource-num&gt;10.1371/journal.pone.0007692&lt;/electronic-resource-num&gt;&lt;remote-database-provider&gt;NLM&lt;/remote-database-provider&gt;&lt;language&gt;eng&lt;/language&gt;&lt;/record&gt;&lt;/Cite&gt;&lt;/EndNote&gt;</w:instrText>
      </w:r>
      <w:r w:rsidR="00B22107">
        <w:fldChar w:fldCharType="separate"/>
      </w:r>
      <w:r w:rsidR="00545FD3">
        <w:rPr>
          <w:noProof/>
        </w:rPr>
        <w:t>[34]</w:t>
      </w:r>
      <w:r w:rsidR="00B22107">
        <w:fldChar w:fldCharType="end"/>
      </w:r>
      <w:r>
        <w:t xml:space="preserve">. Two further studies of the Canadian EDI have demonstrated similar links between reading and numeracy in Grades 3 and 4 </w:t>
      </w:r>
      <w:r w:rsidR="00B22107">
        <w:fldChar w:fldCharType="begin">
          <w:fldData xml:space="preserve">PEVuZE5vdGU+PENpdGU+PEF1dGhvcj5HdWhuPC9BdXRob3I+PFllYXI+MjAxNjwvWWVhcj48UmVj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</w:fldData>
        </w:fldChar>
      </w:r>
      <w:r w:rsidR="00545FD3">
        <w:instrText xml:space="preserve"> ADDIN EN.CITE </w:instrText>
      </w:r>
      <w:r w:rsidR="00545FD3">
        <w:fldChar w:fldCharType="begin">
          <w:fldData xml:space="preserve">PEVuZE5vdGU+PENpdGU+PEF1dGhvcj5HdWhuPC9BdXRob3I+PFllYXI+MjAxNjwvWWVhcj48UmVj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</w:fldData>
        </w:fldChar>
      </w:r>
      <w:r w:rsidR="00545FD3">
        <w:instrText xml:space="preserve"> ADDIN EN.CITE.DATA </w:instrText>
      </w:r>
      <w:r w:rsidR="00545FD3">
        <w:fldChar w:fldCharType="end"/>
      </w:r>
      <w:r w:rsidR="00B22107">
        <w:fldChar w:fldCharType="separate"/>
      </w:r>
      <w:r w:rsidR="00545FD3">
        <w:rPr>
          <w:noProof/>
        </w:rPr>
        <w:t>[35, 36]</w:t>
      </w:r>
      <w:r w:rsidR="00B22107">
        <w:fldChar w:fldCharType="end"/>
      </w:r>
      <w:r>
        <w:t>. In Australia, one study has examined associations between developmental vulnerability</w:t>
      </w:r>
      <w:r w:rsidR="003724FB">
        <w:t xml:space="preserve"> at school entry</w:t>
      </w:r>
      <w:r>
        <w:t xml:space="preserve"> assessed using the </w:t>
      </w:r>
      <w:r w:rsidR="003724FB">
        <w:t xml:space="preserve">AEDC </w:t>
      </w:r>
      <w:r>
        <w:t xml:space="preserve">and NAPLAN outcomes finding that they were equally strong in Years 3, 5 and 7 </w:t>
      </w:r>
      <w:r w:rsidR="00B22107">
        <w:fldChar w:fldCharType="begin"/>
      </w:r>
      <w:r w:rsidR="00545FD3">
        <w:instrText xml:space="preserve"> ADDIN EN.CITE &lt;EndNote&gt;&lt;Cite&gt;&lt;Author&gt;Brinkman&lt;/Author&gt;&lt;Year&gt;2013&lt;/Year&gt;&lt;RecNum&gt;1326&lt;/RecNum&gt;&lt;DisplayText&gt;[37]&lt;/DisplayText&gt;&lt;record&gt;&lt;rec-number&gt;1326&lt;/rec-number&gt;&lt;foreign-keys&gt;&lt;key app="EN" db-id="fztfxtw2kew9raetd235rfx625vrvpf9e0df" timestamp="1513905900"&gt;1326&lt;/key&gt;&lt;key app="ENWeb" db-id=""&gt;0&lt;/key&gt;&lt;/foreign-keys&gt;&lt;ref-type name="Journal Article"&gt;17&lt;/ref-type&gt;&lt;contributors&gt;&lt;authors&gt;&lt;author&gt;Brinkman, Sally&lt;/author&gt;&lt;author&gt;Gregory, Tess&lt;/author&gt;&lt;author&gt;Harris, John&lt;/author&gt;&lt;author&gt;Hart, Bret&lt;/author&gt;&lt;author&gt;Blackmore, Sally&lt;/author&gt;&lt;author&gt;Janus, Magdalena&lt;/author&gt;&lt;/authors&gt;&lt;/contributors&gt;&lt;titles&gt;&lt;title&gt;Associations Between the Early Development Instrument at Age 5, and Reading and Numeracy Skills at Ages 8, 10 and 12: A Prospective Linked Data Study&lt;/title&gt;&lt;secondary-title&gt;Child Indicators Research&lt;/secondary-title&gt;&lt;/titles&gt;&lt;periodical&gt;&lt;full-title&gt;Child Indicators Research&lt;/full-title&gt;&lt;/periodical&gt;&lt;pages&gt;695-708&lt;/pages&gt;&lt;volume&gt;6&lt;/volume&gt;&lt;number&gt;4&lt;/number&gt;&lt;dates&gt;&lt;year&gt;2013&lt;/year&gt;&lt;pub-dates&gt;&lt;date&gt;December 01&lt;/date&gt;&lt;/pub-dates&gt;&lt;/dates&gt;&lt;isbn&gt;1874-8988&lt;/isbn&gt;&lt;label&gt;Brinkman2013&lt;/label&gt;&lt;work-type&gt;journal article&lt;/work-type&gt;&lt;urls&gt;&lt;related-urls&gt;&lt;url&gt;https://doi.org/10.1007/s12187-013-9189-3&lt;/url&gt;&lt;/related-urls&gt;&lt;/urls&gt;&lt;electronic-resource-num&gt;10.1007/s12187-013-9189-3&lt;/electronic-resource-num&gt;&lt;/record&gt;&lt;/Cite&gt;&lt;/EndNote&gt;</w:instrText>
      </w:r>
      <w:r w:rsidR="00B22107">
        <w:fldChar w:fldCharType="separate"/>
      </w:r>
      <w:r w:rsidR="00545FD3">
        <w:rPr>
          <w:noProof/>
        </w:rPr>
        <w:t>[37]</w:t>
      </w:r>
      <w:r w:rsidR="00B22107">
        <w:fldChar w:fldCharType="end"/>
      </w:r>
      <w:r>
        <w:t>.</w:t>
      </w:r>
    </w:p>
    <w:p w14:paraId="37BCA0CD" w14:textId="77777777" w:rsidR="004F2C6A" w:rsidRDefault="004F2C6A" w:rsidP="004F2C6A">
      <w:pPr>
        <w:spacing w:after="0"/>
      </w:pPr>
    </w:p>
    <w:p w14:paraId="62A66FA2" w14:textId="51E0941F" w:rsidR="005B1409" w:rsidRDefault="005B1409" w:rsidP="004F2C6A">
      <w:pPr>
        <w:spacing w:after="0"/>
      </w:pPr>
      <w:r>
        <w:t xml:space="preserve">Few studies have investigated how AEDC measures relate to later wellbeing and behaviour outcomes. Early analyses suggest the AEDC has strong negative predictive validity for teacher-rated behaviour problems at 8 years of age, meaning that </w:t>
      </w:r>
      <w:r w:rsidRPr="002C3929">
        <w:rPr>
          <w:i/>
        </w:rPr>
        <w:t>not</w:t>
      </w:r>
      <w:r>
        <w:t xml:space="preserve"> being vulnerable in a domain at school entry is strongly predictive of </w:t>
      </w:r>
      <w:r w:rsidRPr="00EB5EE2">
        <w:rPr>
          <w:i/>
        </w:rPr>
        <w:t>not</w:t>
      </w:r>
      <w:r>
        <w:t xml:space="preserve"> experiencing behavioural problems at age 8. However, experiencing vulnerability at school entry does not predict poor behavioural outcomes as strongly. In terms of social and emotional aspects of development, </w:t>
      </w:r>
      <w:r w:rsidRPr="003040C6">
        <w:t xml:space="preserve">one </w:t>
      </w:r>
      <w:r>
        <w:t xml:space="preserve">Canadian </w:t>
      </w:r>
      <w:r w:rsidRPr="003040C6">
        <w:t>study</w:t>
      </w:r>
      <w:r>
        <w:t xml:space="preserve">  found the </w:t>
      </w:r>
      <w:r w:rsidRPr="00935B2A">
        <w:rPr>
          <w:i/>
        </w:rPr>
        <w:t>Social Competence</w:t>
      </w:r>
      <w:r>
        <w:t xml:space="preserve"> domain in kindergarten to be the strongest predictor of self-reported connectedness to peers at Grade 4, and that </w:t>
      </w:r>
      <w:r w:rsidRPr="00935B2A">
        <w:rPr>
          <w:i/>
        </w:rPr>
        <w:t>Emotional Maturity</w:t>
      </w:r>
      <w:r>
        <w:t xml:space="preserve"> at kindergarten most strongly predicted emotional wellbeing at Grade 4 </w:t>
      </w:r>
      <w:r w:rsidR="00B22107">
        <w:fldChar w:fldCharType="begin"/>
      </w:r>
      <w:r w:rsidR="00545FD3">
        <w:instrText xml:space="preserve"> ADDIN EN.CITE &lt;EndNote&gt;&lt;Cite&gt;&lt;Author&gt;Guhn&lt;/Author&gt;&lt;Year&gt;2016&lt;/Year&gt;&lt;RecNum&gt;1273&lt;/RecNum&gt;&lt;DisplayText&gt;[35]&lt;/DisplayText&gt;&lt;record&gt;&lt;rec-number&gt;1273&lt;/rec-number&gt;&lt;foreign-keys&gt;&lt;key app="EN" db-id="fztfxtw2kew9raetd235rfx625vrvpf9e0df" timestamp="1513905679"&gt;1273&lt;/key&gt;&lt;key app="ENWeb" db-id=""&gt;0&lt;/key&gt;&lt;/foreign-keys&gt;&lt;ref-type name="Journal Article"&gt;17&lt;/ref-type&gt;&lt;contributors&gt;&lt;authors&gt;&lt;author&gt;Guhn, M.&lt;/author&gt;&lt;author&gt;Gadermann, A. M.&lt;/author&gt;&lt;author&gt;Almas, A.&lt;/author&gt;&lt;author&gt;Schonert-Reichl, K. A.&lt;/author&gt;&lt;author&gt;Hertzman, C.&lt;/author&gt;&lt;/authors&gt;&lt;/contributors&gt;&lt;titles&gt;&lt;title&gt;Associations of teacher-rated social, emotional, and cognitive development in kindergarten to self-reported wellbeing, peer relations, and academic test scores in middle childhood&lt;/title&gt;&lt;secondary-title&gt;Early Childhood Research Quarterly&lt;/secondary-title&gt;&lt;/titles&gt;&lt;periodical&gt;&lt;full-title&gt;Early Child Res Q&lt;/full-title&gt;&lt;abbr-1&gt;Early childhood research quarterly&lt;/abbr-1&gt;&lt;/periodical&gt;&lt;pages&gt;76-84&lt;/pages&gt;&lt;volume&gt;35&lt;/volume&gt;&lt;dates&gt;&lt;year&gt;2016&lt;/year&gt;&lt;pub-dates&gt;&lt;date&gt;//&lt;/date&gt;&lt;/pub-dates&gt;&lt;/dates&gt;&lt;publisher&gt;United States, Elsevier Science BV, Amsterdam&lt;/publisher&gt;&lt;isbn&gt;08852006&lt;/isbn&gt;&lt;urls&gt;&lt;related-urls&gt;&lt;url&gt;https://ezp.lib.unimelb.edu.au/login?url=https://search.ebscohost.com/login.aspx?direct=true&amp;amp;db=edsbl&amp;amp;AN=RN376800311&amp;amp;site=eds-live&amp;amp;scope=site&lt;/url&gt;&lt;/related-urls&gt;&lt;/urls&gt;&lt;remote-database-name&gt;edsbl&lt;/remote-database-name&gt;&lt;remote-database-provider&gt;EBSCOhost&lt;/remote-database-provider&gt;&lt;language&gt;English&lt;/language&gt;&lt;/record&gt;&lt;/Cite&gt;&lt;/EndNote&gt;</w:instrText>
      </w:r>
      <w:r w:rsidR="00B22107">
        <w:fldChar w:fldCharType="separate"/>
      </w:r>
      <w:r w:rsidR="00545FD3">
        <w:rPr>
          <w:noProof/>
        </w:rPr>
        <w:t>[35]</w:t>
      </w:r>
      <w:r w:rsidR="00B22107">
        <w:fldChar w:fldCharType="end"/>
      </w:r>
      <w:r>
        <w:t xml:space="preserve">. </w:t>
      </w:r>
    </w:p>
    <w:p w14:paraId="5C26CD1E" w14:textId="77777777" w:rsidR="004F2C6A" w:rsidRDefault="004F2C6A" w:rsidP="004F2C6A">
      <w:pPr>
        <w:spacing w:after="0"/>
        <w:rPr>
          <w:rFonts w:ascii="Times" w:hAnsi="Times" w:cs="Times"/>
          <w:color w:val="000000"/>
          <w:sz w:val="26"/>
          <w:szCs w:val="26"/>
          <w:lang w:val="en-GB"/>
        </w:rPr>
      </w:pPr>
    </w:p>
    <w:p w14:paraId="0B3D9090" w14:textId="2E8211EB" w:rsidR="003F59C4" w:rsidRDefault="005B1409" w:rsidP="005B1409">
      <w:r>
        <w:t>Although there is some evidence of how early developmental vulnerability relates to outcomes in the middle years, few studies to date have been able to follow students longitudinally, and none with comprehensive data on non-academic outcomes. One likely reason is that the AEDC collects data only once every three years, so existing cohort studies are only able to link to AEDC data if their cohort was the correct age in an AEDC year. For example, the Longitudinal Study of Australian Children (LSAC) collects data across a two-year period in each wave, resulting in linkage of AEDC data for a proportion of the cohort. CATS is uniquely placed to fill this gap in the literature. As the study collects data annually, AEDC data is available for the entire cohort, allowing for direct data linkage with the AEDC dataset and providing an accurate picture of transitional outcomes through the middle years</w:t>
      </w:r>
      <w:r w:rsidR="00DA0258">
        <w:t xml:space="preserve"> for students living in metropolitan Melbourne</w:t>
      </w:r>
      <w:r>
        <w:t>.</w:t>
      </w:r>
    </w:p>
    <w:p w14:paraId="4603C8A4" w14:textId="77777777" w:rsidR="003F59C4" w:rsidRDefault="003F59C4" w:rsidP="005265DE">
      <w:pPr>
        <w:pStyle w:val="Heading2"/>
        <w:spacing w:before="0" w:after="120"/>
      </w:pPr>
      <w:bookmarkStart w:id="17" w:name="_Toc501120735"/>
      <w:r>
        <w:t>The Childhood to Adolescence Transition Study</w:t>
      </w:r>
      <w:bookmarkEnd w:id="17"/>
    </w:p>
    <w:p w14:paraId="746DD4B1" w14:textId="06586AE6" w:rsidR="005B1409" w:rsidRDefault="005B1409" w:rsidP="005265DE">
      <w:pPr>
        <w:spacing w:after="0"/>
      </w:pPr>
      <w:r w:rsidRPr="00BA23FB">
        <w:t xml:space="preserve">This report </w:t>
      </w:r>
      <w:r>
        <w:t>presents findings from a linkage study involving the 2009 AEDC and CATS (</w:t>
      </w:r>
      <w:r w:rsidRPr="00BA23FB">
        <w:t>Childhood to Adolescence Transition Study</w:t>
      </w:r>
      <w:r>
        <w:t>) datasets. CATS is an ongoing</w:t>
      </w:r>
      <w:r w:rsidRPr="00BA23FB">
        <w:t xml:space="preserve"> longitudinal </w:t>
      </w:r>
      <w:r>
        <w:t>study of Australian students which has followed over 1200 children</w:t>
      </w:r>
      <w:r w:rsidR="00E52F52">
        <w:t xml:space="preserve"> in Melbourne</w:t>
      </w:r>
      <w:r>
        <w:t xml:space="preserve"> since Year 3 (2012). The CATS study collects information on </w:t>
      </w:r>
      <w:r w:rsidRPr="00BA23FB">
        <w:t xml:space="preserve">mental health and wellbeing, peer and family relationships, school engagement, and </w:t>
      </w:r>
      <w:r>
        <w:t xml:space="preserve">the </w:t>
      </w:r>
      <w:r w:rsidRPr="00BA23FB">
        <w:t xml:space="preserve">primary </w:t>
      </w:r>
      <w:r>
        <w:t>to secondary school transition. Data is collected from students, their parents and teachers. CATS has also linked with the NAPLAN dataset to obtain robust data on student learning. Further information about CATS can be found in Appendix 1.</w:t>
      </w:r>
    </w:p>
    <w:p w14:paraId="4F152E64" w14:textId="77777777" w:rsidR="00BF5A98" w:rsidRDefault="00BF5A98" w:rsidP="005265DE">
      <w:pPr>
        <w:spacing w:after="0"/>
      </w:pPr>
    </w:p>
    <w:p w14:paraId="2BCA0591" w14:textId="77777777" w:rsidR="003F59C4" w:rsidRDefault="003F59C4" w:rsidP="00222F6C">
      <w:pPr>
        <w:pStyle w:val="Heading2"/>
        <w:spacing w:before="0" w:after="120"/>
      </w:pPr>
      <w:bookmarkStart w:id="18" w:name="_Toc501120736"/>
      <w:r>
        <w:t>Aims of the report</w:t>
      </w:r>
      <w:bookmarkEnd w:id="18"/>
    </w:p>
    <w:p w14:paraId="5517D069" w14:textId="0EF74311" w:rsidR="005B1409" w:rsidRDefault="005B1409" w:rsidP="005B2C60">
      <w:pPr>
        <w:spacing w:after="0"/>
      </w:pPr>
      <w:r>
        <w:t xml:space="preserve">This report follows an earlier report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t xml:space="preserve"> from CATS which demonstrated the presence of strong inter-relationships between learning, wellbeing and school engagement in the middle years from Years 3 to 7. In particular, this report showed that student wellbeing and engagement in the mid-primary school years were strongly predictive of learning progress. For example, students experiencing persistent or even single episodes of poor wellbeing as indicated by emotional or behaviour</w:t>
      </w:r>
      <w:r w:rsidR="00870D49">
        <w:t>al</w:t>
      </w:r>
      <w:r>
        <w:t xml:space="preserve"> problems and subjective self-report of wellbeing were more likely to disengage from school and on average fell up to a year behind their peers in their learning.</w:t>
      </w:r>
    </w:p>
    <w:p w14:paraId="082BBF35" w14:textId="77777777" w:rsidR="005B2C60" w:rsidRDefault="005B2C60" w:rsidP="005B2C60">
      <w:pPr>
        <w:spacing w:after="0"/>
      </w:pPr>
    </w:p>
    <w:p w14:paraId="0DA31C79" w14:textId="7DDAC85F" w:rsidR="005B1409" w:rsidRDefault="005B1409" w:rsidP="00222F6C">
      <w:pPr>
        <w:spacing w:after="0"/>
      </w:pPr>
      <w:r>
        <w:t>Whether these students are falling behind in primary school because of pre-existing vulnerabilities is an important question with significant implications. If students who begin their schooling with developmental vulnerabilities are at heightened risk of poor wellbeing and disengagement in the middle years there is a requirement to identify and support this group of students. Not only might developmentally vulnerable students be more prone to emerging problems in primary school; they may be more sensitive to the damaging effects of these problems. Of key interest is the developmental trajectories of students beginning school with</w:t>
      </w:r>
      <w:r w:rsidR="00870D49">
        <w:t xml:space="preserve"> a</w:t>
      </w:r>
      <w:r>
        <w:t xml:space="preserve"> vulnerability</w:t>
      </w:r>
      <w:r w:rsidR="00870D49">
        <w:t xml:space="preserve"> or vulnerabilities</w:t>
      </w:r>
      <w:r>
        <w:t>. This report aims to investigate the proportion of these students who develop problems with school engagement, wellbeing and/or peer relationships, and subsequently fail to reach a minimum learning threshold. It also examines why some students begin with vulnerabilities and remain worse off in terms of education outcomes.</w:t>
      </w:r>
    </w:p>
    <w:p w14:paraId="5CD74E5F" w14:textId="77777777" w:rsidR="00222F6C" w:rsidRDefault="00222F6C" w:rsidP="00222F6C">
      <w:pPr>
        <w:spacing w:after="0"/>
      </w:pPr>
    </w:p>
    <w:p w14:paraId="4587F6A5" w14:textId="2A49F819" w:rsidR="005B1409" w:rsidRDefault="005B1409" w:rsidP="00222F6C">
      <w:pPr>
        <w:spacing w:after="0"/>
      </w:pPr>
      <w:r w:rsidRPr="005D132A">
        <w:t xml:space="preserve">This report aims to identify all trajectories of learning and therefore </w:t>
      </w:r>
      <w:r w:rsidR="00E52F52">
        <w:t xml:space="preserve">also </w:t>
      </w:r>
      <w:r w:rsidRPr="005D132A">
        <w:t>examines students who begin school with no apparent developmental vulnerabilities.</w:t>
      </w:r>
      <w:r>
        <w:t xml:space="preserve"> It questions how many of these students remain at low risk and achieve key learning </w:t>
      </w:r>
      <w:r w:rsidR="0095595F">
        <w:t xml:space="preserve">thresholds </w:t>
      </w:r>
      <w:r>
        <w:t>and how many increase in risk for poor outcomes.  S</w:t>
      </w:r>
      <w:r w:rsidRPr="005D132A">
        <w:t xml:space="preserve">tudents </w:t>
      </w:r>
      <w:r>
        <w:t>in this latter group, d</w:t>
      </w:r>
      <w:r w:rsidRPr="005D132A">
        <w:t xml:space="preserve">espite </w:t>
      </w:r>
      <w:r>
        <w:t>their</w:t>
      </w:r>
      <w:r w:rsidRPr="005D132A">
        <w:t xml:space="preserve"> ‘problem-free’ start</w:t>
      </w:r>
      <w:r>
        <w:t>, begin</w:t>
      </w:r>
      <w:r w:rsidRPr="005D132A">
        <w:t xml:space="preserve"> to decline in terms of social, emotional and behavioural functioning though mid- and late-primary school leading to problems with</w:t>
      </w:r>
      <w:r>
        <w:t xml:space="preserve"> school engagement and learning</w:t>
      </w:r>
      <w:r w:rsidRPr="005D132A">
        <w:t>.</w:t>
      </w:r>
      <w:r>
        <w:t xml:space="preserve"> Should a considerable proportion of students be found to develop new problems in the middle years there will be a </w:t>
      </w:r>
      <w:r w:rsidRPr="000154E6">
        <w:t>clear need to identify and support this group.</w:t>
      </w:r>
    </w:p>
    <w:p w14:paraId="0B8EB82F" w14:textId="77777777" w:rsidR="00222F6C" w:rsidRPr="00A96635" w:rsidRDefault="00222F6C" w:rsidP="00222F6C">
      <w:pPr>
        <w:spacing w:after="0"/>
      </w:pPr>
    </w:p>
    <w:p w14:paraId="0C0DE39F" w14:textId="77777777" w:rsidR="005B1409" w:rsidRDefault="005B1409" w:rsidP="00222F6C">
      <w:pPr>
        <w:spacing w:after="0"/>
      </w:pPr>
      <w:r>
        <w:t xml:space="preserve">The current report utilises linkage of the 2009 AEDC dataset with longitudinal data on Victorian students from Year 3 to Year 7 from CATS. This dataset linkage provides a unique opportunity </w:t>
      </w:r>
      <w:r w:rsidRPr="003C44E0">
        <w:t xml:space="preserve">to </w:t>
      </w:r>
      <w:r>
        <w:t>examine</w:t>
      </w:r>
      <w:r w:rsidRPr="003C44E0">
        <w:t xml:space="preserve"> the trajectories of wellbeing,</w:t>
      </w:r>
      <w:r>
        <w:t xml:space="preserve"> engagement and learning from the point of entry into </w:t>
      </w:r>
      <w:r w:rsidRPr="00222F6C">
        <w:t>primary school through the first year of secondary school.</w:t>
      </w:r>
    </w:p>
    <w:p w14:paraId="7037CA86" w14:textId="77777777" w:rsidR="00222F6C" w:rsidRPr="00222F6C" w:rsidRDefault="00222F6C" w:rsidP="00222F6C">
      <w:pPr>
        <w:spacing w:after="0"/>
      </w:pPr>
    </w:p>
    <w:p w14:paraId="0BE20FC6" w14:textId="148E179C" w:rsidR="005B1409" w:rsidRDefault="005B1409" w:rsidP="00222F6C">
      <w:pPr>
        <w:spacing w:after="0"/>
      </w:pPr>
      <w:r>
        <w:t>Based on the evidence presented above we expect that the linkage will identify:</w:t>
      </w:r>
    </w:p>
    <w:p w14:paraId="3A7EB17A" w14:textId="77777777" w:rsidR="005B1409" w:rsidRDefault="005B1409" w:rsidP="005B1409">
      <w:pPr>
        <w:pStyle w:val="ListParagraph"/>
        <w:numPr>
          <w:ilvl w:val="0"/>
          <w:numId w:val="26"/>
        </w:numPr>
      </w:pPr>
      <w:r w:rsidRPr="00305BEF">
        <w:t xml:space="preserve">a group of </w:t>
      </w:r>
      <w:r>
        <w:t xml:space="preserve">students ‘continuing at risk’ i.e. a group with </w:t>
      </w:r>
      <w:r w:rsidRPr="005D132A">
        <w:t>developmental vulnerabilit</w:t>
      </w:r>
      <w:r>
        <w:t>y</w:t>
      </w:r>
      <w:r w:rsidDel="00C62FE7">
        <w:t xml:space="preserve"> </w:t>
      </w:r>
      <w:r>
        <w:t xml:space="preserve">at school entry and who </w:t>
      </w:r>
      <w:r w:rsidRPr="00305BEF">
        <w:t xml:space="preserve">continue to perform poorly through the middle years in terms of mental, social, emotional and </w:t>
      </w:r>
      <w:r>
        <w:t>learning outcomes</w:t>
      </w:r>
    </w:p>
    <w:p w14:paraId="296B60A0" w14:textId="77777777" w:rsidR="005B1409" w:rsidRDefault="005B1409" w:rsidP="005B1409">
      <w:pPr>
        <w:pStyle w:val="ListParagraph"/>
        <w:numPr>
          <w:ilvl w:val="0"/>
          <w:numId w:val="26"/>
        </w:numPr>
      </w:pPr>
      <w:r w:rsidRPr="00305BEF">
        <w:t xml:space="preserve">a group of </w:t>
      </w:r>
      <w:r>
        <w:t xml:space="preserve">students ‘reducing in risk’ i.e. a group with </w:t>
      </w:r>
      <w:r w:rsidRPr="005D132A">
        <w:t>developmental vulnerabilit</w:t>
      </w:r>
      <w:r>
        <w:t>y</w:t>
      </w:r>
      <w:r w:rsidDel="00C62FE7">
        <w:t xml:space="preserve"> </w:t>
      </w:r>
      <w:r>
        <w:t xml:space="preserve">at school entry </w:t>
      </w:r>
      <w:r w:rsidRPr="00305BEF">
        <w:t xml:space="preserve">who improve in terms of social, emotional and behavioural functioning through mid- and late-primary school leading to </w:t>
      </w:r>
      <w:r>
        <w:t xml:space="preserve">improved learning outcomes by </w:t>
      </w:r>
      <w:r w:rsidRPr="00305BEF">
        <w:t>late primary and early secondary</w:t>
      </w:r>
      <w:r>
        <w:t xml:space="preserve"> school</w:t>
      </w:r>
    </w:p>
    <w:p w14:paraId="1766A2A9" w14:textId="77777777" w:rsidR="005B1409" w:rsidRPr="00305BEF" w:rsidRDefault="005B1409" w:rsidP="005B1409">
      <w:pPr>
        <w:pStyle w:val="ListParagraph"/>
        <w:numPr>
          <w:ilvl w:val="0"/>
          <w:numId w:val="26"/>
        </w:numPr>
      </w:pPr>
      <w:r>
        <w:t>a group of students ‘continuing on track’ who do not have early vulnerability and do not develop problems in the primary school years leading to good learning outcomes</w:t>
      </w:r>
    </w:p>
    <w:p w14:paraId="577ADA47" w14:textId="77777777" w:rsidR="005B1409" w:rsidRDefault="005B1409" w:rsidP="005B1409">
      <w:pPr>
        <w:pStyle w:val="ListParagraph"/>
        <w:numPr>
          <w:ilvl w:val="0"/>
          <w:numId w:val="26"/>
        </w:numPr>
      </w:pPr>
      <w:r w:rsidRPr="00305BEF">
        <w:t xml:space="preserve">a group of </w:t>
      </w:r>
      <w:r>
        <w:t xml:space="preserve">students ‘newly at risk’ </w:t>
      </w:r>
      <w:r w:rsidRPr="00305BEF">
        <w:t>who do not have early vulnerability who start to decline in terms of social, emotional and behavioural functioning in mid</w:t>
      </w:r>
      <w:r>
        <w:t>-</w:t>
      </w:r>
      <w:r w:rsidRPr="00305BEF">
        <w:t xml:space="preserve"> to late</w:t>
      </w:r>
      <w:r>
        <w:t>-</w:t>
      </w:r>
      <w:r w:rsidRPr="00305BEF">
        <w:t xml:space="preserve">primary school leading to problems with school engagement and </w:t>
      </w:r>
      <w:r>
        <w:t>learning</w:t>
      </w:r>
      <w:r w:rsidRPr="00305BEF">
        <w:t xml:space="preserve"> by late pri</w:t>
      </w:r>
      <w:r>
        <w:t>mary and early secondary school.</w:t>
      </w:r>
    </w:p>
    <w:p w14:paraId="628AEE19" w14:textId="77777777" w:rsidR="005B2C60" w:rsidRPr="00305BEF" w:rsidRDefault="005B2C60" w:rsidP="005B2C60">
      <w:pPr>
        <w:pStyle w:val="ListParagraph"/>
        <w:spacing w:after="0"/>
      </w:pPr>
    </w:p>
    <w:p w14:paraId="0926443F" w14:textId="77777777" w:rsidR="003F59C4" w:rsidRDefault="003F59C4" w:rsidP="006A17C2">
      <w:r>
        <w:t>The 2 key research questions examined in this report are:</w:t>
      </w:r>
    </w:p>
    <w:p w14:paraId="1C14D42C" w14:textId="2FBED880" w:rsidR="003F59C4" w:rsidRPr="005B1409" w:rsidRDefault="003F59C4" w:rsidP="006A17C2">
      <w:pPr>
        <w:pStyle w:val="ListParagraph"/>
        <w:numPr>
          <w:ilvl w:val="0"/>
          <w:numId w:val="23"/>
        </w:numPr>
        <w:rPr>
          <w:i/>
        </w:rPr>
      </w:pPr>
      <w:r w:rsidRPr="005B1409">
        <w:rPr>
          <w:i/>
        </w:rPr>
        <w:t>What is the relationship between early developmental vulnerability on the AEDC and later learning, school engagement and wellbeing?</w:t>
      </w:r>
    </w:p>
    <w:p w14:paraId="661C4F13" w14:textId="6E41EEDA" w:rsidR="003F59C4" w:rsidRDefault="003F59C4" w:rsidP="006A17C2">
      <w:pPr>
        <w:pStyle w:val="ListParagraph"/>
        <w:numPr>
          <w:ilvl w:val="0"/>
          <w:numId w:val="23"/>
        </w:numPr>
        <w:rPr>
          <w:i/>
        </w:rPr>
      </w:pPr>
      <w:r w:rsidRPr="005B1409">
        <w:rPr>
          <w:i/>
        </w:rPr>
        <w:t>How might any relationship between early developmental vulnerability and learning at Year 7 be affected by wellbeing and school engagement across Years 3, 4 and 5?</w:t>
      </w:r>
    </w:p>
    <w:p w14:paraId="23747E5F" w14:textId="77777777" w:rsidR="005B2C60" w:rsidRPr="005B1409" w:rsidRDefault="005B2C60" w:rsidP="005B2C60">
      <w:pPr>
        <w:pStyle w:val="ListParagraph"/>
        <w:spacing w:after="0"/>
        <w:rPr>
          <w:i/>
        </w:rPr>
      </w:pPr>
    </w:p>
    <w:p w14:paraId="35B4B952" w14:textId="5468CF34" w:rsidR="003F59C4" w:rsidRPr="00330CAF" w:rsidRDefault="005B1409" w:rsidP="00330CAF">
      <w:pPr>
        <w:rPr>
          <w:highlight w:val="yellow"/>
        </w:rPr>
      </w:pPr>
      <w:r>
        <w:t xml:space="preserve">The report is structured so that the first 4 chapters describe the relationship between developmental vulnerability and later outcomes, namely learning, school disengagement, wellbeing and peer relationships. Then </w:t>
      </w:r>
      <w:r w:rsidRPr="0066371D">
        <w:t>in Chapter 5</w:t>
      </w:r>
      <w:r>
        <w:t xml:space="preserve"> we investigate the unique and combined effects of early developmental vulnerability and the middle years indicators of disengagement, wellbeing and peer relationships on student learning in Year 7.</w:t>
      </w:r>
      <w:r w:rsidR="003F59C4">
        <w:br w:type="page"/>
      </w:r>
    </w:p>
    <w:p w14:paraId="3EA1BD39" w14:textId="5ADEF047" w:rsidR="003E7673" w:rsidRDefault="003E7673" w:rsidP="005B2C60">
      <w:pPr>
        <w:pStyle w:val="Heading1"/>
        <w:spacing w:before="0"/>
      </w:pPr>
      <w:bookmarkStart w:id="19" w:name="_Toc501120737"/>
      <w:r>
        <w:t>Definition of Developmental Vulnerabilities</w:t>
      </w:r>
      <w:bookmarkEnd w:id="19"/>
    </w:p>
    <w:p w14:paraId="37878C67" w14:textId="44D83294" w:rsidR="00CC1CEB" w:rsidRPr="00A121FA" w:rsidRDefault="00DF15DF" w:rsidP="005B2C60">
      <w:pPr>
        <w:spacing w:after="120"/>
      </w:pPr>
      <w:r w:rsidRPr="00CC1CEB">
        <w:t>The AEDC assesses developmental vulnerabilities</w:t>
      </w:r>
      <w:r w:rsidR="00561C5F">
        <w:t xml:space="preserve"> </w:t>
      </w:r>
      <w:r w:rsidRPr="00CC1CEB">
        <w:t>in five domains</w:t>
      </w:r>
      <w:r w:rsidR="00493FB2">
        <w:t xml:space="preserve"> which are closely linked to child health, education and social outcomes. They include</w:t>
      </w:r>
      <w:r w:rsidR="00CC1CEB" w:rsidRPr="00CC1CEB">
        <w:t>:</w:t>
      </w:r>
    </w:p>
    <w:p w14:paraId="430F31E9" w14:textId="5470C1C7" w:rsidR="00CC1CEB" w:rsidRPr="00CC1CEB" w:rsidRDefault="00CC1CEB" w:rsidP="005A235F">
      <w:pPr>
        <w:pStyle w:val="ListParagraph"/>
        <w:numPr>
          <w:ilvl w:val="0"/>
          <w:numId w:val="4"/>
        </w:numPr>
      </w:pPr>
      <w:r w:rsidRPr="00CC1CEB">
        <w:t>Physical health and wellbeing (children’s physical readiness for the school day, physical independence and gross and fine motor skills).</w:t>
      </w:r>
    </w:p>
    <w:p w14:paraId="040CE26E" w14:textId="57AEFF93" w:rsidR="00CC1CEB" w:rsidRPr="00CC1CEB" w:rsidRDefault="00CC1CEB" w:rsidP="005A235F">
      <w:pPr>
        <w:pStyle w:val="ListParagraph"/>
        <w:numPr>
          <w:ilvl w:val="0"/>
          <w:numId w:val="4"/>
        </w:numPr>
      </w:pPr>
      <w:r w:rsidRPr="00CC1CEB">
        <w:t>Social competence (children’s overall social competence, responsibility and respect, approach to learning and readiness to explore new things).</w:t>
      </w:r>
    </w:p>
    <w:p w14:paraId="13D888A2" w14:textId="58B0BD55" w:rsidR="00CC1CEB" w:rsidRPr="00CC1CEB" w:rsidRDefault="00CC1CEB" w:rsidP="005A235F">
      <w:pPr>
        <w:pStyle w:val="ListParagraph"/>
        <w:numPr>
          <w:ilvl w:val="0"/>
          <w:numId w:val="4"/>
        </w:numPr>
      </w:pPr>
      <w:r w:rsidRPr="00CC1CEB">
        <w:t>Emotional maturity (</w:t>
      </w:r>
      <w:r w:rsidR="002B1340">
        <w:t>c</w:t>
      </w:r>
      <w:r w:rsidRPr="00CC1CEB">
        <w:t>hildren’s pro-social and helping behaviours and absence of anxious and fearful behaviour, aggressive behaviour and hyperactivity and inattention).</w:t>
      </w:r>
    </w:p>
    <w:p w14:paraId="584C85DE" w14:textId="4A375425" w:rsidR="00CC1CEB" w:rsidRPr="00CC1CEB" w:rsidRDefault="00ED6054" w:rsidP="005A235F">
      <w:pPr>
        <w:pStyle w:val="ListParagraph"/>
        <w:numPr>
          <w:ilvl w:val="0"/>
          <w:numId w:val="4"/>
        </w:numPr>
      </w:pPr>
      <w:r>
        <w:t>School-based l</w:t>
      </w:r>
      <w:r w:rsidR="00CC1CEB" w:rsidRPr="00CC1CEB">
        <w:t>anguage and cognitive skills (</w:t>
      </w:r>
      <w:r w:rsidR="002B1340">
        <w:t>c</w:t>
      </w:r>
      <w:r w:rsidR="00CC1CEB" w:rsidRPr="00CC1CEB">
        <w:t>hildren’s basic literacy, interest in literacy, numeracy and memory, advanced literacy and basic numeracy)</w:t>
      </w:r>
      <w:r w:rsidR="002B1340">
        <w:t>.</w:t>
      </w:r>
    </w:p>
    <w:p w14:paraId="26EB1101" w14:textId="72A263F5" w:rsidR="00CC1CEB" w:rsidRDefault="00CC1CEB" w:rsidP="005B2C60">
      <w:pPr>
        <w:pStyle w:val="ListParagraph"/>
        <w:numPr>
          <w:ilvl w:val="0"/>
          <w:numId w:val="4"/>
        </w:numPr>
        <w:spacing w:after="0"/>
      </w:pPr>
      <w:r w:rsidRPr="00CC1CEB">
        <w:t>Communication skills and general knowledge (</w:t>
      </w:r>
      <w:r w:rsidR="002B1340">
        <w:t>c</w:t>
      </w:r>
      <w:r w:rsidRPr="00CC1CEB">
        <w:t xml:space="preserve">hildren’s communication skills and general knowledge based on broad developmental </w:t>
      </w:r>
      <w:r w:rsidR="002B1340">
        <w:t>competencies and skills</w:t>
      </w:r>
      <w:r w:rsidRPr="00CC1CEB">
        <w:t>)</w:t>
      </w:r>
      <w:r w:rsidR="002B1340">
        <w:t>.</w:t>
      </w:r>
    </w:p>
    <w:p w14:paraId="4459DFBB" w14:textId="77777777" w:rsidR="005B2C60" w:rsidRPr="00CC1CEB" w:rsidRDefault="005B2C60" w:rsidP="005B2C60">
      <w:pPr>
        <w:pStyle w:val="ListParagraph"/>
        <w:spacing w:after="0"/>
      </w:pPr>
    </w:p>
    <w:p w14:paraId="603A614A" w14:textId="121F64C7" w:rsidR="00DF15DF" w:rsidRDefault="00DF15DF" w:rsidP="005B2C60">
      <w:pPr>
        <w:spacing w:after="0"/>
      </w:pPr>
      <w:r w:rsidRPr="001615A0">
        <w:t xml:space="preserve">In the first </w:t>
      </w:r>
      <w:r w:rsidR="001615A0" w:rsidRPr="001615A0">
        <w:t xml:space="preserve">AEDC </w:t>
      </w:r>
      <w:r w:rsidRPr="001615A0">
        <w:t>data collection cycle</w:t>
      </w:r>
      <w:r w:rsidR="001615A0" w:rsidRPr="001615A0">
        <w:t xml:space="preserve"> (2009) </w:t>
      </w:r>
      <w:r w:rsidRPr="001615A0">
        <w:t>a series of cut-off scores was</w:t>
      </w:r>
      <w:r w:rsidR="001615A0" w:rsidRPr="001615A0">
        <w:t xml:space="preserve"> </w:t>
      </w:r>
      <w:r w:rsidRPr="001615A0">
        <w:t>established for each of the</w:t>
      </w:r>
      <w:r w:rsidR="001615A0" w:rsidRPr="001615A0">
        <w:t xml:space="preserve"> </w:t>
      </w:r>
      <w:r w:rsidRPr="001615A0">
        <w:t>fi</w:t>
      </w:r>
      <w:r w:rsidR="001615A0" w:rsidRPr="001615A0">
        <w:t xml:space="preserve">ve domains with children falling below the 10th percentile categorised as </w:t>
      </w:r>
      <w:r w:rsidRPr="001615A0">
        <w:t>‘developmentally vulnerable’</w:t>
      </w:r>
      <w:r w:rsidR="001615A0">
        <w:t xml:space="preserve"> on that domain</w:t>
      </w:r>
      <w:r w:rsidR="001615A0" w:rsidRPr="001615A0">
        <w:t>.</w:t>
      </w:r>
    </w:p>
    <w:p w14:paraId="46E8EC4A" w14:textId="77777777" w:rsidR="005B2C60" w:rsidRDefault="005B2C60" w:rsidP="005B2C60">
      <w:pPr>
        <w:spacing w:after="0"/>
      </w:pPr>
    </w:p>
    <w:p w14:paraId="258D7C27" w14:textId="5969CE74" w:rsidR="001615A0" w:rsidRPr="007746B4" w:rsidRDefault="0012400E" w:rsidP="005B2C60">
      <w:pPr>
        <w:spacing w:after="0"/>
      </w:pPr>
      <w:r>
        <w:t xml:space="preserve">The AEDC produces a summary variable, DV1, which indicates if a student is developmentally vulnerable on one or more domains. This variable is used to define the </w:t>
      </w:r>
      <w:r w:rsidR="001615A0" w:rsidRPr="001615A0">
        <w:t xml:space="preserve">developmentally vulnerable group </w:t>
      </w:r>
      <w:r w:rsidR="001615A0" w:rsidRPr="007746B4">
        <w:t xml:space="preserve">for this report. A total of </w:t>
      </w:r>
      <w:r w:rsidR="00FE1C88" w:rsidRPr="007746B4">
        <w:t xml:space="preserve">184 </w:t>
      </w:r>
      <w:r w:rsidR="00493FB2" w:rsidRPr="007746B4">
        <w:t xml:space="preserve">CATS participants </w:t>
      </w:r>
      <w:r w:rsidR="00FE1C88" w:rsidRPr="007746B4">
        <w:t>(17.7</w:t>
      </w:r>
      <w:r w:rsidR="001615A0" w:rsidRPr="007746B4">
        <w:t>% of the AEDC-CATS linked dataset</w:t>
      </w:r>
      <w:r w:rsidR="00561C5F" w:rsidRPr="007746B4">
        <w:t xml:space="preserve"> with data </w:t>
      </w:r>
      <w:r w:rsidR="00ED6054" w:rsidRPr="007746B4">
        <w:t xml:space="preserve">available </w:t>
      </w:r>
      <w:r w:rsidR="00561C5F" w:rsidRPr="007746B4">
        <w:t>on DV1</w:t>
      </w:r>
      <w:r w:rsidR="001615A0" w:rsidRPr="007746B4">
        <w:t xml:space="preserve"> were </w:t>
      </w:r>
      <w:r w:rsidR="00E02128" w:rsidRPr="007746B4">
        <w:t xml:space="preserve">classified as </w:t>
      </w:r>
      <w:r w:rsidR="00561C5F" w:rsidRPr="007746B4">
        <w:t>developmentally vulnerable.</w:t>
      </w:r>
    </w:p>
    <w:p w14:paraId="16D8D3C7" w14:textId="77777777" w:rsidR="005B2C60" w:rsidRPr="007746B4" w:rsidRDefault="005B2C60" w:rsidP="005B2C60">
      <w:pPr>
        <w:spacing w:after="0"/>
      </w:pPr>
    </w:p>
    <w:p w14:paraId="342D3471" w14:textId="3903735D" w:rsidR="007F3A76" w:rsidRDefault="009E259A" w:rsidP="005B2C60">
      <w:pPr>
        <w:spacing w:after="0"/>
      </w:pPr>
      <w:r w:rsidRPr="007746B4">
        <w:t>Further information</w:t>
      </w:r>
      <w:r w:rsidRPr="002B1340">
        <w:t xml:space="preserve"> </w:t>
      </w:r>
      <w:r w:rsidR="002B1340" w:rsidRPr="002B1340">
        <w:t xml:space="preserve">about the AEDC domains and developmentally vulnerable group in the CATS sample can be found in Appendix </w:t>
      </w:r>
      <w:r w:rsidR="00493FB2">
        <w:t>3</w:t>
      </w:r>
      <w:r w:rsidR="002B1340" w:rsidRPr="002B1340">
        <w:t>.</w:t>
      </w:r>
    </w:p>
    <w:p w14:paraId="546D8815" w14:textId="77777777" w:rsidR="007F3A76" w:rsidRDefault="007F3A76">
      <w:pPr>
        <w:spacing w:after="0" w:line="240" w:lineRule="auto"/>
      </w:pPr>
      <w:r>
        <w:br w:type="page"/>
      </w:r>
    </w:p>
    <w:p w14:paraId="46FB6670" w14:textId="2C1ECF23" w:rsidR="00A92D70" w:rsidRPr="00610419" w:rsidRDefault="00E54563" w:rsidP="00222F6C">
      <w:pPr>
        <w:pStyle w:val="Heading1"/>
        <w:spacing w:before="0"/>
        <w:ind w:hanging="142"/>
      </w:pPr>
      <w:bookmarkStart w:id="20" w:name="_Toc501120738"/>
      <w:r>
        <w:t>Results Chapter 1 – Learning</w:t>
      </w:r>
      <w:bookmarkEnd w:id="20"/>
    </w:p>
    <w:tbl>
      <w:tblPr>
        <w:tblStyle w:val="GridTable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8F8F8"/>
        <w:tblLook w:val="04A0" w:firstRow="1" w:lastRow="0" w:firstColumn="1" w:lastColumn="0" w:noHBand="0" w:noVBand="1"/>
        <w:tblCaption w:val="Text Box - Key Analysis Questions and Key Findings"/>
        <w:tblDescription w:val="Text box for Chapter 1 - Learning, covering Key Analysis Questions and Key Findings."/>
      </w:tblPr>
      <w:tblGrid>
        <w:gridCol w:w="9010"/>
      </w:tblGrid>
      <w:tr w:rsidR="00BA2BA4" w:rsidRPr="00BA2BA4" w14:paraId="7905E4E2" w14:textId="77777777" w:rsidTr="00DC0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shd w:val="clear" w:color="auto" w:fill="F8F8F8"/>
          </w:tcPr>
          <w:p w14:paraId="092482AC" w14:textId="77777777" w:rsidR="00BC6809" w:rsidRPr="00BC6809" w:rsidRDefault="00BC6809" w:rsidP="00BC6809">
            <w:pPr>
              <w:spacing w:before="120" w:after="120"/>
              <w:rPr>
                <w:color w:val="auto"/>
              </w:rPr>
            </w:pPr>
            <w:r w:rsidRPr="00BC6809">
              <w:rPr>
                <w:color w:val="auto"/>
              </w:rPr>
              <w:t>Key Analysis Questions</w:t>
            </w:r>
          </w:p>
          <w:p w14:paraId="58B5AC9E" w14:textId="77777777" w:rsidR="00BC6809" w:rsidRPr="00BC6809" w:rsidRDefault="00BC6809" w:rsidP="00BC6809">
            <w:pPr>
              <w:pStyle w:val="ListParagraph"/>
              <w:numPr>
                <w:ilvl w:val="0"/>
                <w:numId w:val="48"/>
              </w:numPr>
              <w:spacing w:before="120" w:after="120"/>
              <w:rPr>
                <w:b w:val="0"/>
                <w:color w:val="auto"/>
              </w:rPr>
            </w:pPr>
            <w:r w:rsidRPr="00BC6809">
              <w:rPr>
                <w:b w:val="0"/>
                <w:color w:val="auto"/>
              </w:rPr>
              <w:t xml:space="preserve">Are students with early vulnerabilities destined to fail at school or are they able to overcome early difficulties to ‘defy the odds’ and succeed in their learning? </w:t>
            </w:r>
          </w:p>
          <w:p w14:paraId="4CAC02B6" w14:textId="77777777" w:rsidR="00BC6809" w:rsidRPr="00BC6809" w:rsidRDefault="00BC6809" w:rsidP="00BC6809">
            <w:pPr>
              <w:pStyle w:val="ListParagraph"/>
              <w:numPr>
                <w:ilvl w:val="0"/>
                <w:numId w:val="48"/>
              </w:numPr>
              <w:spacing w:before="120" w:after="120"/>
              <w:rPr>
                <w:b w:val="0"/>
                <w:color w:val="auto"/>
              </w:rPr>
            </w:pPr>
            <w:r w:rsidRPr="00BC6809">
              <w:rPr>
                <w:b w:val="0"/>
                <w:color w:val="auto"/>
              </w:rPr>
              <w:t>Conversely, is there a group of students who, whilst presenting on entry to primary school with no sign of developmental vulnerabilities, fail to reach the Year 7 learning academic threshold?</w:t>
            </w:r>
          </w:p>
          <w:p w14:paraId="7DF0EDBC" w14:textId="77777777" w:rsidR="00BC6809" w:rsidRPr="00BC6809" w:rsidRDefault="00BC6809" w:rsidP="00BC6809">
            <w:pPr>
              <w:spacing w:before="120" w:after="120"/>
              <w:rPr>
                <w:color w:val="auto"/>
              </w:rPr>
            </w:pPr>
            <w:r w:rsidRPr="00BC6809">
              <w:rPr>
                <w:color w:val="auto"/>
              </w:rPr>
              <w:t>Key Findings</w:t>
            </w:r>
          </w:p>
          <w:p w14:paraId="1EDD3B89" w14:textId="78ECAA46" w:rsidR="00BC6809" w:rsidRPr="0096460E" w:rsidRDefault="00BC6809" w:rsidP="00BC6809">
            <w:pPr>
              <w:pStyle w:val="ListParagraph"/>
              <w:numPr>
                <w:ilvl w:val="0"/>
                <w:numId w:val="47"/>
              </w:numPr>
              <w:spacing w:before="120" w:after="120"/>
              <w:rPr>
                <w:b w:val="0"/>
                <w:color w:val="auto"/>
              </w:rPr>
            </w:pPr>
            <w:r w:rsidRPr="0096460E">
              <w:rPr>
                <w:b w:val="0"/>
                <w:color w:val="auto"/>
              </w:rPr>
              <w:t xml:space="preserve">The gap between not-DV and DV students at Year 3 is equal to a </w:t>
            </w:r>
            <w:r w:rsidR="00F630EF" w:rsidRPr="0096460E">
              <w:rPr>
                <w:b w:val="0"/>
                <w:color w:val="auto"/>
              </w:rPr>
              <w:t xml:space="preserve">one </w:t>
            </w:r>
            <w:r w:rsidRPr="0096460E">
              <w:rPr>
                <w:b w:val="0"/>
                <w:color w:val="auto"/>
              </w:rPr>
              <w:t xml:space="preserve">full year of learning. </w:t>
            </w:r>
          </w:p>
          <w:p w14:paraId="2841C286" w14:textId="77777777" w:rsidR="00BC6809" w:rsidRPr="0096460E" w:rsidRDefault="00BC6809" w:rsidP="00BC6809">
            <w:pPr>
              <w:pStyle w:val="ListParagraph"/>
              <w:numPr>
                <w:ilvl w:val="0"/>
                <w:numId w:val="47"/>
              </w:numPr>
              <w:spacing w:before="120" w:after="120"/>
              <w:rPr>
                <w:b w:val="0"/>
                <w:color w:val="auto"/>
              </w:rPr>
            </w:pPr>
            <w:r w:rsidRPr="0096460E">
              <w:rPr>
                <w:b w:val="0"/>
                <w:color w:val="auto"/>
              </w:rPr>
              <w:t xml:space="preserve">NAPLAN scores in Years 5 and 7 reveal a widening gap between the DV and not-DV groups which by Year 7 the not-DV group are over two years ahead of their DV peers in reading and numeracy outcomes. </w:t>
            </w:r>
          </w:p>
          <w:p w14:paraId="7DD05AA7" w14:textId="77777777" w:rsidR="00BC6809" w:rsidRPr="0096460E" w:rsidRDefault="00BC6809" w:rsidP="00BC6809">
            <w:pPr>
              <w:pStyle w:val="ListParagraph"/>
              <w:numPr>
                <w:ilvl w:val="0"/>
                <w:numId w:val="47"/>
              </w:numPr>
              <w:spacing w:before="120" w:after="120"/>
              <w:rPr>
                <w:b w:val="0"/>
                <w:color w:val="auto"/>
              </w:rPr>
            </w:pPr>
            <w:r w:rsidRPr="0096460E">
              <w:rPr>
                <w:b w:val="0"/>
                <w:color w:val="auto"/>
              </w:rPr>
              <w:t xml:space="preserve">Only 63% of participants starting school DV attain the numeracy threshold. </w:t>
            </w:r>
          </w:p>
          <w:p w14:paraId="3D32BFEA" w14:textId="77777777" w:rsidR="00BC6809" w:rsidRPr="0096460E" w:rsidRDefault="00BC6809" w:rsidP="00BC6809">
            <w:pPr>
              <w:pStyle w:val="ListParagraph"/>
              <w:numPr>
                <w:ilvl w:val="0"/>
                <w:numId w:val="47"/>
              </w:numPr>
              <w:spacing w:before="120" w:after="120"/>
              <w:rPr>
                <w:b w:val="0"/>
                <w:color w:val="auto"/>
              </w:rPr>
            </w:pPr>
            <w:r w:rsidRPr="0096460E">
              <w:rPr>
                <w:b w:val="0"/>
                <w:color w:val="auto"/>
              </w:rPr>
              <w:t xml:space="preserve">A higher proportion of not-DV students went on to attain the Year 7 reading threshold compared to DV students (84% not-DV, 55% DV). </w:t>
            </w:r>
          </w:p>
          <w:p w14:paraId="3B66FD08" w14:textId="5EF9489A" w:rsidR="00A92D70" w:rsidRPr="00BC6809" w:rsidRDefault="00BC6809" w:rsidP="005265DE">
            <w:pPr>
              <w:pStyle w:val="ListParagraph"/>
              <w:numPr>
                <w:ilvl w:val="0"/>
                <w:numId w:val="47"/>
              </w:numPr>
              <w:spacing w:before="120"/>
            </w:pPr>
            <w:r w:rsidRPr="0096460E">
              <w:rPr>
                <w:b w:val="0"/>
                <w:color w:val="auto"/>
              </w:rPr>
              <w:t xml:space="preserve">We found 66% and 64% of CATS participants who failed to meet the Year 7 reading and numeracy threshold respectively were not identified as DV at school entry.  </w:t>
            </w:r>
          </w:p>
        </w:tc>
      </w:tr>
    </w:tbl>
    <w:p w14:paraId="1E4B39F6" w14:textId="77777777" w:rsidR="00A92D70" w:rsidRDefault="00A92D70" w:rsidP="005265DE">
      <w:pPr>
        <w:pStyle w:val="ListParagraph"/>
        <w:spacing w:after="0"/>
      </w:pPr>
    </w:p>
    <w:p w14:paraId="7AA510B2" w14:textId="32A56E2A" w:rsidR="005B1409" w:rsidRDefault="005B1409" w:rsidP="005B2C60">
      <w:pPr>
        <w:spacing w:after="0"/>
      </w:pPr>
      <w:r>
        <w:t xml:space="preserve">In this section we examine the relationship between developmental vulnerability in the first year of primary school and later learning outcomes. Do students who start school with developmental vulnerabilities lag behind their peers academically? If so, does this learning gap shrink or widen as </w:t>
      </w:r>
      <w:proofErr w:type="spellStart"/>
      <w:r>
        <w:t>students</w:t>
      </w:r>
      <w:proofErr w:type="spellEnd"/>
      <w:r>
        <w:t xml:space="preserve"> progress through primary school? These questions are addressed by examining the average NAPLAN reading and numeracy achievement scores for the DV and non-DV groups at Years 3, 5 and 7 corresponding to the years for which NAPLAN assessments are available.</w:t>
      </w:r>
    </w:p>
    <w:p w14:paraId="015DDAFA" w14:textId="77777777" w:rsidR="005B2C60" w:rsidRDefault="005B2C60" w:rsidP="005B2C60">
      <w:pPr>
        <w:spacing w:after="0"/>
      </w:pPr>
    </w:p>
    <w:p w14:paraId="52206A83" w14:textId="77777777" w:rsidR="00E52F52" w:rsidRDefault="005B1409" w:rsidP="005B2C60">
      <w:pPr>
        <w:spacing w:after="0"/>
      </w:pPr>
      <w:r>
        <w:t xml:space="preserve">In the second part of this chapter we focus on learning success in Year 7. For our Victorian CATS cohort, Year 7 is the first year of secondary schooling and thus represents the culmination of primary school learning and a major transition point in their educational journey. The relationship between early developmental vulnerabilities and learning success at Year 7 is of key interest. </w:t>
      </w:r>
    </w:p>
    <w:p w14:paraId="38C840B3" w14:textId="77777777" w:rsidR="005B2C60" w:rsidRDefault="005B2C60" w:rsidP="005B2C60">
      <w:pPr>
        <w:spacing w:after="0"/>
      </w:pPr>
    </w:p>
    <w:p w14:paraId="7574D7CA" w14:textId="63D780C2" w:rsidR="005B1409" w:rsidRDefault="005B1409" w:rsidP="005B1409">
      <w:r>
        <w:t xml:space="preserve">Learning success can be measured by a range of criteria, however, for the purposes of this report we use a measure of academic attainment as assessed by NAPLAN (refer to Appendix 2 for further details). In deciding how to set a minimum NAPLAN score indicative of learning success we have </w:t>
      </w:r>
      <w:r w:rsidRPr="007746B4">
        <w:t xml:space="preserve">followed the approach taken by Lamb et al in their report on Educational Opportunity in Australia 2015 </w:t>
      </w:r>
      <w:r w:rsidR="00B22107" w:rsidRPr="00057A30">
        <w:fldChar w:fldCharType="begin"/>
      </w:r>
      <w:r w:rsidR="00545FD3" w:rsidRPr="007746B4">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B22107" w:rsidRPr="00057A30">
        <w:fldChar w:fldCharType="separate"/>
      </w:r>
      <w:r w:rsidR="00545FD3" w:rsidRPr="007746B4">
        <w:rPr>
          <w:noProof/>
        </w:rPr>
        <w:t>[6]</w:t>
      </w:r>
      <w:r w:rsidR="00B22107" w:rsidRPr="00057A30">
        <w:fldChar w:fldCharType="end"/>
      </w:r>
      <w:r w:rsidRPr="007746B4">
        <w:t>. This report used a</w:t>
      </w:r>
      <w:r w:rsidR="0095595F" w:rsidRPr="007746B4">
        <w:t>n academic threshold</w:t>
      </w:r>
      <w:r w:rsidRPr="007746B4">
        <w:t xml:space="preserve"> </w:t>
      </w:r>
      <w:r w:rsidR="0095595F" w:rsidRPr="007746B4">
        <w:t>(</w:t>
      </w:r>
      <w:r w:rsidRPr="007746B4">
        <w:t>benchmark</w:t>
      </w:r>
      <w:r w:rsidR="0095595F" w:rsidRPr="007746B4">
        <w:t>)</w:t>
      </w:r>
      <w:r w:rsidRPr="007746B4">
        <w:t xml:space="preserve"> for Year 7 learning success that is half a NAPLAN band higher than the national minimum standard (NMS). The NMS is set by ACARA as the second lowest band, Band 5 in Year 7 </w:t>
      </w:r>
      <w:r w:rsidR="00B22107" w:rsidRPr="00057A30">
        <w:fldChar w:fldCharType="begin"/>
      </w:r>
      <w:r w:rsidR="00545FD3" w:rsidRPr="007746B4">
        <w:instrText xml:space="preserve"> ADDIN EN.CITE &lt;EndNote&gt;&lt;Cite&gt;&lt;Author&gt;Australian Curriculum Assessment and Reporting Authority&lt;/Author&gt;&lt;Year&gt;2016&lt;/Year&gt;&lt;RecNum&gt;1324&lt;/RecNum&gt;&lt;DisplayText&gt;[7]&lt;/DisplayText&gt;&lt;record&gt;&lt;rec-number&gt;1324&lt;/rec-number&gt;&lt;foreign-keys&gt;&lt;key app="EN" db-id="fztfxtw2kew9raetd235rfx625vrvpf9e0df" timestamp="1513905861"&gt;1324&lt;/key&gt;&lt;key app="ENWeb" db-id=""&gt;0&lt;/key&gt;&lt;/foreign-keys&gt;&lt;ref-type name="Report"&gt;27&lt;/ref-type&gt;&lt;contributors&gt;&lt;authors&gt;&lt;author&gt;Australian Curriculum Assessment and Reporting Authority,&lt;/author&gt;&lt;/authors&gt;&lt;/contributors&gt;&lt;titles&gt;&lt;title&gt;NAPLAN Achievement in Reading, Writing, Language Conventions and Numeracy: National Report for 2016&lt;/title&gt;&lt;/titles&gt;&lt;dates&gt;&lt;year&gt;2016&lt;/year&gt;&lt;/dates&gt;&lt;pub-location&gt;Sydney&lt;/pub-location&gt;&lt;publisher&gt;ACARA&lt;/publisher&gt;&lt;urls&gt;&lt;/urls&gt;&lt;/record&gt;&lt;/Cite&gt;&lt;/EndNote&gt;</w:instrText>
      </w:r>
      <w:r w:rsidR="00B22107" w:rsidRPr="00057A30">
        <w:fldChar w:fldCharType="separate"/>
      </w:r>
      <w:r w:rsidR="00545FD3" w:rsidRPr="007746B4">
        <w:rPr>
          <w:noProof/>
        </w:rPr>
        <w:t>[7]</w:t>
      </w:r>
      <w:r w:rsidR="00B22107" w:rsidRPr="00057A30">
        <w:fldChar w:fldCharType="end"/>
      </w:r>
      <w:r w:rsidRPr="007746B4">
        <w:t xml:space="preserve"> and is reached by the vast majority of students; in 2016 95.5% of Australian Year 7 students achieved the NMS for numeracy and 94.6% achieved the NMS for reading. In setting the </w:t>
      </w:r>
      <w:r w:rsidR="0095595F" w:rsidRPr="007746B4">
        <w:t xml:space="preserve">threshold </w:t>
      </w:r>
      <w:r w:rsidRPr="007746B4">
        <w:t>higher than the NMS, Lamb suggested that this:</w:t>
      </w:r>
    </w:p>
    <w:p w14:paraId="375474B5" w14:textId="4178F581" w:rsidR="00CC34BE" w:rsidRPr="00BC3CD1" w:rsidRDefault="005B1409" w:rsidP="005B1409">
      <w:pPr>
        <w:pStyle w:val="Quote"/>
      </w:pPr>
      <w:r w:rsidRPr="00BC3CD1">
        <w:t xml:space="preserve"> </w:t>
      </w:r>
      <w:r w:rsidR="003776DF" w:rsidRPr="00BC3CD1">
        <w:t>“… enables production of a more nuanced summary of learner progress at Year 7. While the NAPLAN NMS separates only those at the bottom end of the achievement spectrum from their peers, a higher benchmark identifies a larger proportion of learners w</w:t>
      </w:r>
      <w:r w:rsidR="008272EE" w:rsidRPr="00BC3CD1">
        <w:t xml:space="preserve">hose learning is </w:t>
      </w:r>
      <w:r w:rsidR="003776DF" w:rsidRPr="00BC3CD1">
        <w:t xml:space="preserve">above the minimal level, but still cause for concern” </w:t>
      </w:r>
      <w:r w:rsidR="00B22107">
        <w:fldChar w:fldCharType="begin"/>
      </w:r>
      <w:r w:rsidR="00545FD3">
        <w:instrText xml:space="preserve"> ADDIN EN.CITE &lt;EndNote&gt;&lt;Cite&gt;&lt;Author&gt;Lamb&lt;/Author&gt;&lt;Year&gt;2015&lt;/Year&gt;&lt;RecNum&gt;1293&lt;/RecNum&gt;&lt;DisplayText&gt;[6]&lt;/DisplayText&gt;&lt;record&gt;&lt;rec-number&gt;1293&lt;/rec-number&gt;&lt;foreign-keys&gt;&lt;key app="EN" db-id="fztfxtw2kew9raetd235rfx625vrvpf9e0df" timestamp="1513905762"&gt;1293&lt;/key&gt;&lt;key app="ENWeb" db-id=""&gt;0&lt;/key&gt;&lt;/foreign-keys&gt;&lt;ref-type name="Report"&gt;27&lt;/ref-type&gt;&lt;contributors&gt;&lt;authors&gt;&lt;author&gt;Lamb, S&lt;/author&gt;&lt;author&gt;Jackson, J&lt;/author&gt;&lt;author&gt;Walstab, A&lt;/author&gt;&lt;author&gt;Huo, S&lt;/author&gt;&lt;/authors&gt;&lt;/contributors&gt;&lt;titles&gt;&lt;title&gt;Educational opportunity in Australia 2015: Who succeeds and who misses out&lt;/title&gt;&lt;/titles&gt;&lt;dates&gt;&lt;year&gt;2015&lt;/year&gt;&lt;/dates&gt;&lt;pub-location&gt;Melbourne&lt;/pub-location&gt;&lt;publisher&gt;Centre for International Research on Education Systems, Victoria University, for the Mitchell Institute&lt;/publisher&gt;&lt;urls&gt;&lt;related-urls&gt;&lt;url&gt;http://www.mitchellinstitute.org.au/reports/educational-opportunity-in-australia-2015-who-succeeds-and-who-misses-out/&lt;/url&gt;&lt;/related-urls&gt;&lt;/urls&gt;&lt;/record&gt;&lt;/Cite&gt;&lt;/EndNote&gt;</w:instrText>
      </w:r>
      <w:r w:rsidR="00B22107">
        <w:fldChar w:fldCharType="separate"/>
      </w:r>
      <w:r w:rsidR="00545FD3">
        <w:rPr>
          <w:noProof/>
        </w:rPr>
        <w:t>[6]</w:t>
      </w:r>
      <w:r w:rsidR="00B22107">
        <w:fldChar w:fldCharType="end"/>
      </w:r>
      <w:r w:rsidR="00CC34BE" w:rsidRPr="00BC3CD1">
        <w:t>p.16.</w:t>
      </w:r>
    </w:p>
    <w:p w14:paraId="1E1CCEF4" w14:textId="5D738E7B" w:rsidR="007C54EF" w:rsidRDefault="007C54EF" w:rsidP="005265DE">
      <w:pPr>
        <w:spacing w:after="0"/>
      </w:pPr>
      <w:r>
        <w:t xml:space="preserve">Furthermore, this higher </w:t>
      </w:r>
      <w:r w:rsidR="0095595F">
        <w:t xml:space="preserve">threshold </w:t>
      </w:r>
      <w:r>
        <w:t xml:space="preserve">was more comparable to the baseline levels of skills identified by international studies such as </w:t>
      </w:r>
      <w:r w:rsidRPr="00CC34BE">
        <w:t xml:space="preserve">Progress in International Reading Literacy Study (PIRLS) and </w:t>
      </w:r>
      <w:r w:rsidR="00833C0A">
        <w:t>TIMSS</w:t>
      </w:r>
      <w:r>
        <w:t>.</w:t>
      </w:r>
    </w:p>
    <w:p w14:paraId="2CDBF977" w14:textId="77777777" w:rsidR="00BF5A98" w:rsidRPr="003776DF" w:rsidRDefault="00BF5A98" w:rsidP="005265DE">
      <w:pPr>
        <w:spacing w:after="0"/>
      </w:pPr>
    </w:p>
    <w:p w14:paraId="1EE8FB77" w14:textId="7E7B96A0" w:rsidR="00AA3DC0" w:rsidRPr="00E1164F" w:rsidRDefault="00AA3DC0" w:rsidP="00222F6C">
      <w:pPr>
        <w:pStyle w:val="Heading2"/>
        <w:spacing w:before="0" w:after="120"/>
      </w:pPr>
      <w:bookmarkStart w:id="21" w:name="_Toc501120739"/>
      <w:r w:rsidRPr="00E1164F">
        <w:t>Summary of learning outcomes at Years 3, 5 and 7</w:t>
      </w:r>
      <w:bookmarkEnd w:id="21"/>
    </w:p>
    <w:p w14:paraId="7BA5CEE1" w14:textId="7846D3B9" w:rsidR="00F01637" w:rsidRDefault="007C54EF" w:rsidP="005B2C60">
      <w:pPr>
        <w:spacing w:after="0"/>
      </w:pPr>
      <w:r>
        <w:t>Mean numeracy and reading NSS were estimated in the DV and not-DV groups at each of Years 3, 5 and 7 (refer to Appendix 2: Regression analyses – part one, for further information how these estimates were calculated</w:t>
      </w:r>
      <w:r w:rsidR="007D7FE9">
        <w:t xml:space="preserve"> and Table 22 in Appendix 4: Supplementary results, for the associated β coefficient estimates</w:t>
      </w:r>
      <w:r>
        <w:t xml:space="preserve">). </w:t>
      </w:r>
      <w:r w:rsidR="00E52F52">
        <w:t xml:space="preserve">As expected, </w:t>
      </w:r>
      <w:r w:rsidR="00E52F52">
        <w:rPr>
          <w:rFonts w:eastAsia="TimesNewRoman" w:cs="Times New Roman"/>
        </w:rPr>
        <w:t>m</w:t>
      </w:r>
      <w:r>
        <w:rPr>
          <w:rFonts w:eastAsia="TimesNewRoman" w:cs="Times New Roman"/>
        </w:rPr>
        <w:t>ean numeracy (</w:t>
      </w:r>
      <w:r>
        <w:rPr>
          <w:rFonts w:eastAsia="TimesNewRoman" w:cs="Times New Roman"/>
        </w:rPr>
        <w:fldChar w:fldCharType="begin"/>
      </w:r>
      <w:r>
        <w:rPr>
          <w:rFonts w:eastAsia="TimesNewRoman" w:cs="Times New Roman"/>
        </w:rPr>
        <w:instrText xml:space="preserve"> REF _Ref501028936 \h </w:instrText>
      </w:r>
      <w:r>
        <w:rPr>
          <w:rFonts w:eastAsia="TimesNewRoman" w:cs="Times New Roman"/>
        </w:rPr>
      </w:r>
      <w:r>
        <w:rPr>
          <w:rFonts w:eastAsia="TimesNewRoman" w:cs="Times New Roman"/>
        </w:rPr>
        <w:fldChar w:fldCharType="separate"/>
      </w:r>
      <w:r w:rsidR="004C27B3">
        <w:t xml:space="preserve">Figure </w:t>
      </w:r>
      <w:r w:rsidR="004C27B3">
        <w:rPr>
          <w:noProof/>
        </w:rPr>
        <w:t>1</w:t>
      </w:r>
      <w:r>
        <w:rPr>
          <w:rFonts w:eastAsia="TimesNewRoman" w:cs="Times New Roman"/>
        </w:rPr>
        <w:fldChar w:fldCharType="end"/>
      </w:r>
      <w:r>
        <w:rPr>
          <w:rFonts w:eastAsia="TimesNewRoman" w:cs="Times New Roman"/>
        </w:rPr>
        <w:t>) and reading (</w:t>
      </w:r>
      <w:r>
        <w:rPr>
          <w:rFonts w:eastAsia="TimesNewRoman" w:cs="Times New Roman"/>
        </w:rPr>
        <w:fldChar w:fldCharType="begin"/>
      </w:r>
      <w:r>
        <w:rPr>
          <w:rFonts w:eastAsia="TimesNewRoman" w:cs="Times New Roman"/>
        </w:rPr>
        <w:instrText xml:space="preserve"> REF _Ref501028944 \h </w:instrText>
      </w:r>
      <w:r>
        <w:rPr>
          <w:rFonts w:eastAsia="TimesNewRoman" w:cs="Times New Roman"/>
        </w:rPr>
      </w:r>
      <w:r>
        <w:rPr>
          <w:rFonts w:eastAsia="TimesNewRoman" w:cs="Times New Roman"/>
        </w:rPr>
        <w:fldChar w:fldCharType="separate"/>
      </w:r>
      <w:r w:rsidR="004C27B3">
        <w:t xml:space="preserve">Figure </w:t>
      </w:r>
      <w:r w:rsidR="004C27B3">
        <w:rPr>
          <w:noProof/>
        </w:rPr>
        <w:t>2</w:t>
      </w:r>
      <w:r>
        <w:rPr>
          <w:rFonts w:eastAsia="TimesNewRoman" w:cs="Times New Roman"/>
        </w:rPr>
        <w:fldChar w:fldCharType="end"/>
      </w:r>
      <w:r>
        <w:rPr>
          <w:rFonts w:eastAsia="TimesNewRoman" w:cs="Times New Roman"/>
        </w:rPr>
        <w:t>) NSS increased from Years 3 to 5 and from Years 5 to 7 for both groups. There was evidence to suggest that at each assessment point, the means for both numeracy and reading NSS are lower for the DV group compared to the not-DV group. For both numeracy and reading, the difference in estimated mean NSS between the groups appears to be greater at Year 3 than at Years 5 and 7</w:t>
      </w:r>
      <w:r>
        <w:t>.</w:t>
      </w:r>
    </w:p>
    <w:p w14:paraId="62FF7623" w14:textId="77777777" w:rsidR="005B2C60" w:rsidRDefault="005B2C60" w:rsidP="005B2C60">
      <w:pPr>
        <w:spacing w:after="0"/>
      </w:pPr>
    </w:p>
    <w:p w14:paraId="247D2F67" w14:textId="61B123A5" w:rsidR="00296B7A" w:rsidRDefault="00B72D72" w:rsidP="005B2C60">
      <w:pPr>
        <w:keepNext/>
        <w:spacing w:after="0"/>
        <w:jc w:val="center"/>
      </w:pPr>
      <w:r>
        <w:rPr>
          <w:noProof/>
          <w:lang w:eastAsia="en-AU"/>
        </w:rPr>
        <w:drawing>
          <wp:inline distT="0" distB="0" distL="0" distR="0" wp14:anchorId="63B168D3" wp14:editId="4FB3FBDB">
            <wp:extent cx="3895725" cy="2343150"/>
            <wp:effectExtent l="0" t="0" r="9525" b="0"/>
            <wp:docPr id="3" name="Picture 3" descr="Column chart depicting the difference in mean NSS Numeracy results at Year 3, 5 and 7 for students who were developmentally vulnerable and not developmentally vulnerable.&#10;&#10;These results are described in the commentary." title="Figure 1. Mean numeracy NSS at Years 3, 5 and 7, by developmental vulner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1.JPG"/>
                    <pic:cNvPicPr/>
                  </pic:nvPicPr>
                  <pic:blipFill>
                    <a:blip r:embed="rId21">
                      <a:extLst>
                        <a:ext uri="{28A0092B-C50C-407E-A947-70E740481C1C}">
                          <a14:useLocalDpi xmlns:a14="http://schemas.microsoft.com/office/drawing/2010/main" val="0"/>
                        </a:ext>
                      </a:extLst>
                    </a:blip>
                    <a:stretch>
                      <a:fillRect/>
                    </a:stretch>
                  </pic:blipFill>
                  <pic:spPr>
                    <a:xfrm>
                      <a:off x="0" y="0"/>
                      <a:ext cx="3895725" cy="2343150"/>
                    </a:xfrm>
                    <a:prstGeom prst="rect">
                      <a:avLst/>
                    </a:prstGeom>
                  </pic:spPr>
                </pic:pic>
              </a:graphicData>
            </a:graphic>
          </wp:inline>
        </w:drawing>
      </w:r>
    </w:p>
    <w:p w14:paraId="6746527E" w14:textId="2D810547" w:rsidR="007F3A76" w:rsidRDefault="00296B7A" w:rsidP="005B2C60">
      <w:pPr>
        <w:pStyle w:val="Caption"/>
      </w:pPr>
      <w:bookmarkStart w:id="22" w:name="_Ref501028936"/>
      <w:bookmarkStart w:id="23" w:name="_Toc500946766"/>
      <w:bookmarkStart w:id="24" w:name="_Toc501014900"/>
      <w:bookmarkStart w:id="25" w:name="_Toc501014913"/>
      <w:bookmarkStart w:id="26" w:name="_Toc502153721"/>
      <w:r>
        <w:t xml:space="preserve">Figure </w:t>
      </w:r>
      <w:r>
        <w:fldChar w:fldCharType="begin"/>
      </w:r>
      <w:r>
        <w:instrText xml:space="preserve"> SEQ Figure \* ARABIC </w:instrText>
      </w:r>
      <w:r>
        <w:fldChar w:fldCharType="separate"/>
      </w:r>
      <w:r w:rsidR="004C27B3">
        <w:rPr>
          <w:noProof/>
        </w:rPr>
        <w:t>1</w:t>
      </w:r>
      <w:r>
        <w:fldChar w:fldCharType="end"/>
      </w:r>
      <w:bookmarkEnd w:id="22"/>
      <w:r>
        <w:t xml:space="preserve">. </w:t>
      </w:r>
      <w:r w:rsidRPr="008F562A">
        <w:t>Mean numeracy NSS at Years 3, 5 and 7, by developmental vulnerability status</w:t>
      </w:r>
      <w:r>
        <w:t>.</w:t>
      </w:r>
      <w:bookmarkEnd w:id="23"/>
      <w:bookmarkEnd w:id="24"/>
      <w:bookmarkEnd w:id="25"/>
      <w:bookmarkEnd w:id="26"/>
    </w:p>
    <w:p w14:paraId="14B29159" w14:textId="77777777" w:rsidR="005B2C60" w:rsidRPr="005B2C60" w:rsidRDefault="005B2C60" w:rsidP="005B2C60">
      <w:pPr>
        <w:spacing w:after="0"/>
      </w:pPr>
    </w:p>
    <w:p w14:paraId="10A73885" w14:textId="14DCDA12" w:rsidR="00296B7A" w:rsidRPr="00DC6391" w:rsidRDefault="00B72D72" w:rsidP="005B2C60">
      <w:pPr>
        <w:keepNext/>
        <w:spacing w:after="0"/>
        <w:jc w:val="center"/>
        <w:rPr>
          <w:color w:val="1F4E79" w:themeColor="accent5" w:themeShade="80"/>
        </w:rPr>
      </w:pPr>
      <w:r>
        <w:rPr>
          <w:noProof/>
          <w:color w:val="1F4E79" w:themeColor="accent5" w:themeShade="80"/>
          <w:lang w:eastAsia="en-AU"/>
        </w:rPr>
        <w:drawing>
          <wp:inline distT="0" distB="0" distL="0" distR="0" wp14:anchorId="77A693D1" wp14:editId="7DE4C682">
            <wp:extent cx="3656168" cy="2210072"/>
            <wp:effectExtent l="0" t="0" r="1905" b="0"/>
            <wp:docPr id="5" name="Picture 5" descr="Column chart depicting the difference in mean NSS Reading results at Year 3, 5 and 7 for students who were developmentally vulnerable and not developmentally vulnerable.&#10;&#10;These results are described in the commentary." title="Figure 2. Mean reading NSS at Years 3, 5 and7, by developmental vulner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2.JPG"/>
                    <pic:cNvPicPr/>
                  </pic:nvPicPr>
                  <pic:blipFill>
                    <a:blip r:embed="rId22">
                      <a:extLst>
                        <a:ext uri="{28A0092B-C50C-407E-A947-70E740481C1C}">
                          <a14:useLocalDpi xmlns:a14="http://schemas.microsoft.com/office/drawing/2010/main" val="0"/>
                        </a:ext>
                      </a:extLst>
                    </a:blip>
                    <a:stretch>
                      <a:fillRect/>
                    </a:stretch>
                  </pic:blipFill>
                  <pic:spPr>
                    <a:xfrm>
                      <a:off x="0" y="0"/>
                      <a:ext cx="3659228" cy="2211922"/>
                    </a:xfrm>
                    <a:prstGeom prst="rect">
                      <a:avLst/>
                    </a:prstGeom>
                  </pic:spPr>
                </pic:pic>
              </a:graphicData>
            </a:graphic>
          </wp:inline>
        </w:drawing>
      </w:r>
    </w:p>
    <w:p w14:paraId="5AAC3460" w14:textId="100DBAF0" w:rsidR="00D661B0" w:rsidRDefault="00296B7A" w:rsidP="005265DE">
      <w:pPr>
        <w:pStyle w:val="Caption"/>
        <w:jc w:val="center"/>
      </w:pPr>
      <w:bookmarkStart w:id="27" w:name="_Ref501028944"/>
      <w:bookmarkStart w:id="28" w:name="_Toc500946767"/>
      <w:bookmarkStart w:id="29" w:name="_Toc501014901"/>
      <w:bookmarkStart w:id="30" w:name="_Toc501014914"/>
      <w:bookmarkStart w:id="31" w:name="_Toc502153722"/>
      <w:r>
        <w:t xml:space="preserve">Figure </w:t>
      </w:r>
      <w:r>
        <w:fldChar w:fldCharType="begin"/>
      </w:r>
      <w:r>
        <w:instrText xml:space="preserve"> SEQ Figure \* ARABIC </w:instrText>
      </w:r>
      <w:r>
        <w:fldChar w:fldCharType="separate"/>
      </w:r>
      <w:r w:rsidR="004C27B3">
        <w:rPr>
          <w:noProof/>
        </w:rPr>
        <w:t>2</w:t>
      </w:r>
      <w:r>
        <w:fldChar w:fldCharType="end"/>
      </w:r>
      <w:bookmarkEnd w:id="27"/>
      <w:r>
        <w:t xml:space="preserve">. </w:t>
      </w:r>
      <w:r w:rsidRPr="000B78A6">
        <w:t>Mean reading NSS at Years 3, 5 and 7, by developmental vulnerability status</w:t>
      </w:r>
      <w:r>
        <w:t>.</w:t>
      </w:r>
      <w:bookmarkEnd w:id="28"/>
      <w:bookmarkEnd w:id="29"/>
      <w:bookmarkEnd w:id="30"/>
      <w:bookmarkEnd w:id="31"/>
    </w:p>
    <w:p w14:paraId="7D64169F" w14:textId="77777777" w:rsidR="005B2C60" w:rsidRPr="005B2C60" w:rsidRDefault="005B2C60" w:rsidP="005B2C60"/>
    <w:p w14:paraId="1B6239E4" w14:textId="6B9DE09D" w:rsidR="00D661B0" w:rsidRDefault="00D661B0" w:rsidP="00D52B12">
      <w:r>
        <w:t xml:space="preserve">The numeracy and reading NAPLAN band distributions by </w:t>
      </w:r>
      <w:r w:rsidR="00581215">
        <w:t>DV</w:t>
      </w:r>
      <w:r>
        <w:t xml:space="preserve"> status </w:t>
      </w:r>
      <w:proofErr w:type="gramStart"/>
      <w:r w:rsidR="007438EC">
        <w:t>are shown</w:t>
      </w:r>
      <w:proofErr w:type="gramEnd"/>
      <w:r w:rsidR="007438EC">
        <w:t xml:space="preserve"> </w:t>
      </w:r>
      <w:r w:rsidR="00ED08C1">
        <w:t xml:space="preserve">in </w:t>
      </w:r>
      <w:r w:rsidR="005C4382">
        <w:fldChar w:fldCharType="begin"/>
      </w:r>
      <w:r w:rsidR="005C4382">
        <w:instrText xml:space="preserve"> REF _Ref501029065 \h </w:instrText>
      </w:r>
      <w:r w:rsidR="005C4382">
        <w:fldChar w:fldCharType="separate"/>
      </w:r>
      <w:r w:rsidR="004C27B3">
        <w:t xml:space="preserve">Figure </w:t>
      </w:r>
      <w:r w:rsidR="004C27B3">
        <w:rPr>
          <w:noProof/>
        </w:rPr>
        <w:t>3</w:t>
      </w:r>
      <w:r w:rsidR="005C4382">
        <w:fldChar w:fldCharType="end"/>
      </w:r>
      <w:r w:rsidR="005C4382">
        <w:t xml:space="preserve"> and </w:t>
      </w:r>
      <w:r w:rsidR="005C4382">
        <w:fldChar w:fldCharType="begin"/>
      </w:r>
      <w:r w:rsidR="005C4382">
        <w:instrText xml:space="preserve"> REF _Ref501029070 \h </w:instrText>
      </w:r>
      <w:r w:rsidR="005C4382">
        <w:fldChar w:fldCharType="separate"/>
      </w:r>
      <w:r w:rsidR="004C27B3">
        <w:t xml:space="preserve">Figure </w:t>
      </w:r>
      <w:r w:rsidR="004C27B3">
        <w:rPr>
          <w:noProof/>
        </w:rPr>
        <w:t>4</w:t>
      </w:r>
      <w:r w:rsidR="005C4382">
        <w:fldChar w:fldCharType="end"/>
      </w:r>
      <w:r w:rsidR="00D2248B">
        <w:t xml:space="preserve"> </w:t>
      </w:r>
      <w:r w:rsidR="00ED08C1">
        <w:t xml:space="preserve">respectively. For both numeracy and reading at all 3 assessment points there </w:t>
      </w:r>
      <w:r w:rsidR="004079BB">
        <w:t xml:space="preserve">is </w:t>
      </w:r>
      <w:r w:rsidR="00ED08C1">
        <w:t xml:space="preserve">a greater proportion of DV </w:t>
      </w:r>
      <w:r w:rsidR="004079BB">
        <w:t xml:space="preserve">participants </w:t>
      </w:r>
      <w:r w:rsidR="00ED08C1">
        <w:t xml:space="preserve">in the bottom 2 bands and a lower proportion in </w:t>
      </w:r>
      <w:r w:rsidR="00985EF4">
        <w:t>the top 2 bands compared to not-</w:t>
      </w:r>
      <w:r w:rsidR="00ED08C1">
        <w:t xml:space="preserve">DV </w:t>
      </w:r>
      <w:r w:rsidR="004079BB">
        <w:t>participants</w:t>
      </w:r>
      <w:r w:rsidR="00ED08C1">
        <w:t>.</w:t>
      </w:r>
    </w:p>
    <w:p w14:paraId="41284B55" w14:textId="211F479E" w:rsidR="00296B7A" w:rsidRDefault="00E94CE0" w:rsidP="005B2C60">
      <w:pPr>
        <w:keepNext/>
        <w:spacing w:after="0"/>
        <w:jc w:val="center"/>
      </w:pPr>
      <w:r w:rsidRPr="00E94CE0">
        <w:rPr>
          <w:noProof/>
          <w:lang w:eastAsia="en-AU"/>
        </w:rPr>
        <w:t xml:space="preserve"> </w:t>
      </w:r>
      <w:r w:rsidR="00B72D72">
        <w:rPr>
          <w:noProof/>
          <w:lang w:eastAsia="en-AU"/>
        </w:rPr>
        <w:drawing>
          <wp:inline distT="0" distB="0" distL="0" distR="0" wp14:anchorId="480B4B58" wp14:editId="317064EF">
            <wp:extent cx="4833257" cy="2880336"/>
            <wp:effectExtent l="0" t="0" r="5715" b="0"/>
            <wp:docPr id="6" name="Picture 6" descr="100% column chart depicting the distribution across NAPLAN bands (at or below National Minimim Standard, Middle Bands, Top 2 Bands) for Numeracy at Years 3, 5 and 7, according to developmental vulnerability status (DV/No DV).&#10;&#10;Commentary in the text summarises the results." title="Figure 3. NAPLAN band distributions by DV status at Years 3, 5 and 7: num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3.JPG"/>
                    <pic:cNvPicPr/>
                  </pic:nvPicPr>
                  <pic:blipFill>
                    <a:blip r:embed="rId23">
                      <a:extLst>
                        <a:ext uri="{28A0092B-C50C-407E-A947-70E740481C1C}">
                          <a14:useLocalDpi xmlns:a14="http://schemas.microsoft.com/office/drawing/2010/main" val="0"/>
                        </a:ext>
                      </a:extLst>
                    </a:blip>
                    <a:stretch>
                      <a:fillRect/>
                    </a:stretch>
                  </pic:blipFill>
                  <pic:spPr>
                    <a:xfrm>
                      <a:off x="0" y="0"/>
                      <a:ext cx="4841417" cy="2885199"/>
                    </a:xfrm>
                    <a:prstGeom prst="rect">
                      <a:avLst/>
                    </a:prstGeom>
                  </pic:spPr>
                </pic:pic>
              </a:graphicData>
            </a:graphic>
          </wp:inline>
        </w:drawing>
      </w:r>
    </w:p>
    <w:p w14:paraId="4458F01F" w14:textId="71D3F3E6" w:rsidR="00D661B0" w:rsidRDefault="00296B7A" w:rsidP="00296B7A">
      <w:pPr>
        <w:pStyle w:val="Caption"/>
      </w:pPr>
      <w:bookmarkStart w:id="32" w:name="_Ref501029065"/>
      <w:bookmarkStart w:id="33" w:name="_Toc500946768"/>
      <w:bookmarkStart w:id="34" w:name="_Toc501014902"/>
      <w:bookmarkStart w:id="35" w:name="_Toc501014915"/>
      <w:bookmarkStart w:id="36" w:name="_Toc502153723"/>
      <w:r>
        <w:t xml:space="preserve">Figure </w:t>
      </w:r>
      <w:r>
        <w:fldChar w:fldCharType="begin"/>
      </w:r>
      <w:r>
        <w:instrText xml:space="preserve"> SEQ Figure \* ARABIC </w:instrText>
      </w:r>
      <w:r>
        <w:fldChar w:fldCharType="separate"/>
      </w:r>
      <w:r w:rsidR="004C27B3">
        <w:rPr>
          <w:noProof/>
        </w:rPr>
        <w:t>3</w:t>
      </w:r>
      <w:r>
        <w:fldChar w:fldCharType="end"/>
      </w:r>
      <w:bookmarkEnd w:id="32"/>
      <w:r>
        <w:t xml:space="preserve">. </w:t>
      </w:r>
      <w:r w:rsidRPr="00A85395">
        <w:t xml:space="preserve">NAPLAN band distributions by DV status at Years 3, 5 and 7: </w:t>
      </w:r>
      <w:r w:rsidR="00440193">
        <w:t>n</w:t>
      </w:r>
      <w:r w:rsidRPr="00A85395">
        <w:t>umeracy.</w:t>
      </w:r>
      <w:bookmarkEnd w:id="33"/>
      <w:bookmarkEnd w:id="34"/>
      <w:bookmarkEnd w:id="35"/>
      <w:bookmarkEnd w:id="36"/>
    </w:p>
    <w:p w14:paraId="0C8B4AE4" w14:textId="77777777" w:rsidR="007F3A76" w:rsidRPr="007F3A76" w:rsidRDefault="007F3A76" w:rsidP="005265DE">
      <w:pPr>
        <w:spacing w:after="0"/>
      </w:pPr>
    </w:p>
    <w:p w14:paraId="7A3B5460" w14:textId="6BD84AEF" w:rsidR="00296B7A" w:rsidRDefault="00B72D72" w:rsidP="005B2C60">
      <w:pPr>
        <w:keepNext/>
        <w:spacing w:after="0"/>
        <w:jc w:val="center"/>
      </w:pPr>
      <w:r>
        <w:rPr>
          <w:noProof/>
          <w:lang w:eastAsia="en-AU"/>
        </w:rPr>
        <w:drawing>
          <wp:inline distT="0" distB="0" distL="0" distR="0" wp14:anchorId="63BFA84F" wp14:editId="5A04D62F">
            <wp:extent cx="4857827" cy="2887708"/>
            <wp:effectExtent l="0" t="0" r="0" b="8255"/>
            <wp:docPr id="9" name="Picture 9" descr="100% column chart depicting the distribution across NAPLAN bands (at or below National Minimim Standard, Middle Bands, Top 2 Bands) for Reading at Years 3, 5 and 7, according to developmental vulnerability status (DV/No DV).&#10;&#10;Commentary in the text summarises the results." title="Figure 4. NAPLAN band distribtuions by DV status at Years 3, 5 and 7.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4.JPG"/>
                    <pic:cNvPicPr/>
                  </pic:nvPicPr>
                  <pic:blipFill>
                    <a:blip r:embed="rId24">
                      <a:extLst>
                        <a:ext uri="{28A0092B-C50C-407E-A947-70E740481C1C}">
                          <a14:useLocalDpi xmlns:a14="http://schemas.microsoft.com/office/drawing/2010/main" val="0"/>
                        </a:ext>
                      </a:extLst>
                    </a:blip>
                    <a:stretch>
                      <a:fillRect/>
                    </a:stretch>
                  </pic:blipFill>
                  <pic:spPr>
                    <a:xfrm>
                      <a:off x="0" y="0"/>
                      <a:ext cx="4865539" cy="2892293"/>
                    </a:xfrm>
                    <a:prstGeom prst="rect">
                      <a:avLst/>
                    </a:prstGeom>
                  </pic:spPr>
                </pic:pic>
              </a:graphicData>
            </a:graphic>
          </wp:inline>
        </w:drawing>
      </w:r>
    </w:p>
    <w:p w14:paraId="67A51B4D" w14:textId="2A43E3F8" w:rsidR="00D661B0" w:rsidRDefault="00296B7A" w:rsidP="00296B7A">
      <w:pPr>
        <w:pStyle w:val="Caption"/>
      </w:pPr>
      <w:bookmarkStart w:id="37" w:name="_Ref501029070"/>
      <w:bookmarkStart w:id="38" w:name="_Toc500946769"/>
      <w:bookmarkStart w:id="39" w:name="_Toc501014903"/>
      <w:bookmarkStart w:id="40" w:name="_Toc501014916"/>
      <w:bookmarkStart w:id="41" w:name="_Toc502153724"/>
      <w:r>
        <w:t xml:space="preserve">Figure </w:t>
      </w:r>
      <w:r>
        <w:fldChar w:fldCharType="begin"/>
      </w:r>
      <w:r>
        <w:instrText xml:space="preserve"> SEQ Figure \* ARABIC </w:instrText>
      </w:r>
      <w:r>
        <w:fldChar w:fldCharType="separate"/>
      </w:r>
      <w:r w:rsidR="004C27B3">
        <w:rPr>
          <w:noProof/>
        </w:rPr>
        <w:t>4</w:t>
      </w:r>
      <w:r>
        <w:fldChar w:fldCharType="end"/>
      </w:r>
      <w:bookmarkEnd w:id="37"/>
      <w:r>
        <w:t xml:space="preserve">. </w:t>
      </w:r>
      <w:r w:rsidRPr="004965FE">
        <w:t xml:space="preserve">NAPLAN band distributions by </w:t>
      </w:r>
      <w:r w:rsidR="00440193">
        <w:t>DV status at Years 3, 5 and 7: r</w:t>
      </w:r>
      <w:r w:rsidRPr="004965FE">
        <w:t>eading.</w:t>
      </w:r>
      <w:bookmarkEnd w:id="38"/>
      <w:bookmarkEnd w:id="39"/>
      <w:bookmarkEnd w:id="40"/>
      <w:bookmarkEnd w:id="41"/>
    </w:p>
    <w:p w14:paraId="23480CD4" w14:textId="77777777" w:rsidR="0096460E" w:rsidRPr="0096460E" w:rsidRDefault="0096460E" w:rsidP="0096460E">
      <w:pPr>
        <w:spacing w:after="0"/>
      </w:pPr>
    </w:p>
    <w:p w14:paraId="138A12E9" w14:textId="5CBFD185" w:rsidR="00330CAF" w:rsidRDefault="000C0CFC" w:rsidP="0096460E">
      <w:pPr>
        <w:spacing w:after="0"/>
      </w:pPr>
      <w:r>
        <w:t xml:space="preserve">The estimated mean numeracy and reading NSS can be expressed in terms of </w:t>
      </w:r>
      <w:r w:rsidR="00044192">
        <w:t xml:space="preserve">their </w:t>
      </w:r>
      <w:r>
        <w:t xml:space="preserve">Equivalent Years </w:t>
      </w:r>
      <w:r w:rsidR="00A92D05">
        <w:t>of Learning</w:t>
      </w:r>
      <w:r>
        <w:t xml:space="preserve"> (EYL)</w:t>
      </w:r>
      <w:r w:rsidR="008445C8">
        <w:t xml:space="preserve"> </w:t>
      </w:r>
      <w:r w:rsidR="008D1C2C">
        <w:t xml:space="preserve">(see </w:t>
      </w:r>
      <w:r w:rsidR="00045996">
        <w:t xml:space="preserve">Appendix </w:t>
      </w:r>
      <w:r w:rsidR="008D1C2C">
        <w:t xml:space="preserve">2 for further information). </w:t>
      </w:r>
      <w:r w:rsidR="00A45E8F">
        <w:t xml:space="preserve">Table 1 </w:t>
      </w:r>
      <w:r w:rsidR="008D1C2C">
        <w:t xml:space="preserve">presents the mean NSS from </w:t>
      </w:r>
      <w:r w:rsidR="005C4382">
        <w:fldChar w:fldCharType="begin"/>
      </w:r>
      <w:r w:rsidR="005C4382">
        <w:instrText xml:space="preserve"> REF _Ref501028936 \h </w:instrText>
      </w:r>
      <w:r w:rsidR="005C4382">
        <w:fldChar w:fldCharType="separate"/>
      </w:r>
      <w:r w:rsidR="004C27B3">
        <w:t xml:space="preserve">Figure </w:t>
      </w:r>
      <w:r w:rsidR="004C27B3">
        <w:rPr>
          <w:noProof/>
        </w:rPr>
        <w:t>1</w:t>
      </w:r>
      <w:r w:rsidR="005C4382">
        <w:fldChar w:fldCharType="end"/>
      </w:r>
      <w:r w:rsidR="005C4382">
        <w:t xml:space="preserve"> and </w:t>
      </w:r>
      <w:r w:rsidR="005C4382">
        <w:fldChar w:fldCharType="begin"/>
      </w:r>
      <w:r w:rsidR="005C4382">
        <w:instrText xml:space="preserve"> REF _Ref501028944 \h </w:instrText>
      </w:r>
      <w:r w:rsidR="005C4382">
        <w:fldChar w:fldCharType="separate"/>
      </w:r>
      <w:r w:rsidR="004C27B3">
        <w:t xml:space="preserve">Figure </w:t>
      </w:r>
      <w:r w:rsidR="004C27B3">
        <w:rPr>
          <w:noProof/>
        </w:rPr>
        <w:t>2</w:t>
      </w:r>
      <w:r w:rsidR="005C4382">
        <w:fldChar w:fldCharType="end"/>
      </w:r>
      <w:r w:rsidR="005C4382">
        <w:t xml:space="preserve"> </w:t>
      </w:r>
      <w:r w:rsidR="008D1C2C">
        <w:t>and their EYL</w:t>
      </w:r>
      <w:r>
        <w:t xml:space="preserve">. </w:t>
      </w:r>
    </w:p>
    <w:p w14:paraId="245BBD09" w14:textId="2E99E38E" w:rsidR="00BA4375" w:rsidRDefault="00BA4375" w:rsidP="00BA4375">
      <w:pPr>
        <w:pStyle w:val="Caption"/>
      </w:pPr>
      <w:bookmarkStart w:id="42" w:name="_Ref501026707"/>
      <w:bookmarkStart w:id="43" w:name="_Toc501014917"/>
      <w:bookmarkStart w:id="44" w:name="_Toc503780741"/>
      <w:r>
        <w:t xml:space="preserve">Table </w:t>
      </w:r>
      <w:r>
        <w:fldChar w:fldCharType="begin"/>
      </w:r>
      <w:r>
        <w:instrText xml:space="preserve"> SEQ Table \* ARABIC </w:instrText>
      </w:r>
      <w:r>
        <w:fldChar w:fldCharType="separate"/>
      </w:r>
      <w:r w:rsidR="004C27B3">
        <w:rPr>
          <w:noProof/>
        </w:rPr>
        <w:t>1</w:t>
      </w:r>
      <w:r>
        <w:fldChar w:fldCharType="end"/>
      </w:r>
      <w:bookmarkEnd w:id="42"/>
      <w:r>
        <w:t xml:space="preserve">. </w:t>
      </w:r>
      <w:r w:rsidRPr="006E40DC">
        <w:t>Equivalent Years of Learning (EYL) for each estimated mean numeracy and reading NSS by developmental vulnerability status</w:t>
      </w:r>
      <w:r>
        <w:t>.</w:t>
      </w:r>
      <w:bookmarkEnd w:id="43"/>
      <w:bookmarkEnd w:id="44"/>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Caption w:val="Table 1. Equivalent Years of Learning (EYL) for each estimated mean numeracy and reading NSS by developmental vulnerability status."/>
      </w:tblPr>
      <w:tblGrid>
        <w:gridCol w:w="1733"/>
        <w:gridCol w:w="345"/>
        <w:gridCol w:w="1388"/>
        <w:gridCol w:w="1040"/>
        <w:gridCol w:w="346"/>
        <w:gridCol w:w="1388"/>
        <w:gridCol w:w="1040"/>
        <w:gridCol w:w="1730"/>
      </w:tblGrid>
      <w:tr w:rsidR="00F274B3" w:rsidRPr="00556D85" w14:paraId="15C2E2C6" w14:textId="77777777" w:rsidTr="005265DE">
        <w:trPr>
          <w:jc w:val="center"/>
        </w:trPr>
        <w:tc>
          <w:tcPr>
            <w:tcW w:w="962" w:type="pct"/>
            <w:shd w:val="clear" w:color="auto" w:fill="0070C0"/>
          </w:tcPr>
          <w:p w14:paraId="47203536" w14:textId="77777777" w:rsidR="00F274B3" w:rsidRPr="000F54B8" w:rsidRDefault="00F274B3" w:rsidP="00785532">
            <w:pPr>
              <w:pStyle w:val="TableHeader1"/>
            </w:pPr>
          </w:p>
        </w:tc>
        <w:tc>
          <w:tcPr>
            <w:tcW w:w="192" w:type="pct"/>
            <w:shd w:val="clear" w:color="auto" w:fill="0070C0"/>
          </w:tcPr>
          <w:p w14:paraId="39A637B4" w14:textId="77777777" w:rsidR="00F274B3" w:rsidRPr="000F54B8" w:rsidRDefault="00F274B3" w:rsidP="00785532">
            <w:pPr>
              <w:pStyle w:val="TableHeader1"/>
            </w:pPr>
          </w:p>
        </w:tc>
        <w:tc>
          <w:tcPr>
            <w:tcW w:w="1346" w:type="pct"/>
            <w:gridSpan w:val="2"/>
            <w:shd w:val="clear" w:color="auto" w:fill="0070C0"/>
          </w:tcPr>
          <w:p w14:paraId="38B3BB20" w14:textId="00ADEE70" w:rsidR="00F274B3" w:rsidRPr="000F54B8" w:rsidRDefault="00F274B3" w:rsidP="00785532">
            <w:pPr>
              <w:pStyle w:val="TableHeader1"/>
            </w:pPr>
            <w:r w:rsidRPr="000F54B8">
              <w:t>Not developmentally vulnerable</w:t>
            </w:r>
          </w:p>
        </w:tc>
        <w:tc>
          <w:tcPr>
            <w:tcW w:w="192" w:type="pct"/>
            <w:shd w:val="clear" w:color="auto" w:fill="0070C0"/>
          </w:tcPr>
          <w:p w14:paraId="621E8015" w14:textId="77777777" w:rsidR="00F274B3" w:rsidRPr="000F54B8" w:rsidRDefault="00F274B3" w:rsidP="00785532">
            <w:pPr>
              <w:pStyle w:val="TableHeader1"/>
            </w:pPr>
          </w:p>
        </w:tc>
        <w:tc>
          <w:tcPr>
            <w:tcW w:w="1346" w:type="pct"/>
            <w:gridSpan w:val="2"/>
            <w:shd w:val="clear" w:color="auto" w:fill="0070C0"/>
          </w:tcPr>
          <w:p w14:paraId="47248E14" w14:textId="671F27E0" w:rsidR="00F274B3" w:rsidRPr="000F54B8" w:rsidRDefault="00F274B3" w:rsidP="00785532">
            <w:pPr>
              <w:pStyle w:val="TableHeader1"/>
            </w:pPr>
            <w:r w:rsidRPr="000F54B8">
              <w:t>Developmentally vulnerable</w:t>
            </w:r>
          </w:p>
        </w:tc>
        <w:tc>
          <w:tcPr>
            <w:tcW w:w="962" w:type="pct"/>
            <w:shd w:val="clear" w:color="auto" w:fill="0070C0"/>
          </w:tcPr>
          <w:p w14:paraId="606B770C" w14:textId="77777777" w:rsidR="00F274B3" w:rsidRPr="000F54B8" w:rsidRDefault="00F274B3" w:rsidP="00785532">
            <w:pPr>
              <w:pStyle w:val="TableHeader1"/>
            </w:pPr>
          </w:p>
        </w:tc>
      </w:tr>
      <w:tr w:rsidR="005265DE" w:rsidRPr="00556D85" w14:paraId="599ED8DF" w14:textId="77777777" w:rsidTr="005265DE">
        <w:trPr>
          <w:jc w:val="center"/>
        </w:trPr>
        <w:tc>
          <w:tcPr>
            <w:tcW w:w="962" w:type="pct"/>
            <w:shd w:val="clear" w:color="auto" w:fill="0070C0"/>
          </w:tcPr>
          <w:p w14:paraId="7082907B" w14:textId="77777777" w:rsidR="00725213" w:rsidRPr="000F54B8" w:rsidRDefault="00725213" w:rsidP="00785532">
            <w:pPr>
              <w:pStyle w:val="TableHeader1"/>
            </w:pPr>
          </w:p>
        </w:tc>
        <w:tc>
          <w:tcPr>
            <w:tcW w:w="192" w:type="pct"/>
            <w:shd w:val="clear" w:color="auto" w:fill="0070C0"/>
          </w:tcPr>
          <w:p w14:paraId="5BEDB49F" w14:textId="77777777" w:rsidR="00725213" w:rsidRPr="000F54B8" w:rsidRDefault="00725213" w:rsidP="00785532">
            <w:pPr>
              <w:pStyle w:val="TableHeader1"/>
            </w:pPr>
          </w:p>
        </w:tc>
        <w:tc>
          <w:tcPr>
            <w:tcW w:w="770" w:type="pct"/>
            <w:shd w:val="clear" w:color="auto" w:fill="0070C0"/>
          </w:tcPr>
          <w:p w14:paraId="49370E01" w14:textId="31E46515" w:rsidR="00725213" w:rsidRPr="000F54B8" w:rsidRDefault="00725213" w:rsidP="00785532">
            <w:pPr>
              <w:pStyle w:val="TableHeader1"/>
            </w:pPr>
            <w:r w:rsidRPr="000F54B8">
              <w:t xml:space="preserve">Estimated mean </w:t>
            </w:r>
            <w:r w:rsidR="00F83B43" w:rsidRPr="000F54B8">
              <w:t>NSS</w:t>
            </w:r>
          </w:p>
        </w:tc>
        <w:tc>
          <w:tcPr>
            <w:tcW w:w="577" w:type="pct"/>
            <w:shd w:val="clear" w:color="auto" w:fill="0070C0"/>
          </w:tcPr>
          <w:p w14:paraId="602118D3" w14:textId="49C2F514" w:rsidR="00725213" w:rsidRPr="000F54B8" w:rsidRDefault="00725213" w:rsidP="00785532">
            <w:pPr>
              <w:pStyle w:val="TableHeader1"/>
            </w:pPr>
            <w:r w:rsidRPr="000F54B8">
              <w:t>EYL</w:t>
            </w:r>
          </w:p>
        </w:tc>
        <w:tc>
          <w:tcPr>
            <w:tcW w:w="192" w:type="pct"/>
            <w:shd w:val="clear" w:color="auto" w:fill="0070C0"/>
          </w:tcPr>
          <w:p w14:paraId="70C23609" w14:textId="77777777" w:rsidR="00725213" w:rsidRPr="000F54B8" w:rsidRDefault="00725213" w:rsidP="00785532">
            <w:pPr>
              <w:pStyle w:val="TableHeader1"/>
            </w:pPr>
          </w:p>
        </w:tc>
        <w:tc>
          <w:tcPr>
            <w:tcW w:w="770" w:type="pct"/>
            <w:shd w:val="clear" w:color="auto" w:fill="0070C0"/>
          </w:tcPr>
          <w:p w14:paraId="659FD9E0" w14:textId="60575A7E" w:rsidR="00725213" w:rsidRPr="00BA4375" w:rsidRDefault="00725213" w:rsidP="00785532">
            <w:pPr>
              <w:pStyle w:val="TableHeader1"/>
            </w:pPr>
            <w:r w:rsidRPr="00BA4375">
              <w:t xml:space="preserve">Estimated mean </w:t>
            </w:r>
            <w:r w:rsidR="00F83B43" w:rsidRPr="00BA4375">
              <w:t>NSS</w:t>
            </w:r>
          </w:p>
        </w:tc>
        <w:tc>
          <w:tcPr>
            <w:tcW w:w="577" w:type="pct"/>
            <w:shd w:val="clear" w:color="auto" w:fill="0070C0"/>
          </w:tcPr>
          <w:p w14:paraId="407641B6" w14:textId="1237837F" w:rsidR="00725213" w:rsidRPr="000F54B8" w:rsidRDefault="00725213" w:rsidP="00785532">
            <w:pPr>
              <w:pStyle w:val="TableHeader1"/>
            </w:pPr>
            <w:r w:rsidRPr="000F54B8">
              <w:t>EYL</w:t>
            </w:r>
          </w:p>
        </w:tc>
        <w:tc>
          <w:tcPr>
            <w:tcW w:w="962" w:type="pct"/>
            <w:shd w:val="clear" w:color="auto" w:fill="0070C0"/>
          </w:tcPr>
          <w:p w14:paraId="13C3CD12" w14:textId="77777777" w:rsidR="00725213" w:rsidRPr="000F54B8" w:rsidRDefault="00725213" w:rsidP="00785532">
            <w:pPr>
              <w:pStyle w:val="TableHeader1"/>
            </w:pPr>
            <w:r w:rsidRPr="000F54B8">
              <w:t>Learning Gap (years)</w:t>
            </w:r>
          </w:p>
        </w:tc>
      </w:tr>
      <w:tr w:rsidR="005265DE" w:rsidRPr="00556D85" w14:paraId="04E01AA6" w14:textId="77777777" w:rsidTr="005265DE">
        <w:trPr>
          <w:jc w:val="center"/>
        </w:trPr>
        <w:tc>
          <w:tcPr>
            <w:tcW w:w="962" w:type="pct"/>
            <w:shd w:val="clear" w:color="auto" w:fill="D9E2F3" w:themeFill="accent1" w:themeFillTint="33"/>
          </w:tcPr>
          <w:p w14:paraId="3DF2B8BB" w14:textId="77777777" w:rsidR="00725213" w:rsidRPr="000F54B8" w:rsidRDefault="00725213" w:rsidP="00BC3CD1">
            <w:pPr>
              <w:pStyle w:val="TableHeader2"/>
            </w:pPr>
            <w:r w:rsidRPr="000F54B8">
              <w:t>Numeracy</w:t>
            </w:r>
          </w:p>
        </w:tc>
        <w:tc>
          <w:tcPr>
            <w:tcW w:w="192" w:type="pct"/>
            <w:shd w:val="clear" w:color="auto" w:fill="D9E2F3" w:themeFill="accent1" w:themeFillTint="33"/>
          </w:tcPr>
          <w:p w14:paraId="23A5AFFB" w14:textId="77777777" w:rsidR="00725213" w:rsidRPr="00556D85" w:rsidRDefault="00725213" w:rsidP="00BC3CD1">
            <w:pPr>
              <w:pStyle w:val="TableHeader2"/>
            </w:pPr>
          </w:p>
        </w:tc>
        <w:tc>
          <w:tcPr>
            <w:tcW w:w="770" w:type="pct"/>
            <w:shd w:val="clear" w:color="auto" w:fill="D9E2F3" w:themeFill="accent1" w:themeFillTint="33"/>
          </w:tcPr>
          <w:p w14:paraId="265D060E" w14:textId="77777777" w:rsidR="00725213" w:rsidRPr="00556D85" w:rsidRDefault="00725213" w:rsidP="00BC3CD1">
            <w:pPr>
              <w:pStyle w:val="TableHeader2"/>
            </w:pPr>
          </w:p>
        </w:tc>
        <w:tc>
          <w:tcPr>
            <w:tcW w:w="577" w:type="pct"/>
            <w:shd w:val="clear" w:color="auto" w:fill="D9E2F3" w:themeFill="accent1" w:themeFillTint="33"/>
          </w:tcPr>
          <w:p w14:paraId="59BE00B4" w14:textId="77777777" w:rsidR="00725213" w:rsidRPr="00556D85" w:rsidRDefault="00725213" w:rsidP="00BC3CD1">
            <w:pPr>
              <w:pStyle w:val="TableHeader2"/>
            </w:pPr>
          </w:p>
        </w:tc>
        <w:tc>
          <w:tcPr>
            <w:tcW w:w="192" w:type="pct"/>
            <w:shd w:val="clear" w:color="auto" w:fill="D9E2F3" w:themeFill="accent1" w:themeFillTint="33"/>
          </w:tcPr>
          <w:p w14:paraId="692DED61" w14:textId="77777777" w:rsidR="00725213" w:rsidRPr="00556D85" w:rsidRDefault="00725213" w:rsidP="00BC3CD1">
            <w:pPr>
              <w:pStyle w:val="TableHeader2"/>
            </w:pPr>
          </w:p>
        </w:tc>
        <w:tc>
          <w:tcPr>
            <w:tcW w:w="770" w:type="pct"/>
            <w:shd w:val="clear" w:color="auto" w:fill="D9E2F3" w:themeFill="accent1" w:themeFillTint="33"/>
          </w:tcPr>
          <w:p w14:paraId="21F882F9" w14:textId="77777777" w:rsidR="00725213" w:rsidRPr="00556D85" w:rsidRDefault="00725213" w:rsidP="00BC3CD1">
            <w:pPr>
              <w:pStyle w:val="TableHeader2"/>
            </w:pPr>
          </w:p>
        </w:tc>
        <w:tc>
          <w:tcPr>
            <w:tcW w:w="577" w:type="pct"/>
            <w:shd w:val="clear" w:color="auto" w:fill="D9E2F3" w:themeFill="accent1" w:themeFillTint="33"/>
          </w:tcPr>
          <w:p w14:paraId="55C5510A" w14:textId="77777777" w:rsidR="00725213" w:rsidRPr="00556D85" w:rsidRDefault="00725213" w:rsidP="00BC3CD1">
            <w:pPr>
              <w:pStyle w:val="TableHeader2"/>
            </w:pPr>
          </w:p>
        </w:tc>
        <w:tc>
          <w:tcPr>
            <w:tcW w:w="962" w:type="pct"/>
            <w:shd w:val="clear" w:color="auto" w:fill="D9E2F3" w:themeFill="accent1" w:themeFillTint="33"/>
          </w:tcPr>
          <w:p w14:paraId="0DC2CA85" w14:textId="77777777" w:rsidR="00725213" w:rsidRPr="00556D85" w:rsidRDefault="00725213" w:rsidP="00BC3CD1">
            <w:pPr>
              <w:pStyle w:val="TableHeader2"/>
            </w:pPr>
          </w:p>
        </w:tc>
      </w:tr>
      <w:tr w:rsidR="00725213" w:rsidRPr="00556D85" w14:paraId="7F9853CB" w14:textId="77777777" w:rsidTr="005265DE">
        <w:trPr>
          <w:jc w:val="center"/>
        </w:trPr>
        <w:tc>
          <w:tcPr>
            <w:tcW w:w="962" w:type="pct"/>
          </w:tcPr>
          <w:p w14:paraId="246B0CFA" w14:textId="77777777" w:rsidR="00725213" w:rsidRPr="00556D85" w:rsidRDefault="00725213" w:rsidP="00BC3CD1">
            <w:pPr>
              <w:pStyle w:val="TableRowIndent"/>
            </w:pPr>
            <w:r w:rsidRPr="00556D85">
              <w:t>Year 3</w:t>
            </w:r>
          </w:p>
        </w:tc>
        <w:tc>
          <w:tcPr>
            <w:tcW w:w="192" w:type="pct"/>
          </w:tcPr>
          <w:p w14:paraId="39DD8EEA" w14:textId="77777777" w:rsidR="00725213" w:rsidRPr="00556D85" w:rsidRDefault="00725213" w:rsidP="00BC3CD1">
            <w:pPr>
              <w:pStyle w:val="TableBody"/>
            </w:pPr>
          </w:p>
        </w:tc>
        <w:tc>
          <w:tcPr>
            <w:tcW w:w="770" w:type="pct"/>
          </w:tcPr>
          <w:p w14:paraId="03C0746A" w14:textId="719977D5" w:rsidR="00725213" w:rsidRPr="00556D85" w:rsidRDefault="00D869C8" w:rsidP="00BC3CD1">
            <w:pPr>
              <w:pStyle w:val="TableBody"/>
            </w:pPr>
            <w:r>
              <w:t>427.0</w:t>
            </w:r>
          </w:p>
        </w:tc>
        <w:tc>
          <w:tcPr>
            <w:tcW w:w="577" w:type="pct"/>
          </w:tcPr>
          <w:p w14:paraId="093EABFA" w14:textId="77777777" w:rsidR="00725213" w:rsidRPr="0080673D" w:rsidRDefault="00725213" w:rsidP="00BC3CD1">
            <w:pPr>
              <w:pStyle w:val="TableBody"/>
            </w:pPr>
            <w:r w:rsidRPr="0080673D">
              <w:t>3.49</w:t>
            </w:r>
          </w:p>
        </w:tc>
        <w:tc>
          <w:tcPr>
            <w:tcW w:w="192" w:type="pct"/>
          </w:tcPr>
          <w:p w14:paraId="44584267" w14:textId="77777777" w:rsidR="00725213" w:rsidRPr="0080673D" w:rsidRDefault="00725213" w:rsidP="00BC3CD1">
            <w:pPr>
              <w:pStyle w:val="TableBody"/>
            </w:pPr>
          </w:p>
        </w:tc>
        <w:tc>
          <w:tcPr>
            <w:tcW w:w="770" w:type="pct"/>
          </w:tcPr>
          <w:p w14:paraId="08F8462F" w14:textId="279727B5" w:rsidR="00725213" w:rsidRPr="0080673D" w:rsidRDefault="00D869C8" w:rsidP="00BC3CD1">
            <w:pPr>
              <w:pStyle w:val="TableBody"/>
              <w:rPr>
                <w:sz w:val="24"/>
                <w:szCs w:val="24"/>
              </w:rPr>
            </w:pPr>
            <w:r w:rsidRPr="0080673D">
              <w:t>371.5</w:t>
            </w:r>
          </w:p>
        </w:tc>
        <w:tc>
          <w:tcPr>
            <w:tcW w:w="577" w:type="pct"/>
          </w:tcPr>
          <w:p w14:paraId="37A9279B" w14:textId="6CDB1202" w:rsidR="00725213" w:rsidRPr="0080673D" w:rsidRDefault="00725213" w:rsidP="00BC3CD1">
            <w:pPr>
              <w:pStyle w:val="TableBody"/>
            </w:pPr>
            <w:r w:rsidRPr="0080673D">
              <w:t>2.</w:t>
            </w:r>
            <w:r w:rsidR="00720227" w:rsidRPr="0080673D">
              <w:t>46</w:t>
            </w:r>
          </w:p>
        </w:tc>
        <w:tc>
          <w:tcPr>
            <w:tcW w:w="962" w:type="pct"/>
          </w:tcPr>
          <w:p w14:paraId="6F61376D" w14:textId="2B4ECCF7" w:rsidR="00725213" w:rsidRPr="00556D85" w:rsidRDefault="00725213" w:rsidP="00BC3CD1">
            <w:pPr>
              <w:pStyle w:val="TableBody"/>
            </w:pPr>
            <w:r>
              <w:t>1.</w:t>
            </w:r>
            <w:r w:rsidR="00720227">
              <w:t>03</w:t>
            </w:r>
          </w:p>
        </w:tc>
      </w:tr>
      <w:tr w:rsidR="00725213" w:rsidRPr="00556D85" w14:paraId="383863B2" w14:textId="77777777" w:rsidTr="005265DE">
        <w:trPr>
          <w:jc w:val="center"/>
        </w:trPr>
        <w:tc>
          <w:tcPr>
            <w:tcW w:w="962" w:type="pct"/>
          </w:tcPr>
          <w:p w14:paraId="11D3950D" w14:textId="77777777" w:rsidR="00725213" w:rsidRPr="00556D85" w:rsidRDefault="00725213" w:rsidP="00BC3CD1">
            <w:pPr>
              <w:pStyle w:val="TableRowIndent"/>
            </w:pPr>
            <w:r w:rsidRPr="00556D85">
              <w:t>Year 5</w:t>
            </w:r>
          </w:p>
        </w:tc>
        <w:tc>
          <w:tcPr>
            <w:tcW w:w="192" w:type="pct"/>
          </w:tcPr>
          <w:p w14:paraId="7D09C266" w14:textId="77777777" w:rsidR="00725213" w:rsidRPr="00556D85" w:rsidRDefault="00725213" w:rsidP="00BC3CD1">
            <w:pPr>
              <w:pStyle w:val="TableBody"/>
            </w:pPr>
          </w:p>
        </w:tc>
        <w:tc>
          <w:tcPr>
            <w:tcW w:w="770" w:type="pct"/>
          </w:tcPr>
          <w:p w14:paraId="7A73C979" w14:textId="426BC006" w:rsidR="00725213" w:rsidRPr="00556D85" w:rsidRDefault="00D869C8" w:rsidP="00BC3CD1">
            <w:pPr>
              <w:pStyle w:val="TableBody"/>
            </w:pPr>
            <w:r>
              <w:t>510.4</w:t>
            </w:r>
          </w:p>
        </w:tc>
        <w:tc>
          <w:tcPr>
            <w:tcW w:w="577" w:type="pct"/>
          </w:tcPr>
          <w:p w14:paraId="47052210" w14:textId="77777777" w:rsidR="00725213" w:rsidRPr="0080673D" w:rsidRDefault="00725213" w:rsidP="00BC3CD1">
            <w:pPr>
              <w:pStyle w:val="TableBody"/>
            </w:pPr>
            <w:r w:rsidRPr="0080673D">
              <w:t>5.72</w:t>
            </w:r>
          </w:p>
        </w:tc>
        <w:tc>
          <w:tcPr>
            <w:tcW w:w="192" w:type="pct"/>
          </w:tcPr>
          <w:p w14:paraId="2AF8AA70" w14:textId="77777777" w:rsidR="00725213" w:rsidRPr="0080673D" w:rsidRDefault="00725213" w:rsidP="00BC3CD1">
            <w:pPr>
              <w:pStyle w:val="TableBody"/>
            </w:pPr>
          </w:p>
        </w:tc>
        <w:tc>
          <w:tcPr>
            <w:tcW w:w="770" w:type="pct"/>
          </w:tcPr>
          <w:p w14:paraId="20AF5060" w14:textId="3AB28710" w:rsidR="00725213" w:rsidRPr="0080673D" w:rsidRDefault="00D869C8" w:rsidP="00BC3CD1">
            <w:pPr>
              <w:pStyle w:val="TableBody"/>
              <w:rPr>
                <w:sz w:val="24"/>
                <w:szCs w:val="24"/>
              </w:rPr>
            </w:pPr>
            <w:r w:rsidRPr="0080673D">
              <w:t>461.7</w:t>
            </w:r>
          </w:p>
        </w:tc>
        <w:tc>
          <w:tcPr>
            <w:tcW w:w="577" w:type="pct"/>
          </w:tcPr>
          <w:p w14:paraId="00AB2382" w14:textId="77777777" w:rsidR="00725213" w:rsidRPr="00BA4375" w:rsidRDefault="00725213" w:rsidP="00BC3CD1">
            <w:pPr>
              <w:pStyle w:val="TableBody"/>
            </w:pPr>
            <w:r w:rsidRPr="00BA4375">
              <w:t>4.25</w:t>
            </w:r>
          </w:p>
        </w:tc>
        <w:tc>
          <w:tcPr>
            <w:tcW w:w="962" w:type="pct"/>
          </w:tcPr>
          <w:p w14:paraId="407DE148" w14:textId="77777777" w:rsidR="00725213" w:rsidRPr="00556D85" w:rsidRDefault="00725213" w:rsidP="00BC3CD1">
            <w:pPr>
              <w:pStyle w:val="TableBody"/>
            </w:pPr>
            <w:r>
              <w:t>1.47</w:t>
            </w:r>
          </w:p>
        </w:tc>
      </w:tr>
      <w:tr w:rsidR="00725213" w:rsidRPr="00556D85" w14:paraId="2F467447" w14:textId="77777777" w:rsidTr="005265DE">
        <w:trPr>
          <w:jc w:val="center"/>
        </w:trPr>
        <w:tc>
          <w:tcPr>
            <w:tcW w:w="962" w:type="pct"/>
          </w:tcPr>
          <w:p w14:paraId="66556F1D" w14:textId="77777777" w:rsidR="00725213" w:rsidRPr="00556D85" w:rsidRDefault="00725213" w:rsidP="00BC3CD1">
            <w:pPr>
              <w:pStyle w:val="TableRowIndent"/>
            </w:pPr>
            <w:r w:rsidRPr="00556D85">
              <w:t>Year 7</w:t>
            </w:r>
          </w:p>
        </w:tc>
        <w:tc>
          <w:tcPr>
            <w:tcW w:w="192" w:type="pct"/>
          </w:tcPr>
          <w:p w14:paraId="7694A85D" w14:textId="77777777" w:rsidR="00725213" w:rsidRPr="00556D85" w:rsidRDefault="00725213" w:rsidP="00BC3CD1">
            <w:pPr>
              <w:pStyle w:val="TableBody"/>
            </w:pPr>
          </w:p>
        </w:tc>
        <w:tc>
          <w:tcPr>
            <w:tcW w:w="770" w:type="pct"/>
          </w:tcPr>
          <w:p w14:paraId="400BE927" w14:textId="62661C83" w:rsidR="00725213" w:rsidRPr="00556D85" w:rsidRDefault="00D869C8" w:rsidP="00C4109E">
            <w:pPr>
              <w:pStyle w:val="TableBody"/>
            </w:pPr>
            <w:r>
              <w:t>571.2</w:t>
            </w:r>
          </w:p>
        </w:tc>
        <w:tc>
          <w:tcPr>
            <w:tcW w:w="577" w:type="pct"/>
          </w:tcPr>
          <w:p w14:paraId="23FC5044" w14:textId="77777777" w:rsidR="00725213" w:rsidRPr="0080673D" w:rsidRDefault="00725213" w:rsidP="00BC3CD1">
            <w:pPr>
              <w:pStyle w:val="TableBody"/>
            </w:pPr>
            <w:r w:rsidRPr="0080673D">
              <w:t>8.36</w:t>
            </w:r>
          </w:p>
        </w:tc>
        <w:tc>
          <w:tcPr>
            <w:tcW w:w="192" w:type="pct"/>
          </w:tcPr>
          <w:p w14:paraId="21A0050A" w14:textId="77777777" w:rsidR="00725213" w:rsidRPr="0080673D" w:rsidRDefault="00725213" w:rsidP="00BC3CD1">
            <w:pPr>
              <w:pStyle w:val="TableBody"/>
            </w:pPr>
          </w:p>
        </w:tc>
        <w:tc>
          <w:tcPr>
            <w:tcW w:w="770" w:type="pct"/>
          </w:tcPr>
          <w:p w14:paraId="12EE1D4A" w14:textId="4F14A385" w:rsidR="00725213" w:rsidRPr="0080673D" w:rsidRDefault="00D869C8" w:rsidP="00BC3CD1">
            <w:pPr>
              <w:pStyle w:val="TableBody"/>
              <w:rPr>
                <w:sz w:val="24"/>
                <w:szCs w:val="24"/>
              </w:rPr>
            </w:pPr>
            <w:r w:rsidRPr="0080673D">
              <w:t>521.8</w:t>
            </w:r>
          </w:p>
        </w:tc>
        <w:tc>
          <w:tcPr>
            <w:tcW w:w="577" w:type="pct"/>
          </w:tcPr>
          <w:p w14:paraId="53E64C64" w14:textId="65D216D5" w:rsidR="00725213" w:rsidRPr="0080673D" w:rsidRDefault="00725213" w:rsidP="00BC3CD1">
            <w:pPr>
              <w:pStyle w:val="TableBody"/>
            </w:pPr>
            <w:r w:rsidRPr="0080673D">
              <w:t>6.</w:t>
            </w:r>
            <w:r w:rsidR="00720227" w:rsidRPr="0080673D">
              <w:t>21</w:t>
            </w:r>
          </w:p>
        </w:tc>
        <w:tc>
          <w:tcPr>
            <w:tcW w:w="962" w:type="pct"/>
          </w:tcPr>
          <w:p w14:paraId="450D6E1F" w14:textId="47C2CA56" w:rsidR="00725213" w:rsidRDefault="00725213" w:rsidP="00BC3CD1">
            <w:pPr>
              <w:pStyle w:val="TableBody"/>
            </w:pPr>
            <w:r>
              <w:t>2.</w:t>
            </w:r>
            <w:r w:rsidR="005B418A">
              <w:t>15</w:t>
            </w:r>
          </w:p>
        </w:tc>
      </w:tr>
      <w:tr w:rsidR="005265DE" w:rsidRPr="00556D85" w14:paraId="10C5FD13" w14:textId="77777777" w:rsidTr="005265DE">
        <w:trPr>
          <w:jc w:val="center"/>
        </w:trPr>
        <w:tc>
          <w:tcPr>
            <w:tcW w:w="962" w:type="pct"/>
            <w:shd w:val="clear" w:color="auto" w:fill="D9E2F3" w:themeFill="accent1" w:themeFillTint="33"/>
          </w:tcPr>
          <w:p w14:paraId="3CE7998A" w14:textId="77777777" w:rsidR="00725213" w:rsidRPr="00556D85" w:rsidRDefault="00725213" w:rsidP="00BC3CD1">
            <w:pPr>
              <w:pStyle w:val="TableHeader2"/>
            </w:pPr>
            <w:r w:rsidRPr="00556D85">
              <w:t>Reading</w:t>
            </w:r>
          </w:p>
        </w:tc>
        <w:tc>
          <w:tcPr>
            <w:tcW w:w="192" w:type="pct"/>
            <w:shd w:val="clear" w:color="auto" w:fill="D9E2F3" w:themeFill="accent1" w:themeFillTint="33"/>
          </w:tcPr>
          <w:p w14:paraId="1BFA237E" w14:textId="77777777" w:rsidR="00725213" w:rsidRPr="00556D85" w:rsidRDefault="00725213" w:rsidP="00BC3CD1">
            <w:pPr>
              <w:pStyle w:val="TableBody"/>
            </w:pPr>
          </w:p>
        </w:tc>
        <w:tc>
          <w:tcPr>
            <w:tcW w:w="770" w:type="pct"/>
            <w:shd w:val="clear" w:color="auto" w:fill="D9E2F3" w:themeFill="accent1" w:themeFillTint="33"/>
          </w:tcPr>
          <w:p w14:paraId="663062E0" w14:textId="77777777" w:rsidR="00725213" w:rsidRPr="00556D85" w:rsidRDefault="00725213" w:rsidP="00BC3CD1">
            <w:pPr>
              <w:pStyle w:val="TableBody"/>
            </w:pPr>
          </w:p>
        </w:tc>
        <w:tc>
          <w:tcPr>
            <w:tcW w:w="577" w:type="pct"/>
            <w:shd w:val="clear" w:color="auto" w:fill="D9E2F3" w:themeFill="accent1" w:themeFillTint="33"/>
          </w:tcPr>
          <w:p w14:paraId="694E1DDD" w14:textId="77777777" w:rsidR="00725213" w:rsidRPr="0080673D" w:rsidRDefault="00725213" w:rsidP="00BC3CD1">
            <w:pPr>
              <w:pStyle w:val="TableBody"/>
            </w:pPr>
          </w:p>
        </w:tc>
        <w:tc>
          <w:tcPr>
            <w:tcW w:w="192" w:type="pct"/>
            <w:shd w:val="clear" w:color="auto" w:fill="D9E2F3" w:themeFill="accent1" w:themeFillTint="33"/>
          </w:tcPr>
          <w:p w14:paraId="74DC961A" w14:textId="77777777" w:rsidR="00725213" w:rsidRPr="0080673D" w:rsidRDefault="00725213" w:rsidP="00BC3CD1">
            <w:pPr>
              <w:pStyle w:val="TableBody"/>
            </w:pPr>
          </w:p>
        </w:tc>
        <w:tc>
          <w:tcPr>
            <w:tcW w:w="770" w:type="pct"/>
            <w:shd w:val="clear" w:color="auto" w:fill="D9E2F3" w:themeFill="accent1" w:themeFillTint="33"/>
          </w:tcPr>
          <w:p w14:paraId="4D775616" w14:textId="77777777" w:rsidR="00725213" w:rsidRPr="0080673D" w:rsidRDefault="00725213" w:rsidP="00BC3CD1">
            <w:pPr>
              <w:pStyle w:val="TableBody"/>
            </w:pPr>
          </w:p>
        </w:tc>
        <w:tc>
          <w:tcPr>
            <w:tcW w:w="577" w:type="pct"/>
            <w:shd w:val="clear" w:color="auto" w:fill="D9E2F3" w:themeFill="accent1" w:themeFillTint="33"/>
          </w:tcPr>
          <w:p w14:paraId="762E6088" w14:textId="77777777" w:rsidR="00725213" w:rsidRPr="0080673D" w:rsidRDefault="00725213" w:rsidP="00BC3CD1">
            <w:pPr>
              <w:pStyle w:val="TableBody"/>
            </w:pPr>
          </w:p>
        </w:tc>
        <w:tc>
          <w:tcPr>
            <w:tcW w:w="962" w:type="pct"/>
            <w:shd w:val="clear" w:color="auto" w:fill="D9E2F3" w:themeFill="accent1" w:themeFillTint="33"/>
          </w:tcPr>
          <w:p w14:paraId="6C3A39BD" w14:textId="77777777" w:rsidR="00725213" w:rsidRPr="00556D85" w:rsidRDefault="00725213" w:rsidP="00BC3CD1">
            <w:pPr>
              <w:pStyle w:val="TableBody"/>
            </w:pPr>
          </w:p>
        </w:tc>
      </w:tr>
      <w:tr w:rsidR="00725213" w:rsidRPr="00556D85" w14:paraId="517724DF" w14:textId="77777777" w:rsidTr="005265DE">
        <w:trPr>
          <w:jc w:val="center"/>
        </w:trPr>
        <w:tc>
          <w:tcPr>
            <w:tcW w:w="962" w:type="pct"/>
          </w:tcPr>
          <w:p w14:paraId="168A8DA8" w14:textId="77777777" w:rsidR="00725213" w:rsidRPr="00556D85" w:rsidRDefault="00725213" w:rsidP="00BC3CD1">
            <w:pPr>
              <w:pStyle w:val="TableRowIndent"/>
            </w:pPr>
            <w:r w:rsidRPr="00556D85">
              <w:t>Year 3</w:t>
            </w:r>
          </w:p>
        </w:tc>
        <w:tc>
          <w:tcPr>
            <w:tcW w:w="192" w:type="pct"/>
          </w:tcPr>
          <w:p w14:paraId="5C693202" w14:textId="77777777" w:rsidR="00725213" w:rsidRPr="00556D85" w:rsidRDefault="00725213" w:rsidP="00BC3CD1">
            <w:pPr>
              <w:pStyle w:val="TableBody"/>
            </w:pPr>
          </w:p>
        </w:tc>
        <w:tc>
          <w:tcPr>
            <w:tcW w:w="770" w:type="pct"/>
          </w:tcPr>
          <w:p w14:paraId="4AB0579C" w14:textId="16D920BC" w:rsidR="00725213" w:rsidRPr="00556D85" w:rsidRDefault="00D869C8" w:rsidP="00BC3CD1">
            <w:pPr>
              <w:pStyle w:val="TableBody"/>
            </w:pPr>
            <w:r>
              <w:t>450.4</w:t>
            </w:r>
          </w:p>
        </w:tc>
        <w:tc>
          <w:tcPr>
            <w:tcW w:w="577" w:type="pct"/>
          </w:tcPr>
          <w:p w14:paraId="6A1DD030" w14:textId="22C97775" w:rsidR="00725213" w:rsidRPr="0080673D" w:rsidRDefault="00725213" w:rsidP="00BC3CD1">
            <w:pPr>
              <w:pStyle w:val="TableBody"/>
            </w:pPr>
            <w:r w:rsidRPr="0080673D">
              <w:t>3.</w:t>
            </w:r>
            <w:r w:rsidR="007E3056" w:rsidRPr="0080673D">
              <w:t>62</w:t>
            </w:r>
          </w:p>
        </w:tc>
        <w:tc>
          <w:tcPr>
            <w:tcW w:w="192" w:type="pct"/>
          </w:tcPr>
          <w:p w14:paraId="14C8BD72" w14:textId="77777777" w:rsidR="00725213" w:rsidRPr="0080673D" w:rsidRDefault="00725213" w:rsidP="00BC3CD1">
            <w:pPr>
              <w:pStyle w:val="TableBody"/>
            </w:pPr>
          </w:p>
        </w:tc>
        <w:tc>
          <w:tcPr>
            <w:tcW w:w="770" w:type="pct"/>
          </w:tcPr>
          <w:p w14:paraId="7418897D" w14:textId="25F88EF5" w:rsidR="00725213" w:rsidRPr="0080673D" w:rsidRDefault="00D869C8" w:rsidP="00BC3CD1">
            <w:pPr>
              <w:pStyle w:val="TableBody"/>
              <w:rPr>
                <w:sz w:val="24"/>
                <w:szCs w:val="24"/>
              </w:rPr>
            </w:pPr>
            <w:r w:rsidRPr="0080673D">
              <w:t>389.1</w:t>
            </w:r>
          </w:p>
        </w:tc>
        <w:tc>
          <w:tcPr>
            <w:tcW w:w="577" w:type="pct"/>
          </w:tcPr>
          <w:p w14:paraId="6C5F80C3" w14:textId="4B912379" w:rsidR="00725213" w:rsidRPr="0080673D" w:rsidRDefault="00725213" w:rsidP="00BC3CD1">
            <w:pPr>
              <w:pStyle w:val="TableBody"/>
            </w:pPr>
            <w:r w:rsidRPr="0080673D">
              <w:t>2.</w:t>
            </w:r>
            <w:r w:rsidR="007E3056" w:rsidRPr="0080673D">
              <w:t>41</w:t>
            </w:r>
          </w:p>
        </w:tc>
        <w:tc>
          <w:tcPr>
            <w:tcW w:w="962" w:type="pct"/>
          </w:tcPr>
          <w:p w14:paraId="26DB9886" w14:textId="1A0AA3F7" w:rsidR="00725213" w:rsidRPr="00556D85" w:rsidRDefault="00725213" w:rsidP="00BC3CD1">
            <w:pPr>
              <w:pStyle w:val="TableBody"/>
            </w:pPr>
            <w:r>
              <w:t>1.</w:t>
            </w:r>
            <w:r w:rsidR="005B418A">
              <w:t>21</w:t>
            </w:r>
          </w:p>
        </w:tc>
      </w:tr>
      <w:tr w:rsidR="00725213" w:rsidRPr="00556D85" w14:paraId="47BE8928" w14:textId="77777777" w:rsidTr="005265DE">
        <w:trPr>
          <w:trHeight w:val="106"/>
          <w:jc w:val="center"/>
        </w:trPr>
        <w:tc>
          <w:tcPr>
            <w:tcW w:w="962" w:type="pct"/>
          </w:tcPr>
          <w:p w14:paraId="62CE50D5" w14:textId="77777777" w:rsidR="00725213" w:rsidRPr="00556D85" w:rsidRDefault="00725213" w:rsidP="00BC3CD1">
            <w:pPr>
              <w:pStyle w:val="TableRowIndent"/>
            </w:pPr>
            <w:r w:rsidRPr="00556D85">
              <w:t>Year 5</w:t>
            </w:r>
          </w:p>
        </w:tc>
        <w:tc>
          <w:tcPr>
            <w:tcW w:w="192" w:type="pct"/>
          </w:tcPr>
          <w:p w14:paraId="1FFFE2B5" w14:textId="77777777" w:rsidR="00725213" w:rsidRPr="00556D85" w:rsidRDefault="00725213" w:rsidP="00BC3CD1">
            <w:pPr>
              <w:pStyle w:val="TableBody"/>
            </w:pPr>
          </w:p>
        </w:tc>
        <w:tc>
          <w:tcPr>
            <w:tcW w:w="770" w:type="pct"/>
          </w:tcPr>
          <w:p w14:paraId="36A8FFBD" w14:textId="45F9A4B2" w:rsidR="00725213" w:rsidRPr="00556D85" w:rsidRDefault="00D869C8" w:rsidP="00BC3CD1">
            <w:pPr>
              <w:pStyle w:val="TableBody"/>
            </w:pPr>
            <w:r>
              <w:t>529.3</w:t>
            </w:r>
          </w:p>
        </w:tc>
        <w:tc>
          <w:tcPr>
            <w:tcW w:w="577" w:type="pct"/>
          </w:tcPr>
          <w:p w14:paraId="0C67C22A" w14:textId="15301171" w:rsidR="00725213" w:rsidRPr="0080673D" w:rsidRDefault="00725213" w:rsidP="00BC3CD1">
            <w:pPr>
              <w:pStyle w:val="TableBody"/>
            </w:pPr>
            <w:r w:rsidRPr="0080673D">
              <w:t>6.</w:t>
            </w:r>
            <w:r w:rsidR="007E3056" w:rsidRPr="0080673D">
              <w:t>16</w:t>
            </w:r>
          </w:p>
        </w:tc>
        <w:tc>
          <w:tcPr>
            <w:tcW w:w="192" w:type="pct"/>
          </w:tcPr>
          <w:p w14:paraId="03908A32" w14:textId="77777777" w:rsidR="00725213" w:rsidRPr="0080673D" w:rsidRDefault="00725213" w:rsidP="00BC3CD1">
            <w:pPr>
              <w:pStyle w:val="TableBody"/>
            </w:pPr>
          </w:p>
        </w:tc>
        <w:tc>
          <w:tcPr>
            <w:tcW w:w="770" w:type="pct"/>
          </w:tcPr>
          <w:p w14:paraId="5B1257D6" w14:textId="7019C82E" w:rsidR="00725213" w:rsidRPr="0080673D" w:rsidRDefault="00D869C8" w:rsidP="00BC3CD1">
            <w:pPr>
              <w:pStyle w:val="TableBody"/>
              <w:rPr>
                <w:sz w:val="24"/>
                <w:szCs w:val="24"/>
              </w:rPr>
            </w:pPr>
            <w:r w:rsidRPr="0080673D">
              <w:t>471.3</w:t>
            </w:r>
          </w:p>
        </w:tc>
        <w:tc>
          <w:tcPr>
            <w:tcW w:w="577" w:type="pct"/>
          </w:tcPr>
          <w:p w14:paraId="69C08501" w14:textId="28218C64" w:rsidR="00725213" w:rsidRPr="0080673D" w:rsidRDefault="00725213" w:rsidP="00BC3CD1">
            <w:pPr>
              <w:pStyle w:val="TableBody"/>
            </w:pPr>
            <w:r w:rsidRPr="0080673D">
              <w:t>4.</w:t>
            </w:r>
            <w:r w:rsidR="007E3056" w:rsidRPr="0080673D">
              <w:t>14</w:t>
            </w:r>
          </w:p>
        </w:tc>
        <w:tc>
          <w:tcPr>
            <w:tcW w:w="962" w:type="pct"/>
          </w:tcPr>
          <w:p w14:paraId="19BB7685" w14:textId="2A139F96" w:rsidR="00725213" w:rsidRPr="00556D85" w:rsidRDefault="005B418A" w:rsidP="00BC3CD1">
            <w:pPr>
              <w:pStyle w:val="TableBody"/>
            </w:pPr>
            <w:r>
              <w:t>2.02</w:t>
            </w:r>
          </w:p>
        </w:tc>
      </w:tr>
      <w:tr w:rsidR="00725213" w:rsidRPr="00556D85" w14:paraId="22777DD9" w14:textId="77777777" w:rsidTr="005265DE">
        <w:trPr>
          <w:trHeight w:val="227"/>
          <w:jc w:val="center"/>
        </w:trPr>
        <w:tc>
          <w:tcPr>
            <w:tcW w:w="962" w:type="pct"/>
          </w:tcPr>
          <w:p w14:paraId="73A0B040" w14:textId="77777777" w:rsidR="00725213" w:rsidRPr="00556D85" w:rsidRDefault="00725213" w:rsidP="00BC3CD1">
            <w:pPr>
              <w:pStyle w:val="TableRowIndent"/>
            </w:pPr>
            <w:r w:rsidRPr="00556D85">
              <w:t>Year 7</w:t>
            </w:r>
          </w:p>
        </w:tc>
        <w:tc>
          <w:tcPr>
            <w:tcW w:w="192" w:type="pct"/>
          </w:tcPr>
          <w:p w14:paraId="76967697" w14:textId="77777777" w:rsidR="00725213" w:rsidRPr="00556D85" w:rsidRDefault="00725213" w:rsidP="00BC3CD1">
            <w:pPr>
              <w:pStyle w:val="TableBody"/>
            </w:pPr>
          </w:p>
        </w:tc>
        <w:tc>
          <w:tcPr>
            <w:tcW w:w="770" w:type="pct"/>
          </w:tcPr>
          <w:p w14:paraId="05507C11" w14:textId="5AB39AC0" w:rsidR="00725213" w:rsidRPr="00556D85" w:rsidRDefault="00D869C8" w:rsidP="00BC3CD1">
            <w:pPr>
              <w:pStyle w:val="TableBody"/>
            </w:pPr>
            <w:r>
              <w:t>560.1</w:t>
            </w:r>
            <w:r w:rsidR="00725213" w:rsidRPr="00556D85">
              <w:t xml:space="preserve"> </w:t>
            </w:r>
          </w:p>
        </w:tc>
        <w:tc>
          <w:tcPr>
            <w:tcW w:w="577" w:type="pct"/>
          </w:tcPr>
          <w:p w14:paraId="7BB4395E" w14:textId="37449C28" w:rsidR="00725213" w:rsidRPr="0080673D" w:rsidRDefault="00725213" w:rsidP="00BC3CD1">
            <w:pPr>
              <w:pStyle w:val="TableBody"/>
            </w:pPr>
            <w:r w:rsidRPr="0080673D">
              <w:t>7.</w:t>
            </w:r>
            <w:r w:rsidR="007E3056" w:rsidRPr="0080673D">
              <w:t>68</w:t>
            </w:r>
          </w:p>
        </w:tc>
        <w:tc>
          <w:tcPr>
            <w:tcW w:w="192" w:type="pct"/>
          </w:tcPr>
          <w:p w14:paraId="4C09B6E5" w14:textId="77777777" w:rsidR="00725213" w:rsidRPr="0080673D" w:rsidRDefault="00725213" w:rsidP="00BC3CD1">
            <w:pPr>
              <w:pStyle w:val="TableBody"/>
            </w:pPr>
          </w:p>
        </w:tc>
        <w:tc>
          <w:tcPr>
            <w:tcW w:w="770" w:type="pct"/>
          </w:tcPr>
          <w:p w14:paraId="2BBA50D3" w14:textId="56453C1B" w:rsidR="00725213" w:rsidRPr="0080673D" w:rsidRDefault="00D869C8" w:rsidP="00C4109E">
            <w:pPr>
              <w:pStyle w:val="TableBody"/>
              <w:rPr>
                <w:sz w:val="24"/>
                <w:szCs w:val="24"/>
              </w:rPr>
            </w:pPr>
            <w:r w:rsidRPr="0080673D">
              <w:t>512.6</w:t>
            </w:r>
          </w:p>
        </w:tc>
        <w:tc>
          <w:tcPr>
            <w:tcW w:w="577" w:type="pct"/>
          </w:tcPr>
          <w:p w14:paraId="25BB7C21" w14:textId="2998AA05" w:rsidR="00725213" w:rsidRPr="0080673D" w:rsidRDefault="00725213" w:rsidP="00BC3CD1">
            <w:pPr>
              <w:pStyle w:val="TableBody"/>
            </w:pPr>
            <w:r w:rsidRPr="0080673D">
              <w:t>5.</w:t>
            </w:r>
            <w:r w:rsidR="007E3056" w:rsidRPr="0080673D">
              <w:t>49</w:t>
            </w:r>
          </w:p>
        </w:tc>
        <w:tc>
          <w:tcPr>
            <w:tcW w:w="962" w:type="pct"/>
          </w:tcPr>
          <w:p w14:paraId="2495D0C9" w14:textId="60BF3823" w:rsidR="00725213" w:rsidRPr="00556D85" w:rsidRDefault="00725213" w:rsidP="00BC3CD1">
            <w:pPr>
              <w:pStyle w:val="TableBody"/>
            </w:pPr>
            <w:r>
              <w:t>2.</w:t>
            </w:r>
            <w:r w:rsidR="005B418A">
              <w:t>19</w:t>
            </w:r>
          </w:p>
        </w:tc>
      </w:tr>
    </w:tbl>
    <w:p w14:paraId="51852826" w14:textId="409EA836" w:rsidR="003F47C0" w:rsidRDefault="003F47C0" w:rsidP="005B2C60">
      <w:pPr>
        <w:spacing w:after="0"/>
      </w:pPr>
    </w:p>
    <w:p w14:paraId="0E51341C" w14:textId="7F587DD2" w:rsidR="009F54FD" w:rsidRDefault="009F54FD" w:rsidP="00BA2BA4">
      <w:pPr>
        <w:spacing w:after="0"/>
      </w:pPr>
      <w:r w:rsidRPr="009F54FD">
        <w:t>It can be seen in</w:t>
      </w:r>
      <w:r w:rsidR="00416CA1">
        <w:t xml:space="preserve"> Table 1 t</w:t>
      </w:r>
      <w:r w:rsidRPr="009F54FD">
        <w:t>hat for numeracy, the not-DV group are tracking almost half a year ahead of the national average in Year 3 (which by definition is set at 3 years) whereas the DV group are around half a year behind the national average. The gap between not-DV and DV groups at Year 3 is equal to a full year of learning. The scores in Years 5 and 7 reveal a widening gap between the DV and not-DV groups such that by Year 7 the not-DV group are over two years ahead of their DV peers. The results for reading are very similar to those for numeracy with a greater than 2 year gap in learning between DV and not DV groups apparent at Year 7.</w:t>
      </w:r>
    </w:p>
    <w:p w14:paraId="2E96F255" w14:textId="77777777" w:rsidR="00DD5234" w:rsidRDefault="00DD5234" w:rsidP="00BA2BA4">
      <w:pPr>
        <w:spacing w:after="0"/>
      </w:pPr>
    </w:p>
    <w:p w14:paraId="6E80AC2B" w14:textId="4701366D" w:rsidR="009522D3" w:rsidRPr="007746B4" w:rsidRDefault="00211561" w:rsidP="00222F6C">
      <w:pPr>
        <w:pStyle w:val="Heading2"/>
        <w:spacing w:before="0" w:after="120"/>
      </w:pPr>
      <w:bookmarkStart w:id="45" w:name="_Toc501120740"/>
      <w:r w:rsidRPr="007746B4">
        <w:t>Relationship between</w:t>
      </w:r>
      <w:r w:rsidR="009522D3" w:rsidRPr="007746B4">
        <w:t xml:space="preserve"> developmental vulnerability </w:t>
      </w:r>
      <w:r w:rsidRPr="007746B4">
        <w:t>and</w:t>
      </w:r>
      <w:r w:rsidR="009522D3" w:rsidRPr="007746B4">
        <w:t xml:space="preserve"> Year 7 learning success</w:t>
      </w:r>
      <w:bookmarkEnd w:id="45"/>
    </w:p>
    <w:p w14:paraId="18C7572D" w14:textId="5C314876" w:rsidR="00A43BBD" w:rsidRDefault="009F54FD" w:rsidP="00D52B12">
      <w:r w:rsidRPr="007746B4">
        <w:t xml:space="preserve">A total of 83.8% of participants in the CATS sample attained the Year 7 numeracy learning </w:t>
      </w:r>
      <w:r w:rsidR="0095595F" w:rsidRPr="007746B4">
        <w:t>threshold</w:t>
      </w:r>
      <w:r w:rsidRPr="007746B4">
        <w:t xml:space="preserve"> and 79.</w:t>
      </w:r>
      <w:r w:rsidR="004811E5" w:rsidRPr="007746B4">
        <w:t>1</w:t>
      </w:r>
      <w:r w:rsidRPr="007746B4">
        <w:t xml:space="preserve">% attained the Year 7 reading </w:t>
      </w:r>
      <w:r w:rsidR="0095595F" w:rsidRPr="007746B4">
        <w:t>threshold</w:t>
      </w:r>
      <w:r w:rsidRPr="007746B4">
        <w:t>. We then examined the number of students in each of 4 possible pathways between DV status in the first year of primary school and Year 7 learning</w:t>
      </w:r>
      <w:r w:rsidRPr="009F54FD">
        <w:t xml:space="preserve"> success: (1) starting school with DV and failing to attain the Year 7 </w:t>
      </w:r>
      <w:r w:rsidR="0095595F">
        <w:t>threshold</w:t>
      </w:r>
      <w:r w:rsidRPr="009F54FD">
        <w:t xml:space="preserve"> [continuing at risk]; (2) starting DV and attaining the Year 7 </w:t>
      </w:r>
      <w:r w:rsidR="0095595F">
        <w:t>threshold</w:t>
      </w:r>
      <w:r w:rsidRPr="009F54FD">
        <w:t xml:space="preserve"> [reducing in risk]; (3) starting school not-DV and attaining the Year 7 </w:t>
      </w:r>
      <w:r w:rsidR="0095595F">
        <w:t>threshold</w:t>
      </w:r>
      <w:r w:rsidRPr="009F54FD">
        <w:t xml:space="preserve"> [continuing on track] and (4) starting school not-DV and failing to reach the Year 7 </w:t>
      </w:r>
      <w:r w:rsidR="0095595F">
        <w:t>threshold</w:t>
      </w:r>
      <w:r w:rsidRPr="009F54FD">
        <w:t xml:space="preserve"> [newly at risk].</w:t>
      </w:r>
      <w:r>
        <w:t xml:space="preserve"> </w:t>
      </w:r>
      <w:r w:rsidR="00C6358A">
        <w:t>The</w:t>
      </w:r>
      <w:r w:rsidR="00103A64">
        <w:t xml:space="preserve"> </w:t>
      </w:r>
      <w:r w:rsidR="00C6358A">
        <w:t xml:space="preserve">numbers in these </w:t>
      </w:r>
      <w:r w:rsidR="00103A64">
        <w:t xml:space="preserve">groups </w:t>
      </w:r>
      <w:proofErr w:type="gramStart"/>
      <w:r w:rsidR="00103A64">
        <w:t xml:space="preserve">are </w:t>
      </w:r>
      <w:r w:rsidR="00840C0C">
        <w:t>illustrated</w:t>
      </w:r>
      <w:proofErr w:type="gramEnd"/>
      <w:r w:rsidR="00103A64">
        <w:t xml:space="preserve"> in </w:t>
      </w:r>
      <w:r w:rsidR="005C4382">
        <w:fldChar w:fldCharType="begin"/>
      </w:r>
      <w:r w:rsidR="005C4382">
        <w:instrText xml:space="preserve"> REF _Ref501029121 \h </w:instrText>
      </w:r>
      <w:r w:rsidR="005C4382">
        <w:fldChar w:fldCharType="separate"/>
      </w:r>
      <w:r w:rsidR="004C27B3">
        <w:t xml:space="preserve">Figure </w:t>
      </w:r>
      <w:r w:rsidR="004C27B3">
        <w:rPr>
          <w:noProof/>
        </w:rPr>
        <w:t>5</w:t>
      </w:r>
      <w:r w:rsidR="005C4382">
        <w:fldChar w:fldCharType="end"/>
      </w:r>
      <w:r w:rsidR="005C4382">
        <w:t xml:space="preserve"> and </w:t>
      </w:r>
      <w:r w:rsidR="005C4382">
        <w:fldChar w:fldCharType="begin"/>
      </w:r>
      <w:r w:rsidR="005C4382">
        <w:instrText xml:space="preserve"> REF _Ref501029122 \h </w:instrText>
      </w:r>
      <w:r w:rsidR="005C4382">
        <w:fldChar w:fldCharType="separate"/>
      </w:r>
      <w:r w:rsidR="004C27B3">
        <w:t xml:space="preserve">Figure </w:t>
      </w:r>
      <w:r w:rsidR="004C27B3">
        <w:rPr>
          <w:noProof/>
        </w:rPr>
        <w:t>6</w:t>
      </w:r>
      <w:r w:rsidR="005C4382">
        <w:fldChar w:fldCharType="end"/>
      </w:r>
      <w:r w:rsidR="00103A64">
        <w:t xml:space="preserve"> </w:t>
      </w:r>
      <w:r w:rsidR="00163D45">
        <w:t>on the following page</w:t>
      </w:r>
      <w:r w:rsidR="00103A64">
        <w:t>.</w:t>
      </w:r>
    </w:p>
    <w:p w14:paraId="2859121B" w14:textId="04C6B326" w:rsidR="00747435" w:rsidRDefault="001E25C3" w:rsidP="005B2C60">
      <w:pPr>
        <w:spacing w:after="0"/>
        <w:jc w:val="center"/>
      </w:pPr>
      <w:r>
        <w:rPr>
          <w:noProof/>
          <w:lang w:eastAsia="en-AU"/>
        </w:rPr>
        <w:drawing>
          <wp:inline distT="0" distB="0" distL="0" distR="0" wp14:anchorId="55D37472" wp14:editId="7527A7DB">
            <wp:extent cx="3619500" cy="2924175"/>
            <wp:effectExtent l="0" t="0" r="0" b="9525"/>
            <wp:docPr id="10" name="Picture 10" descr="Diagram showing the pathways of development and learning in Numeracy from the first year of primary school (when students undertook the Australian Early Development Census and had their developmental vulnerability assessed) to Year 7.&#10;&#10;The commentary below the chart describes the distribution." title="Figure 5. Pathways of development and learning between the first year of primary school and Year 7:  num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5.JPG"/>
                    <pic:cNvPicPr/>
                  </pic:nvPicPr>
                  <pic:blipFill>
                    <a:blip r:embed="rId25">
                      <a:extLst>
                        <a:ext uri="{28A0092B-C50C-407E-A947-70E740481C1C}">
                          <a14:useLocalDpi xmlns:a14="http://schemas.microsoft.com/office/drawing/2010/main" val="0"/>
                        </a:ext>
                      </a:extLst>
                    </a:blip>
                    <a:stretch>
                      <a:fillRect/>
                    </a:stretch>
                  </pic:blipFill>
                  <pic:spPr>
                    <a:xfrm>
                      <a:off x="0" y="0"/>
                      <a:ext cx="3619500" cy="2924175"/>
                    </a:xfrm>
                    <a:prstGeom prst="rect">
                      <a:avLst/>
                    </a:prstGeom>
                  </pic:spPr>
                </pic:pic>
              </a:graphicData>
            </a:graphic>
          </wp:inline>
        </w:drawing>
      </w:r>
    </w:p>
    <w:p w14:paraId="432F74F3" w14:textId="38F7121C" w:rsidR="00103A64" w:rsidRDefault="00296B7A" w:rsidP="007D7FE9">
      <w:pPr>
        <w:pStyle w:val="Caption"/>
        <w:spacing w:after="0"/>
      </w:pPr>
      <w:bookmarkStart w:id="46" w:name="_Ref501029121"/>
      <w:bookmarkStart w:id="47" w:name="_Toc500946770"/>
      <w:bookmarkStart w:id="48" w:name="_Toc501014904"/>
      <w:bookmarkStart w:id="49" w:name="_Toc501014918"/>
      <w:bookmarkStart w:id="50" w:name="_Toc502153725"/>
      <w:r>
        <w:t xml:space="preserve">Figure </w:t>
      </w:r>
      <w:r>
        <w:fldChar w:fldCharType="begin"/>
      </w:r>
      <w:r>
        <w:instrText xml:space="preserve"> SEQ Figure \* ARABIC </w:instrText>
      </w:r>
      <w:r>
        <w:fldChar w:fldCharType="separate"/>
      </w:r>
      <w:r w:rsidR="004C27B3">
        <w:rPr>
          <w:noProof/>
        </w:rPr>
        <w:t>5</w:t>
      </w:r>
      <w:r>
        <w:fldChar w:fldCharType="end"/>
      </w:r>
      <w:bookmarkEnd w:id="46"/>
      <w:r>
        <w:t xml:space="preserve">. </w:t>
      </w:r>
      <w:r w:rsidRPr="00DF0BDF">
        <w:t>Pathways of development and learning between the first year of primary school and Year 7: numeracy</w:t>
      </w:r>
      <w:r>
        <w:t>.</w:t>
      </w:r>
      <w:bookmarkEnd w:id="47"/>
      <w:bookmarkEnd w:id="48"/>
      <w:bookmarkEnd w:id="49"/>
      <w:bookmarkEnd w:id="50"/>
    </w:p>
    <w:p w14:paraId="4C0661AE" w14:textId="77777777" w:rsidR="00796201" w:rsidRPr="00796201" w:rsidRDefault="00796201" w:rsidP="005265DE">
      <w:pPr>
        <w:spacing w:after="0"/>
      </w:pPr>
    </w:p>
    <w:p w14:paraId="5CBDCF22" w14:textId="3A8A508F" w:rsidR="00CB02EA" w:rsidRDefault="00747435" w:rsidP="005B2C60">
      <w:pPr>
        <w:spacing w:after="0"/>
        <w:rPr>
          <w:noProof/>
          <w:lang w:eastAsia="en-AU"/>
        </w:rPr>
      </w:pPr>
      <w:r w:rsidRPr="007746B4">
        <w:t xml:space="preserve">It </w:t>
      </w:r>
      <w:proofErr w:type="gramStart"/>
      <w:r w:rsidRPr="007746B4">
        <w:t>can be seen</w:t>
      </w:r>
      <w:proofErr w:type="gramEnd"/>
      <w:r w:rsidRPr="007746B4">
        <w:t xml:space="preserve"> in </w:t>
      </w:r>
      <w:r w:rsidR="005C4382" w:rsidRPr="00057A30">
        <w:fldChar w:fldCharType="begin"/>
      </w:r>
      <w:r w:rsidR="005C4382" w:rsidRPr="007746B4">
        <w:instrText xml:space="preserve"> REF _Ref501029121 \h </w:instrText>
      </w:r>
      <w:r w:rsidR="007746B4">
        <w:instrText xml:space="preserve"> \* MERGEFORMAT </w:instrText>
      </w:r>
      <w:r w:rsidR="005C4382" w:rsidRPr="00057A30">
        <w:fldChar w:fldCharType="separate"/>
      </w:r>
      <w:r w:rsidR="004C27B3">
        <w:t xml:space="preserve">Figure </w:t>
      </w:r>
      <w:r w:rsidR="004C27B3">
        <w:rPr>
          <w:noProof/>
        </w:rPr>
        <w:t>5</w:t>
      </w:r>
      <w:r w:rsidR="005C4382" w:rsidRPr="00057A30">
        <w:fldChar w:fldCharType="end"/>
      </w:r>
      <w:r w:rsidR="005C4382" w:rsidRPr="007746B4">
        <w:t xml:space="preserve"> </w:t>
      </w:r>
      <w:r w:rsidR="009F54FD" w:rsidRPr="007746B4">
        <w:t xml:space="preserve">that the vast majority of students starting school not-DV go on to attain the Year 7 numeracy </w:t>
      </w:r>
      <w:r w:rsidR="0095595F" w:rsidRPr="007746B4">
        <w:t>threshold</w:t>
      </w:r>
      <w:r w:rsidR="009F54FD" w:rsidRPr="007746B4">
        <w:t xml:space="preserve"> (</w:t>
      </w:r>
      <w:r w:rsidR="00EA46C2" w:rsidRPr="005265DE">
        <w:t>87.7</w:t>
      </w:r>
      <w:r w:rsidR="009F54FD" w:rsidRPr="005265DE">
        <w:t>%).</w:t>
      </w:r>
      <w:r w:rsidR="009F54FD" w:rsidRPr="007746B4">
        <w:t xml:space="preserve"> In contrast, only </w:t>
      </w:r>
      <w:r w:rsidR="00EA46C2" w:rsidRPr="005265DE">
        <w:t>62.8</w:t>
      </w:r>
      <w:r w:rsidR="009F54FD" w:rsidRPr="005265DE">
        <w:t>%</w:t>
      </w:r>
      <w:r w:rsidR="009F54FD" w:rsidRPr="007746B4">
        <w:t xml:space="preserve"> of participants starting school DV attain the numeracy </w:t>
      </w:r>
      <w:r w:rsidR="0095595F" w:rsidRPr="007746B4">
        <w:t>threshold</w:t>
      </w:r>
      <w:r w:rsidR="009F54FD" w:rsidRPr="007746B4">
        <w:t xml:space="preserve">. From this analysis we can see that DV status is not a precise indicator of future learning success given that of the 133 CATS participants failing to reach the Year 7 numeracy </w:t>
      </w:r>
      <w:r w:rsidR="0095595F" w:rsidRPr="007746B4">
        <w:t>threshold</w:t>
      </w:r>
      <w:r w:rsidR="009F54FD" w:rsidRPr="007746B4">
        <w:t>, 85 (</w:t>
      </w:r>
      <w:r w:rsidR="00EA46C2" w:rsidRPr="005265DE">
        <w:t>63.9</w:t>
      </w:r>
      <w:r w:rsidR="009F54FD" w:rsidRPr="005265DE">
        <w:t>%</w:t>
      </w:r>
      <w:r w:rsidR="009F54FD" w:rsidRPr="007746B4">
        <w:t>) did not present with any DV indicators at school entry.</w:t>
      </w:r>
      <w:r w:rsidR="009F54FD" w:rsidRPr="00CB02EA">
        <w:rPr>
          <w:noProof/>
          <w:lang w:eastAsia="en-AU"/>
        </w:rPr>
        <w:t xml:space="preserve"> </w:t>
      </w:r>
      <w:r w:rsidR="00CB02EA" w:rsidRPr="00CB02EA">
        <w:rPr>
          <w:noProof/>
          <w:lang w:eastAsia="en-AU"/>
        </w:rPr>
        <w:t xml:space="preserve"> </w:t>
      </w:r>
    </w:p>
    <w:p w14:paraId="100BFAD5" w14:textId="77777777" w:rsidR="005B2C60" w:rsidRDefault="005B2C60" w:rsidP="005B2C60">
      <w:pPr>
        <w:spacing w:after="0"/>
        <w:rPr>
          <w:noProof/>
          <w:lang w:eastAsia="en-AU"/>
        </w:rPr>
      </w:pPr>
    </w:p>
    <w:p w14:paraId="2B7DCD9F" w14:textId="7624CC61" w:rsidR="00296B7A" w:rsidRDefault="001E25C3" w:rsidP="005B2C60">
      <w:pPr>
        <w:spacing w:after="0"/>
        <w:jc w:val="center"/>
      </w:pPr>
      <w:r>
        <w:rPr>
          <w:noProof/>
          <w:lang w:eastAsia="en-AU"/>
        </w:rPr>
        <w:drawing>
          <wp:inline distT="0" distB="0" distL="0" distR="0" wp14:anchorId="7CC19ADF" wp14:editId="51F5B94E">
            <wp:extent cx="3638550" cy="2990850"/>
            <wp:effectExtent l="0" t="0" r="0" b="0"/>
            <wp:docPr id="16" name="Picture 16" descr="Diagram showing the pathways of development and learning in Reading from the first year of primary school (when students undertook the Australian Early Development Census and had their developmental vulnerability assessed) to Year 7.&#10;&#10;The commentary below the chart describes the distribution." title="Figure 6. Pathways of development and learning between the first year of primary school and Year 7: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6.JPG"/>
                    <pic:cNvPicPr/>
                  </pic:nvPicPr>
                  <pic:blipFill>
                    <a:blip r:embed="rId26">
                      <a:extLst>
                        <a:ext uri="{28A0092B-C50C-407E-A947-70E740481C1C}">
                          <a14:useLocalDpi xmlns:a14="http://schemas.microsoft.com/office/drawing/2010/main" val="0"/>
                        </a:ext>
                      </a:extLst>
                    </a:blip>
                    <a:stretch>
                      <a:fillRect/>
                    </a:stretch>
                  </pic:blipFill>
                  <pic:spPr>
                    <a:xfrm>
                      <a:off x="0" y="0"/>
                      <a:ext cx="3638550" cy="2990850"/>
                    </a:xfrm>
                    <a:prstGeom prst="rect">
                      <a:avLst/>
                    </a:prstGeom>
                  </pic:spPr>
                </pic:pic>
              </a:graphicData>
            </a:graphic>
          </wp:inline>
        </w:drawing>
      </w:r>
    </w:p>
    <w:p w14:paraId="6EFF43F0" w14:textId="2D9F0881" w:rsidR="00880D48" w:rsidRDefault="00296B7A" w:rsidP="007F76A2">
      <w:pPr>
        <w:pStyle w:val="Caption"/>
        <w:spacing w:after="0"/>
      </w:pPr>
      <w:bookmarkStart w:id="51" w:name="_Ref501029122"/>
      <w:bookmarkStart w:id="52" w:name="_Toc500946771"/>
      <w:bookmarkStart w:id="53" w:name="_Toc501014905"/>
      <w:bookmarkStart w:id="54" w:name="_Toc501014919"/>
      <w:bookmarkStart w:id="55" w:name="_Toc502153726"/>
      <w:r>
        <w:t xml:space="preserve">Figure </w:t>
      </w:r>
      <w:r>
        <w:fldChar w:fldCharType="begin"/>
      </w:r>
      <w:r>
        <w:instrText xml:space="preserve"> SEQ Figure \* ARABIC </w:instrText>
      </w:r>
      <w:r>
        <w:fldChar w:fldCharType="separate"/>
      </w:r>
      <w:r w:rsidR="004C27B3">
        <w:rPr>
          <w:noProof/>
        </w:rPr>
        <w:t>6</w:t>
      </w:r>
      <w:r>
        <w:fldChar w:fldCharType="end"/>
      </w:r>
      <w:bookmarkEnd w:id="51"/>
      <w:r>
        <w:t xml:space="preserve">. </w:t>
      </w:r>
      <w:r w:rsidRPr="000D09A4">
        <w:t>Pathways of development and learning between the first year of primary school and Year 7: reading</w:t>
      </w:r>
      <w:r>
        <w:t>.</w:t>
      </w:r>
      <w:bookmarkEnd w:id="52"/>
      <w:bookmarkEnd w:id="53"/>
      <w:bookmarkEnd w:id="54"/>
      <w:bookmarkEnd w:id="55"/>
    </w:p>
    <w:p w14:paraId="03FB30BD" w14:textId="77777777" w:rsidR="00796201" w:rsidRPr="00796201" w:rsidRDefault="00796201" w:rsidP="005265DE"/>
    <w:p w14:paraId="4B12E04F" w14:textId="066B7ACC" w:rsidR="005B2C60" w:rsidRPr="007746B4" w:rsidRDefault="005C4382" w:rsidP="005B2C60">
      <w:pPr>
        <w:spacing w:after="0"/>
      </w:pPr>
      <w:r w:rsidRPr="00057A30">
        <w:fldChar w:fldCharType="begin"/>
      </w:r>
      <w:r w:rsidRPr="007746B4">
        <w:instrText xml:space="preserve"> REF _Ref501029122 \h </w:instrText>
      </w:r>
      <w:r w:rsidR="007746B4">
        <w:instrText xml:space="preserve"> \* MERGEFORMAT </w:instrText>
      </w:r>
      <w:r w:rsidRPr="00057A30">
        <w:fldChar w:fldCharType="separate"/>
      </w:r>
      <w:r w:rsidR="004C27B3">
        <w:t xml:space="preserve">Figure </w:t>
      </w:r>
      <w:r w:rsidR="004C27B3">
        <w:rPr>
          <w:noProof/>
        </w:rPr>
        <w:t>6</w:t>
      </w:r>
      <w:r w:rsidRPr="00057A30">
        <w:fldChar w:fldCharType="end"/>
      </w:r>
      <w:r w:rsidRPr="007746B4">
        <w:t xml:space="preserve"> </w:t>
      </w:r>
      <w:r w:rsidR="00694F83" w:rsidRPr="007746B4">
        <w:t xml:space="preserve">shows similar trends to those seen for the Year 7 </w:t>
      </w:r>
      <w:proofErr w:type="gramStart"/>
      <w:r w:rsidR="00694F83" w:rsidRPr="007746B4">
        <w:t>numeracy learning</w:t>
      </w:r>
      <w:proofErr w:type="gramEnd"/>
      <w:r w:rsidR="00694F83" w:rsidRPr="007746B4">
        <w:t xml:space="preserve"> outcome. A higher proportion of not-DV students went on to attain the Year 7 reading </w:t>
      </w:r>
      <w:r w:rsidR="0095595F" w:rsidRPr="007746B4">
        <w:t>threshold</w:t>
      </w:r>
      <w:r w:rsidR="00694F83" w:rsidRPr="007746B4">
        <w:t xml:space="preserve"> compared to DV students (</w:t>
      </w:r>
      <w:r w:rsidR="00EA46C2" w:rsidRPr="005265DE">
        <w:t>83.5</w:t>
      </w:r>
      <w:r w:rsidR="00694F83" w:rsidRPr="005265DE">
        <w:t>% not-DV, 55</w:t>
      </w:r>
      <w:r w:rsidR="00EA46C2" w:rsidRPr="005265DE">
        <w:t>.4</w:t>
      </w:r>
      <w:r w:rsidR="00694F83" w:rsidRPr="005265DE">
        <w:t>% DV</w:t>
      </w:r>
      <w:r w:rsidR="00694F83" w:rsidRPr="007746B4">
        <w:t>). Reaffirming our previous observation, we found 114 (</w:t>
      </w:r>
      <w:r w:rsidR="00694F83" w:rsidRPr="005265DE">
        <w:t>66</w:t>
      </w:r>
      <w:r w:rsidR="00EA46C2" w:rsidRPr="007746B4">
        <w:t>.3</w:t>
      </w:r>
      <w:r w:rsidR="00694F83" w:rsidRPr="007746B4">
        <w:t xml:space="preserve">%) of the 172 CATS participants who failed to meet the Year 7 reading </w:t>
      </w:r>
      <w:r w:rsidR="0095595F" w:rsidRPr="007746B4">
        <w:t>threshold</w:t>
      </w:r>
      <w:r w:rsidR="00694F83" w:rsidRPr="007746B4">
        <w:t xml:space="preserve"> were not identified as DV at school entry.</w:t>
      </w:r>
    </w:p>
    <w:p w14:paraId="651BD07E" w14:textId="4FB55E1B" w:rsidR="008B0B9E" w:rsidRPr="007746B4" w:rsidRDefault="00AB2D00" w:rsidP="005B2C60">
      <w:pPr>
        <w:spacing w:after="0"/>
      </w:pPr>
      <w:r w:rsidRPr="007746B4">
        <w:t xml:space="preserve"> </w:t>
      </w:r>
    </w:p>
    <w:p w14:paraId="2C32F295" w14:textId="64529E07" w:rsidR="00163D45" w:rsidRPr="007746B4" w:rsidRDefault="003607C8" w:rsidP="00AB2D00">
      <w:pPr>
        <w:spacing w:after="0"/>
      </w:pPr>
      <w:r w:rsidRPr="007746B4">
        <w:t xml:space="preserve">The demographic characteristics of the 4 developmental groups are shown in </w:t>
      </w:r>
      <w:r w:rsidR="00C43223" w:rsidRPr="007746B4">
        <w:t xml:space="preserve">Table 2 </w:t>
      </w:r>
      <w:r w:rsidR="001434A1" w:rsidRPr="007746B4">
        <w:t xml:space="preserve">(numeracy) </w:t>
      </w:r>
      <w:r w:rsidRPr="007746B4">
        <w:t>and</w:t>
      </w:r>
      <w:r w:rsidR="006E2E95" w:rsidRPr="007746B4">
        <w:t xml:space="preserve"> </w:t>
      </w:r>
      <w:r w:rsidR="00C43223" w:rsidRPr="007746B4">
        <w:t xml:space="preserve">Table 3 </w:t>
      </w:r>
      <w:r w:rsidR="001434A1" w:rsidRPr="007746B4">
        <w:t>(reading)</w:t>
      </w:r>
      <w:r w:rsidRPr="007746B4">
        <w:t xml:space="preserve">. </w:t>
      </w:r>
      <w:r w:rsidR="00694F83" w:rsidRPr="007746B4">
        <w:t xml:space="preserve">Some gender differences are observed: for numeracy, although similar proportions of boys and girls remain on track (90.5% boys, 85.6% girls) a higher proportion of boys who started school with DV went on to attain the Year 7 learning </w:t>
      </w:r>
      <w:r w:rsidR="0095595F" w:rsidRPr="007746B4">
        <w:t>threshold</w:t>
      </w:r>
      <w:r w:rsidR="00694F83" w:rsidRPr="007746B4">
        <w:t xml:space="preserve"> compared to girls (66.7% boys, 56.9% girls). These differences were less apparent for the reading outcome (56.4%</w:t>
      </w:r>
      <w:r w:rsidR="00163D45" w:rsidRPr="007746B4">
        <w:t xml:space="preserve"> boys, 53.9% girls)</w:t>
      </w:r>
      <w:r w:rsidR="004811E5" w:rsidRPr="007746B4">
        <w:t>.</w:t>
      </w:r>
    </w:p>
    <w:p w14:paraId="7BE806D9" w14:textId="77777777" w:rsidR="00AB2D00" w:rsidRPr="007746B4" w:rsidRDefault="00AB2D00" w:rsidP="00AB2D00">
      <w:pPr>
        <w:spacing w:after="0"/>
      </w:pPr>
    </w:p>
    <w:p w14:paraId="2D45D33C" w14:textId="4A87C3E4" w:rsidR="00694F83" w:rsidRPr="007746B4" w:rsidRDefault="00694F83" w:rsidP="00AB2D00">
      <w:pPr>
        <w:spacing w:after="0"/>
      </w:pPr>
      <w:r w:rsidRPr="007746B4">
        <w:t xml:space="preserve">The majority of </w:t>
      </w:r>
      <w:r w:rsidR="00E6712B" w:rsidRPr="007746B4">
        <w:t xml:space="preserve">ATSI </w:t>
      </w:r>
      <w:r w:rsidRPr="007746B4">
        <w:t xml:space="preserve">learners starting school with DV attained the Year 7 learning </w:t>
      </w:r>
      <w:r w:rsidR="0095595F" w:rsidRPr="007746B4">
        <w:t>threshold</w:t>
      </w:r>
      <w:r w:rsidRPr="007746B4">
        <w:t>s (</w:t>
      </w:r>
      <w:r w:rsidRPr="005265DE">
        <w:t>80</w:t>
      </w:r>
      <w:r w:rsidR="00E6712B" w:rsidRPr="005265DE">
        <w:t>.0</w:t>
      </w:r>
      <w:r w:rsidRPr="007746B4">
        <w:t>% numeracy and reading). Although caution needs to be used when interpreting these values given the relatively low numbers of ATSI students in the CATS sample, there appears to be higher proportions of</w:t>
      </w:r>
      <w:r w:rsidR="00E6712B" w:rsidRPr="007746B4">
        <w:t xml:space="preserve"> ATSI</w:t>
      </w:r>
      <w:r w:rsidRPr="007746B4">
        <w:t xml:space="preserve"> students catching up compared to non-</w:t>
      </w:r>
      <w:r w:rsidR="00E6712B" w:rsidRPr="007746B4">
        <w:t>ATSI</w:t>
      </w:r>
      <w:r w:rsidRPr="007746B4">
        <w:t xml:space="preserve"> students (numeracy: </w:t>
      </w:r>
      <w:r w:rsidRPr="005265DE">
        <w:t>80</w:t>
      </w:r>
      <w:r w:rsidR="00E6712B" w:rsidRPr="005265DE">
        <w:t>.0</w:t>
      </w:r>
      <w:r w:rsidRPr="005265DE">
        <w:t>%</w:t>
      </w:r>
      <w:r w:rsidRPr="007746B4">
        <w:t xml:space="preserve"> ATSI, 62.5% non-ATSI; reading 80</w:t>
      </w:r>
      <w:r w:rsidR="00EA46C2" w:rsidRPr="007746B4">
        <w:t>.0</w:t>
      </w:r>
      <w:r w:rsidRPr="007746B4">
        <w:t>% ATSI, 54.9% non-ATSI).</w:t>
      </w:r>
    </w:p>
    <w:p w14:paraId="5572A6D5" w14:textId="77777777" w:rsidR="00AB2D00" w:rsidRPr="007746B4" w:rsidRDefault="00AB2D00" w:rsidP="00AB2D00">
      <w:pPr>
        <w:spacing w:after="0"/>
      </w:pPr>
    </w:p>
    <w:p w14:paraId="6AC563F6" w14:textId="5A3C19CD" w:rsidR="00694F83" w:rsidRPr="007746B4" w:rsidRDefault="00694F83" w:rsidP="00AB2D00">
      <w:pPr>
        <w:spacing w:after="0"/>
      </w:pPr>
      <w:r w:rsidRPr="007746B4">
        <w:t xml:space="preserve">The proportion of students in </w:t>
      </w:r>
      <w:r w:rsidR="00E52F52" w:rsidRPr="007746B4">
        <w:t>C</w:t>
      </w:r>
      <w:r w:rsidRPr="007746B4">
        <w:t xml:space="preserve">atholic schools who started school with DV and attained the Year 7 learning </w:t>
      </w:r>
      <w:r w:rsidR="0095595F" w:rsidRPr="007746B4">
        <w:t>threshold</w:t>
      </w:r>
      <w:r w:rsidRPr="007746B4">
        <w:t xml:space="preserve">s was higher than for students attending </w:t>
      </w:r>
      <w:r w:rsidR="00E52F52" w:rsidRPr="007746B4">
        <w:t>g</w:t>
      </w:r>
      <w:r w:rsidRPr="007746B4">
        <w:t xml:space="preserve">overnment schools (numeracy: 78.6% </w:t>
      </w:r>
      <w:r w:rsidR="00E52F52" w:rsidRPr="007746B4">
        <w:t>C</w:t>
      </w:r>
      <w:r w:rsidRPr="007746B4">
        <w:t xml:space="preserve">atholic, 57.6% government; reading 67.9% </w:t>
      </w:r>
      <w:r w:rsidR="00E52F52" w:rsidRPr="007746B4">
        <w:t>C</w:t>
      </w:r>
      <w:r w:rsidRPr="007746B4">
        <w:t>atholic, 51.0% government).</w:t>
      </w:r>
    </w:p>
    <w:p w14:paraId="552DA9D2" w14:textId="77777777" w:rsidR="00AB2D00" w:rsidRPr="007746B4" w:rsidRDefault="00AB2D00" w:rsidP="00AB2D00">
      <w:pPr>
        <w:spacing w:after="0"/>
      </w:pPr>
    </w:p>
    <w:p w14:paraId="25374458" w14:textId="57453B00" w:rsidR="004F2E7B" w:rsidRDefault="00694F83" w:rsidP="00AB2D00">
      <w:pPr>
        <w:spacing w:after="0"/>
      </w:pPr>
      <w:r w:rsidRPr="007746B4">
        <w:t>There were no clear trends according to country of birth, language spoken or SES.</w:t>
      </w:r>
      <w:bookmarkStart w:id="56" w:name="_Ref501026772"/>
      <w:bookmarkStart w:id="57" w:name="_Toc501014920"/>
    </w:p>
    <w:p w14:paraId="15F55402" w14:textId="77777777" w:rsidR="004F2E7B" w:rsidRDefault="004F2E7B">
      <w:pPr>
        <w:spacing w:after="0" w:line="240" w:lineRule="auto"/>
      </w:pPr>
      <w:r>
        <w:br w:type="page"/>
      </w:r>
    </w:p>
    <w:p w14:paraId="7527E920" w14:textId="70EA590C" w:rsidR="00BA4375" w:rsidRDefault="00BA4375" w:rsidP="00BA4375">
      <w:pPr>
        <w:pStyle w:val="Caption"/>
      </w:pPr>
      <w:bookmarkStart w:id="58" w:name="_Toc503780742"/>
      <w:r>
        <w:t xml:space="preserve">Table </w:t>
      </w:r>
      <w:r>
        <w:fldChar w:fldCharType="begin"/>
      </w:r>
      <w:r>
        <w:instrText xml:space="preserve"> SEQ Table \* ARABIC </w:instrText>
      </w:r>
      <w:r>
        <w:fldChar w:fldCharType="separate"/>
      </w:r>
      <w:r w:rsidR="004C27B3">
        <w:rPr>
          <w:noProof/>
        </w:rPr>
        <w:t>2</w:t>
      </w:r>
      <w:r>
        <w:fldChar w:fldCharType="end"/>
      </w:r>
      <w:bookmarkEnd w:id="56"/>
      <w:r>
        <w:t xml:space="preserve">. </w:t>
      </w:r>
      <w:r w:rsidRPr="00E749AE">
        <w:t>Demographic characteristics of the four developmental groups: numeracy</w:t>
      </w:r>
      <w:r>
        <w:t>.</w:t>
      </w:r>
      <w:bookmarkEnd w:id="57"/>
      <w:bookmarkEnd w:id="58"/>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4A0" w:firstRow="1" w:lastRow="0" w:firstColumn="1" w:lastColumn="0" w:noHBand="0" w:noVBand="1"/>
        <w:tblCaption w:val="Table 2. Demographic characteristics of the four developmental groups:  numeracy"/>
      </w:tblPr>
      <w:tblGrid>
        <w:gridCol w:w="3374"/>
        <w:gridCol w:w="1411"/>
        <w:gridCol w:w="1407"/>
        <w:gridCol w:w="1407"/>
        <w:gridCol w:w="1411"/>
      </w:tblGrid>
      <w:tr w:rsidR="004B52BA" w:rsidRPr="00F37E65" w14:paraId="579270FB" w14:textId="77777777" w:rsidTr="005265DE">
        <w:trPr>
          <w:trHeight w:val="560"/>
          <w:jc w:val="center"/>
        </w:trPr>
        <w:tc>
          <w:tcPr>
            <w:tcW w:w="1872" w:type="pct"/>
            <w:shd w:val="clear" w:color="auto" w:fill="0070C0"/>
            <w:noWrap/>
            <w:vAlign w:val="bottom"/>
            <w:hideMark/>
          </w:tcPr>
          <w:p w14:paraId="6FAED40D" w14:textId="77777777" w:rsidR="004B52BA" w:rsidRPr="00F37E65" w:rsidRDefault="004B52BA" w:rsidP="004B52BA">
            <w:pPr>
              <w:pStyle w:val="TableHeader1"/>
              <w:rPr>
                <w:lang w:eastAsia="en-GB"/>
              </w:rPr>
            </w:pPr>
            <w:r w:rsidRPr="00F37E65">
              <w:rPr>
                <w:lang w:eastAsia="en-GB"/>
              </w:rPr>
              <w:t> </w:t>
            </w:r>
          </w:p>
        </w:tc>
        <w:tc>
          <w:tcPr>
            <w:tcW w:w="1564" w:type="pct"/>
            <w:gridSpan w:val="2"/>
            <w:shd w:val="clear" w:color="auto" w:fill="0070C0"/>
            <w:vAlign w:val="bottom"/>
          </w:tcPr>
          <w:p w14:paraId="25527D8F" w14:textId="104DE07E" w:rsidR="004B52BA" w:rsidRPr="00F37E65" w:rsidRDefault="004B52BA" w:rsidP="004B52BA">
            <w:pPr>
              <w:pStyle w:val="TableHeader1"/>
              <w:rPr>
                <w:lang w:eastAsia="en-GB"/>
              </w:rPr>
            </w:pPr>
            <w:r w:rsidRPr="00F37E65">
              <w:rPr>
                <w:lang w:eastAsia="en-GB"/>
              </w:rPr>
              <w:t>Not developmentally vulnerable (n = 692)</w:t>
            </w:r>
          </w:p>
        </w:tc>
        <w:tc>
          <w:tcPr>
            <w:tcW w:w="1564" w:type="pct"/>
            <w:gridSpan w:val="2"/>
            <w:shd w:val="clear" w:color="auto" w:fill="0070C0"/>
            <w:vAlign w:val="bottom"/>
            <w:hideMark/>
          </w:tcPr>
          <w:p w14:paraId="7AF3347C" w14:textId="77777777" w:rsidR="000C02DE" w:rsidRDefault="004B52BA" w:rsidP="004B52BA">
            <w:pPr>
              <w:pStyle w:val="TableHeader1"/>
              <w:rPr>
                <w:lang w:eastAsia="en-GB"/>
              </w:rPr>
            </w:pPr>
            <w:r w:rsidRPr="00F37E65">
              <w:rPr>
                <w:lang w:eastAsia="en-GB"/>
              </w:rPr>
              <w:t xml:space="preserve">Developmentally vulnerable </w:t>
            </w:r>
          </w:p>
          <w:p w14:paraId="169D707C" w14:textId="5F31629F" w:rsidR="004B52BA" w:rsidRPr="00F37E65" w:rsidRDefault="004B52BA" w:rsidP="004B52BA">
            <w:pPr>
              <w:pStyle w:val="TableHeader1"/>
              <w:rPr>
                <w:lang w:eastAsia="en-GB"/>
              </w:rPr>
            </w:pPr>
            <w:r w:rsidRPr="00F37E65">
              <w:rPr>
                <w:lang w:eastAsia="en-GB"/>
              </w:rPr>
              <w:t>(n = 129)</w:t>
            </w:r>
          </w:p>
        </w:tc>
      </w:tr>
      <w:tr w:rsidR="004B52BA" w:rsidRPr="00F37E65" w14:paraId="75D43148" w14:textId="77777777" w:rsidTr="005265DE">
        <w:trPr>
          <w:trHeight w:val="600"/>
          <w:jc w:val="center"/>
        </w:trPr>
        <w:tc>
          <w:tcPr>
            <w:tcW w:w="1872" w:type="pct"/>
            <w:shd w:val="clear" w:color="auto" w:fill="0070C0"/>
            <w:noWrap/>
            <w:vAlign w:val="bottom"/>
            <w:hideMark/>
          </w:tcPr>
          <w:p w14:paraId="28053D5A" w14:textId="77777777" w:rsidR="004B52BA" w:rsidRPr="00F37E65" w:rsidRDefault="004B52BA" w:rsidP="004B52BA">
            <w:pPr>
              <w:pStyle w:val="TableHeader1"/>
              <w:rPr>
                <w:lang w:eastAsia="en-GB"/>
              </w:rPr>
            </w:pPr>
            <w:r w:rsidRPr="00F37E65">
              <w:rPr>
                <w:lang w:eastAsia="en-GB"/>
              </w:rPr>
              <w:t> </w:t>
            </w:r>
          </w:p>
        </w:tc>
        <w:tc>
          <w:tcPr>
            <w:tcW w:w="783" w:type="pct"/>
            <w:shd w:val="clear" w:color="auto" w:fill="0070C0"/>
            <w:vAlign w:val="bottom"/>
          </w:tcPr>
          <w:p w14:paraId="75A346C3" w14:textId="22C371AB" w:rsidR="004B52BA" w:rsidRPr="00F37E65" w:rsidRDefault="004B52BA" w:rsidP="004B52BA">
            <w:pPr>
              <w:pStyle w:val="TableHeader1"/>
              <w:rPr>
                <w:lang w:eastAsia="en-GB"/>
              </w:rPr>
            </w:pPr>
            <w:r w:rsidRPr="00F37E65">
              <w:rPr>
                <w:lang w:eastAsia="en-GB"/>
              </w:rPr>
              <w:t xml:space="preserve">Attained Year 7 </w:t>
            </w:r>
            <w:r w:rsidR="0095595F">
              <w:rPr>
                <w:lang w:eastAsia="en-GB"/>
              </w:rPr>
              <w:t>threshold</w:t>
            </w:r>
          </w:p>
        </w:tc>
        <w:tc>
          <w:tcPr>
            <w:tcW w:w="781" w:type="pct"/>
            <w:shd w:val="clear" w:color="auto" w:fill="0070C0"/>
            <w:vAlign w:val="bottom"/>
          </w:tcPr>
          <w:p w14:paraId="02C057DF" w14:textId="3EEC6F82" w:rsidR="004B52BA" w:rsidRPr="00F37E65" w:rsidRDefault="004B52BA" w:rsidP="004B52BA">
            <w:pPr>
              <w:pStyle w:val="TableHeader1"/>
              <w:rPr>
                <w:lang w:eastAsia="en-GB"/>
              </w:rPr>
            </w:pPr>
            <w:r>
              <w:rPr>
                <w:lang w:eastAsia="en-GB"/>
              </w:rPr>
              <w:t xml:space="preserve">Below </w:t>
            </w:r>
            <w:r w:rsidR="0095595F">
              <w:rPr>
                <w:lang w:eastAsia="en-GB"/>
              </w:rPr>
              <w:t>threshold</w:t>
            </w:r>
            <w:r>
              <w:rPr>
                <w:lang w:eastAsia="en-GB"/>
              </w:rPr>
              <w:t xml:space="preserve"> at Y</w:t>
            </w:r>
            <w:r w:rsidRPr="00F37E65">
              <w:rPr>
                <w:lang w:eastAsia="en-GB"/>
              </w:rPr>
              <w:t>ear 7</w:t>
            </w:r>
          </w:p>
        </w:tc>
        <w:tc>
          <w:tcPr>
            <w:tcW w:w="781" w:type="pct"/>
            <w:shd w:val="clear" w:color="auto" w:fill="0070C0"/>
            <w:vAlign w:val="bottom"/>
            <w:hideMark/>
          </w:tcPr>
          <w:p w14:paraId="2920E201" w14:textId="0F7EA585" w:rsidR="004B52BA" w:rsidRPr="00F37E65" w:rsidRDefault="004B52BA" w:rsidP="004B52BA">
            <w:pPr>
              <w:pStyle w:val="TableHeader1"/>
              <w:rPr>
                <w:lang w:eastAsia="en-GB"/>
              </w:rPr>
            </w:pPr>
            <w:r w:rsidRPr="00F37E65">
              <w:rPr>
                <w:lang w:eastAsia="en-GB"/>
              </w:rPr>
              <w:t xml:space="preserve">Attained Year 7 </w:t>
            </w:r>
            <w:r w:rsidR="0095595F">
              <w:rPr>
                <w:lang w:eastAsia="en-GB"/>
              </w:rPr>
              <w:t>threshold</w:t>
            </w:r>
          </w:p>
        </w:tc>
        <w:tc>
          <w:tcPr>
            <w:tcW w:w="783" w:type="pct"/>
            <w:shd w:val="clear" w:color="auto" w:fill="0070C0"/>
            <w:vAlign w:val="bottom"/>
            <w:hideMark/>
          </w:tcPr>
          <w:p w14:paraId="6D8B0B37" w14:textId="08A0AA40" w:rsidR="004B52BA" w:rsidRPr="00F37E65" w:rsidRDefault="004B52BA" w:rsidP="004B52BA">
            <w:pPr>
              <w:pStyle w:val="TableHeader1"/>
              <w:rPr>
                <w:lang w:eastAsia="en-GB"/>
              </w:rPr>
            </w:pPr>
            <w:r w:rsidRPr="00F37E65">
              <w:rPr>
                <w:lang w:eastAsia="en-GB"/>
              </w:rPr>
              <w:t xml:space="preserve">Below </w:t>
            </w:r>
            <w:r w:rsidR="0095595F">
              <w:rPr>
                <w:lang w:eastAsia="en-GB"/>
              </w:rPr>
              <w:t>threshold</w:t>
            </w:r>
            <w:r w:rsidRPr="00F37E65">
              <w:rPr>
                <w:lang w:eastAsia="en-GB"/>
              </w:rPr>
              <w:t xml:space="preserve"> at</w:t>
            </w:r>
            <w:r>
              <w:rPr>
                <w:lang w:eastAsia="en-GB"/>
              </w:rPr>
              <w:t xml:space="preserve"> Y</w:t>
            </w:r>
            <w:r w:rsidRPr="00F37E65">
              <w:rPr>
                <w:lang w:eastAsia="en-GB"/>
              </w:rPr>
              <w:t>ear 7</w:t>
            </w:r>
          </w:p>
        </w:tc>
      </w:tr>
      <w:tr w:rsidR="004B52BA" w:rsidRPr="00F37E65" w14:paraId="66D6F92D" w14:textId="77777777" w:rsidTr="005265DE">
        <w:trPr>
          <w:trHeight w:val="300"/>
          <w:jc w:val="center"/>
        </w:trPr>
        <w:tc>
          <w:tcPr>
            <w:tcW w:w="1872" w:type="pct"/>
            <w:shd w:val="clear" w:color="auto" w:fill="FFFFFF" w:themeFill="background1"/>
            <w:noWrap/>
            <w:vAlign w:val="bottom"/>
            <w:hideMark/>
          </w:tcPr>
          <w:p w14:paraId="68738200" w14:textId="77777777" w:rsidR="004B52BA" w:rsidRPr="00F37E65" w:rsidRDefault="004B52BA" w:rsidP="004B52BA">
            <w:pPr>
              <w:pStyle w:val="TableRowIndent"/>
            </w:pPr>
            <w:r w:rsidRPr="00F37E65">
              <w:t>Overall</w:t>
            </w:r>
          </w:p>
        </w:tc>
        <w:tc>
          <w:tcPr>
            <w:tcW w:w="783" w:type="pct"/>
            <w:shd w:val="clear" w:color="auto" w:fill="FFFFFF" w:themeFill="background1"/>
            <w:vAlign w:val="bottom"/>
          </w:tcPr>
          <w:p w14:paraId="5E091632" w14:textId="452FA3A5" w:rsidR="004B52BA" w:rsidRPr="00F37E65" w:rsidRDefault="004B52BA" w:rsidP="004B52BA">
            <w:pPr>
              <w:pStyle w:val="TableBody"/>
            </w:pPr>
            <w:r w:rsidRPr="00F37E65">
              <w:t>87.7</w:t>
            </w:r>
          </w:p>
        </w:tc>
        <w:tc>
          <w:tcPr>
            <w:tcW w:w="781" w:type="pct"/>
            <w:shd w:val="clear" w:color="auto" w:fill="FFFFFF" w:themeFill="background1"/>
            <w:vAlign w:val="bottom"/>
          </w:tcPr>
          <w:p w14:paraId="654EC530" w14:textId="4FA5CD07" w:rsidR="004B52BA" w:rsidRPr="00F37E65" w:rsidRDefault="004B52BA" w:rsidP="004B52BA">
            <w:pPr>
              <w:pStyle w:val="TableBody"/>
            </w:pPr>
            <w:r w:rsidRPr="00F37E65">
              <w:t>12.3</w:t>
            </w:r>
          </w:p>
        </w:tc>
        <w:tc>
          <w:tcPr>
            <w:tcW w:w="781" w:type="pct"/>
            <w:shd w:val="clear" w:color="auto" w:fill="FFFFFF" w:themeFill="background1"/>
            <w:noWrap/>
            <w:vAlign w:val="bottom"/>
            <w:hideMark/>
          </w:tcPr>
          <w:p w14:paraId="249B2D03" w14:textId="27F7B7B1" w:rsidR="004B52BA" w:rsidRPr="00F37E65" w:rsidRDefault="004B52BA" w:rsidP="004B52BA">
            <w:pPr>
              <w:pStyle w:val="TableBody"/>
            </w:pPr>
            <w:r w:rsidRPr="00F37E65">
              <w:t>62.8</w:t>
            </w:r>
          </w:p>
        </w:tc>
        <w:tc>
          <w:tcPr>
            <w:tcW w:w="783" w:type="pct"/>
            <w:shd w:val="clear" w:color="auto" w:fill="FFFFFF" w:themeFill="background1"/>
            <w:noWrap/>
            <w:vAlign w:val="bottom"/>
            <w:hideMark/>
          </w:tcPr>
          <w:p w14:paraId="701A9A63" w14:textId="77777777" w:rsidR="004B52BA" w:rsidRPr="00F37E65" w:rsidRDefault="004B52BA" w:rsidP="004B52BA">
            <w:pPr>
              <w:pStyle w:val="TableBody"/>
            </w:pPr>
            <w:r w:rsidRPr="00F37E65">
              <w:t>37.2</w:t>
            </w:r>
          </w:p>
        </w:tc>
      </w:tr>
      <w:tr w:rsidR="004B52BA" w:rsidRPr="00F37E65" w14:paraId="64448768" w14:textId="77777777" w:rsidTr="005265DE">
        <w:trPr>
          <w:trHeight w:val="300"/>
          <w:jc w:val="center"/>
        </w:trPr>
        <w:tc>
          <w:tcPr>
            <w:tcW w:w="1872" w:type="pct"/>
            <w:shd w:val="clear" w:color="auto" w:fill="DEEAF6" w:themeFill="accent5" w:themeFillTint="33"/>
            <w:noWrap/>
            <w:vAlign w:val="bottom"/>
            <w:hideMark/>
          </w:tcPr>
          <w:p w14:paraId="3DF40905" w14:textId="77777777" w:rsidR="004B52BA" w:rsidRPr="00F37E65" w:rsidRDefault="004B52BA" w:rsidP="004B52BA">
            <w:pPr>
              <w:pStyle w:val="TableHeader2"/>
              <w:ind w:left="0"/>
            </w:pPr>
            <w:r w:rsidRPr="00F37E65">
              <w:t>Gender</w:t>
            </w:r>
          </w:p>
        </w:tc>
        <w:tc>
          <w:tcPr>
            <w:tcW w:w="783" w:type="pct"/>
            <w:shd w:val="clear" w:color="auto" w:fill="DEEAF6" w:themeFill="accent5" w:themeFillTint="33"/>
            <w:vAlign w:val="bottom"/>
          </w:tcPr>
          <w:p w14:paraId="6C14C832" w14:textId="77777777" w:rsidR="004B52BA" w:rsidRPr="00F37E65" w:rsidRDefault="004B52BA" w:rsidP="004B52BA">
            <w:pPr>
              <w:pStyle w:val="TableBody"/>
            </w:pPr>
          </w:p>
        </w:tc>
        <w:tc>
          <w:tcPr>
            <w:tcW w:w="781" w:type="pct"/>
            <w:shd w:val="clear" w:color="auto" w:fill="DEEAF6" w:themeFill="accent5" w:themeFillTint="33"/>
            <w:vAlign w:val="bottom"/>
          </w:tcPr>
          <w:p w14:paraId="193F767A" w14:textId="1DA55E06" w:rsidR="004B52BA" w:rsidRPr="00F37E65" w:rsidRDefault="004B52BA" w:rsidP="004B52BA">
            <w:pPr>
              <w:pStyle w:val="TableBody"/>
            </w:pPr>
          </w:p>
        </w:tc>
        <w:tc>
          <w:tcPr>
            <w:tcW w:w="781" w:type="pct"/>
            <w:shd w:val="clear" w:color="auto" w:fill="DEEAF6" w:themeFill="accent5" w:themeFillTint="33"/>
            <w:noWrap/>
            <w:vAlign w:val="bottom"/>
            <w:hideMark/>
          </w:tcPr>
          <w:p w14:paraId="78ED31A2" w14:textId="19EFA2A6" w:rsidR="004B52BA" w:rsidRPr="00F37E65" w:rsidRDefault="004B52BA" w:rsidP="004B52BA">
            <w:pPr>
              <w:pStyle w:val="TableBody"/>
            </w:pPr>
          </w:p>
        </w:tc>
        <w:tc>
          <w:tcPr>
            <w:tcW w:w="783" w:type="pct"/>
            <w:shd w:val="clear" w:color="auto" w:fill="DEEAF6" w:themeFill="accent5" w:themeFillTint="33"/>
            <w:noWrap/>
            <w:vAlign w:val="bottom"/>
            <w:hideMark/>
          </w:tcPr>
          <w:p w14:paraId="3E9609B7" w14:textId="2E09D391" w:rsidR="004B52BA" w:rsidRPr="00F37E65" w:rsidRDefault="004B52BA" w:rsidP="004B52BA">
            <w:pPr>
              <w:pStyle w:val="TableBody"/>
            </w:pPr>
          </w:p>
        </w:tc>
      </w:tr>
      <w:tr w:rsidR="004B52BA" w:rsidRPr="00F37E65" w14:paraId="37295127" w14:textId="77777777" w:rsidTr="005265DE">
        <w:trPr>
          <w:trHeight w:val="300"/>
          <w:jc w:val="center"/>
        </w:trPr>
        <w:tc>
          <w:tcPr>
            <w:tcW w:w="1872" w:type="pct"/>
            <w:shd w:val="clear" w:color="auto" w:fill="FFFFFF" w:themeFill="background1"/>
            <w:noWrap/>
            <w:vAlign w:val="bottom"/>
            <w:hideMark/>
          </w:tcPr>
          <w:p w14:paraId="340B943F" w14:textId="779E848A" w:rsidR="004B52BA" w:rsidRPr="00F37E65" w:rsidRDefault="004B52BA" w:rsidP="004B52BA">
            <w:pPr>
              <w:pStyle w:val="TableRowIndent"/>
            </w:pPr>
            <w:r>
              <w:t>Boys</w:t>
            </w:r>
          </w:p>
        </w:tc>
        <w:tc>
          <w:tcPr>
            <w:tcW w:w="783" w:type="pct"/>
            <w:shd w:val="clear" w:color="auto" w:fill="FFFFFF" w:themeFill="background1"/>
            <w:vAlign w:val="bottom"/>
          </w:tcPr>
          <w:p w14:paraId="65513750" w14:textId="26B76873" w:rsidR="004B52BA" w:rsidRPr="00F37E65" w:rsidRDefault="004B52BA" w:rsidP="004B52BA">
            <w:pPr>
              <w:pStyle w:val="TableBody"/>
            </w:pPr>
            <w:r w:rsidRPr="00F37E65">
              <w:t>90.5</w:t>
            </w:r>
          </w:p>
        </w:tc>
        <w:tc>
          <w:tcPr>
            <w:tcW w:w="781" w:type="pct"/>
            <w:shd w:val="clear" w:color="auto" w:fill="FFFFFF" w:themeFill="background1"/>
            <w:vAlign w:val="bottom"/>
          </w:tcPr>
          <w:p w14:paraId="44CE6239" w14:textId="652ED49F" w:rsidR="004B52BA" w:rsidRPr="00F37E65" w:rsidRDefault="004B52BA" w:rsidP="004B52BA">
            <w:pPr>
              <w:pStyle w:val="TableBody"/>
            </w:pPr>
            <w:r w:rsidRPr="00F37E65">
              <w:t>9.5</w:t>
            </w:r>
          </w:p>
        </w:tc>
        <w:tc>
          <w:tcPr>
            <w:tcW w:w="781" w:type="pct"/>
            <w:shd w:val="clear" w:color="auto" w:fill="FFFFFF" w:themeFill="background1"/>
            <w:noWrap/>
            <w:vAlign w:val="bottom"/>
            <w:hideMark/>
          </w:tcPr>
          <w:p w14:paraId="1611AD53" w14:textId="32B0D454" w:rsidR="004B52BA" w:rsidRPr="00F37E65" w:rsidRDefault="004B52BA" w:rsidP="004B52BA">
            <w:pPr>
              <w:pStyle w:val="TableBody"/>
            </w:pPr>
            <w:r w:rsidRPr="00F37E65">
              <w:t>66.7</w:t>
            </w:r>
          </w:p>
        </w:tc>
        <w:tc>
          <w:tcPr>
            <w:tcW w:w="783" w:type="pct"/>
            <w:shd w:val="clear" w:color="auto" w:fill="FFFFFF" w:themeFill="background1"/>
            <w:noWrap/>
            <w:vAlign w:val="bottom"/>
            <w:hideMark/>
          </w:tcPr>
          <w:p w14:paraId="3F32FE0D" w14:textId="77777777" w:rsidR="004B52BA" w:rsidRPr="00F37E65" w:rsidRDefault="004B52BA" w:rsidP="004B52BA">
            <w:pPr>
              <w:pStyle w:val="TableBody"/>
            </w:pPr>
            <w:r w:rsidRPr="00F37E65">
              <w:t>33.3</w:t>
            </w:r>
          </w:p>
        </w:tc>
      </w:tr>
      <w:tr w:rsidR="004B52BA" w:rsidRPr="00F37E65" w14:paraId="75B9A415" w14:textId="77777777" w:rsidTr="005265DE">
        <w:trPr>
          <w:trHeight w:val="300"/>
          <w:jc w:val="center"/>
        </w:trPr>
        <w:tc>
          <w:tcPr>
            <w:tcW w:w="1872" w:type="pct"/>
            <w:shd w:val="clear" w:color="auto" w:fill="FFFFFF" w:themeFill="background1"/>
            <w:noWrap/>
            <w:vAlign w:val="bottom"/>
            <w:hideMark/>
          </w:tcPr>
          <w:p w14:paraId="471B096D" w14:textId="643918D1" w:rsidR="004B52BA" w:rsidRPr="00F37E65" w:rsidRDefault="004B52BA" w:rsidP="004B52BA">
            <w:pPr>
              <w:pStyle w:val="TableRowIndent"/>
            </w:pPr>
            <w:r>
              <w:t>Girls</w:t>
            </w:r>
          </w:p>
        </w:tc>
        <w:tc>
          <w:tcPr>
            <w:tcW w:w="783" w:type="pct"/>
            <w:shd w:val="clear" w:color="auto" w:fill="FFFFFF" w:themeFill="background1"/>
            <w:vAlign w:val="bottom"/>
          </w:tcPr>
          <w:p w14:paraId="330426CB" w14:textId="509FD797" w:rsidR="004B52BA" w:rsidRPr="00F37E65" w:rsidRDefault="004B52BA" w:rsidP="004B52BA">
            <w:pPr>
              <w:pStyle w:val="TableBody"/>
            </w:pPr>
            <w:r w:rsidRPr="00F37E65">
              <w:t>85.6</w:t>
            </w:r>
          </w:p>
        </w:tc>
        <w:tc>
          <w:tcPr>
            <w:tcW w:w="781" w:type="pct"/>
            <w:shd w:val="clear" w:color="auto" w:fill="FFFFFF" w:themeFill="background1"/>
            <w:vAlign w:val="bottom"/>
          </w:tcPr>
          <w:p w14:paraId="2029FDC9" w14:textId="1F1E910D" w:rsidR="004B52BA" w:rsidRPr="00F37E65" w:rsidRDefault="004B52BA" w:rsidP="004B52BA">
            <w:pPr>
              <w:pStyle w:val="TableBody"/>
            </w:pPr>
            <w:r w:rsidRPr="00F37E65">
              <w:t>14.4</w:t>
            </w:r>
          </w:p>
        </w:tc>
        <w:tc>
          <w:tcPr>
            <w:tcW w:w="781" w:type="pct"/>
            <w:shd w:val="clear" w:color="auto" w:fill="FFFFFF" w:themeFill="background1"/>
            <w:noWrap/>
            <w:vAlign w:val="bottom"/>
            <w:hideMark/>
          </w:tcPr>
          <w:p w14:paraId="4D4B3EEF" w14:textId="3C9AF807" w:rsidR="004B52BA" w:rsidRPr="00F37E65" w:rsidRDefault="004B52BA" w:rsidP="004B52BA">
            <w:pPr>
              <w:pStyle w:val="TableBody"/>
            </w:pPr>
            <w:r w:rsidRPr="00F37E65">
              <w:t>56.9</w:t>
            </w:r>
          </w:p>
        </w:tc>
        <w:tc>
          <w:tcPr>
            <w:tcW w:w="783" w:type="pct"/>
            <w:shd w:val="clear" w:color="auto" w:fill="FFFFFF" w:themeFill="background1"/>
            <w:noWrap/>
            <w:vAlign w:val="bottom"/>
            <w:hideMark/>
          </w:tcPr>
          <w:p w14:paraId="5ABA2C51" w14:textId="77777777" w:rsidR="004B52BA" w:rsidRPr="00F37E65" w:rsidRDefault="004B52BA" w:rsidP="004B52BA">
            <w:pPr>
              <w:pStyle w:val="TableBody"/>
            </w:pPr>
            <w:r w:rsidRPr="00F37E65">
              <w:t>43.1</w:t>
            </w:r>
          </w:p>
        </w:tc>
      </w:tr>
      <w:tr w:rsidR="004B52BA" w:rsidRPr="00F37E65" w14:paraId="5433E4E0" w14:textId="77777777" w:rsidTr="005265DE">
        <w:trPr>
          <w:trHeight w:val="300"/>
          <w:jc w:val="center"/>
        </w:trPr>
        <w:tc>
          <w:tcPr>
            <w:tcW w:w="1872" w:type="pct"/>
            <w:shd w:val="clear" w:color="auto" w:fill="DEEAF6" w:themeFill="accent5" w:themeFillTint="33"/>
            <w:noWrap/>
            <w:vAlign w:val="bottom"/>
            <w:hideMark/>
          </w:tcPr>
          <w:p w14:paraId="12710F2C" w14:textId="77777777" w:rsidR="004B52BA" w:rsidRPr="00F37E65" w:rsidRDefault="004B52BA" w:rsidP="004B52BA">
            <w:pPr>
              <w:pStyle w:val="TableHeader2"/>
              <w:ind w:left="0"/>
            </w:pPr>
            <w:r w:rsidRPr="00F37E65">
              <w:t>Country of birth^</w:t>
            </w:r>
          </w:p>
        </w:tc>
        <w:tc>
          <w:tcPr>
            <w:tcW w:w="783" w:type="pct"/>
            <w:shd w:val="clear" w:color="auto" w:fill="DEEAF6" w:themeFill="accent5" w:themeFillTint="33"/>
            <w:vAlign w:val="bottom"/>
          </w:tcPr>
          <w:p w14:paraId="5A69E134" w14:textId="77777777" w:rsidR="004B52BA" w:rsidRPr="00F37E65" w:rsidRDefault="004B52BA" w:rsidP="004B52BA">
            <w:pPr>
              <w:pStyle w:val="TableBody"/>
            </w:pPr>
          </w:p>
        </w:tc>
        <w:tc>
          <w:tcPr>
            <w:tcW w:w="781" w:type="pct"/>
            <w:shd w:val="clear" w:color="auto" w:fill="DEEAF6" w:themeFill="accent5" w:themeFillTint="33"/>
            <w:vAlign w:val="bottom"/>
          </w:tcPr>
          <w:p w14:paraId="5A8652B1" w14:textId="4150F8E9" w:rsidR="004B52BA" w:rsidRPr="00F37E65" w:rsidRDefault="004B52BA" w:rsidP="004B52BA">
            <w:pPr>
              <w:pStyle w:val="TableBody"/>
            </w:pPr>
          </w:p>
        </w:tc>
        <w:tc>
          <w:tcPr>
            <w:tcW w:w="781" w:type="pct"/>
            <w:shd w:val="clear" w:color="auto" w:fill="DEEAF6" w:themeFill="accent5" w:themeFillTint="33"/>
            <w:noWrap/>
            <w:vAlign w:val="bottom"/>
            <w:hideMark/>
          </w:tcPr>
          <w:p w14:paraId="724B6456" w14:textId="05F9C850" w:rsidR="004B52BA" w:rsidRPr="00F37E65" w:rsidRDefault="004B52BA" w:rsidP="004B52BA">
            <w:pPr>
              <w:pStyle w:val="TableBody"/>
            </w:pPr>
          </w:p>
        </w:tc>
        <w:tc>
          <w:tcPr>
            <w:tcW w:w="783" w:type="pct"/>
            <w:shd w:val="clear" w:color="auto" w:fill="DEEAF6" w:themeFill="accent5" w:themeFillTint="33"/>
            <w:noWrap/>
            <w:vAlign w:val="bottom"/>
            <w:hideMark/>
          </w:tcPr>
          <w:p w14:paraId="51553DAA" w14:textId="5D32F6FB" w:rsidR="004B52BA" w:rsidRPr="00F37E65" w:rsidRDefault="004B52BA" w:rsidP="004B52BA">
            <w:pPr>
              <w:pStyle w:val="TableBody"/>
            </w:pPr>
          </w:p>
        </w:tc>
      </w:tr>
      <w:tr w:rsidR="004B52BA" w:rsidRPr="00F37E65" w14:paraId="1F2D999D" w14:textId="77777777" w:rsidTr="005265DE">
        <w:trPr>
          <w:trHeight w:val="300"/>
          <w:jc w:val="center"/>
        </w:trPr>
        <w:tc>
          <w:tcPr>
            <w:tcW w:w="1872" w:type="pct"/>
            <w:shd w:val="clear" w:color="auto" w:fill="FFFFFF" w:themeFill="background1"/>
            <w:noWrap/>
            <w:vAlign w:val="bottom"/>
            <w:hideMark/>
          </w:tcPr>
          <w:p w14:paraId="65E04176" w14:textId="1D62991F" w:rsidR="004B52BA" w:rsidRPr="00F37E65" w:rsidRDefault="004B52BA" w:rsidP="004B52BA">
            <w:pPr>
              <w:pStyle w:val="TableRowIndent"/>
            </w:pPr>
            <w:r w:rsidRPr="00F37E65">
              <w:t>Australia</w:t>
            </w:r>
          </w:p>
        </w:tc>
        <w:tc>
          <w:tcPr>
            <w:tcW w:w="783" w:type="pct"/>
            <w:shd w:val="clear" w:color="auto" w:fill="FFFFFF" w:themeFill="background1"/>
            <w:vAlign w:val="bottom"/>
          </w:tcPr>
          <w:p w14:paraId="0A924559" w14:textId="72AF675A" w:rsidR="004B52BA" w:rsidRPr="00F37E65" w:rsidRDefault="004B52BA" w:rsidP="004B52BA">
            <w:pPr>
              <w:pStyle w:val="TableBody"/>
            </w:pPr>
            <w:r w:rsidRPr="00F37E65">
              <w:t>87.2</w:t>
            </w:r>
          </w:p>
        </w:tc>
        <w:tc>
          <w:tcPr>
            <w:tcW w:w="781" w:type="pct"/>
            <w:shd w:val="clear" w:color="auto" w:fill="FFFFFF" w:themeFill="background1"/>
            <w:vAlign w:val="bottom"/>
          </w:tcPr>
          <w:p w14:paraId="402FAFC1" w14:textId="4E1CDA69" w:rsidR="004B52BA" w:rsidRPr="00F37E65" w:rsidRDefault="004B52BA" w:rsidP="004B52BA">
            <w:pPr>
              <w:pStyle w:val="TableBody"/>
            </w:pPr>
            <w:r w:rsidRPr="00F37E65">
              <w:t>12.8</w:t>
            </w:r>
          </w:p>
        </w:tc>
        <w:tc>
          <w:tcPr>
            <w:tcW w:w="781" w:type="pct"/>
            <w:shd w:val="clear" w:color="auto" w:fill="FFFFFF" w:themeFill="background1"/>
            <w:noWrap/>
            <w:vAlign w:val="bottom"/>
            <w:hideMark/>
          </w:tcPr>
          <w:p w14:paraId="0ADB32C8" w14:textId="6E1F41E4" w:rsidR="004B52BA" w:rsidRPr="00F37E65" w:rsidRDefault="004B52BA" w:rsidP="004B52BA">
            <w:pPr>
              <w:pStyle w:val="TableBody"/>
            </w:pPr>
            <w:r w:rsidRPr="00F37E65">
              <w:t>63.4</w:t>
            </w:r>
          </w:p>
        </w:tc>
        <w:tc>
          <w:tcPr>
            <w:tcW w:w="783" w:type="pct"/>
            <w:shd w:val="clear" w:color="auto" w:fill="FFFFFF" w:themeFill="background1"/>
            <w:noWrap/>
            <w:vAlign w:val="bottom"/>
            <w:hideMark/>
          </w:tcPr>
          <w:p w14:paraId="1637D5C3" w14:textId="77777777" w:rsidR="004B52BA" w:rsidRPr="00F37E65" w:rsidRDefault="004B52BA" w:rsidP="004B52BA">
            <w:pPr>
              <w:pStyle w:val="TableBody"/>
            </w:pPr>
            <w:r w:rsidRPr="00F37E65">
              <w:t>36.6</w:t>
            </w:r>
          </w:p>
        </w:tc>
      </w:tr>
      <w:tr w:rsidR="004B52BA" w:rsidRPr="00F37E65" w14:paraId="76FF61CA" w14:textId="77777777" w:rsidTr="005265DE">
        <w:trPr>
          <w:trHeight w:val="300"/>
          <w:jc w:val="center"/>
        </w:trPr>
        <w:tc>
          <w:tcPr>
            <w:tcW w:w="1872" w:type="pct"/>
            <w:shd w:val="clear" w:color="auto" w:fill="FFFFFF" w:themeFill="background1"/>
            <w:noWrap/>
            <w:vAlign w:val="bottom"/>
            <w:hideMark/>
          </w:tcPr>
          <w:p w14:paraId="336ADBF3" w14:textId="0271DFDB" w:rsidR="004B52BA" w:rsidRPr="00F37E65" w:rsidRDefault="004B52BA" w:rsidP="004B52BA">
            <w:pPr>
              <w:pStyle w:val="TableRowIndent"/>
            </w:pPr>
            <w:r w:rsidRPr="00F37E65">
              <w:t>Other</w:t>
            </w:r>
          </w:p>
        </w:tc>
        <w:tc>
          <w:tcPr>
            <w:tcW w:w="783" w:type="pct"/>
            <w:shd w:val="clear" w:color="auto" w:fill="FFFFFF" w:themeFill="background1"/>
            <w:vAlign w:val="bottom"/>
          </w:tcPr>
          <w:p w14:paraId="178C342F" w14:textId="43F3CB95" w:rsidR="004B52BA" w:rsidRPr="00F37E65" w:rsidRDefault="004B52BA" w:rsidP="004B52BA">
            <w:pPr>
              <w:pStyle w:val="TableBody"/>
            </w:pPr>
            <w:r w:rsidRPr="00F37E65">
              <w:t>93.6</w:t>
            </w:r>
          </w:p>
        </w:tc>
        <w:tc>
          <w:tcPr>
            <w:tcW w:w="781" w:type="pct"/>
            <w:shd w:val="clear" w:color="auto" w:fill="FFFFFF" w:themeFill="background1"/>
            <w:vAlign w:val="bottom"/>
          </w:tcPr>
          <w:p w14:paraId="56E35E73" w14:textId="7AD5DA02" w:rsidR="004B52BA" w:rsidRPr="00F37E65" w:rsidRDefault="004B52BA" w:rsidP="004B52BA">
            <w:pPr>
              <w:pStyle w:val="TableBody"/>
            </w:pPr>
            <w:r w:rsidRPr="00F37E65">
              <w:t>6.4*</w:t>
            </w:r>
          </w:p>
        </w:tc>
        <w:tc>
          <w:tcPr>
            <w:tcW w:w="781" w:type="pct"/>
            <w:shd w:val="clear" w:color="auto" w:fill="FFFFFF" w:themeFill="background1"/>
            <w:noWrap/>
            <w:vAlign w:val="bottom"/>
            <w:hideMark/>
          </w:tcPr>
          <w:p w14:paraId="734ADB94" w14:textId="0076568F" w:rsidR="004B52BA" w:rsidRPr="00F37E65" w:rsidRDefault="004B52BA" w:rsidP="004B52BA">
            <w:pPr>
              <w:pStyle w:val="TableBody"/>
            </w:pPr>
            <w:r w:rsidRPr="00F37E65">
              <w:t>61.5</w:t>
            </w:r>
          </w:p>
        </w:tc>
        <w:tc>
          <w:tcPr>
            <w:tcW w:w="783" w:type="pct"/>
            <w:shd w:val="clear" w:color="auto" w:fill="FFFFFF" w:themeFill="background1"/>
            <w:noWrap/>
            <w:vAlign w:val="bottom"/>
            <w:hideMark/>
          </w:tcPr>
          <w:p w14:paraId="19D6A2D2" w14:textId="77777777" w:rsidR="004B52BA" w:rsidRPr="00F37E65" w:rsidRDefault="004B52BA" w:rsidP="004B52BA">
            <w:pPr>
              <w:pStyle w:val="TableBody"/>
            </w:pPr>
            <w:r w:rsidRPr="00F37E65">
              <w:t>38.5*</w:t>
            </w:r>
          </w:p>
        </w:tc>
      </w:tr>
      <w:tr w:rsidR="004B52BA" w:rsidRPr="00F37E65" w14:paraId="1344D860" w14:textId="77777777" w:rsidTr="005265DE">
        <w:trPr>
          <w:trHeight w:val="300"/>
          <w:jc w:val="center"/>
        </w:trPr>
        <w:tc>
          <w:tcPr>
            <w:tcW w:w="1872" w:type="pct"/>
            <w:shd w:val="clear" w:color="auto" w:fill="DEEAF6" w:themeFill="accent5" w:themeFillTint="33"/>
            <w:noWrap/>
            <w:vAlign w:val="bottom"/>
            <w:hideMark/>
          </w:tcPr>
          <w:p w14:paraId="430D0B76" w14:textId="77777777" w:rsidR="004B52BA" w:rsidRPr="00F37E65" w:rsidRDefault="004B52BA" w:rsidP="004B52BA">
            <w:pPr>
              <w:pStyle w:val="TableHeader2"/>
              <w:ind w:left="0"/>
            </w:pPr>
            <w:r w:rsidRPr="00F37E65">
              <w:t>Indigenous status^</w:t>
            </w:r>
          </w:p>
        </w:tc>
        <w:tc>
          <w:tcPr>
            <w:tcW w:w="783" w:type="pct"/>
            <w:shd w:val="clear" w:color="auto" w:fill="DEEAF6" w:themeFill="accent5" w:themeFillTint="33"/>
            <w:vAlign w:val="bottom"/>
          </w:tcPr>
          <w:p w14:paraId="29D59A16" w14:textId="77777777" w:rsidR="004B52BA" w:rsidRPr="00F37E65" w:rsidRDefault="004B52BA" w:rsidP="004B52BA">
            <w:pPr>
              <w:pStyle w:val="TableBody"/>
            </w:pPr>
          </w:p>
        </w:tc>
        <w:tc>
          <w:tcPr>
            <w:tcW w:w="781" w:type="pct"/>
            <w:shd w:val="clear" w:color="auto" w:fill="DEEAF6" w:themeFill="accent5" w:themeFillTint="33"/>
            <w:vAlign w:val="bottom"/>
          </w:tcPr>
          <w:p w14:paraId="258D9D58" w14:textId="78BA9AE7" w:rsidR="004B52BA" w:rsidRPr="00F37E65" w:rsidRDefault="004B52BA" w:rsidP="004B52BA">
            <w:pPr>
              <w:pStyle w:val="TableBody"/>
            </w:pPr>
          </w:p>
        </w:tc>
        <w:tc>
          <w:tcPr>
            <w:tcW w:w="781" w:type="pct"/>
            <w:shd w:val="clear" w:color="auto" w:fill="DEEAF6" w:themeFill="accent5" w:themeFillTint="33"/>
            <w:noWrap/>
            <w:vAlign w:val="bottom"/>
            <w:hideMark/>
          </w:tcPr>
          <w:p w14:paraId="7B0DC26E" w14:textId="6BAB4BF3" w:rsidR="004B52BA" w:rsidRPr="00F37E65" w:rsidRDefault="004B52BA" w:rsidP="004B52BA">
            <w:pPr>
              <w:pStyle w:val="TableBody"/>
            </w:pPr>
          </w:p>
        </w:tc>
        <w:tc>
          <w:tcPr>
            <w:tcW w:w="783" w:type="pct"/>
            <w:shd w:val="clear" w:color="auto" w:fill="DEEAF6" w:themeFill="accent5" w:themeFillTint="33"/>
            <w:noWrap/>
            <w:vAlign w:val="bottom"/>
            <w:hideMark/>
          </w:tcPr>
          <w:p w14:paraId="59E8DF02" w14:textId="58E76661" w:rsidR="004B52BA" w:rsidRPr="00F37E65" w:rsidRDefault="004B52BA" w:rsidP="004B52BA">
            <w:pPr>
              <w:pStyle w:val="TableBody"/>
            </w:pPr>
          </w:p>
        </w:tc>
      </w:tr>
      <w:tr w:rsidR="004B52BA" w:rsidRPr="00F37E65" w14:paraId="27D4882E" w14:textId="77777777" w:rsidTr="005265DE">
        <w:trPr>
          <w:trHeight w:val="300"/>
          <w:jc w:val="center"/>
        </w:trPr>
        <w:tc>
          <w:tcPr>
            <w:tcW w:w="1872" w:type="pct"/>
            <w:shd w:val="clear" w:color="auto" w:fill="FFFFFF" w:themeFill="background1"/>
            <w:noWrap/>
            <w:vAlign w:val="bottom"/>
            <w:hideMark/>
          </w:tcPr>
          <w:p w14:paraId="532D9E89" w14:textId="0BA49567" w:rsidR="004B52BA" w:rsidRPr="00F37E65" w:rsidRDefault="004B52BA" w:rsidP="004B52BA">
            <w:pPr>
              <w:pStyle w:val="TableRowIndent"/>
            </w:pPr>
            <w:r w:rsidRPr="00F37E65">
              <w:t>Non-ATSI</w:t>
            </w:r>
          </w:p>
        </w:tc>
        <w:tc>
          <w:tcPr>
            <w:tcW w:w="783" w:type="pct"/>
            <w:shd w:val="clear" w:color="auto" w:fill="FFFFFF" w:themeFill="background1"/>
            <w:vAlign w:val="bottom"/>
          </w:tcPr>
          <w:p w14:paraId="469F9BAC" w14:textId="7919787B" w:rsidR="004B52BA" w:rsidRPr="00F37E65" w:rsidRDefault="004B52BA" w:rsidP="004B52BA">
            <w:pPr>
              <w:pStyle w:val="TableBody"/>
            </w:pPr>
            <w:r w:rsidRPr="00F37E65">
              <w:t>87.6</w:t>
            </w:r>
          </w:p>
        </w:tc>
        <w:tc>
          <w:tcPr>
            <w:tcW w:w="781" w:type="pct"/>
            <w:shd w:val="clear" w:color="auto" w:fill="FFFFFF" w:themeFill="background1"/>
            <w:vAlign w:val="bottom"/>
          </w:tcPr>
          <w:p w14:paraId="79674B07" w14:textId="61300D54" w:rsidR="004B52BA" w:rsidRPr="00F37E65" w:rsidRDefault="004B52BA" w:rsidP="004B52BA">
            <w:pPr>
              <w:pStyle w:val="TableBody"/>
            </w:pPr>
            <w:r w:rsidRPr="00F37E65">
              <w:t>12.4</w:t>
            </w:r>
          </w:p>
        </w:tc>
        <w:tc>
          <w:tcPr>
            <w:tcW w:w="781" w:type="pct"/>
            <w:shd w:val="clear" w:color="auto" w:fill="FFFFFF" w:themeFill="background1"/>
            <w:noWrap/>
            <w:vAlign w:val="bottom"/>
            <w:hideMark/>
          </w:tcPr>
          <w:p w14:paraId="49411BEC" w14:textId="44D9FA62" w:rsidR="004B52BA" w:rsidRPr="00F37E65" w:rsidRDefault="004B52BA" w:rsidP="004B52BA">
            <w:pPr>
              <w:pStyle w:val="TableBody"/>
            </w:pPr>
            <w:r w:rsidRPr="00F37E65">
              <w:t>62.5</w:t>
            </w:r>
          </w:p>
        </w:tc>
        <w:tc>
          <w:tcPr>
            <w:tcW w:w="783" w:type="pct"/>
            <w:shd w:val="clear" w:color="auto" w:fill="FFFFFF" w:themeFill="background1"/>
            <w:noWrap/>
            <w:vAlign w:val="bottom"/>
            <w:hideMark/>
          </w:tcPr>
          <w:p w14:paraId="61D8FF27" w14:textId="77777777" w:rsidR="004B52BA" w:rsidRPr="00F37E65" w:rsidRDefault="004B52BA" w:rsidP="004B52BA">
            <w:pPr>
              <w:pStyle w:val="TableBody"/>
            </w:pPr>
            <w:r w:rsidRPr="00F37E65">
              <w:t>37.5</w:t>
            </w:r>
          </w:p>
        </w:tc>
      </w:tr>
      <w:tr w:rsidR="004B52BA" w:rsidRPr="00F37E65" w14:paraId="0765015C" w14:textId="77777777" w:rsidTr="005265DE">
        <w:trPr>
          <w:trHeight w:val="300"/>
          <w:jc w:val="center"/>
        </w:trPr>
        <w:tc>
          <w:tcPr>
            <w:tcW w:w="1872" w:type="pct"/>
            <w:shd w:val="clear" w:color="auto" w:fill="FFFFFF" w:themeFill="background1"/>
            <w:noWrap/>
            <w:vAlign w:val="bottom"/>
            <w:hideMark/>
          </w:tcPr>
          <w:p w14:paraId="1F791F5C" w14:textId="0FD07F46" w:rsidR="004B52BA" w:rsidRPr="00F37E65" w:rsidRDefault="004B52BA" w:rsidP="004B52BA">
            <w:pPr>
              <w:pStyle w:val="TableRowIndent"/>
            </w:pPr>
            <w:r w:rsidRPr="00F37E65">
              <w:t>ATSI</w:t>
            </w:r>
          </w:p>
        </w:tc>
        <w:tc>
          <w:tcPr>
            <w:tcW w:w="783" w:type="pct"/>
            <w:shd w:val="clear" w:color="auto" w:fill="FFFFFF" w:themeFill="background1"/>
            <w:vAlign w:val="bottom"/>
          </w:tcPr>
          <w:p w14:paraId="219B6C17" w14:textId="0B7C3918" w:rsidR="004B52BA" w:rsidRPr="00F37E65" w:rsidRDefault="004B52BA" w:rsidP="004B52BA">
            <w:pPr>
              <w:pStyle w:val="TableBody"/>
            </w:pPr>
            <w:r w:rsidRPr="00F37E65">
              <w:t>88.2</w:t>
            </w:r>
          </w:p>
        </w:tc>
        <w:tc>
          <w:tcPr>
            <w:tcW w:w="781" w:type="pct"/>
            <w:shd w:val="clear" w:color="auto" w:fill="FFFFFF" w:themeFill="background1"/>
            <w:vAlign w:val="bottom"/>
          </w:tcPr>
          <w:p w14:paraId="0E902F9F" w14:textId="37A6FE93" w:rsidR="004B52BA" w:rsidRPr="00F37E65" w:rsidRDefault="004B52BA" w:rsidP="004B52BA">
            <w:pPr>
              <w:pStyle w:val="TableBody"/>
            </w:pPr>
            <w:r w:rsidRPr="00F37E65">
              <w:t>11.8*</w:t>
            </w:r>
          </w:p>
        </w:tc>
        <w:tc>
          <w:tcPr>
            <w:tcW w:w="781" w:type="pct"/>
            <w:shd w:val="clear" w:color="auto" w:fill="FFFFFF" w:themeFill="background1"/>
            <w:noWrap/>
            <w:vAlign w:val="bottom"/>
            <w:hideMark/>
          </w:tcPr>
          <w:p w14:paraId="27353514" w14:textId="0AB64C0C" w:rsidR="004B52BA" w:rsidRPr="00F37E65" w:rsidRDefault="004B52BA" w:rsidP="004B52BA">
            <w:pPr>
              <w:pStyle w:val="TableBody"/>
            </w:pPr>
            <w:r w:rsidRPr="00F37E65">
              <w:t>80.0*</w:t>
            </w:r>
          </w:p>
        </w:tc>
        <w:tc>
          <w:tcPr>
            <w:tcW w:w="783" w:type="pct"/>
            <w:shd w:val="clear" w:color="auto" w:fill="FFFFFF" w:themeFill="background1"/>
            <w:noWrap/>
            <w:vAlign w:val="bottom"/>
            <w:hideMark/>
          </w:tcPr>
          <w:p w14:paraId="3F4210E4" w14:textId="77777777" w:rsidR="004B52BA" w:rsidRPr="00F37E65" w:rsidRDefault="004B52BA" w:rsidP="004B52BA">
            <w:pPr>
              <w:pStyle w:val="TableBody"/>
            </w:pPr>
            <w:r w:rsidRPr="00F37E65">
              <w:t>20.0*</w:t>
            </w:r>
          </w:p>
        </w:tc>
      </w:tr>
      <w:tr w:rsidR="004B52BA" w:rsidRPr="00F37E65" w14:paraId="0F66518F" w14:textId="77777777" w:rsidTr="005265DE">
        <w:trPr>
          <w:trHeight w:val="300"/>
          <w:jc w:val="center"/>
        </w:trPr>
        <w:tc>
          <w:tcPr>
            <w:tcW w:w="1872" w:type="pct"/>
            <w:shd w:val="clear" w:color="auto" w:fill="DEEAF6" w:themeFill="accent5" w:themeFillTint="33"/>
            <w:noWrap/>
            <w:vAlign w:val="bottom"/>
            <w:hideMark/>
          </w:tcPr>
          <w:p w14:paraId="4A386F73" w14:textId="77777777" w:rsidR="004B52BA" w:rsidRPr="00F37E65" w:rsidRDefault="004B52BA" w:rsidP="004B52BA">
            <w:pPr>
              <w:pStyle w:val="TableHeader2"/>
              <w:ind w:left="0"/>
            </w:pPr>
            <w:r w:rsidRPr="00F37E65">
              <w:t>SEIFA quintile (at Year 3)</w:t>
            </w:r>
          </w:p>
        </w:tc>
        <w:tc>
          <w:tcPr>
            <w:tcW w:w="783" w:type="pct"/>
            <w:shd w:val="clear" w:color="auto" w:fill="DEEAF6" w:themeFill="accent5" w:themeFillTint="33"/>
            <w:vAlign w:val="bottom"/>
          </w:tcPr>
          <w:p w14:paraId="0B1DFC20" w14:textId="77777777" w:rsidR="004B52BA" w:rsidRPr="00F37E65" w:rsidRDefault="004B52BA" w:rsidP="004B52BA">
            <w:pPr>
              <w:pStyle w:val="TableBody"/>
            </w:pPr>
          </w:p>
        </w:tc>
        <w:tc>
          <w:tcPr>
            <w:tcW w:w="781" w:type="pct"/>
            <w:shd w:val="clear" w:color="auto" w:fill="DEEAF6" w:themeFill="accent5" w:themeFillTint="33"/>
            <w:vAlign w:val="bottom"/>
          </w:tcPr>
          <w:p w14:paraId="54CE9908" w14:textId="628E60A1" w:rsidR="004B52BA" w:rsidRPr="00F37E65" w:rsidRDefault="004B52BA" w:rsidP="004B52BA">
            <w:pPr>
              <w:pStyle w:val="TableBody"/>
            </w:pPr>
          </w:p>
        </w:tc>
        <w:tc>
          <w:tcPr>
            <w:tcW w:w="781" w:type="pct"/>
            <w:shd w:val="clear" w:color="auto" w:fill="DEEAF6" w:themeFill="accent5" w:themeFillTint="33"/>
            <w:noWrap/>
            <w:vAlign w:val="bottom"/>
            <w:hideMark/>
          </w:tcPr>
          <w:p w14:paraId="2F667092" w14:textId="4C7F9046" w:rsidR="004B52BA" w:rsidRPr="00F37E65" w:rsidRDefault="004B52BA" w:rsidP="004B52BA">
            <w:pPr>
              <w:pStyle w:val="TableBody"/>
            </w:pPr>
          </w:p>
        </w:tc>
        <w:tc>
          <w:tcPr>
            <w:tcW w:w="783" w:type="pct"/>
            <w:shd w:val="clear" w:color="auto" w:fill="DEEAF6" w:themeFill="accent5" w:themeFillTint="33"/>
            <w:noWrap/>
            <w:vAlign w:val="bottom"/>
            <w:hideMark/>
          </w:tcPr>
          <w:p w14:paraId="07F94FE8" w14:textId="32BBDA5A" w:rsidR="004B52BA" w:rsidRPr="00F37E65" w:rsidRDefault="004B52BA" w:rsidP="004B52BA">
            <w:pPr>
              <w:pStyle w:val="TableBody"/>
            </w:pPr>
          </w:p>
        </w:tc>
      </w:tr>
      <w:tr w:rsidR="004B52BA" w:rsidRPr="00F37E65" w14:paraId="1D0C809F" w14:textId="77777777" w:rsidTr="005265DE">
        <w:trPr>
          <w:trHeight w:val="300"/>
          <w:jc w:val="center"/>
        </w:trPr>
        <w:tc>
          <w:tcPr>
            <w:tcW w:w="1872" w:type="pct"/>
            <w:shd w:val="clear" w:color="auto" w:fill="FFFFFF" w:themeFill="background1"/>
            <w:noWrap/>
            <w:vAlign w:val="bottom"/>
            <w:hideMark/>
          </w:tcPr>
          <w:p w14:paraId="63538548" w14:textId="16FE4AAE" w:rsidR="004B52BA" w:rsidRPr="00F37E65" w:rsidRDefault="004B52BA" w:rsidP="004B52BA">
            <w:pPr>
              <w:pStyle w:val="TableRowIndent"/>
              <w:ind w:left="171" w:hanging="114"/>
            </w:pPr>
            <w:r w:rsidRPr="00F37E65">
              <w:t>Lowest</w:t>
            </w:r>
          </w:p>
        </w:tc>
        <w:tc>
          <w:tcPr>
            <w:tcW w:w="783" w:type="pct"/>
            <w:shd w:val="clear" w:color="auto" w:fill="FFFFFF" w:themeFill="background1"/>
            <w:vAlign w:val="bottom"/>
          </w:tcPr>
          <w:p w14:paraId="692D8984" w14:textId="1C81115D" w:rsidR="004B52BA" w:rsidRPr="00F37E65" w:rsidRDefault="004B52BA" w:rsidP="004B52BA">
            <w:pPr>
              <w:pStyle w:val="TableBody"/>
            </w:pPr>
            <w:r w:rsidRPr="00F37E65">
              <w:t>85.5</w:t>
            </w:r>
          </w:p>
        </w:tc>
        <w:tc>
          <w:tcPr>
            <w:tcW w:w="781" w:type="pct"/>
            <w:shd w:val="clear" w:color="auto" w:fill="FFFFFF" w:themeFill="background1"/>
            <w:vAlign w:val="bottom"/>
          </w:tcPr>
          <w:p w14:paraId="4ACC3BD3" w14:textId="1E83ECF6" w:rsidR="004B52BA" w:rsidRPr="00F37E65" w:rsidRDefault="004B52BA" w:rsidP="004B52BA">
            <w:pPr>
              <w:pStyle w:val="TableBody"/>
            </w:pPr>
            <w:r w:rsidRPr="00F37E65">
              <w:t>14.5</w:t>
            </w:r>
          </w:p>
        </w:tc>
        <w:tc>
          <w:tcPr>
            <w:tcW w:w="781" w:type="pct"/>
            <w:shd w:val="clear" w:color="auto" w:fill="FFFFFF" w:themeFill="background1"/>
            <w:noWrap/>
            <w:vAlign w:val="bottom"/>
            <w:hideMark/>
          </w:tcPr>
          <w:p w14:paraId="595A62CB" w14:textId="14D1AC50" w:rsidR="004B52BA" w:rsidRPr="00F37E65" w:rsidRDefault="004B52BA" w:rsidP="004B52BA">
            <w:pPr>
              <w:pStyle w:val="TableBody"/>
            </w:pPr>
            <w:r w:rsidRPr="00F37E65">
              <w:t>60.0</w:t>
            </w:r>
          </w:p>
        </w:tc>
        <w:tc>
          <w:tcPr>
            <w:tcW w:w="783" w:type="pct"/>
            <w:shd w:val="clear" w:color="auto" w:fill="FFFFFF" w:themeFill="background1"/>
            <w:noWrap/>
            <w:vAlign w:val="bottom"/>
            <w:hideMark/>
          </w:tcPr>
          <w:p w14:paraId="7B8CF2FD" w14:textId="77777777" w:rsidR="004B52BA" w:rsidRPr="00F37E65" w:rsidRDefault="004B52BA" w:rsidP="004B52BA">
            <w:pPr>
              <w:pStyle w:val="TableBody"/>
            </w:pPr>
            <w:r w:rsidRPr="00F37E65">
              <w:t>40.0</w:t>
            </w:r>
          </w:p>
        </w:tc>
      </w:tr>
      <w:tr w:rsidR="004B52BA" w:rsidRPr="00F37E65" w14:paraId="04DB2EC3" w14:textId="77777777" w:rsidTr="005265DE">
        <w:trPr>
          <w:trHeight w:val="300"/>
          <w:jc w:val="center"/>
        </w:trPr>
        <w:tc>
          <w:tcPr>
            <w:tcW w:w="1872" w:type="pct"/>
            <w:shd w:val="clear" w:color="auto" w:fill="FFFFFF" w:themeFill="background1"/>
            <w:noWrap/>
            <w:vAlign w:val="bottom"/>
            <w:hideMark/>
          </w:tcPr>
          <w:p w14:paraId="03AF1BEC" w14:textId="0DFD443A" w:rsidR="004B52BA" w:rsidRPr="00F37E65" w:rsidRDefault="004B52BA" w:rsidP="004B52BA">
            <w:pPr>
              <w:pStyle w:val="TableRowIndent"/>
              <w:ind w:left="171" w:hanging="114"/>
            </w:pPr>
            <w:r w:rsidRPr="00F37E65">
              <w:t>Lower middle</w:t>
            </w:r>
          </w:p>
        </w:tc>
        <w:tc>
          <w:tcPr>
            <w:tcW w:w="783" w:type="pct"/>
            <w:shd w:val="clear" w:color="auto" w:fill="FFFFFF" w:themeFill="background1"/>
            <w:vAlign w:val="bottom"/>
          </w:tcPr>
          <w:p w14:paraId="3866C4B2" w14:textId="46265A7B" w:rsidR="004B52BA" w:rsidRPr="00F37E65" w:rsidRDefault="004B52BA" w:rsidP="004B52BA">
            <w:pPr>
              <w:pStyle w:val="TableBody"/>
            </w:pPr>
            <w:r w:rsidRPr="00F37E65">
              <w:t>76.6</w:t>
            </w:r>
          </w:p>
        </w:tc>
        <w:tc>
          <w:tcPr>
            <w:tcW w:w="781" w:type="pct"/>
            <w:shd w:val="clear" w:color="auto" w:fill="FFFFFF" w:themeFill="background1"/>
            <w:vAlign w:val="bottom"/>
          </w:tcPr>
          <w:p w14:paraId="1A17C8EC" w14:textId="4869F49A" w:rsidR="004B52BA" w:rsidRPr="00F37E65" w:rsidRDefault="004B52BA" w:rsidP="004B52BA">
            <w:pPr>
              <w:pStyle w:val="TableBody"/>
            </w:pPr>
            <w:r w:rsidRPr="00F37E65">
              <w:t>23.4</w:t>
            </w:r>
          </w:p>
        </w:tc>
        <w:tc>
          <w:tcPr>
            <w:tcW w:w="781" w:type="pct"/>
            <w:shd w:val="clear" w:color="auto" w:fill="FFFFFF" w:themeFill="background1"/>
            <w:noWrap/>
            <w:vAlign w:val="bottom"/>
            <w:hideMark/>
          </w:tcPr>
          <w:p w14:paraId="6E066E97" w14:textId="181FE16D" w:rsidR="004B52BA" w:rsidRPr="00F37E65" w:rsidRDefault="004B52BA" w:rsidP="004B52BA">
            <w:pPr>
              <w:pStyle w:val="TableBody"/>
            </w:pPr>
            <w:r w:rsidRPr="00F37E65">
              <w:t>55.6</w:t>
            </w:r>
          </w:p>
        </w:tc>
        <w:tc>
          <w:tcPr>
            <w:tcW w:w="783" w:type="pct"/>
            <w:shd w:val="clear" w:color="auto" w:fill="FFFFFF" w:themeFill="background1"/>
            <w:noWrap/>
            <w:vAlign w:val="bottom"/>
            <w:hideMark/>
          </w:tcPr>
          <w:p w14:paraId="07CD7FD5" w14:textId="77777777" w:rsidR="004B52BA" w:rsidRPr="00F37E65" w:rsidRDefault="004B52BA" w:rsidP="004B52BA">
            <w:pPr>
              <w:pStyle w:val="TableBody"/>
            </w:pPr>
            <w:r w:rsidRPr="00F37E65">
              <w:t>44.4</w:t>
            </w:r>
          </w:p>
        </w:tc>
      </w:tr>
      <w:tr w:rsidR="004B52BA" w:rsidRPr="00F37E65" w14:paraId="34EC1759" w14:textId="77777777" w:rsidTr="005265DE">
        <w:trPr>
          <w:trHeight w:val="300"/>
          <w:jc w:val="center"/>
        </w:trPr>
        <w:tc>
          <w:tcPr>
            <w:tcW w:w="1872" w:type="pct"/>
            <w:shd w:val="clear" w:color="auto" w:fill="FFFFFF" w:themeFill="background1"/>
            <w:noWrap/>
            <w:vAlign w:val="bottom"/>
            <w:hideMark/>
          </w:tcPr>
          <w:p w14:paraId="679DA443" w14:textId="3445BDF7" w:rsidR="004B52BA" w:rsidRPr="00F37E65" w:rsidRDefault="004B52BA" w:rsidP="004B52BA">
            <w:pPr>
              <w:pStyle w:val="TableRowIndent"/>
              <w:ind w:left="171" w:hanging="114"/>
            </w:pPr>
            <w:r w:rsidRPr="00F37E65">
              <w:t>Middle</w:t>
            </w:r>
          </w:p>
        </w:tc>
        <w:tc>
          <w:tcPr>
            <w:tcW w:w="783" w:type="pct"/>
            <w:shd w:val="clear" w:color="auto" w:fill="FFFFFF" w:themeFill="background1"/>
            <w:vAlign w:val="bottom"/>
          </w:tcPr>
          <w:p w14:paraId="3654201C" w14:textId="23D9A292" w:rsidR="004B52BA" w:rsidRPr="00F37E65" w:rsidRDefault="004B52BA" w:rsidP="004B52BA">
            <w:pPr>
              <w:pStyle w:val="TableBody"/>
            </w:pPr>
            <w:r w:rsidRPr="00F37E65">
              <w:t>86.3</w:t>
            </w:r>
          </w:p>
        </w:tc>
        <w:tc>
          <w:tcPr>
            <w:tcW w:w="781" w:type="pct"/>
            <w:shd w:val="clear" w:color="auto" w:fill="FFFFFF" w:themeFill="background1"/>
            <w:vAlign w:val="bottom"/>
          </w:tcPr>
          <w:p w14:paraId="655BD0A3" w14:textId="6F3E80B8" w:rsidR="004B52BA" w:rsidRPr="00F37E65" w:rsidRDefault="004B52BA" w:rsidP="004B52BA">
            <w:pPr>
              <w:pStyle w:val="TableBody"/>
            </w:pPr>
            <w:r w:rsidRPr="00F37E65">
              <w:t>13.7</w:t>
            </w:r>
          </w:p>
        </w:tc>
        <w:tc>
          <w:tcPr>
            <w:tcW w:w="781" w:type="pct"/>
            <w:shd w:val="clear" w:color="auto" w:fill="FFFFFF" w:themeFill="background1"/>
            <w:noWrap/>
            <w:vAlign w:val="bottom"/>
            <w:hideMark/>
          </w:tcPr>
          <w:p w14:paraId="74048CA0" w14:textId="1D83D3AA" w:rsidR="004B52BA" w:rsidRPr="00F37E65" w:rsidRDefault="004B52BA" w:rsidP="004B52BA">
            <w:pPr>
              <w:pStyle w:val="TableBody"/>
            </w:pPr>
            <w:r w:rsidRPr="00F37E65">
              <w:t>66.7</w:t>
            </w:r>
          </w:p>
        </w:tc>
        <w:tc>
          <w:tcPr>
            <w:tcW w:w="783" w:type="pct"/>
            <w:shd w:val="clear" w:color="auto" w:fill="FFFFFF" w:themeFill="background1"/>
            <w:noWrap/>
            <w:vAlign w:val="bottom"/>
            <w:hideMark/>
          </w:tcPr>
          <w:p w14:paraId="6D93D474" w14:textId="77777777" w:rsidR="004B52BA" w:rsidRPr="00F37E65" w:rsidRDefault="004B52BA" w:rsidP="004B52BA">
            <w:pPr>
              <w:pStyle w:val="TableBody"/>
            </w:pPr>
            <w:r w:rsidRPr="00F37E65">
              <w:t>33.3*</w:t>
            </w:r>
          </w:p>
        </w:tc>
      </w:tr>
      <w:tr w:rsidR="004B52BA" w:rsidRPr="00F37E65" w14:paraId="160ABF57" w14:textId="77777777" w:rsidTr="005265DE">
        <w:trPr>
          <w:trHeight w:val="300"/>
          <w:jc w:val="center"/>
        </w:trPr>
        <w:tc>
          <w:tcPr>
            <w:tcW w:w="1872" w:type="pct"/>
            <w:shd w:val="clear" w:color="auto" w:fill="FFFFFF" w:themeFill="background1"/>
            <w:noWrap/>
            <w:vAlign w:val="bottom"/>
            <w:hideMark/>
          </w:tcPr>
          <w:p w14:paraId="6048870C" w14:textId="38810A12" w:rsidR="004B52BA" w:rsidRPr="00F37E65" w:rsidRDefault="004B52BA" w:rsidP="004B52BA">
            <w:pPr>
              <w:pStyle w:val="TableRowIndent"/>
              <w:ind w:left="171" w:hanging="114"/>
            </w:pPr>
            <w:r w:rsidRPr="00F37E65">
              <w:t>Upper middle</w:t>
            </w:r>
          </w:p>
        </w:tc>
        <w:tc>
          <w:tcPr>
            <w:tcW w:w="783" w:type="pct"/>
            <w:shd w:val="clear" w:color="auto" w:fill="FFFFFF" w:themeFill="background1"/>
            <w:vAlign w:val="bottom"/>
          </w:tcPr>
          <w:p w14:paraId="1AE4CA13" w14:textId="4BDD1033" w:rsidR="004B52BA" w:rsidRPr="00F37E65" w:rsidRDefault="004B52BA" w:rsidP="004B52BA">
            <w:pPr>
              <w:pStyle w:val="TableBody"/>
            </w:pPr>
            <w:r w:rsidRPr="00F37E65">
              <w:t>89.0</w:t>
            </w:r>
          </w:p>
        </w:tc>
        <w:tc>
          <w:tcPr>
            <w:tcW w:w="781" w:type="pct"/>
            <w:shd w:val="clear" w:color="auto" w:fill="FFFFFF" w:themeFill="background1"/>
            <w:vAlign w:val="bottom"/>
          </w:tcPr>
          <w:p w14:paraId="0E2EA13C" w14:textId="7AC34A04" w:rsidR="004B52BA" w:rsidRPr="00F37E65" w:rsidRDefault="004B52BA" w:rsidP="004B52BA">
            <w:pPr>
              <w:pStyle w:val="TableBody"/>
            </w:pPr>
            <w:r w:rsidRPr="00F37E65">
              <w:t>11.0</w:t>
            </w:r>
          </w:p>
        </w:tc>
        <w:tc>
          <w:tcPr>
            <w:tcW w:w="781" w:type="pct"/>
            <w:shd w:val="clear" w:color="auto" w:fill="FFFFFF" w:themeFill="background1"/>
            <w:noWrap/>
            <w:vAlign w:val="bottom"/>
            <w:hideMark/>
          </w:tcPr>
          <w:p w14:paraId="7E3C8E6E" w14:textId="0E5FD9AE" w:rsidR="004B52BA" w:rsidRPr="00F37E65" w:rsidRDefault="004B52BA" w:rsidP="004B52BA">
            <w:pPr>
              <w:pStyle w:val="TableBody"/>
            </w:pPr>
            <w:r w:rsidRPr="00F37E65">
              <w:t>53.3</w:t>
            </w:r>
          </w:p>
        </w:tc>
        <w:tc>
          <w:tcPr>
            <w:tcW w:w="783" w:type="pct"/>
            <w:shd w:val="clear" w:color="auto" w:fill="FFFFFF" w:themeFill="background1"/>
            <w:noWrap/>
            <w:vAlign w:val="bottom"/>
            <w:hideMark/>
          </w:tcPr>
          <w:p w14:paraId="7431184E" w14:textId="77777777" w:rsidR="004B52BA" w:rsidRPr="00F37E65" w:rsidRDefault="004B52BA" w:rsidP="004B52BA">
            <w:pPr>
              <w:pStyle w:val="TableBody"/>
            </w:pPr>
            <w:r w:rsidRPr="00F37E65">
              <w:t>46.7</w:t>
            </w:r>
          </w:p>
        </w:tc>
      </w:tr>
      <w:tr w:rsidR="004B52BA" w:rsidRPr="00F37E65" w14:paraId="5DEAF0E7" w14:textId="77777777" w:rsidTr="005265DE">
        <w:trPr>
          <w:trHeight w:val="300"/>
          <w:jc w:val="center"/>
        </w:trPr>
        <w:tc>
          <w:tcPr>
            <w:tcW w:w="1872" w:type="pct"/>
            <w:shd w:val="clear" w:color="auto" w:fill="FFFFFF" w:themeFill="background1"/>
            <w:noWrap/>
            <w:vAlign w:val="bottom"/>
            <w:hideMark/>
          </w:tcPr>
          <w:p w14:paraId="355B33CA" w14:textId="41FB4B51" w:rsidR="004B52BA" w:rsidRPr="00F37E65" w:rsidRDefault="004B52BA" w:rsidP="004B52BA">
            <w:pPr>
              <w:pStyle w:val="TableRowIndent"/>
              <w:ind w:left="171" w:hanging="114"/>
            </w:pPr>
            <w:r w:rsidRPr="00F37E65">
              <w:t>Highest</w:t>
            </w:r>
          </w:p>
        </w:tc>
        <w:tc>
          <w:tcPr>
            <w:tcW w:w="783" w:type="pct"/>
            <w:shd w:val="clear" w:color="auto" w:fill="FFFFFF" w:themeFill="background1"/>
            <w:vAlign w:val="bottom"/>
          </w:tcPr>
          <w:p w14:paraId="7F75610E" w14:textId="30FB8553" w:rsidR="004B52BA" w:rsidRPr="00F37E65" w:rsidRDefault="004B52BA" w:rsidP="004B52BA">
            <w:pPr>
              <w:pStyle w:val="TableBody"/>
            </w:pPr>
            <w:r w:rsidRPr="00F37E65">
              <w:t>89.8</w:t>
            </w:r>
          </w:p>
        </w:tc>
        <w:tc>
          <w:tcPr>
            <w:tcW w:w="781" w:type="pct"/>
            <w:shd w:val="clear" w:color="auto" w:fill="FFFFFF" w:themeFill="background1"/>
            <w:vAlign w:val="bottom"/>
          </w:tcPr>
          <w:p w14:paraId="5A0855F8" w14:textId="3C367D05" w:rsidR="004B52BA" w:rsidRPr="00F37E65" w:rsidRDefault="004B52BA" w:rsidP="004B52BA">
            <w:pPr>
              <w:pStyle w:val="TableBody"/>
            </w:pPr>
            <w:r w:rsidRPr="00F37E65">
              <w:t>10.2</w:t>
            </w:r>
          </w:p>
        </w:tc>
        <w:tc>
          <w:tcPr>
            <w:tcW w:w="781" w:type="pct"/>
            <w:shd w:val="clear" w:color="auto" w:fill="FFFFFF" w:themeFill="background1"/>
            <w:noWrap/>
            <w:vAlign w:val="bottom"/>
            <w:hideMark/>
          </w:tcPr>
          <w:p w14:paraId="2412079C" w14:textId="2DEC370A" w:rsidR="004B52BA" w:rsidRPr="00F37E65" w:rsidRDefault="004B52BA" w:rsidP="004B52BA">
            <w:pPr>
              <w:pStyle w:val="TableBody"/>
            </w:pPr>
            <w:r w:rsidRPr="00F37E65">
              <w:t>73.2</w:t>
            </w:r>
          </w:p>
        </w:tc>
        <w:tc>
          <w:tcPr>
            <w:tcW w:w="783" w:type="pct"/>
            <w:shd w:val="clear" w:color="auto" w:fill="FFFFFF" w:themeFill="background1"/>
            <w:noWrap/>
            <w:vAlign w:val="bottom"/>
            <w:hideMark/>
          </w:tcPr>
          <w:p w14:paraId="62BAA956" w14:textId="77777777" w:rsidR="004B52BA" w:rsidRPr="00F37E65" w:rsidRDefault="004B52BA" w:rsidP="004B52BA">
            <w:pPr>
              <w:pStyle w:val="TableBody"/>
            </w:pPr>
            <w:r w:rsidRPr="00F37E65">
              <w:t>26.8</w:t>
            </w:r>
          </w:p>
        </w:tc>
      </w:tr>
      <w:tr w:rsidR="004B52BA" w:rsidRPr="00F37E65" w14:paraId="2536B877" w14:textId="77777777" w:rsidTr="005265DE">
        <w:trPr>
          <w:trHeight w:val="300"/>
          <w:jc w:val="center"/>
        </w:trPr>
        <w:tc>
          <w:tcPr>
            <w:tcW w:w="1872" w:type="pct"/>
            <w:shd w:val="clear" w:color="auto" w:fill="DEEAF6" w:themeFill="accent5" w:themeFillTint="33"/>
            <w:noWrap/>
            <w:vAlign w:val="bottom"/>
            <w:hideMark/>
          </w:tcPr>
          <w:p w14:paraId="348DF22D" w14:textId="77777777" w:rsidR="004B52BA" w:rsidRPr="00F37E65" w:rsidRDefault="004B52BA" w:rsidP="004B52BA">
            <w:pPr>
              <w:pStyle w:val="TableHeader2"/>
              <w:ind w:left="0"/>
            </w:pPr>
            <w:r w:rsidRPr="00F37E65">
              <w:t>Language background^</w:t>
            </w:r>
          </w:p>
        </w:tc>
        <w:tc>
          <w:tcPr>
            <w:tcW w:w="783" w:type="pct"/>
            <w:shd w:val="clear" w:color="auto" w:fill="DEEAF6" w:themeFill="accent5" w:themeFillTint="33"/>
            <w:vAlign w:val="bottom"/>
          </w:tcPr>
          <w:p w14:paraId="49749698" w14:textId="77777777" w:rsidR="004B52BA" w:rsidRPr="00F37E65" w:rsidRDefault="004B52BA" w:rsidP="004B52BA">
            <w:pPr>
              <w:pStyle w:val="TableBody"/>
            </w:pPr>
          </w:p>
        </w:tc>
        <w:tc>
          <w:tcPr>
            <w:tcW w:w="781" w:type="pct"/>
            <w:shd w:val="clear" w:color="auto" w:fill="DEEAF6" w:themeFill="accent5" w:themeFillTint="33"/>
            <w:vAlign w:val="bottom"/>
          </w:tcPr>
          <w:p w14:paraId="2D837AB1" w14:textId="55195F94" w:rsidR="004B52BA" w:rsidRPr="00F37E65" w:rsidRDefault="004B52BA" w:rsidP="004B52BA">
            <w:pPr>
              <w:pStyle w:val="TableBody"/>
            </w:pPr>
          </w:p>
        </w:tc>
        <w:tc>
          <w:tcPr>
            <w:tcW w:w="781" w:type="pct"/>
            <w:shd w:val="clear" w:color="auto" w:fill="DEEAF6" w:themeFill="accent5" w:themeFillTint="33"/>
            <w:noWrap/>
            <w:vAlign w:val="bottom"/>
            <w:hideMark/>
          </w:tcPr>
          <w:p w14:paraId="74839844" w14:textId="0CD6F50C" w:rsidR="004B52BA" w:rsidRPr="00F37E65" w:rsidRDefault="004B52BA" w:rsidP="004B52BA">
            <w:pPr>
              <w:pStyle w:val="TableBody"/>
            </w:pPr>
          </w:p>
        </w:tc>
        <w:tc>
          <w:tcPr>
            <w:tcW w:w="783" w:type="pct"/>
            <w:shd w:val="clear" w:color="auto" w:fill="DEEAF6" w:themeFill="accent5" w:themeFillTint="33"/>
            <w:noWrap/>
            <w:vAlign w:val="bottom"/>
            <w:hideMark/>
          </w:tcPr>
          <w:p w14:paraId="77755785" w14:textId="67D20150" w:rsidR="004B52BA" w:rsidRPr="00F37E65" w:rsidRDefault="004B52BA" w:rsidP="004B52BA">
            <w:pPr>
              <w:pStyle w:val="TableBody"/>
            </w:pPr>
          </w:p>
        </w:tc>
      </w:tr>
      <w:tr w:rsidR="004B52BA" w:rsidRPr="00F37E65" w14:paraId="2DA13B06" w14:textId="77777777" w:rsidTr="005265DE">
        <w:trPr>
          <w:trHeight w:val="300"/>
          <w:jc w:val="center"/>
        </w:trPr>
        <w:tc>
          <w:tcPr>
            <w:tcW w:w="1872" w:type="pct"/>
            <w:shd w:val="clear" w:color="auto" w:fill="FFFFFF" w:themeFill="background1"/>
            <w:noWrap/>
            <w:vAlign w:val="bottom"/>
            <w:hideMark/>
          </w:tcPr>
          <w:p w14:paraId="3F4F62F4" w14:textId="3035EB56" w:rsidR="004B52BA" w:rsidRPr="00F37E65" w:rsidRDefault="004B52BA" w:rsidP="004B52BA">
            <w:pPr>
              <w:pStyle w:val="TableRowIndent"/>
            </w:pPr>
            <w:r w:rsidRPr="00F37E65">
              <w:t xml:space="preserve">English </w:t>
            </w:r>
          </w:p>
        </w:tc>
        <w:tc>
          <w:tcPr>
            <w:tcW w:w="783" w:type="pct"/>
            <w:shd w:val="clear" w:color="auto" w:fill="FFFFFF" w:themeFill="background1"/>
            <w:vAlign w:val="bottom"/>
          </w:tcPr>
          <w:p w14:paraId="6950FE14" w14:textId="116707AE" w:rsidR="004B52BA" w:rsidRPr="00F37E65" w:rsidRDefault="004B52BA" w:rsidP="004B52BA">
            <w:pPr>
              <w:pStyle w:val="TableBody"/>
            </w:pPr>
            <w:r w:rsidRPr="00F37E65">
              <w:t>87.4</w:t>
            </w:r>
          </w:p>
        </w:tc>
        <w:tc>
          <w:tcPr>
            <w:tcW w:w="781" w:type="pct"/>
            <w:shd w:val="clear" w:color="auto" w:fill="FFFFFF" w:themeFill="background1"/>
            <w:vAlign w:val="bottom"/>
          </w:tcPr>
          <w:p w14:paraId="234EC7DD" w14:textId="389E500A" w:rsidR="004B52BA" w:rsidRPr="00F37E65" w:rsidRDefault="004B52BA" w:rsidP="004B52BA">
            <w:pPr>
              <w:pStyle w:val="TableBody"/>
            </w:pPr>
            <w:r w:rsidRPr="00F37E65">
              <w:t>12.6</w:t>
            </w:r>
          </w:p>
        </w:tc>
        <w:tc>
          <w:tcPr>
            <w:tcW w:w="781" w:type="pct"/>
            <w:shd w:val="clear" w:color="auto" w:fill="FFFFFF" w:themeFill="background1"/>
            <w:noWrap/>
            <w:vAlign w:val="bottom"/>
            <w:hideMark/>
          </w:tcPr>
          <w:p w14:paraId="41D884B5" w14:textId="2806AE05" w:rsidR="004B52BA" w:rsidRPr="00F37E65" w:rsidRDefault="004B52BA" w:rsidP="004B52BA">
            <w:pPr>
              <w:pStyle w:val="TableBody"/>
            </w:pPr>
            <w:r w:rsidRPr="00F37E65">
              <w:t>65.4</w:t>
            </w:r>
          </w:p>
        </w:tc>
        <w:tc>
          <w:tcPr>
            <w:tcW w:w="783" w:type="pct"/>
            <w:shd w:val="clear" w:color="auto" w:fill="FFFFFF" w:themeFill="background1"/>
            <w:noWrap/>
            <w:vAlign w:val="bottom"/>
            <w:hideMark/>
          </w:tcPr>
          <w:p w14:paraId="2A67ED38" w14:textId="77777777" w:rsidR="004B52BA" w:rsidRPr="00F37E65" w:rsidRDefault="004B52BA" w:rsidP="004B52BA">
            <w:pPr>
              <w:pStyle w:val="TableBody"/>
            </w:pPr>
            <w:r w:rsidRPr="00F37E65">
              <w:t>34.6</w:t>
            </w:r>
          </w:p>
        </w:tc>
      </w:tr>
      <w:tr w:rsidR="004B52BA" w:rsidRPr="00F37E65" w14:paraId="30858E25" w14:textId="77777777" w:rsidTr="005265DE">
        <w:trPr>
          <w:trHeight w:val="300"/>
          <w:jc w:val="center"/>
        </w:trPr>
        <w:tc>
          <w:tcPr>
            <w:tcW w:w="1872" w:type="pct"/>
            <w:shd w:val="clear" w:color="auto" w:fill="FFFFFF" w:themeFill="background1"/>
            <w:noWrap/>
            <w:vAlign w:val="bottom"/>
            <w:hideMark/>
          </w:tcPr>
          <w:p w14:paraId="1D621C10" w14:textId="24B564E4" w:rsidR="004B52BA" w:rsidRPr="00F37E65" w:rsidRDefault="004B52BA" w:rsidP="004B52BA">
            <w:pPr>
              <w:pStyle w:val="TableRowIndent"/>
            </w:pPr>
            <w:r w:rsidRPr="00F37E65">
              <w:t>English and another language</w:t>
            </w:r>
          </w:p>
        </w:tc>
        <w:tc>
          <w:tcPr>
            <w:tcW w:w="783" w:type="pct"/>
            <w:shd w:val="clear" w:color="auto" w:fill="FFFFFF" w:themeFill="background1"/>
            <w:vAlign w:val="bottom"/>
          </w:tcPr>
          <w:p w14:paraId="49A46F48" w14:textId="2C716175" w:rsidR="004B52BA" w:rsidRPr="00F37E65" w:rsidRDefault="004B52BA" w:rsidP="004B52BA">
            <w:pPr>
              <w:pStyle w:val="TableBody"/>
            </w:pPr>
            <w:r w:rsidRPr="00F37E65">
              <w:t>96.7</w:t>
            </w:r>
          </w:p>
        </w:tc>
        <w:tc>
          <w:tcPr>
            <w:tcW w:w="781" w:type="pct"/>
            <w:shd w:val="clear" w:color="auto" w:fill="FFFFFF" w:themeFill="background1"/>
            <w:vAlign w:val="bottom"/>
          </w:tcPr>
          <w:p w14:paraId="27C19B27" w14:textId="14B48678" w:rsidR="004B52BA" w:rsidRPr="00F37E65" w:rsidRDefault="004B52BA" w:rsidP="004B52BA">
            <w:pPr>
              <w:pStyle w:val="TableBody"/>
            </w:pPr>
            <w:r w:rsidRPr="00F37E65">
              <w:t>3.3*</w:t>
            </w:r>
          </w:p>
        </w:tc>
        <w:tc>
          <w:tcPr>
            <w:tcW w:w="781" w:type="pct"/>
            <w:shd w:val="clear" w:color="auto" w:fill="FFFFFF" w:themeFill="background1"/>
            <w:noWrap/>
            <w:vAlign w:val="bottom"/>
            <w:hideMark/>
          </w:tcPr>
          <w:p w14:paraId="16C68277" w14:textId="20563F28" w:rsidR="004B52BA" w:rsidRPr="00F37E65" w:rsidRDefault="004B52BA" w:rsidP="004B52BA">
            <w:pPr>
              <w:pStyle w:val="TableBody"/>
            </w:pPr>
            <w:r w:rsidRPr="00F37E65">
              <w:t>55.6*</w:t>
            </w:r>
          </w:p>
        </w:tc>
        <w:tc>
          <w:tcPr>
            <w:tcW w:w="783" w:type="pct"/>
            <w:shd w:val="clear" w:color="auto" w:fill="FFFFFF" w:themeFill="background1"/>
            <w:noWrap/>
            <w:vAlign w:val="bottom"/>
            <w:hideMark/>
          </w:tcPr>
          <w:p w14:paraId="5887CB66" w14:textId="77777777" w:rsidR="004B52BA" w:rsidRPr="00F37E65" w:rsidRDefault="004B52BA" w:rsidP="004B52BA">
            <w:pPr>
              <w:pStyle w:val="TableBody"/>
            </w:pPr>
            <w:r w:rsidRPr="00F37E65">
              <w:t>44.4*</w:t>
            </w:r>
          </w:p>
        </w:tc>
      </w:tr>
      <w:tr w:rsidR="004B52BA" w:rsidRPr="00F37E65" w14:paraId="61484481" w14:textId="77777777" w:rsidTr="005265DE">
        <w:trPr>
          <w:trHeight w:val="300"/>
          <w:jc w:val="center"/>
        </w:trPr>
        <w:tc>
          <w:tcPr>
            <w:tcW w:w="1872" w:type="pct"/>
            <w:shd w:val="clear" w:color="auto" w:fill="FFFFFF" w:themeFill="background1"/>
            <w:noWrap/>
            <w:vAlign w:val="bottom"/>
            <w:hideMark/>
          </w:tcPr>
          <w:p w14:paraId="0EAADD9D" w14:textId="3F6F0B20" w:rsidR="004B52BA" w:rsidRPr="00F37E65" w:rsidRDefault="004B52BA" w:rsidP="004B52BA">
            <w:pPr>
              <w:pStyle w:val="TableRowIndent"/>
            </w:pPr>
            <w:r w:rsidRPr="00F37E65">
              <w:t>Another language, no English</w:t>
            </w:r>
          </w:p>
        </w:tc>
        <w:tc>
          <w:tcPr>
            <w:tcW w:w="783" w:type="pct"/>
            <w:shd w:val="clear" w:color="auto" w:fill="FFFFFF" w:themeFill="background1"/>
            <w:vAlign w:val="bottom"/>
          </w:tcPr>
          <w:p w14:paraId="7C519A18" w14:textId="6C976F93" w:rsidR="004B52BA" w:rsidRPr="00F37E65" w:rsidRDefault="004B52BA" w:rsidP="004B52BA">
            <w:pPr>
              <w:pStyle w:val="TableBody"/>
            </w:pPr>
            <w:r w:rsidRPr="00F37E65">
              <w:t>97.2</w:t>
            </w:r>
          </w:p>
        </w:tc>
        <w:tc>
          <w:tcPr>
            <w:tcW w:w="781" w:type="pct"/>
            <w:shd w:val="clear" w:color="auto" w:fill="FFFFFF" w:themeFill="background1"/>
            <w:vAlign w:val="bottom"/>
          </w:tcPr>
          <w:p w14:paraId="00E0F07C" w14:textId="08A04D45" w:rsidR="004B52BA" w:rsidRPr="00F37E65" w:rsidRDefault="004B52BA" w:rsidP="004B52BA">
            <w:pPr>
              <w:pStyle w:val="TableBody"/>
            </w:pPr>
            <w:r w:rsidRPr="00F37E65">
              <w:t>2.8*</w:t>
            </w:r>
          </w:p>
        </w:tc>
        <w:tc>
          <w:tcPr>
            <w:tcW w:w="781" w:type="pct"/>
            <w:shd w:val="clear" w:color="auto" w:fill="FFFFFF" w:themeFill="background1"/>
            <w:noWrap/>
            <w:vAlign w:val="bottom"/>
            <w:hideMark/>
          </w:tcPr>
          <w:p w14:paraId="636433B3" w14:textId="4969F4CB" w:rsidR="004B52BA" w:rsidRPr="00F37E65" w:rsidRDefault="004B52BA" w:rsidP="004B52BA">
            <w:pPr>
              <w:pStyle w:val="TableBody"/>
            </w:pPr>
            <w:r w:rsidRPr="00F37E65">
              <w:t>70.0</w:t>
            </w:r>
          </w:p>
        </w:tc>
        <w:tc>
          <w:tcPr>
            <w:tcW w:w="783" w:type="pct"/>
            <w:shd w:val="clear" w:color="auto" w:fill="FFFFFF" w:themeFill="background1"/>
            <w:noWrap/>
            <w:vAlign w:val="bottom"/>
            <w:hideMark/>
          </w:tcPr>
          <w:p w14:paraId="162053B7" w14:textId="77777777" w:rsidR="004B52BA" w:rsidRPr="00F37E65" w:rsidRDefault="004B52BA" w:rsidP="004B52BA">
            <w:pPr>
              <w:pStyle w:val="TableBody"/>
            </w:pPr>
            <w:r w:rsidRPr="00F37E65">
              <w:t>30.0</w:t>
            </w:r>
          </w:p>
        </w:tc>
      </w:tr>
      <w:tr w:rsidR="004B52BA" w:rsidRPr="00F37E65" w14:paraId="0128A728" w14:textId="77777777" w:rsidTr="005265DE">
        <w:trPr>
          <w:trHeight w:val="300"/>
          <w:jc w:val="center"/>
        </w:trPr>
        <w:tc>
          <w:tcPr>
            <w:tcW w:w="1872" w:type="pct"/>
            <w:shd w:val="clear" w:color="auto" w:fill="DEEAF6" w:themeFill="accent5" w:themeFillTint="33"/>
            <w:noWrap/>
            <w:vAlign w:val="bottom"/>
            <w:hideMark/>
          </w:tcPr>
          <w:p w14:paraId="71878C22" w14:textId="77777777" w:rsidR="004B52BA" w:rsidRPr="00F37E65" w:rsidRDefault="004B52BA" w:rsidP="004B52BA">
            <w:pPr>
              <w:pStyle w:val="TableHeader2"/>
              <w:ind w:left="0"/>
            </w:pPr>
            <w:r w:rsidRPr="00F37E65">
              <w:t>ESL^</w:t>
            </w:r>
          </w:p>
        </w:tc>
        <w:tc>
          <w:tcPr>
            <w:tcW w:w="783" w:type="pct"/>
            <w:shd w:val="clear" w:color="auto" w:fill="DEEAF6" w:themeFill="accent5" w:themeFillTint="33"/>
            <w:vAlign w:val="bottom"/>
          </w:tcPr>
          <w:p w14:paraId="243B578F" w14:textId="77777777" w:rsidR="004B52BA" w:rsidRPr="00F37E65" w:rsidRDefault="004B52BA" w:rsidP="004B52BA">
            <w:pPr>
              <w:pStyle w:val="TableHeader2"/>
            </w:pPr>
          </w:p>
        </w:tc>
        <w:tc>
          <w:tcPr>
            <w:tcW w:w="781" w:type="pct"/>
            <w:shd w:val="clear" w:color="auto" w:fill="DEEAF6" w:themeFill="accent5" w:themeFillTint="33"/>
            <w:vAlign w:val="bottom"/>
          </w:tcPr>
          <w:p w14:paraId="6917BF96" w14:textId="619174D1" w:rsidR="004B52BA" w:rsidRPr="00F37E65" w:rsidRDefault="004B52BA" w:rsidP="004B52BA">
            <w:pPr>
              <w:pStyle w:val="TableHeader2"/>
            </w:pPr>
          </w:p>
        </w:tc>
        <w:tc>
          <w:tcPr>
            <w:tcW w:w="781" w:type="pct"/>
            <w:shd w:val="clear" w:color="auto" w:fill="DEEAF6" w:themeFill="accent5" w:themeFillTint="33"/>
            <w:noWrap/>
            <w:vAlign w:val="bottom"/>
            <w:hideMark/>
          </w:tcPr>
          <w:p w14:paraId="489AEE17" w14:textId="50766544" w:rsidR="004B52BA" w:rsidRPr="00F37E65" w:rsidRDefault="004B52BA" w:rsidP="004B52BA">
            <w:pPr>
              <w:pStyle w:val="TableHeader2"/>
            </w:pPr>
          </w:p>
        </w:tc>
        <w:tc>
          <w:tcPr>
            <w:tcW w:w="783" w:type="pct"/>
            <w:shd w:val="clear" w:color="auto" w:fill="DEEAF6" w:themeFill="accent5" w:themeFillTint="33"/>
            <w:noWrap/>
            <w:vAlign w:val="bottom"/>
            <w:hideMark/>
          </w:tcPr>
          <w:p w14:paraId="7AACCA49" w14:textId="1248C5CC" w:rsidR="004B52BA" w:rsidRPr="00F37E65" w:rsidRDefault="004B52BA" w:rsidP="004B52BA">
            <w:pPr>
              <w:pStyle w:val="TableHeader2"/>
            </w:pPr>
          </w:p>
        </w:tc>
      </w:tr>
      <w:tr w:rsidR="004B52BA" w:rsidRPr="00F37E65" w14:paraId="03345A7D" w14:textId="77777777" w:rsidTr="005265DE">
        <w:trPr>
          <w:trHeight w:val="300"/>
          <w:jc w:val="center"/>
        </w:trPr>
        <w:tc>
          <w:tcPr>
            <w:tcW w:w="1872" w:type="pct"/>
            <w:shd w:val="clear" w:color="auto" w:fill="FFFFFF" w:themeFill="background1"/>
            <w:noWrap/>
            <w:vAlign w:val="bottom"/>
            <w:hideMark/>
          </w:tcPr>
          <w:p w14:paraId="0FA14FAC" w14:textId="21A25AE5" w:rsidR="004B52BA" w:rsidRPr="00F37E65" w:rsidRDefault="004B52BA" w:rsidP="004B52BA">
            <w:pPr>
              <w:pStyle w:val="TableRowIndent"/>
            </w:pPr>
            <w:r w:rsidRPr="00F37E65">
              <w:t>No</w:t>
            </w:r>
          </w:p>
        </w:tc>
        <w:tc>
          <w:tcPr>
            <w:tcW w:w="783" w:type="pct"/>
            <w:shd w:val="clear" w:color="auto" w:fill="FFFFFF" w:themeFill="background1"/>
            <w:vAlign w:val="bottom"/>
          </w:tcPr>
          <w:p w14:paraId="3620E665" w14:textId="08C11514" w:rsidR="004B52BA" w:rsidRPr="00F37E65" w:rsidRDefault="004B52BA" w:rsidP="004B52BA">
            <w:pPr>
              <w:pStyle w:val="TableBody"/>
            </w:pPr>
            <w:r w:rsidRPr="00F37E65">
              <w:t>87.1</w:t>
            </w:r>
          </w:p>
        </w:tc>
        <w:tc>
          <w:tcPr>
            <w:tcW w:w="781" w:type="pct"/>
            <w:shd w:val="clear" w:color="auto" w:fill="FFFFFF" w:themeFill="background1"/>
            <w:vAlign w:val="bottom"/>
          </w:tcPr>
          <w:p w14:paraId="47338E52" w14:textId="72525EE7" w:rsidR="004B52BA" w:rsidRPr="00F37E65" w:rsidRDefault="004B52BA" w:rsidP="004B52BA">
            <w:pPr>
              <w:pStyle w:val="TableBody"/>
            </w:pPr>
            <w:r w:rsidRPr="00F37E65">
              <w:t>12.9</w:t>
            </w:r>
          </w:p>
        </w:tc>
        <w:tc>
          <w:tcPr>
            <w:tcW w:w="781" w:type="pct"/>
            <w:shd w:val="clear" w:color="auto" w:fill="FFFFFF" w:themeFill="background1"/>
            <w:noWrap/>
            <w:vAlign w:val="bottom"/>
            <w:hideMark/>
          </w:tcPr>
          <w:p w14:paraId="7EB97867" w14:textId="4F1DD9A6" w:rsidR="004B52BA" w:rsidRPr="00F37E65" w:rsidRDefault="004B52BA" w:rsidP="004B52BA">
            <w:pPr>
              <w:pStyle w:val="TableBody"/>
            </w:pPr>
            <w:r w:rsidRPr="00F37E65">
              <w:t>61.1</w:t>
            </w:r>
          </w:p>
        </w:tc>
        <w:tc>
          <w:tcPr>
            <w:tcW w:w="783" w:type="pct"/>
            <w:shd w:val="clear" w:color="auto" w:fill="FFFFFF" w:themeFill="background1"/>
            <w:noWrap/>
            <w:vAlign w:val="bottom"/>
            <w:hideMark/>
          </w:tcPr>
          <w:p w14:paraId="2C4D14BC" w14:textId="77777777" w:rsidR="004B52BA" w:rsidRPr="00F37E65" w:rsidRDefault="004B52BA" w:rsidP="004B52BA">
            <w:pPr>
              <w:pStyle w:val="TableBody"/>
            </w:pPr>
            <w:r w:rsidRPr="00F37E65">
              <w:t>38.9</w:t>
            </w:r>
          </w:p>
        </w:tc>
      </w:tr>
      <w:tr w:rsidR="004B52BA" w:rsidRPr="00F37E65" w14:paraId="53E728C4" w14:textId="77777777" w:rsidTr="005265DE">
        <w:trPr>
          <w:trHeight w:val="300"/>
          <w:jc w:val="center"/>
        </w:trPr>
        <w:tc>
          <w:tcPr>
            <w:tcW w:w="1872" w:type="pct"/>
            <w:shd w:val="clear" w:color="auto" w:fill="FFFFFF" w:themeFill="background1"/>
            <w:noWrap/>
            <w:vAlign w:val="bottom"/>
            <w:hideMark/>
          </w:tcPr>
          <w:p w14:paraId="0A803293" w14:textId="162ABF3B" w:rsidR="004B52BA" w:rsidRPr="00F37E65" w:rsidRDefault="004B52BA" w:rsidP="004B52BA">
            <w:pPr>
              <w:pStyle w:val="TableRowIndent"/>
            </w:pPr>
            <w:r w:rsidRPr="00F37E65">
              <w:t>Yes</w:t>
            </w:r>
          </w:p>
        </w:tc>
        <w:tc>
          <w:tcPr>
            <w:tcW w:w="783" w:type="pct"/>
            <w:shd w:val="clear" w:color="auto" w:fill="FFFFFF" w:themeFill="background1"/>
            <w:vAlign w:val="bottom"/>
          </w:tcPr>
          <w:p w14:paraId="7DAFC816" w14:textId="5D0FBE6D" w:rsidR="004B52BA" w:rsidRPr="00F37E65" w:rsidRDefault="004B52BA" w:rsidP="004B52BA">
            <w:pPr>
              <w:pStyle w:val="TableBody"/>
            </w:pPr>
            <w:r w:rsidRPr="00F37E65">
              <w:t>92.3</w:t>
            </w:r>
          </w:p>
        </w:tc>
        <w:tc>
          <w:tcPr>
            <w:tcW w:w="781" w:type="pct"/>
            <w:shd w:val="clear" w:color="auto" w:fill="FFFFFF" w:themeFill="background1"/>
            <w:vAlign w:val="bottom"/>
          </w:tcPr>
          <w:p w14:paraId="1692B521" w14:textId="400934D6" w:rsidR="004B52BA" w:rsidRPr="00F37E65" w:rsidRDefault="004B52BA" w:rsidP="004B52BA">
            <w:pPr>
              <w:pStyle w:val="TableBody"/>
            </w:pPr>
            <w:r w:rsidRPr="00F37E65">
              <w:t>7.7</w:t>
            </w:r>
          </w:p>
        </w:tc>
        <w:tc>
          <w:tcPr>
            <w:tcW w:w="781" w:type="pct"/>
            <w:shd w:val="clear" w:color="auto" w:fill="FFFFFF" w:themeFill="background1"/>
            <w:noWrap/>
            <w:vAlign w:val="bottom"/>
            <w:hideMark/>
          </w:tcPr>
          <w:p w14:paraId="4DFCAB4B" w14:textId="1FE7B18A" w:rsidR="004B52BA" w:rsidRPr="00F37E65" w:rsidRDefault="004B52BA" w:rsidP="004B52BA">
            <w:pPr>
              <w:pStyle w:val="TableBody"/>
            </w:pPr>
            <w:r w:rsidRPr="00F37E65">
              <w:t>66.7</w:t>
            </w:r>
          </w:p>
        </w:tc>
        <w:tc>
          <w:tcPr>
            <w:tcW w:w="783" w:type="pct"/>
            <w:shd w:val="clear" w:color="auto" w:fill="FFFFFF" w:themeFill="background1"/>
            <w:noWrap/>
            <w:vAlign w:val="bottom"/>
            <w:hideMark/>
          </w:tcPr>
          <w:p w14:paraId="71444452" w14:textId="77777777" w:rsidR="004B52BA" w:rsidRPr="00F37E65" w:rsidRDefault="004B52BA" w:rsidP="004B52BA">
            <w:pPr>
              <w:pStyle w:val="TableBody"/>
            </w:pPr>
            <w:r w:rsidRPr="00F37E65">
              <w:t>33.3</w:t>
            </w:r>
          </w:p>
        </w:tc>
      </w:tr>
      <w:tr w:rsidR="004B52BA" w:rsidRPr="00F37E65" w14:paraId="1E846F28" w14:textId="77777777" w:rsidTr="005265DE">
        <w:trPr>
          <w:trHeight w:val="300"/>
          <w:jc w:val="center"/>
        </w:trPr>
        <w:tc>
          <w:tcPr>
            <w:tcW w:w="1872" w:type="pct"/>
            <w:shd w:val="clear" w:color="auto" w:fill="DEEAF6" w:themeFill="accent5" w:themeFillTint="33"/>
            <w:noWrap/>
            <w:vAlign w:val="bottom"/>
            <w:hideMark/>
          </w:tcPr>
          <w:p w14:paraId="69068B3E" w14:textId="77777777" w:rsidR="004B52BA" w:rsidRPr="0034102F" w:rsidRDefault="004B52BA" w:rsidP="004B52BA">
            <w:pPr>
              <w:pStyle w:val="TableHeader2"/>
              <w:ind w:left="0"/>
            </w:pPr>
            <w:r w:rsidRPr="0034102F">
              <w:t>School sector (at Year 3)</w:t>
            </w:r>
          </w:p>
        </w:tc>
        <w:tc>
          <w:tcPr>
            <w:tcW w:w="783" w:type="pct"/>
            <w:shd w:val="clear" w:color="auto" w:fill="DEEAF6" w:themeFill="accent5" w:themeFillTint="33"/>
            <w:vAlign w:val="bottom"/>
          </w:tcPr>
          <w:p w14:paraId="07AF229A" w14:textId="77777777" w:rsidR="004B52BA" w:rsidRPr="00F37E65" w:rsidRDefault="004B52BA" w:rsidP="004B52BA">
            <w:pPr>
              <w:pStyle w:val="TableBody"/>
            </w:pPr>
          </w:p>
        </w:tc>
        <w:tc>
          <w:tcPr>
            <w:tcW w:w="781" w:type="pct"/>
            <w:shd w:val="clear" w:color="auto" w:fill="DEEAF6" w:themeFill="accent5" w:themeFillTint="33"/>
            <w:vAlign w:val="bottom"/>
          </w:tcPr>
          <w:p w14:paraId="263ACDD9" w14:textId="5B9BEBBA" w:rsidR="004B52BA" w:rsidRPr="00F37E65" w:rsidRDefault="004B52BA" w:rsidP="004B52BA">
            <w:pPr>
              <w:pStyle w:val="TableBody"/>
            </w:pPr>
          </w:p>
        </w:tc>
        <w:tc>
          <w:tcPr>
            <w:tcW w:w="781" w:type="pct"/>
            <w:shd w:val="clear" w:color="auto" w:fill="DEEAF6" w:themeFill="accent5" w:themeFillTint="33"/>
            <w:noWrap/>
            <w:vAlign w:val="bottom"/>
            <w:hideMark/>
          </w:tcPr>
          <w:p w14:paraId="3DC6BB5C" w14:textId="153B7D18" w:rsidR="004B52BA" w:rsidRPr="00F37E65" w:rsidRDefault="004B52BA" w:rsidP="004B52BA">
            <w:pPr>
              <w:pStyle w:val="TableBody"/>
            </w:pPr>
          </w:p>
        </w:tc>
        <w:tc>
          <w:tcPr>
            <w:tcW w:w="783" w:type="pct"/>
            <w:shd w:val="clear" w:color="auto" w:fill="DEEAF6" w:themeFill="accent5" w:themeFillTint="33"/>
            <w:noWrap/>
            <w:vAlign w:val="bottom"/>
            <w:hideMark/>
          </w:tcPr>
          <w:p w14:paraId="0C0E8B4C" w14:textId="7FFF8872" w:rsidR="004B52BA" w:rsidRPr="00F37E65" w:rsidRDefault="004B52BA" w:rsidP="004B52BA">
            <w:pPr>
              <w:pStyle w:val="TableBody"/>
            </w:pPr>
          </w:p>
        </w:tc>
      </w:tr>
      <w:tr w:rsidR="004B52BA" w:rsidRPr="00F37E65" w14:paraId="3ADF1C03" w14:textId="77777777" w:rsidTr="005265DE">
        <w:trPr>
          <w:trHeight w:val="300"/>
          <w:jc w:val="center"/>
        </w:trPr>
        <w:tc>
          <w:tcPr>
            <w:tcW w:w="1872" w:type="pct"/>
            <w:shd w:val="clear" w:color="auto" w:fill="FFFFFF" w:themeFill="background1"/>
            <w:noWrap/>
            <w:vAlign w:val="bottom"/>
            <w:hideMark/>
          </w:tcPr>
          <w:p w14:paraId="59A922AD" w14:textId="4CC2C532" w:rsidR="004B52BA" w:rsidRPr="00F37E65" w:rsidRDefault="004B52BA" w:rsidP="004B52BA">
            <w:pPr>
              <w:pStyle w:val="TableRowIndent"/>
            </w:pPr>
            <w:r w:rsidRPr="00F37E65">
              <w:t>Government</w:t>
            </w:r>
          </w:p>
        </w:tc>
        <w:tc>
          <w:tcPr>
            <w:tcW w:w="783" w:type="pct"/>
            <w:shd w:val="clear" w:color="auto" w:fill="FFFFFF" w:themeFill="background1"/>
            <w:vAlign w:val="bottom"/>
          </w:tcPr>
          <w:p w14:paraId="7C137D71" w14:textId="3C3CDC65" w:rsidR="004B52BA" w:rsidRPr="00F37E65" w:rsidRDefault="004B52BA" w:rsidP="004B52BA">
            <w:pPr>
              <w:pStyle w:val="TableBody"/>
            </w:pPr>
            <w:r w:rsidRPr="00F37E65">
              <w:t>87.1</w:t>
            </w:r>
          </w:p>
        </w:tc>
        <w:tc>
          <w:tcPr>
            <w:tcW w:w="781" w:type="pct"/>
            <w:shd w:val="clear" w:color="auto" w:fill="FFFFFF" w:themeFill="background1"/>
            <w:vAlign w:val="bottom"/>
          </w:tcPr>
          <w:p w14:paraId="147ED12A" w14:textId="05DFE2B1" w:rsidR="004B52BA" w:rsidRPr="00F37E65" w:rsidRDefault="004B52BA" w:rsidP="004B52BA">
            <w:pPr>
              <w:pStyle w:val="TableBody"/>
            </w:pPr>
            <w:r w:rsidRPr="00F37E65">
              <w:t>12.9</w:t>
            </w:r>
          </w:p>
        </w:tc>
        <w:tc>
          <w:tcPr>
            <w:tcW w:w="781" w:type="pct"/>
            <w:shd w:val="clear" w:color="auto" w:fill="FFFFFF" w:themeFill="background1"/>
            <w:noWrap/>
            <w:vAlign w:val="bottom"/>
            <w:hideMark/>
          </w:tcPr>
          <w:p w14:paraId="5FA5C225" w14:textId="38F7C64A" w:rsidR="004B52BA" w:rsidRPr="00F37E65" w:rsidRDefault="004B52BA" w:rsidP="004B52BA">
            <w:pPr>
              <w:pStyle w:val="TableBody"/>
            </w:pPr>
            <w:r w:rsidRPr="00F37E65">
              <w:t>57.6</w:t>
            </w:r>
          </w:p>
        </w:tc>
        <w:tc>
          <w:tcPr>
            <w:tcW w:w="783" w:type="pct"/>
            <w:shd w:val="clear" w:color="auto" w:fill="FFFFFF" w:themeFill="background1"/>
            <w:noWrap/>
            <w:vAlign w:val="bottom"/>
            <w:hideMark/>
          </w:tcPr>
          <w:p w14:paraId="7515F4EF" w14:textId="77777777" w:rsidR="004B52BA" w:rsidRPr="00F37E65" w:rsidRDefault="004B52BA" w:rsidP="004B52BA">
            <w:pPr>
              <w:pStyle w:val="TableBody"/>
            </w:pPr>
            <w:r w:rsidRPr="00F37E65">
              <w:t>42.4</w:t>
            </w:r>
          </w:p>
        </w:tc>
      </w:tr>
      <w:tr w:rsidR="004B52BA" w:rsidRPr="00F37E65" w14:paraId="44A5469D" w14:textId="77777777" w:rsidTr="005265DE">
        <w:trPr>
          <w:trHeight w:val="300"/>
          <w:jc w:val="center"/>
        </w:trPr>
        <w:tc>
          <w:tcPr>
            <w:tcW w:w="1872" w:type="pct"/>
            <w:shd w:val="clear" w:color="auto" w:fill="FFFFFF" w:themeFill="background1"/>
            <w:noWrap/>
            <w:vAlign w:val="bottom"/>
            <w:hideMark/>
          </w:tcPr>
          <w:p w14:paraId="1C4262D4" w14:textId="6713E541" w:rsidR="004B52BA" w:rsidRPr="0034102F" w:rsidRDefault="004B52BA" w:rsidP="004B52BA">
            <w:pPr>
              <w:pStyle w:val="TableRowIndent"/>
            </w:pPr>
            <w:r w:rsidRPr="0034102F">
              <w:t>Catholic</w:t>
            </w:r>
          </w:p>
        </w:tc>
        <w:tc>
          <w:tcPr>
            <w:tcW w:w="783" w:type="pct"/>
            <w:shd w:val="clear" w:color="auto" w:fill="FFFFFF" w:themeFill="background1"/>
            <w:vAlign w:val="bottom"/>
          </w:tcPr>
          <w:p w14:paraId="782BE59A" w14:textId="7908452A" w:rsidR="004B52BA" w:rsidRPr="00F37E65" w:rsidRDefault="004B52BA" w:rsidP="004B52BA">
            <w:pPr>
              <w:pStyle w:val="TableBody"/>
            </w:pPr>
            <w:r w:rsidRPr="00F37E65">
              <w:t>89.3</w:t>
            </w:r>
          </w:p>
        </w:tc>
        <w:tc>
          <w:tcPr>
            <w:tcW w:w="781" w:type="pct"/>
            <w:shd w:val="clear" w:color="auto" w:fill="FFFFFF" w:themeFill="background1"/>
            <w:vAlign w:val="bottom"/>
          </w:tcPr>
          <w:p w14:paraId="691E22EA" w14:textId="4D52442F" w:rsidR="004B52BA" w:rsidRPr="00F37E65" w:rsidRDefault="004B52BA" w:rsidP="004B52BA">
            <w:pPr>
              <w:pStyle w:val="TableBody"/>
            </w:pPr>
            <w:r w:rsidRPr="00F37E65">
              <w:t>10.7</w:t>
            </w:r>
          </w:p>
        </w:tc>
        <w:tc>
          <w:tcPr>
            <w:tcW w:w="781" w:type="pct"/>
            <w:shd w:val="clear" w:color="auto" w:fill="FFFFFF" w:themeFill="background1"/>
            <w:noWrap/>
            <w:vAlign w:val="bottom"/>
            <w:hideMark/>
          </w:tcPr>
          <w:p w14:paraId="65BB2FFE" w14:textId="602AE849" w:rsidR="004B52BA" w:rsidRPr="00F37E65" w:rsidRDefault="004B52BA" w:rsidP="004B52BA">
            <w:pPr>
              <w:pStyle w:val="TableBody"/>
            </w:pPr>
            <w:r w:rsidRPr="00F37E65">
              <w:t>78.6</w:t>
            </w:r>
          </w:p>
        </w:tc>
        <w:tc>
          <w:tcPr>
            <w:tcW w:w="783" w:type="pct"/>
            <w:shd w:val="clear" w:color="auto" w:fill="FFFFFF" w:themeFill="background1"/>
            <w:noWrap/>
            <w:vAlign w:val="bottom"/>
            <w:hideMark/>
          </w:tcPr>
          <w:p w14:paraId="592D1C6E" w14:textId="77777777" w:rsidR="004B52BA" w:rsidRPr="00F37E65" w:rsidRDefault="004B52BA" w:rsidP="004B52BA">
            <w:pPr>
              <w:pStyle w:val="TableBody"/>
            </w:pPr>
            <w:r w:rsidRPr="00F37E65">
              <w:t>21.4</w:t>
            </w:r>
          </w:p>
        </w:tc>
      </w:tr>
      <w:tr w:rsidR="004B52BA" w:rsidRPr="00F37E65" w14:paraId="16515C09" w14:textId="77777777" w:rsidTr="005265DE">
        <w:trPr>
          <w:trHeight w:val="300"/>
          <w:jc w:val="center"/>
        </w:trPr>
        <w:tc>
          <w:tcPr>
            <w:tcW w:w="1872" w:type="pct"/>
            <w:shd w:val="clear" w:color="auto" w:fill="FFFFFF" w:themeFill="background1"/>
            <w:noWrap/>
            <w:vAlign w:val="bottom"/>
            <w:hideMark/>
          </w:tcPr>
          <w:p w14:paraId="1392D3BF" w14:textId="5A84E67B" w:rsidR="004B52BA" w:rsidRPr="00F37E65" w:rsidRDefault="004B52BA" w:rsidP="004B52BA">
            <w:pPr>
              <w:pStyle w:val="TableRowIndent"/>
            </w:pPr>
            <w:r w:rsidRPr="00F37E65">
              <w:t>Independent</w:t>
            </w:r>
          </w:p>
        </w:tc>
        <w:tc>
          <w:tcPr>
            <w:tcW w:w="783" w:type="pct"/>
            <w:shd w:val="clear" w:color="auto" w:fill="FFFFFF" w:themeFill="background1"/>
            <w:vAlign w:val="bottom"/>
          </w:tcPr>
          <w:p w14:paraId="6D54CFA7" w14:textId="680E9683" w:rsidR="004B52BA" w:rsidRPr="00F37E65" w:rsidRDefault="004B52BA" w:rsidP="004B52BA">
            <w:pPr>
              <w:pStyle w:val="TableBody"/>
            </w:pPr>
            <w:r w:rsidRPr="00F37E65">
              <w:t>87.5</w:t>
            </w:r>
          </w:p>
        </w:tc>
        <w:tc>
          <w:tcPr>
            <w:tcW w:w="781" w:type="pct"/>
            <w:shd w:val="clear" w:color="auto" w:fill="FFFFFF" w:themeFill="background1"/>
            <w:vAlign w:val="bottom"/>
          </w:tcPr>
          <w:p w14:paraId="436C4CF2" w14:textId="12B11ED2" w:rsidR="004B52BA" w:rsidRPr="00F37E65" w:rsidRDefault="004B52BA" w:rsidP="004B52BA">
            <w:pPr>
              <w:pStyle w:val="TableBody"/>
            </w:pPr>
            <w:r w:rsidRPr="00F37E65">
              <w:t>12.5*</w:t>
            </w:r>
          </w:p>
        </w:tc>
        <w:tc>
          <w:tcPr>
            <w:tcW w:w="781" w:type="pct"/>
            <w:shd w:val="clear" w:color="auto" w:fill="FFFFFF" w:themeFill="background1"/>
            <w:noWrap/>
            <w:vAlign w:val="bottom"/>
            <w:hideMark/>
          </w:tcPr>
          <w:p w14:paraId="4FD53DA4" w14:textId="442E6883" w:rsidR="004B52BA" w:rsidRPr="00F37E65" w:rsidRDefault="004B52BA" w:rsidP="004B52BA">
            <w:pPr>
              <w:pStyle w:val="TableBody"/>
            </w:pPr>
            <w:r w:rsidRPr="00F37E65">
              <w:t>100.0*</w:t>
            </w:r>
          </w:p>
        </w:tc>
        <w:tc>
          <w:tcPr>
            <w:tcW w:w="783" w:type="pct"/>
            <w:shd w:val="clear" w:color="auto" w:fill="FFFFFF" w:themeFill="background1"/>
            <w:noWrap/>
            <w:vAlign w:val="bottom"/>
            <w:hideMark/>
          </w:tcPr>
          <w:p w14:paraId="42AAA328" w14:textId="77777777" w:rsidR="004B52BA" w:rsidRPr="00F37E65" w:rsidRDefault="004B52BA" w:rsidP="004B52BA">
            <w:pPr>
              <w:pStyle w:val="TableBody"/>
            </w:pPr>
            <w:r w:rsidRPr="00F37E65">
              <w:t>0.0*</w:t>
            </w:r>
          </w:p>
        </w:tc>
      </w:tr>
    </w:tbl>
    <w:p w14:paraId="0F53EDF1" w14:textId="77777777" w:rsidR="00B15C88" w:rsidRDefault="00B15C88" w:rsidP="00B15C88">
      <w:pPr>
        <w:pStyle w:val="Belowtablecaption"/>
        <w:ind w:left="567"/>
      </w:pPr>
      <w:r>
        <w:t>* interpret with caution since cell number is n = 5 or less</w:t>
      </w:r>
      <w:r>
        <w:br/>
        <w:t>^ percentages are based on valid data i.e. there are missing data on the demographic variable</w:t>
      </w:r>
    </w:p>
    <w:p w14:paraId="0996DEBD" w14:textId="7EE23B66" w:rsidR="00FE47DC" w:rsidRDefault="00FE47DC" w:rsidP="00D52B12">
      <w:pPr>
        <w:rPr>
          <w:noProof/>
          <w:lang w:eastAsia="en-GB"/>
        </w:rPr>
      </w:pPr>
    </w:p>
    <w:p w14:paraId="0D5F7B9F" w14:textId="77777777" w:rsidR="00694F83" w:rsidRDefault="00694F83">
      <w:pPr>
        <w:spacing w:after="0" w:line="240" w:lineRule="auto"/>
        <w:rPr>
          <w:rFonts w:eastAsiaTheme="minorEastAsia" w:cs="ArialMT"/>
          <w:b/>
          <w:bCs/>
          <w:color w:val="222A35" w:themeColor="text2" w:themeShade="80"/>
          <w:sz w:val="18"/>
          <w:szCs w:val="18"/>
        </w:rPr>
      </w:pPr>
      <w:bookmarkStart w:id="59" w:name="_Ref501026778"/>
      <w:bookmarkStart w:id="60" w:name="_Toc501014921"/>
      <w:r>
        <w:br w:type="page"/>
      </w:r>
    </w:p>
    <w:p w14:paraId="3778F309" w14:textId="54459B31" w:rsidR="00054365" w:rsidRDefault="00054365" w:rsidP="00054365">
      <w:pPr>
        <w:pStyle w:val="Caption"/>
      </w:pPr>
      <w:bookmarkStart w:id="61" w:name="_Toc503780743"/>
      <w:r>
        <w:t xml:space="preserve">Table </w:t>
      </w:r>
      <w:r>
        <w:fldChar w:fldCharType="begin"/>
      </w:r>
      <w:r>
        <w:instrText xml:space="preserve"> SEQ Table \* ARABIC </w:instrText>
      </w:r>
      <w:r>
        <w:fldChar w:fldCharType="separate"/>
      </w:r>
      <w:r w:rsidR="004C27B3">
        <w:rPr>
          <w:noProof/>
        </w:rPr>
        <w:t>3</w:t>
      </w:r>
      <w:r>
        <w:fldChar w:fldCharType="end"/>
      </w:r>
      <w:bookmarkEnd w:id="59"/>
      <w:r>
        <w:t xml:space="preserve">. </w:t>
      </w:r>
      <w:r w:rsidRPr="002F5618">
        <w:t>Demographic characteristics of the four developmental groups: reading</w:t>
      </w:r>
      <w:r>
        <w:t>.</w:t>
      </w:r>
      <w:bookmarkEnd w:id="60"/>
      <w:bookmarkEnd w:id="61"/>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4A0" w:firstRow="1" w:lastRow="0" w:firstColumn="1" w:lastColumn="0" w:noHBand="0" w:noVBand="1"/>
        <w:tblCaption w:val="Table 3. Demographic characteristcs of the four developmental groups:  reading"/>
      </w:tblPr>
      <w:tblGrid>
        <w:gridCol w:w="2693"/>
        <w:gridCol w:w="1579"/>
        <w:gridCol w:w="1580"/>
        <w:gridCol w:w="1579"/>
        <w:gridCol w:w="1579"/>
      </w:tblGrid>
      <w:tr w:rsidR="00163D45" w:rsidRPr="00DD0561" w14:paraId="2C878E46" w14:textId="77777777" w:rsidTr="005265DE">
        <w:trPr>
          <w:trHeight w:val="600"/>
          <w:jc w:val="center"/>
        </w:trPr>
        <w:tc>
          <w:tcPr>
            <w:tcW w:w="1495" w:type="pct"/>
            <w:shd w:val="clear" w:color="auto" w:fill="0070C0"/>
            <w:noWrap/>
            <w:vAlign w:val="bottom"/>
            <w:hideMark/>
          </w:tcPr>
          <w:p w14:paraId="5C7203D3" w14:textId="77777777" w:rsidR="00163D45" w:rsidRPr="00DD0561" w:rsidRDefault="00163D45" w:rsidP="00163D45">
            <w:pPr>
              <w:pStyle w:val="TableHeader1"/>
              <w:rPr>
                <w:lang w:eastAsia="en-GB"/>
              </w:rPr>
            </w:pPr>
            <w:r w:rsidRPr="00DD0561">
              <w:rPr>
                <w:lang w:eastAsia="en-GB"/>
              </w:rPr>
              <w:t> </w:t>
            </w:r>
          </w:p>
        </w:tc>
        <w:tc>
          <w:tcPr>
            <w:tcW w:w="1753" w:type="pct"/>
            <w:gridSpan w:val="2"/>
            <w:shd w:val="clear" w:color="auto" w:fill="0070C0"/>
            <w:vAlign w:val="bottom"/>
          </w:tcPr>
          <w:p w14:paraId="52DE6681" w14:textId="77777777" w:rsidR="000C02DE" w:rsidRDefault="00163D45" w:rsidP="00163D45">
            <w:pPr>
              <w:pStyle w:val="TableHeader1"/>
              <w:rPr>
                <w:lang w:eastAsia="en-GB"/>
              </w:rPr>
            </w:pPr>
            <w:r w:rsidRPr="00DD0561">
              <w:rPr>
                <w:lang w:eastAsia="en-GB"/>
              </w:rPr>
              <w:t xml:space="preserve">Not developmentally vulnerable </w:t>
            </w:r>
          </w:p>
          <w:p w14:paraId="75D6CE19" w14:textId="390F4AB7" w:rsidR="00163D45" w:rsidRPr="00DD0561" w:rsidRDefault="00163D45" w:rsidP="00163D45">
            <w:pPr>
              <w:pStyle w:val="TableHeader1"/>
              <w:rPr>
                <w:lang w:eastAsia="en-GB"/>
              </w:rPr>
            </w:pPr>
            <w:r w:rsidRPr="00DD0561">
              <w:rPr>
                <w:lang w:eastAsia="en-GB"/>
              </w:rPr>
              <w:t>(n = 682)</w:t>
            </w:r>
          </w:p>
        </w:tc>
        <w:tc>
          <w:tcPr>
            <w:tcW w:w="1752" w:type="pct"/>
            <w:gridSpan w:val="2"/>
            <w:shd w:val="clear" w:color="auto" w:fill="0070C0"/>
            <w:vAlign w:val="bottom"/>
            <w:hideMark/>
          </w:tcPr>
          <w:p w14:paraId="04A1450F" w14:textId="77777777" w:rsidR="000C02DE" w:rsidRDefault="00163D45" w:rsidP="00163D45">
            <w:pPr>
              <w:pStyle w:val="TableHeader1"/>
              <w:rPr>
                <w:lang w:eastAsia="en-GB"/>
              </w:rPr>
            </w:pPr>
            <w:r w:rsidRPr="00DD0561">
              <w:rPr>
                <w:lang w:eastAsia="en-GB"/>
              </w:rPr>
              <w:t xml:space="preserve">Developmentally vulnerable </w:t>
            </w:r>
          </w:p>
          <w:p w14:paraId="1D098BBF" w14:textId="39E2F504" w:rsidR="00163D45" w:rsidRPr="00DD0561" w:rsidRDefault="00163D45" w:rsidP="00163D45">
            <w:pPr>
              <w:pStyle w:val="TableHeader1"/>
              <w:rPr>
                <w:lang w:eastAsia="en-GB"/>
              </w:rPr>
            </w:pPr>
            <w:r w:rsidRPr="00DD0561">
              <w:rPr>
                <w:lang w:eastAsia="en-GB"/>
              </w:rPr>
              <w:t>(n = 129)</w:t>
            </w:r>
          </w:p>
        </w:tc>
      </w:tr>
      <w:tr w:rsidR="00163D45" w:rsidRPr="00DD0561" w14:paraId="24C970C7" w14:textId="77777777" w:rsidTr="005265DE">
        <w:trPr>
          <w:trHeight w:val="600"/>
          <w:jc w:val="center"/>
        </w:trPr>
        <w:tc>
          <w:tcPr>
            <w:tcW w:w="1495" w:type="pct"/>
            <w:shd w:val="clear" w:color="auto" w:fill="0070C0"/>
            <w:noWrap/>
            <w:vAlign w:val="bottom"/>
            <w:hideMark/>
          </w:tcPr>
          <w:p w14:paraId="6769CEEC" w14:textId="77777777" w:rsidR="00163D45" w:rsidRPr="00DD0561" w:rsidRDefault="00163D45" w:rsidP="00163D45">
            <w:pPr>
              <w:pStyle w:val="TableHeader1"/>
              <w:rPr>
                <w:lang w:eastAsia="en-GB"/>
              </w:rPr>
            </w:pPr>
            <w:r w:rsidRPr="00DD0561">
              <w:rPr>
                <w:lang w:eastAsia="en-GB"/>
              </w:rPr>
              <w:t> </w:t>
            </w:r>
          </w:p>
        </w:tc>
        <w:tc>
          <w:tcPr>
            <w:tcW w:w="876" w:type="pct"/>
            <w:shd w:val="clear" w:color="auto" w:fill="0070C0"/>
            <w:vAlign w:val="bottom"/>
          </w:tcPr>
          <w:p w14:paraId="383C9AC0" w14:textId="16AFFEF1" w:rsidR="00163D45" w:rsidRPr="00DD0561" w:rsidRDefault="00163D45" w:rsidP="00163D45">
            <w:pPr>
              <w:pStyle w:val="TableHeader1"/>
              <w:rPr>
                <w:lang w:eastAsia="en-GB"/>
              </w:rPr>
            </w:pPr>
            <w:r w:rsidRPr="00DD0561">
              <w:rPr>
                <w:lang w:eastAsia="en-GB"/>
              </w:rPr>
              <w:t xml:space="preserve">Attained Year 7 </w:t>
            </w:r>
            <w:r w:rsidR="0095595F">
              <w:rPr>
                <w:lang w:eastAsia="en-GB"/>
              </w:rPr>
              <w:t>threshold</w:t>
            </w:r>
          </w:p>
        </w:tc>
        <w:tc>
          <w:tcPr>
            <w:tcW w:w="877" w:type="pct"/>
            <w:shd w:val="clear" w:color="auto" w:fill="0070C0"/>
            <w:vAlign w:val="bottom"/>
          </w:tcPr>
          <w:p w14:paraId="080989BA" w14:textId="78D42509" w:rsidR="00163D45" w:rsidRPr="00DD0561" w:rsidRDefault="00163D45" w:rsidP="00163D45">
            <w:pPr>
              <w:pStyle w:val="TableHeader1"/>
              <w:rPr>
                <w:lang w:eastAsia="en-GB"/>
              </w:rPr>
            </w:pPr>
            <w:r>
              <w:rPr>
                <w:lang w:eastAsia="en-GB"/>
              </w:rPr>
              <w:t xml:space="preserve">Below </w:t>
            </w:r>
            <w:r w:rsidR="0095595F">
              <w:rPr>
                <w:lang w:eastAsia="en-GB"/>
              </w:rPr>
              <w:t>threshold</w:t>
            </w:r>
            <w:r>
              <w:rPr>
                <w:lang w:eastAsia="en-GB"/>
              </w:rPr>
              <w:t xml:space="preserve"> at Y</w:t>
            </w:r>
            <w:r w:rsidRPr="00DD0561">
              <w:rPr>
                <w:lang w:eastAsia="en-GB"/>
              </w:rPr>
              <w:t>ear 7</w:t>
            </w:r>
          </w:p>
        </w:tc>
        <w:tc>
          <w:tcPr>
            <w:tcW w:w="876" w:type="pct"/>
            <w:shd w:val="clear" w:color="auto" w:fill="0070C0"/>
            <w:vAlign w:val="bottom"/>
            <w:hideMark/>
          </w:tcPr>
          <w:p w14:paraId="6134161D" w14:textId="7D9DC107" w:rsidR="00163D45" w:rsidRPr="00DD0561" w:rsidRDefault="00163D45" w:rsidP="00163D45">
            <w:pPr>
              <w:pStyle w:val="TableHeader1"/>
              <w:rPr>
                <w:lang w:eastAsia="en-GB"/>
              </w:rPr>
            </w:pPr>
            <w:r w:rsidRPr="00DD0561">
              <w:rPr>
                <w:lang w:eastAsia="en-GB"/>
              </w:rPr>
              <w:t xml:space="preserve">Attained Year 7 </w:t>
            </w:r>
            <w:r w:rsidR="0095595F">
              <w:rPr>
                <w:lang w:eastAsia="en-GB"/>
              </w:rPr>
              <w:t>threshold</w:t>
            </w:r>
          </w:p>
        </w:tc>
        <w:tc>
          <w:tcPr>
            <w:tcW w:w="876" w:type="pct"/>
            <w:shd w:val="clear" w:color="auto" w:fill="0070C0"/>
            <w:vAlign w:val="bottom"/>
            <w:hideMark/>
          </w:tcPr>
          <w:p w14:paraId="26414355" w14:textId="28032600" w:rsidR="00163D45" w:rsidRPr="00DD0561" w:rsidRDefault="00163D45" w:rsidP="00163D45">
            <w:pPr>
              <w:pStyle w:val="TableHeader1"/>
              <w:rPr>
                <w:lang w:eastAsia="en-GB"/>
              </w:rPr>
            </w:pPr>
            <w:r w:rsidRPr="00DD0561">
              <w:rPr>
                <w:lang w:eastAsia="en-GB"/>
              </w:rPr>
              <w:t xml:space="preserve">Below </w:t>
            </w:r>
            <w:r w:rsidR="0095595F">
              <w:rPr>
                <w:lang w:eastAsia="en-GB"/>
              </w:rPr>
              <w:t>threshold</w:t>
            </w:r>
            <w:r w:rsidRPr="00DD0561">
              <w:rPr>
                <w:lang w:eastAsia="en-GB"/>
              </w:rPr>
              <w:t xml:space="preserve"> at </w:t>
            </w:r>
            <w:r>
              <w:rPr>
                <w:lang w:eastAsia="en-GB"/>
              </w:rPr>
              <w:t>Y</w:t>
            </w:r>
            <w:r w:rsidRPr="00DD0561">
              <w:rPr>
                <w:lang w:eastAsia="en-GB"/>
              </w:rPr>
              <w:t>ear 7</w:t>
            </w:r>
          </w:p>
        </w:tc>
      </w:tr>
      <w:tr w:rsidR="00163D45" w:rsidRPr="00DD0561" w14:paraId="73B1B4A0" w14:textId="77777777" w:rsidTr="005265DE">
        <w:trPr>
          <w:trHeight w:val="300"/>
          <w:jc w:val="center"/>
        </w:trPr>
        <w:tc>
          <w:tcPr>
            <w:tcW w:w="1495" w:type="pct"/>
            <w:shd w:val="clear" w:color="auto" w:fill="FFFFFF" w:themeFill="background1"/>
            <w:noWrap/>
            <w:vAlign w:val="bottom"/>
            <w:hideMark/>
          </w:tcPr>
          <w:p w14:paraId="5EF84581" w14:textId="0215531F" w:rsidR="00163D45" w:rsidRPr="00785532" w:rsidRDefault="00163D45" w:rsidP="00163D45">
            <w:pPr>
              <w:pStyle w:val="TableRowIndent"/>
              <w:ind w:left="0"/>
            </w:pPr>
            <w:r>
              <w:t>O</w:t>
            </w:r>
            <w:r w:rsidRPr="00785532">
              <w:t>verall</w:t>
            </w:r>
          </w:p>
        </w:tc>
        <w:tc>
          <w:tcPr>
            <w:tcW w:w="876" w:type="pct"/>
            <w:shd w:val="clear" w:color="auto" w:fill="FFFFFF" w:themeFill="background1"/>
            <w:vAlign w:val="bottom"/>
          </w:tcPr>
          <w:p w14:paraId="0D9BE8EB" w14:textId="35ECA2B2" w:rsidR="00163D45" w:rsidRPr="00785532" w:rsidRDefault="00163D45" w:rsidP="00163D45">
            <w:pPr>
              <w:pStyle w:val="TableBody"/>
            </w:pPr>
            <w:r w:rsidRPr="00DD0561">
              <w:t>83.5</w:t>
            </w:r>
          </w:p>
        </w:tc>
        <w:tc>
          <w:tcPr>
            <w:tcW w:w="877" w:type="pct"/>
            <w:shd w:val="clear" w:color="auto" w:fill="FFFFFF" w:themeFill="background1"/>
            <w:vAlign w:val="bottom"/>
          </w:tcPr>
          <w:p w14:paraId="31432643" w14:textId="522A4C1F" w:rsidR="00163D45" w:rsidRPr="00785532" w:rsidRDefault="00163D45" w:rsidP="00163D45">
            <w:pPr>
              <w:pStyle w:val="TableBody"/>
            </w:pPr>
            <w:r w:rsidRPr="00DD0561">
              <w:t>16.5</w:t>
            </w:r>
          </w:p>
        </w:tc>
        <w:tc>
          <w:tcPr>
            <w:tcW w:w="876" w:type="pct"/>
            <w:shd w:val="clear" w:color="auto" w:fill="FFFFFF" w:themeFill="background1"/>
            <w:noWrap/>
            <w:vAlign w:val="bottom"/>
            <w:hideMark/>
          </w:tcPr>
          <w:p w14:paraId="758F3D14" w14:textId="4907FCF3" w:rsidR="00163D45" w:rsidRPr="00785532" w:rsidRDefault="00163D45" w:rsidP="00163D45">
            <w:pPr>
              <w:pStyle w:val="TableBody"/>
            </w:pPr>
            <w:r w:rsidRPr="00785532">
              <w:t>55.4</w:t>
            </w:r>
          </w:p>
        </w:tc>
        <w:tc>
          <w:tcPr>
            <w:tcW w:w="876" w:type="pct"/>
            <w:shd w:val="clear" w:color="auto" w:fill="FFFFFF" w:themeFill="background1"/>
            <w:noWrap/>
            <w:vAlign w:val="bottom"/>
            <w:hideMark/>
          </w:tcPr>
          <w:p w14:paraId="13271298" w14:textId="77777777" w:rsidR="00163D45" w:rsidRPr="00DD0561" w:rsidRDefault="00163D45" w:rsidP="00163D45">
            <w:pPr>
              <w:pStyle w:val="TableBody"/>
            </w:pPr>
            <w:r w:rsidRPr="00DD0561">
              <w:t>44.6</w:t>
            </w:r>
          </w:p>
        </w:tc>
      </w:tr>
      <w:tr w:rsidR="00163D45" w:rsidRPr="00DD0561" w14:paraId="2592CCDB" w14:textId="77777777" w:rsidTr="005265DE">
        <w:trPr>
          <w:trHeight w:val="300"/>
          <w:jc w:val="center"/>
        </w:trPr>
        <w:tc>
          <w:tcPr>
            <w:tcW w:w="1495" w:type="pct"/>
            <w:shd w:val="clear" w:color="auto" w:fill="DEEAF6" w:themeFill="accent5" w:themeFillTint="33"/>
            <w:noWrap/>
            <w:vAlign w:val="bottom"/>
            <w:hideMark/>
          </w:tcPr>
          <w:p w14:paraId="1FA712BD" w14:textId="77777777" w:rsidR="00163D45" w:rsidRPr="00DD0561" w:rsidRDefault="00163D45" w:rsidP="00163D45">
            <w:pPr>
              <w:pStyle w:val="TableHeader2"/>
              <w:ind w:left="0"/>
            </w:pPr>
            <w:r w:rsidRPr="00DD0561">
              <w:t>Gender</w:t>
            </w:r>
          </w:p>
        </w:tc>
        <w:tc>
          <w:tcPr>
            <w:tcW w:w="876" w:type="pct"/>
            <w:shd w:val="clear" w:color="auto" w:fill="DEEAF6" w:themeFill="accent5" w:themeFillTint="33"/>
            <w:vAlign w:val="bottom"/>
          </w:tcPr>
          <w:p w14:paraId="6ED3309E" w14:textId="77777777" w:rsidR="00163D45" w:rsidRPr="00DD0561" w:rsidRDefault="00163D45" w:rsidP="00163D45">
            <w:pPr>
              <w:pStyle w:val="TableBody"/>
            </w:pPr>
          </w:p>
        </w:tc>
        <w:tc>
          <w:tcPr>
            <w:tcW w:w="877" w:type="pct"/>
            <w:shd w:val="clear" w:color="auto" w:fill="DEEAF6" w:themeFill="accent5" w:themeFillTint="33"/>
            <w:vAlign w:val="bottom"/>
          </w:tcPr>
          <w:p w14:paraId="36FD1FD9"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6786AD0E" w14:textId="0BECE5BF" w:rsidR="00163D45" w:rsidRPr="00DD0561" w:rsidRDefault="00163D45" w:rsidP="00163D45">
            <w:pPr>
              <w:pStyle w:val="TableBody"/>
            </w:pPr>
          </w:p>
        </w:tc>
        <w:tc>
          <w:tcPr>
            <w:tcW w:w="876" w:type="pct"/>
            <w:shd w:val="clear" w:color="auto" w:fill="DEEAF6" w:themeFill="accent5" w:themeFillTint="33"/>
            <w:noWrap/>
            <w:vAlign w:val="bottom"/>
            <w:hideMark/>
          </w:tcPr>
          <w:p w14:paraId="34A9EE78" w14:textId="087BE897" w:rsidR="00163D45" w:rsidRPr="00DD0561" w:rsidRDefault="00163D45" w:rsidP="00163D45">
            <w:pPr>
              <w:pStyle w:val="TableBody"/>
            </w:pPr>
          </w:p>
        </w:tc>
      </w:tr>
      <w:tr w:rsidR="00163D45" w:rsidRPr="00DD0561" w14:paraId="390356DF" w14:textId="77777777" w:rsidTr="005265DE">
        <w:trPr>
          <w:trHeight w:val="300"/>
          <w:jc w:val="center"/>
        </w:trPr>
        <w:tc>
          <w:tcPr>
            <w:tcW w:w="1495" w:type="pct"/>
            <w:shd w:val="clear" w:color="auto" w:fill="FFFFFF" w:themeFill="background1"/>
            <w:noWrap/>
            <w:vAlign w:val="bottom"/>
            <w:hideMark/>
          </w:tcPr>
          <w:p w14:paraId="0BC9BB0A" w14:textId="220840F9" w:rsidR="00163D45" w:rsidRPr="00DD0561" w:rsidRDefault="00163D45" w:rsidP="00163D45">
            <w:pPr>
              <w:pStyle w:val="TableRowIndent"/>
            </w:pPr>
            <w:r>
              <w:t>Boys</w:t>
            </w:r>
          </w:p>
        </w:tc>
        <w:tc>
          <w:tcPr>
            <w:tcW w:w="876" w:type="pct"/>
            <w:shd w:val="clear" w:color="auto" w:fill="FFFFFF" w:themeFill="background1"/>
            <w:vAlign w:val="bottom"/>
          </w:tcPr>
          <w:p w14:paraId="6594C560" w14:textId="3BB729B6" w:rsidR="00163D45" w:rsidRPr="00DD0561" w:rsidRDefault="00163D45" w:rsidP="00163D45">
            <w:pPr>
              <w:pStyle w:val="TableBody"/>
            </w:pPr>
            <w:r w:rsidRPr="00DD0561">
              <w:t>80.9</w:t>
            </w:r>
          </w:p>
        </w:tc>
        <w:tc>
          <w:tcPr>
            <w:tcW w:w="877" w:type="pct"/>
            <w:shd w:val="clear" w:color="auto" w:fill="FFFFFF" w:themeFill="background1"/>
            <w:vAlign w:val="bottom"/>
          </w:tcPr>
          <w:p w14:paraId="1764EF96" w14:textId="7CC80CE5" w:rsidR="00163D45" w:rsidRPr="00DD0561" w:rsidRDefault="00163D45" w:rsidP="00163D45">
            <w:pPr>
              <w:pStyle w:val="TableBody"/>
            </w:pPr>
            <w:r w:rsidRPr="00DD0561">
              <w:t>19.1</w:t>
            </w:r>
          </w:p>
        </w:tc>
        <w:tc>
          <w:tcPr>
            <w:tcW w:w="876" w:type="pct"/>
            <w:shd w:val="clear" w:color="auto" w:fill="FFFFFF" w:themeFill="background1"/>
            <w:noWrap/>
            <w:vAlign w:val="bottom"/>
            <w:hideMark/>
          </w:tcPr>
          <w:p w14:paraId="55191B10" w14:textId="3A113413" w:rsidR="00163D45" w:rsidRPr="00DD0561" w:rsidRDefault="00163D45" w:rsidP="00163D45">
            <w:pPr>
              <w:pStyle w:val="TableBody"/>
            </w:pPr>
            <w:r w:rsidRPr="00DD0561">
              <w:t>56.4</w:t>
            </w:r>
          </w:p>
        </w:tc>
        <w:tc>
          <w:tcPr>
            <w:tcW w:w="876" w:type="pct"/>
            <w:shd w:val="clear" w:color="auto" w:fill="FFFFFF" w:themeFill="background1"/>
            <w:noWrap/>
            <w:vAlign w:val="bottom"/>
            <w:hideMark/>
          </w:tcPr>
          <w:p w14:paraId="3F302A00" w14:textId="77777777" w:rsidR="00163D45" w:rsidRPr="00DD0561" w:rsidRDefault="00163D45" w:rsidP="00163D45">
            <w:pPr>
              <w:pStyle w:val="TableBody"/>
            </w:pPr>
            <w:r w:rsidRPr="00DD0561">
              <w:t>43.6</w:t>
            </w:r>
          </w:p>
        </w:tc>
      </w:tr>
      <w:tr w:rsidR="00163D45" w:rsidRPr="00DD0561" w14:paraId="7F182DBD" w14:textId="77777777" w:rsidTr="005265DE">
        <w:trPr>
          <w:trHeight w:val="300"/>
          <w:jc w:val="center"/>
        </w:trPr>
        <w:tc>
          <w:tcPr>
            <w:tcW w:w="1495" w:type="pct"/>
            <w:shd w:val="clear" w:color="auto" w:fill="FFFFFF" w:themeFill="background1"/>
            <w:noWrap/>
            <w:vAlign w:val="bottom"/>
            <w:hideMark/>
          </w:tcPr>
          <w:p w14:paraId="502887B8" w14:textId="7D4AC2A9" w:rsidR="00163D45" w:rsidRPr="00DD0561" w:rsidRDefault="00163D45" w:rsidP="00163D45">
            <w:pPr>
              <w:pStyle w:val="TableRowIndent"/>
            </w:pPr>
            <w:r>
              <w:t>Girl</w:t>
            </w:r>
            <w:r w:rsidRPr="00DD0561">
              <w:t>s</w:t>
            </w:r>
          </w:p>
        </w:tc>
        <w:tc>
          <w:tcPr>
            <w:tcW w:w="876" w:type="pct"/>
            <w:shd w:val="clear" w:color="auto" w:fill="FFFFFF" w:themeFill="background1"/>
            <w:vAlign w:val="bottom"/>
          </w:tcPr>
          <w:p w14:paraId="62B62323" w14:textId="21A3AEF8" w:rsidR="00163D45" w:rsidRPr="00DD0561" w:rsidRDefault="00163D45" w:rsidP="00163D45">
            <w:pPr>
              <w:pStyle w:val="TableBody"/>
            </w:pPr>
            <w:r w:rsidRPr="00DD0561">
              <w:t>85.5</w:t>
            </w:r>
          </w:p>
        </w:tc>
        <w:tc>
          <w:tcPr>
            <w:tcW w:w="877" w:type="pct"/>
            <w:shd w:val="clear" w:color="auto" w:fill="FFFFFF" w:themeFill="background1"/>
            <w:vAlign w:val="bottom"/>
          </w:tcPr>
          <w:p w14:paraId="006ED3D4" w14:textId="1F7C2AA6" w:rsidR="00163D45" w:rsidRPr="00DD0561" w:rsidRDefault="00163D45" w:rsidP="00163D45">
            <w:pPr>
              <w:pStyle w:val="TableBody"/>
            </w:pPr>
            <w:r w:rsidRPr="00DD0561">
              <w:t>14.5</w:t>
            </w:r>
          </w:p>
        </w:tc>
        <w:tc>
          <w:tcPr>
            <w:tcW w:w="876" w:type="pct"/>
            <w:shd w:val="clear" w:color="auto" w:fill="FFFFFF" w:themeFill="background1"/>
            <w:noWrap/>
            <w:vAlign w:val="bottom"/>
            <w:hideMark/>
          </w:tcPr>
          <w:p w14:paraId="3DEB8E76" w14:textId="5CEF3485" w:rsidR="00163D45" w:rsidRPr="00DD0561" w:rsidRDefault="00163D45" w:rsidP="00163D45">
            <w:pPr>
              <w:pStyle w:val="TableBody"/>
            </w:pPr>
            <w:r w:rsidRPr="00DD0561">
              <w:t>53.9</w:t>
            </w:r>
          </w:p>
        </w:tc>
        <w:tc>
          <w:tcPr>
            <w:tcW w:w="876" w:type="pct"/>
            <w:shd w:val="clear" w:color="auto" w:fill="FFFFFF" w:themeFill="background1"/>
            <w:noWrap/>
            <w:vAlign w:val="bottom"/>
            <w:hideMark/>
          </w:tcPr>
          <w:p w14:paraId="10C51EEF" w14:textId="77777777" w:rsidR="00163D45" w:rsidRPr="00DD0561" w:rsidRDefault="00163D45" w:rsidP="00163D45">
            <w:pPr>
              <w:pStyle w:val="TableBody"/>
            </w:pPr>
            <w:r w:rsidRPr="00DD0561">
              <w:t>46.2</w:t>
            </w:r>
          </w:p>
        </w:tc>
      </w:tr>
      <w:tr w:rsidR="00163D45" w:rsidRPr="00DD0561" w14:paraId="28522492" w14:textId="77777777" w:rsidTr="005265DE">
        <w:trPr>
          <w:trHeight w:val="300"/>
          <w:jc w:val="center"/>
        </w:trPr>
        <w:tc>
          <w:tcPr>
            <w:tcW w:w="1495" w:type="pct"/>
            <w:shd w:val="clear" w:color="auto" w:fill="DEEAF6" w:themeFill="accent5" w:themeFillTint="33"/>
            <w:noWrap/>
            <w:vAlign w:val="bottom"/>
            <w:hideMark/>
          </w:tcPr>
          <w:p w14:paraId="7E8142E7" w14:textId="77777777" w:rsidR="00163D45" w:rsidRPr="00785532" w:rsidRDefault="00163D45" w:rsidP="00163D45">
            <w:pPr>
              <w:pStyle w:val="TableHeader2"/>
              <w:ind w:left="0"/>
            </w:pPr>
            <w:r w:rsidRPr="00785532">
              <w:t>Country of birth^</w:t>
            </w:r>
          </w:p>
        </w:tc>
        <w:tc>
          <w:tcPr>
            <w:tcW w:w="876" w:type="pct"/>
            <w:shd w:val="clear" w:color="auto" w:fill="DEEAF6" w:themeFill="accent5" w:themeFillTint="33"/>
            <w:vAlign w:val="bottom"/>
          </w:tcPr>
          <w:p w14:paraId="2AB0ED23" w14:textId="77777777" w:rsidR="00163D45" w:rsidRPr="00DD0561" w:rsidRDefault="00163D45" w:rsidP="00163D45">
            <w:pPr>
              <w:pStyle w:val="TableBody"/>
            </w:pPr>
          </w:p>
        </w:tc>
        <w:tc>
          <w:tcPr>
            <w:tcW w:w="877" w:type="pct"/>
            <w:shd w:val="clear" w:color="auto" w:fill="DEEAF6" w:themeFill="accent5" w:themeFillTint="33"/>
            <w:vAlign w:val="bottom"/>
          </w:tcPr>
          <w:p w14:paraId="60862065"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3FF096C6" w14:textId="32327CF2" w:rsidR="00163D45" w:rsidRPr="00DD0561" w:rsidRDefault="00163D45" w:rsidP="00163D45">
            <w:pPr>
              <w:pStyle w:val="TableBody"/>
            </w:pPr>
          </w:p>
        </w:tc>
        <w:tc>
          <w:tcPr>
            <w:tcW w:w="876" w:type="pct"/>
            <w:shd w:val="clear" w:color="auto" w:fill="DEEAF6" w:themeFill="accent5" w:themeFillTint="33"/>
            <w:noWrap/>
            <w:vAlign w:val="bottom"/>
            <w:hideMark/>
          </w:tcPr>
          <w:p w14:paraId="0BD4F157" w14:textId="42BF6F10" w:rsidR="00163D45" w:rsidRPr="00DD0561" w:rsidRDefault="00163D45" w:rsidP="00163D45">
            <w:pPr>
              <w:pStyle w:val="TableBody"/>
            </w:pPr>
          </w:p>
        </w:tc>
      </w:tr>
      <w:tr w:rsidR="00163D45" w:rsidRPr="00DD0561" w14:paraId="2A4D3366" w14:textId="77777777" w:rsidTr="005265DE">
        <w:trPr>
          <w:trHeight w:val="300"/>
          <w:jc w:val="center"/>
        </w:trPr>
        <w:tc>
          <w:tcPr>
            <w:tcW w:w="1495" w:type="pct"/>
            <w:shd w:val="clear" w:color="auto" w:fill="FFFFFF" w:themeFill="background1"/>
            <w:noWrap/>
            <w:vAlign w:val="bottom"/>
            <w:hideMark/>
          </w:tcPr>
          <w:p w14:paraId="7251C7C2" w14:textId="2B82417D" w:rsidR="00163D45" w:rsidRPr="00DD0561" w:rsidRDefault="00163D45" w:rsidP="00163D45">
            <w:pPr>
              <w:pStyle w:val="TableRowIndent"/>
            </w:pPr>
            <w:r w:rsidRPr="00DD0561">
              <w:t>Australia</w:t>
            </w:r>
          </w:p>
        </w:tc>
        <w:tc>
          <w:tcPr>
            <w:tcW w:w="876" w:type="pct"/>
            <w:shd w:val="clear" w:color="auto" w:fill="FFFFFF" w:themeFill="background1"/>
            <w:vAlign w:val="bottom"/>
          </w:tcPr>
          <w:p w14:paraId="4BBC9267" w14:textId="797CF1E0" w:rsidR="00163D45" w:rsidRPr="00DD0561" w:rsidRDefault="00163D45" w:rsidP="00163D45">
            <w:pPr>
              <w:pStyle w:val="TableBody"/>
            </w:pPr>
            <w:r w:rsidRPr="00DD0561">
              <w:t>84.6</w:t>
            </w:r>
          </w:p>
        </w:tc>
        <w:tc>
          <w:tcPr>
            <w:tcW w:w="877" w:type="pct"/>
            <w:shd w:val="clear" w:color="auto" w:fill="FFFFFF" w:themeFill="background1"/>
            <w:vAlign w:val="bottom"/>
          </w:tcPr>
          <w:p w14:paraId="1C4964F1" w14:textId="49581AD5" w:rsidR="00163D45" w:rsidRPr="00DD0561" w:rsidRDefault="00163D45" w:rsidP="00163D45">
            <w:pPr>
              <w:pStyle w:val="TableBody"/>
            </w:pPr>
            <w:r w:rsidRPr="00DD0561">
              <w:t>15.4</w:t>
            </w:r>
          </w:p>
        </w:tc>
        <w:tc>
          <w:tcPr>
            <w:tcW w:w="876" w:type="pct"/>
            <w:shd w:val="clear" w:color="auto" w:fill="FFFFFF" w:themeFill="background1"/>
            <w:noWrap/>
            <w:vAlign w:val="bottom"/>
            <w:hideMark/>
          </w:tcPr>
          <w:p w14:paraId="46694BB2" w14:textId="758AD04E" w:rsidR="00163D45" w:rsidRPr="00DD0561" w:rsidRDefault="00163D45" w:rsidP="00163D45">
            <w:pPr>
              <w:pStyle w:val="TableBody"/>
            </w:pPr>
            <w:r w:rsidRPr="00DD0561">
              <w:t>56.1</w:t>
            </w:r>
          </w:p>
        </w:tc>
        <w:tc>
          <w:tcPr>
            <w:tcW w:w="876" w:type="pct"/>
            <w:shd w:val="clear" w:color="auto" w:fill="FFFFFF" w:themeFill="background1"/>
            <w:noWrap/>
            <w:vAlign w:val="bottom"/>
            <w:hideMark/>
          </w:tcPr>
          <w:p w14:paraId="5089CCFF" w14:textId="77777777" w:rsidR="00163D45" w:rsidRPr="00DD0561" w:rsidRDefault="00163D45" w:rsidP="00163D45">
            <w:pPr>
              <w:pStyle w:val="TableBody"/>
            </w:pPr>
            <w:r w:rsidRPr="00DD0561">
              <w:t>43.9</w:t>
            </w:r>
          </w:p>
        </w:tc>
      </w:tr>
      <w:tr w:rsidR="00163D45" w:rsidRPr="00DD0561" w14:paraId="2D6D9C5A" w14:textId="77777777" w:rsidTr="005265DE">
        <w:trPr>
          <w:trHeight w:val="300"/>
          <w:jc w:val="center"/>
        </w:trPr>
        <w:tc>
          <w:tcPr>
            <w:tcW w:w="1495" w:type="pct"/>
            <w:shd w:val="clear" w:color="auto" w:fill="FFFFFF" w:themeFill="background1"/>
            <w:noWrap/>
            <w:vAlign w:val="bottom"/>
            <w:hideMark/>
          </w:tcPr>
          <w:p w14:paraId="6EB994E9" w14:textId="60F2FEE0" w:rsidR="00163D45" w:rsidRPr="00DD0561" w:rsidRDefault="00163D45" w:rsidP="00163D45">
            <w:pPr>
              <w:pStyle w:val="TableRowIndent"/>
            </w:pPr>
            <w:r w:rsidRPr="00DD0561">
              <w:t>Other</w:t>
            </w:r>
          </w:p>
        </w:tc>
        <w:tc>
          <w:tcPr>
            <w:tcW w:w="876" w:type="pct"/>
            <w:shd w:val="clear" w:color="auto" w:fill="FFFFFF" w:themeFill="background1"/>
            <w:vAlign w:val="bottom"/>
          </w:tcPr>
          <w:p w14:paraId="3F0643E4" w14:textId="540A2BFA" w:rsidR="00163D45" w:rsidRPr="00DD0561" w:rsidRDefault="00163D45" w:rsidP="00163D45">
            <w:pPr>
              <w:pStyle w:val="TableBody"/>
            </w:pPr>
            <w:r w:rsidRPr="00DD0561">
              <w:t>77.6</w:t>
            </w:r>
          </w:p>
        </w:tc>
        <w:tc>
          <w:tcPr>
            <w:tcW w:w="877" w:type="pct"/>
            <w:shd w:val="clear" w:color="auto" w:fill="FFFFFF" w:themeFill="background1"/>
            <w:vAlign w:val="bottom"/>
          </w:tcPr>
          <w:p w14:paraId="6E675BBD" w14:textId="2546046B" w:rsidR="00163D45" w:rsidRPr="00DD0561" w:rsidRDefault="00163D45" w:rsidP="00163D45">
            <w:pPr>
              <w:pStyle w:val="TableBody"/>
            </w:pPr>
            <w:r w:rsidRPr="00DD0561">
              <w:t>22.5</w:t>
            </w:r>
          </w:p>
        </w:tc>
        <w:tc>
          <w:tcPr>
            <w:tcW w:w="876" w:type="pct"/>
            <w:shd w:val="clear" w:color="auto" w:fill="FFFFFF" w:themeFill="background1"/>
            <w:noWrap/>
            <w:vAlign w:val="bottom"/>
            <w:hideMark/>
          </w:tcPr>
          <w:p w14:paraId="6092AC13" w14:textId="11A18D13" w:rsidR="00163D45" w:rsidRPr="00DD0561" w:rsidRDefault="00163D45" w:rsidP="00163D45">
            <w:pPr>
              <w:pStyle w:val="TableBody"/>
            </w:pPr>
            <w:r w:rsidRPr="00DD0561">
              <w:t>53.9</w:t>
            </w:r>
          </w:p>
        </w:tc>
        <w:tc>
          <w:tcPr>
            <w:tcW w:w="876" w:type="pct"/>
            <w:shd w:val="clear" w:color="auto" w:fill="FFFFFF" w:themeFill="background1"/>
            <w:noWrap/>
            <w:vAlign w:val="bottom"/>
            <w:hideMark/>
          </w:tcPr>
          <w:p w14:paraId="75E03170" w14:textId="77777777" w:rsidR="00163D45" w:rsidRPr="00DD0561" w:rsidRDefault="00163D45" w:rsidP="00163D45">
            <w:pPr>
              <w:pStyle w:val="TableBody"/>
            </w:pPr>
            <w:r w:rsidRPr="00DD0561">
              <w:t>46.2</w:t>
            </w:r>
          </w:p>
        </w:tc>
      </w:tr>
      <w:tr w:rsidR="00163D45" w:rsidRPr="00DD0561" w14:paraId="6096DB30" w14:textId="77777777" w:rsidTr="005265DE">
        <w:trPr>
          <w:trHeight w:val="300"/>
          <w:jc w:val="center"/>
        </w:trPr>
        <w:tc>
          <w:tcPr>
            <w:tcW w:w="1495" w:type="pct"/>
            <w:shd w:val="clear" w:color="auto" w:fill="DEEAF6" w:themeFill="accent5" w:themeFillTint="33"/>
            <w:noWrap/>
            <w:vAlign w:val="bottom"/>
            <w:hideMark/>
          </w:tcPr>
          <w:p w14:paraId="3EE0A0E4" w14:textId="77777777" w:rsidR="00163D45" w:rsidRPr="00DD0561" w:rsidRDefault="00163D45" w:rsidP="00163D45">
            <w:pPr>
              <w:pStyle w:val="TableHeader2"/>
              <w:ind w:left="0"/>
            </w:pPr>
            <w:r w:rsidRPr="00DD0561">
              <w:t>Indigenous status^</w:t>
            </w:r>
          </w:p>
        </w:tc>
        <w:tc>
          <w:tcPr>
            <w:tcW w:w="876" w:type="pct"/>
            <w:shd w:val="clear" w:color="auto" w:fill="DEEAF6" w:themeFill="accent5" w:themeFillTint="33"/>
            <w:vAlign w:val="bottom"/>
          </w:tcPr>
          <w:p w14:paraId="7D842F19" w14:textId="77777777" w:rsidR="00163D45" w:rsidRPr="00DD0561" w:rsidRDefault="00163D45" w:rsidP="00163D45">
            <w:pPr>
              <w:pStyle w:val="TableBody"/>
            </w:pPr>
          </w:p>
        </w:tc>
        <w:tc>
          <w:tcPr>
            <w:tcW w:w="877" w:type="pct"/>
            <w:shd w:val="clear" w:color="auto" w:fill="DEEAF6" w:themeFill="accent5" w:themeFillTint="33"/>
            <w:vAlign w:val="bottom"/>
          </w:tcPr>
          <w:p w14:paraId="530FCE03"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4A893108" w14:textId="0F34C382" w:rsidR="00163D45" w:rsidRPr="00DD0561" w:rsidRDefault="00163D45" w:rsidP="00163D45">
            <w:pPr>
              <w:pStyle w:val="TableBody"/>
            </w:pPr>
          </w:p>
        </w:tc>
        <w:tc>
          <w:tcPr>
            <w:tcW w:w="876" w:type="pct"/>
            <w:shd w:val="clear" w:color="auto" w:fill="DEEAF6" w:themeFill="accent5" w:themeFillTint="33"/>
            <w:noWrap/>
            <w:vAlign w:val="bottom"/>
            <w:hideMark/>
          </w:tcPr>
          <w:p w14:paraId="0C2AD075" w14:textId="0F4749CC" w:rsidR="00163D45" w:rsidRPr="00DD0561" w:rsidRDefault="00163D45" w:rsidP="00163D45">
            <w:pPr>
              <w:pStyle w:val="TableBody"/>
            </w:pPr>
          </w:p>
        </w:tc>
      </w:tr>
      <w:tr w:rsidR="00163D45" w:rsidRPr="00DD0561" w14:paraId="635203FC" w14:textId="77777777" w:rsidTr="005265DE">
        <w:trPr>
          <w:trHeight w:val="300"/>
          <w:jc w:val="center"/>
        </w:trPr>
        <w:tc>
          <w:tcPr>
            <w:tcW w:w="1495" w:type="pct"/>
            <w:shd w:val="clear" w:color="auto" w:fill="FFFFFF" w:themeFill="background1"/>
            <w:noWrap/>
            <w:vAlign w:val="bottom"/>
            <w:hideMark/>
          </w:tcPr>
          <w:p w14:paraId="16639AE1" w14:textId="1829D7A2" w:rsidR="00163D45" w:rsidRPr="00DD0561" w:rsidRDefault="00163D45" w:rsidP="00163D45">
            <w:pPr>
              <w:pStyle w:val="TableRowIndent"/>
            </w:pPr>
            <w:r w:rsidRPr="00DD0561">
              <w:t>Non-ATSI</w:t>
            </w:r>
          </w:p>
        </w:tc>
        <w:tc>
          <w:tcPr>
            <w:tcW w:w="876" w:type="pct"/>
            <w:shd w:val="clear" w:color="auto" w:fill="FFFFFF" w:themeFill="background1"/>
            <w:vAlign w:val="bottom"/>
          </w:tcPr>
          <w:p w14:paraId="7F4FB929" w14:textId="0A24343F" w:rsidR="00163D45" w:rsidRPr="00DD0561" w:rsidRDefault="00163D45" w:rsidP="00163D45">
            <w:pPr>
              <w:pStyle w:val="TableBody"/>
            </w:pPr>
            <w:r w:rsidRPr="00DD0561">
              <w:t>84.5</w:t>
            </w:r>
          </w:p>
        </w:tc>
        <w:tc>
          <w:tcPr>
            <w:tcW w:w="877" w:type="pct"/>
            <w:shd w:val="clear" w:color="auto" w:fill="FFFFFF" w:themeFill="background1"/>
            <w:vAlign w:val="bottom"/>
          </w:tcPr>
          <w:p w14:paraId="307F5740" w14:textId="29F51148" w:rsidR="00163D45" w:rsidRPr="00DD0561" w:rsidRDefault="00163D45" w:rsidP="00163D45">
            <w:pPr>
              <w:pStyle w:val="TableBody"/>
            </w:pPr>
            <w:r w:rsidRPr="00DD0561">
              <w:t>15.5</w:t>
            </w:r>
          </w:p>
        </w:tc>
        <w:tc>
          <w:tcPr>
            <w:tcW w:w="876" w:type="pct"/>
            <w:shd w:val="clear" w:color="auto" w:fill="FFFFFF" w:themeFill="background1"/>
            <w:noWrap/>
            <w:vAlign w:val="bottom"/>
            <w:hideMark/>
          </w:tcPr>
          <w:p w14:paraId="0639666F" w14:textId="1E1C1B8C" w:rsidR="00163D45" w:rsidRPr="00DD0561" w:rsidRDefault="00163D45" w:rsidP="00163D45">
            <w:pPr>
              <w:pStyle w:val="TableBody"/>
            </w:pPr>
            <w:r w:rsidRPr="00DD0561">
              <w:t>54.9</w:t>
            </w:r>
          </w:p>
        </w:tc>
        <w:tc>
          <w:tcPr>
            <w:tcW w:w="876" w:type="pct"/>
            <w:shd w:val="clear" w:color="auto" w:fill="FFFFFF" w:themeFill="background1"/>
            <w:noWrap/>
            <w:vAlign w:val="bottom"/>
            <w:hideMark/>
          </w:tcPr>
          <w:p w14:paraId="631B68BE" w14:textId="77777777" w:rsidR="00163D45" w:rsidRPr="00DD0561" w:rsidRDefault="00163D45" w:rsidP="00163D45">
            <w:pPr>
              <w:pStyle w:val="TableBody"/>
            </w:pPr>
            <w:r w:rsidRPr="00DD0561">
              <w:t>45.1</w:t>
            </w:r>
          </w:p>
        </w:tc>
      </w:tr>
      <w:tr w:rsidR="00163D45" w:rsidRPr="00DD0561" w14:paraId="5CF97F26" w14:textId="77777777" w:rsidTr="005265DE">
        <w:trPr>
          <w:trHeight w:val="300"/>
          <w:jc w:val="center"/>
        </w:trPr>
        <w:tc>
          <w:tcPr>
            <w:tcW w:w="1495" w:type="pct"/>
            <w:shd w:val="clear" w:color="auto" w:fill="FFFFFF" w:themeFill="background1"/>
            <w:noWrap/>
            <w:vAlign w:val="bottom"/>
            <w:hideMark/>
          </w:tcPr>
          <w:p w14:paraId="5C6FCA6A" w14:textId="586A5C99" w:rsidR="00163D45" w:rsidRPr="00DD0561" w:rsidRDefault="00163D45" w:rsidP="00163D45">
            <w:pPr>
              <w:pStyle w:val="TableRowIndent"/>
            </w:pPr>
            <w:r w:rsidRPr="00DD0561">
              <w:t>ATSI</w:t>
            </w:r>
          </w:p>
        </w:tc>
        <w:tc>
          <w:tcPr>
            <w:tcW w:w="876" w:type="pct"/>
            <w:shd w:val="clear" w:color="auto" w:fill="FFFFFF" w:themeFill="background1"/>
            <w:vAlign w:val="bottom"/>
          </w:tcPr>
          <w:p w14:paraId="468CE787" w14:textId="39A4BA11" w:rsidR="00163D45" w:rsidRPr="00DD0561" w:rsidRDefault="00163D45" w:rsidP="00163D45">
            <w:pPr>
              <w:pStyle w:val="TableBody"/>
            </w:pPr>
            <w:r w:rsidRPr="00DD0561">
              <w:t>78.1</w:t>
            </w:r>
          </w:p>
        </w:tc>
        <w:tc>
          <w:tcPr>
            <w:tcW w:w="877" w:type="pct"/>
            <w:shd w:val="clear" w:color="auto" w:fill="FFFFFF" w:themeFill="background1"/>
            <w:vAlign w:val="bottom"/>
          </w:tcPr>
          <w:p w14:paraId="269B0847" w14:textId="7F82FFE1" w:rsidR="00163D45" w:rsidRPr="00DD0561" w:rsidRDefault="00163D45" w:rsidP="00163D45">
            <w:pPr>
              <w:pStyle w:val="TableBody"/>
            </w:pPr>
            <w:r w:rsidRPr="00DD0561">
              <w:t>21.9</w:t>
            </w:r>
          </w:p>
        </w:tc>
        <w:tc>
          <w:tcPr>
            <w:tcW w:w="876" w:type="pct"/>
            <w:shd w:val="clear" w:color="auto" w:fill="FFFFFF" w:themeFill="background1"/>
            <w:noWrap/>
            <w:vAlign w:val="bottom"/>
            <w:hideMark/>
          </w:tcPr>
          <w:p w14:paraId="47B5259D" w14:textId="0265F8AC" w:rsidR="00163D45" w:rsidRPr="00DD0561" w:rsidRDefault="00163D45" w:rsidP="00163D45">
            <w:pPr>
              <w:pStyle w:val="TableBody"/>
            </w:pPr>
            <w:r w:rsidRPr="00DD0561">
              <w:t>80.0*</w:t>
            </w:r>
          </w:p>
        </w:tc>
        <w:tc>
          <w:tcPr>
            <w:tcW w:w="876" w:type="pct"/>
            <w:shd w:val="clear" w:color="auto" w:fill="FFFFFF" w:themeFill="background1"/>
            <w:noWrap/>
            <w:vAlign w:val="bottom"/>
            <w:hideMark/>
          </w:tcPr>
          <w:p w14:paraId="0B70E176" w14:textId="77777777" w:rsidR="00163D45" w:rsidRPr="00DD0561" w:rsidRDefault="00163D45" w:rsidP="00163D45">
            <w:pPr>
              <w:pStyle w:val="TableBody"/>
            </w:pPr>
            <w:r w:rsidRPr="00DD0561">
              <w:t>20.0*</w:t>
            </w:r>
          </w:p>
        </w:tc>
      </w:tr>
      <w:tr w:rsidR="00163D45" w:rsidRPr="00DD0561" w14:paraId="60E5ABC3" w14:textId="77777777" w:rsidTr="005265DE">
        <w:trPr>
          <w:trHeight w:val="300"/>
          <w:jc w:val="center"/>
        </w:trPr>
        <w:tc>
          <w:tcPr>
            <w:tcW w:w="1495" w:type="pct"/>
            <w:shd w:val="clear" w:color="auto" w:fill="DEEAF6" w:themeFill="accent5" w:themeFillTint="33"/>
            <w:noWrap/>
            <w:vAlign w:val="bottom"/>
            <w:hideMark/>
          </w:tcPr>
          <w:p w14:paraId="3BD950FD" w14:textId="77777777" w:rsidR="00163D45" w:rsidRPr="00DD0561" w:rsidRDefault="00163D45" w:rsidP="00163D45">
            <w:pPr>
              <w:pStyle w:val="TableHeader2"/>
              <w:ind w:left="0"/>
            </w:pPr>
            <w:r w:rsidRPr="00DD0561">
              <w:t>SEIFA quintile (at Year 3)</w:t>
            </w:r>
          </w:p>
        </w:tc>
        <w:tc>
          <w:tcPr>
            <w:tcW w:w="876" w:type="pct"/>
            <w:shd w:val="clear" w:color="auto" w:fill="DEEAF6" w:themeFill="accent5" w:themeFillTint="33"/>
            <w:vAlign w:val="bottom"/>
          </w:tcPr>
          <w:p w14:paraId="26DDA313" w14:textId="77777777" w:rsidR="00163D45" w:rsidRPr="00DD0561" w:rsidRDefault="00163D45" w:rsidP="00163D45">
            <w:pPr>
              <w:pStyle w:val="TableBody"/>
            </w:pPr>
          </w:p>
        </w:tc>
        <w:tc>
          <w:tcPr>
            <w:tcW w:w="877" w:type="pct"/>
            <w:shd w:val="clear" w:color="auto" w:fill="DEEAF6" w:themeFill="accent5" w:themeFillTint="33"/>
            <w:vAlign w:val="bottom"/>
          </w:tcPr>
          <w:p w14:paraId="1FC5E1BA"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1B04DAB8" w14:textId="609418AD" w:rsidR="00163D45" w:rsidRPr="00DD0561" w:rsidRDefault="00163D45" w:rsidP="00163D45">
            <w:pPr>
              <w:pStyle w:val="TableBody"/>
            </w:pPr>
          </w:p>
        </w:tc>
        <w:tc>
          <w:tcPr>
            <w:tcW w:w="876" w:type="pct"/>
            <w:shd w:val="clear" w:color="auto" w:fill="DEEAF6" w:themeFill="accent5" w:themeFillTint="33"/>
            <w:noWrap/>
            <w:vAlign w:val="bottom"/>
            <w:hideMark/>
          </w:tcPr>
          <w:p w14:paraId="24479266" w14:textId="4394FC5A" w:rsidR="00163D45" w:rsidRPr="00DD0561" w:rsidRDefault="00163D45" w:rsidP="00163D45">
            <w:pPr>
              <w:pStyle w:val="TableBody"/>
            </w:pPr>
          </w:p>
        </w:tc>
      </w:tr>
      <w:tr w:rsidR="00163D45" w:rsidRPr="00DD0561" w14:paraId="2C8E03EC" w14:textId="77777777" w:rsidTr="005265DE">
        <w:trPr>
          <w:trHeight w:val="300"/>
          <w:jc w:val="center"/>
        </w:trPr>
        <w:tc>
          <w:tcPr>
            <w:tcW w:w="1495" w:type="pct"/>
            <w:shd w:val="clear" w:color="auto" w:fill="FFFFFF" w:themeFill="background1"/>
            <w:noWrap/>
            <w:vAlign w:val="bottom"/>
            <w:hideMark/>
          </w:tcPr>
          <w:p w14:paraId="65FB4C0D" w14:textId="65A10373" w:rsidR="00163D45" w:rsidRPr="00DD0561" w:rsidRDefault="00163D45" w:rsidP="00163D45">
            <w:pPr>
              <w:pStyle w:val="TableRowIndent"/>
            </w:pPr>
            <w:r w:rsidRPr="00DD0561">
              <w:t>Lowest</w:t>
            </w:r>
          </w:p>
        </w:tc>
        <w:tc>
          <w:tcPr>
            <w:tcW w:w="876" w:type="pct"/>
            <w:shd w:val="clear" w:color="auto" w:fill="FFFFFF" w:themeFill="background1"/>
            <w:vAlign w:val="bottom"/>
          </w:tcPr>
          <w:p w14:paraId="691E16C0" w14:textId="5F9F558B" w:rsidR="00163D45" w:rsidRPr="00DD0561" w:rsidRDefault="00163D45" w:rsidP="00163D45">
            <w:pPr>
              <w:pStyle w:val="TableBody"/>
            </w:pPr>
            <w:r w:rsidRPr="00DD0561">
              <w:t>72.4</w:t>
            </w:r>
          </w:p>
        </w:tc>
        <w:tc>
          <w:tcPr>
            <w:tcW w:w="877" w:type="pct"/>
            <w:shd w:val="clear" w:color="auto" w:fill="FFFFFF" w:themeFill="background1"/>
            <w:vAlign w:val="bottom"/>
          </w:tcPr>
          <w:p w14:paraId="425BB69E" w14:textId="7EA1AA9B" w:rsidR="00163D45" w:rsidRPr="00DD0561" w:rsidRDefault="00163D45" w:rsidP="00163D45">
            <w:pPr>
              <w:pStyle w:val="TableBody"/>
            </w:pPr>
            <w:r w:rsidRPr="00DD0561">
              <w:t>27.6</w:t>
            </w:r>
          </w:p>
        </w:tc>
        <w:tc>
          <w:tcPr>
            <w:tcW w:w="876" w:type="pct"/>
            <w:shd w:val="clear" w:color="auto" w:fill="FFFFFF" w:themeFill="background1"/>
            <w:noWrap/>
            <w:vAlign w:val="bottom"/>
            <w:hideMark/>
          </w:tcPr>
          <w:p w14:paraId="74A1845B" w14:textId="5031E2F9" w:rsidR="00163D45" w:rsidRPr="00DD0561" w:rsidRDefault="00163D45" w:rsidP="00163D45">
            <w:pPr>
              <w:pStyle w:val="TableBody"/>
            </w:pPr>
            <w:r w:rsidRPr="00DD0561">
              <w:t>53.9</w:t>
            </w:r>
          </w:p>
        </w:tc>
        <w:tc>
          <w:tcPr>
            <w:tcW w:w="876" w:type="pct"/>
            <w:shd w:val="clear" w:color="auto" w:fill="FFFFFF" w:themeFill="background1"/>
            <w:noWrap/>
            <w:vAlign w:val="bottom"/>
            <w:hideMark/>
          </w:tcPr>
          <w:p w14:paraId="735F9E00" w14:textId="77777777" w:rsidR="00163D45" w:rsidRPr="00DD0561" w:rsidRDefault="00163D45" w:rsidP="00163D45">
            <w:pPr>
              <w:pStyle w:val="TableBody"/>
            </w:pPr>
            <w:r w:rsidRPr="00DD0561">
              <w:t>46.2</w:t>
            </w:r>
          </w:p>
        </w:tc>
      </w:tr>
      <w:tr w:rsidR="00163D45" w:rsidRPr="00DD0561" w14:paraId="216E6DE7" w14:textId="77777777" w:rsidTr="005265DE">
        <w:trPr>
          <w:trHeight w:val="300"/>
          <w:jc w:val="center"/>
        </w:trPr>
        <w:tc>
          <w:tcPr>
            <w:tcW w:w="1495" w:type="pct"/>
            <w:shd w:val="clear" w:color="auto" w:fill="FFFFFF" w:themeFill="background1"/>
            <w:noWrap/>
            <w:vAlign w:val="bottom"/>
            <w:hideMark/>
          </w:tcPr>
          <w:p w14:paraId="5F3932B3" w14:textId="0BB5ABDE" w:rsidR="00163D45" w:rsidRPr="00DD0561" w:rsidRDefault="00163D45" w:rsidP="00163D45">
            <w:pPr>
              <w:pStyle w:val="TableRowIndent"/>
            </w:pPr>
            <w:r w:rsidRPr="00DD0561">
              <w:t>Lower middle</w:t>
            </w:r>
          </w:p>
        </w:tc>
        <w:tc>
          <w:tcPr>
            <w:tcW w:w="876" w:type="pct"/>
            <w:shd w:val="clear" w:color="auto" w:fill="FFFFFF" w:themeFill="background1"/>
            <w:vAlign w:val="bottom"/>
          </w:tcPr>
          <w:p w14:paraId="79A2EAE9" w14:textId="1B1AF8D8" w:rsidR="00163D45" w:rsidRPr="00DD0561" w:rsidRDefault="00163D45" w:rsidP="00163D45">
            <w:pPr>
              <w:pStyle w:val="TableBody"/>
            </w:pPr>
            <w:r w:rsidRPr="00DD0561">
              <w:t>75.6</w:t>
            </w:r>
          </w:p>
        </w:tc>
        <w:tc>
          <w:tcPr>
            <w:tcW w:w="877" w:type="pct"/>
            <w:shd w:val="clear" w:color="auto" w:fill="FFFFFF" w:themeFill="background1"/>
            <w:vAlign w:val="bottom"/>
          </w:tcPr>
          <w:p w14:paraId="7A1AEB45" w14:textId="74C925BF" w:rsidR="00163D45" w:rsidRPr="00DD0561" w:rsidRDefault="00163D45" w:rsidP="00163D45">
            <w:pPr>
              <w:pStyle w:val="TableBody"/>
            </w:pPr>
            <w:r w:rsidRPr="00DD0561">
              <w:t>24.4</w:t>
            </w:r>
          </w:p>
        </w:tc>
        <w:tc>
          <w:tcPr>
            <w:tcW w:w="876" w:type="pct"/>
            <w:shd w:val="clear" w:color="auto" w:fill="FFFFFF" w:themeFill="background1"/>
            <w:noWrap/>
            <w:vAlign w:val="bottom"/>
            <w:hideMark/>
          </w:tcPr>
          <w:p w14:paraId="305ADF2F" w14:textId="591BB790" w:rsidR="00163D45" w:rsidRPr="00DD0561" w:rsidRDefault="00163D45" w:rsidP="00163D45">
            <w:pPr>
              <w:pStyle w:val="TableBody"/>
            </w:pPr>
            <w:r w:rsidRPr="00DD0561">
              <w:t>38.9</w:t>
            </w:r>
          </w:p>
        </w:tc>
        <w:tc>
          <w:tcPr>
            <w:tcW w:w="876" w:type="pct"/>
            <w:shd w:val="clear" w:color="auto" w:fill="FFFFFF" w:themeFill="background1"/>
            <w:noWrap/>
            <w:vAlign w:val="bottom"/>
            <w:hideMark/>
          </w:tcPr>
          <w:p w14:paraId="2930E5F8" w14:textId="77777777" w:rsidR="00163D45" w:rsidRPr="00DD0561" w:rsidRDefault="00163D45" w:rsidP="00163D45">
            <w:pPr>
              <w:pStyle w:val="TableBody"/>
            </w:pPr>
            <w:r w:rsidRPr="00DD0561">
              <w:t>61.1</w:t>
            </w:r>
          </w:p>
        </w:tc>
      </w:tr>
      <w:tr w:rsidR="00163D45" w:rsidRPr="00DD0561" w14:paraId="30EDBD93" w14:textId="77777777" w:rsidTr="005265DE">
        <w:trPr>
          <w:trHeight w:val="300"/>
          <w:jc w:val="center"/>
        </w:trPr>
        <w:tc>
          <w:tcPr>
            <w:tcW w:w="1495" w:type="pct"/>
            <w:shd w:val="clear" w:color="auto" w:fill="FFFFFF" w:themeFill="background1"/>
            <w:noWrap/>
            <w:vAlign w:val="bottom"/>
            <w:hideMark/>
          </w:tcPr>
          <w:p w14:paraId="247AEB25" w14:textId="7BB5E415" w:rsidR="00163D45" w:rsidRPr="00DD0561" w:rsidRDefault="00163D45" w:rsidP="00163D45">
            <w:pPr>
              <w:pStyle w:val="TableRowIndent"/>
            </w:pPr>
            <w:r w:rsidRPr="00DD0561">
              <w:t>Middle</w:t>
            </w:r>
          </w:p>
        </w:tc>
        <w:tc>
          <w:tcPr>
            <w:tcW w:w="876" w:type="pct"/>
            <w:shd w:val="clear" w:color="auto" w:fill="FFFFFF" w:themeFill="background1"/>
            <w:vAlign w:val="bottom"/>
          </w:tcPr>
          <w:p w14:paraId="7CFAC85D" w14:textId="63BA01D4" w:rsidR="00163D45" w:rsidRPr="00DD0561" w:rsidRDefault="00163D45" w:rsidP="00163D45">
            <w:pPr>
              <w:pStyle w:val="TableBody"/>
            </w:pPr>
            <w:r w:rsidRPr="00DD0561">
              <w:t>79.6</w:t>
            </w:r>
          </w:p>
        </w:tc>
        <w:tc>
          <w:tcPr>
            <w:tcW w:w="877" w:type="pct"/>
            <w:shd w:val="clear" w:color="auto" w:fill="FFFFFF" w:themeFill="background1"/>
            <w:vAlign w:val="bottom"/>
          </w:tcPr>
          <w:p w14:paraId="3BE5834F" w14:textId="71E4FC27" w:rsidR="00163D45" w:rsidRPr="00DD0561" w:rsidRDefault="00163D45" w:rsidP="00163D45">
            <w:pPr>
              <w:pStyle w:val="TableBody"/>
            </w:pPr>
            <w:r w:rsidRPr="00DD0561">
              <w:t>20.4</w:t>
            </w:r>
          </w:p>
        </w:tc>
        <w:tc>
          <w:tcPr>
            <w:tcW w:w="876" w:type="pct"/>
            <w:shd w:val="clear" w:color="auto" w:fill="FFFFFF" w:themeFill="background1"/>
            <w:noWrap/>
            <w:vAlign w:val="bottom"/>
            <w:hideMark/>
          </w:tcPr>
          <w:p w14:paraId="1A9BB513" w14:textId="0A55DCDE" w:rsidR="00163D45" w:rsidRPr="00DD0561" w:rsidRDefault="00163D45" w:rsidP="00163D45">
            <w:pPr>
              <w:pStyle w:val="TableBody"/>
            </w:pPr>
            <w:r w:rsidRPr="00DD0561">
              <w:t>53.3</w:t>
            </w:r>
          </w:p>
        </w:tc>
        <w:tc>
          <w:tcPr>
            <w:tcW w:w="876" w:type="pct"/>
            <w:shd w:val="clear" w:color="auto" w:fill="FFFFFF" w:themeFill="background1"/>
            <w:noWrap/>
            <w:vAlign w:val="bottom"/>
            <w:hideMark/>
          </w:tcPr>
          <w:p w14:paraId="627E4A14" w14:textId="77777777" w:rsidR="00163D45" w:rsidRPr="00DD0561" w:rsidRDefault="00163D45" w:rsidP="00163D45">
            <w:pPr>
              <w:pStyle w:val="TableBody"/>
            </w:pPr>
            <w:r w:rsidRPr="00DD0561">
              <w:t>46.7</w:t>
            </w:r>
          </w:p>
        </w:tc>
      </w:tr>
      <w:tr w:rsidR="00163D45" w:rsidRPr="00DD0561" w14:paraId="0EDF9020" w14:textId="77777777" w:rsidTr="005265DE">
        <w:trPr>
          <w:trHeight w:val="300"/>
          <w:jc w:val="center"/>
        </w:trPr>
        <w:tc>
          <w:tcPr>
            <w:tcW w:w="1495" w:type="pct"/>
            <w:shd w:val="clear" w:color="auto" w:fill="FFFFFF" w:themeFill="background1"/>
            <w:noWrap/>
            <w:vAlign w:val="bottom"/>
            <w:hideMark/>
          </w:tcPr>
          <w:p w14:paraId="2B8E7DA8" w14:textId="12ADF451" w:rsidR="00163D45" w:rsidRPr="00DD0561" w:rsidRDefault="00163D45" w:rsidP="00163D45">
            <w:pPr>
              <w:pStyle w:val="TableRowIndent"/>
            </w:pPr>
            <w:r w:rsidRPr="00DD0561">
              <w:t>Upper middle</w:t>
            </w:r>
          </w:p>
        </w:tc>
        <w:tc>
          <w:tcPr>
            <w:tcW w:w="876" w:type="pct"/>
            <w:shd w:val="clear" w:color="auto" w:fill="FFFFFF" w:themeFill="background1"/>
            <w:vAlign w:val="bottom"/>
          </w:tcPr>
          <w:p w14:paraId="512A6191" w14:textId="78AA51B6" w:rsidR="00163D45" w:rsidRPr="00DD0561" w:rsidRDefault="00163D45" w:rsidP="00163D45">
            <w:pPr>
              <w:pStyle w:val="TableBody"/>
            </w:pPr>
            <w:r w:rsidRPr="00DD0561">
              <w:t>83.5</w:t>
            </w:r>
          </w:p>
        </w:tc>
        <w:tc>
          <w:tcPr>
            <w:tcW w:w="877" w:type="pct"/>
            <w:shd w:val="clear" w:color="auto" w:fill="FFFFFF" w:themeFill="background1"/>
            <w:vAlign w:val="bottom"/>
          </w:tcPr>
          <w:p w14:paraId="61EDCD9E" w14:textId="390DA289" w:rsidR="00163D45" w:rsidRPr="00DD0561" w:rsidRDefault="00163D45" w:rsidP="00163D45">
            <w:pPr>
              <w:pStyle w:val="TableBody"/>
            </w:pPr>
            <w:r w:rsidRPr="00DD0561">
              <w:t>16.5</w:t>
            </w:r>
          </w:p>
        </w:tc>
        <w:tc>
          <w:tcPr>
            <w:tcW w:w="876" w:type="pct"/>
            <w:shd w:val="clear" w:color="auto" w:fill="FFFFFF" w:themeFill="background1"/>
            <w:noWrap/>
            <w:vAlign w:val="bottom"/>
            <w:hideMark/>
          </w:tcPr>
          <w:p w14:paraId="147753ED" w14:textId="72BDCD8B" w:rsidR="00163D45" w:rsidRPr="00DD0561" w:rsidRDefault="00163D45" w:rsidP="00163D45">
            <w:pPr>
              <w:pStyle w:val="TableBody"/>
            </w:pPr>
            <w:r w:rsidRPr="00DD0561">
              <w:t>62.1</w:t>
            </w:r>
          </w:p>
        </w:tc>
        <w:tc>
          <w:tcPr>
            <w:tcW w:w="876" w:type="pct"/>
            <w:shd w:val="clear" w:color="auto" w:fill="FFFFFF" w:themeFill="background1"/>
            <w:noWrap/>
            <w:vAlign w:val="bottom"/>
            <w:hideMark/>
          </w:tcPr>
          <w:p w14:paraId="40DB5FEC" w14:textId="77777777" w:rsidR="00163D45" w:rsidRPr="00DD0561" w:rsidRDefault="00163D45" w:rsidP="00163D45">
            <w:pPr>
              <w:pStyle w:val="TableBody"/>
            </w:pPr>
            <w:r w:rsidRPr="00DD0561">
              <w:t>37.9</w:t>
            </w:r>
          </w:p>
        </w:tc>
      </w:tr>
      <w:tr w:rsidR="00163D45" w:rsidRPr="00DD0561" w14:paraId="58682B16" w14:textId="77777777" w:rsidTr="005265DE">
        <w:trPr>
          <w:trHeight w:val="300"/>
          <w:jc w:val="center"/>
        </w:trPr>
        <w:tc>
          <w:tcPr>
            <w:tcW w:w="1495" w:type="pct"/>
            <w:shd w:val="clear" w:color="auto" w:fill="FFFFFF" w:themeFill="background1"/>
            <w:noWrap/>
            <w:vAlign w:val="bottom"/>
            <w:hideMark/>
          </w:tcPr>
          <w:p w14:paraId="31A8CE5A" w14:textId="1E1371F2" w:rsidR="00163D45" w:rsidRPr="00DD0561" w:rsidRDefault="00163D45" w:rsidP="00163D45">
            <w:pPr>
              <w:pStyle w:val="TableRowIndent"/>
            </w:pPr>
            <w:r w:rsidRPr="00DD0561">
              <w:t>Highest</w:t>
            </w:r>
          </w:p>
        </w:tc>
        <w:tc>
          <w:tcPr>
            <w:tcW w:w="876" w:type="pct"/>
            <w:shd w:val="clear" w:color="auto" w:fill="FFFFFF" w:themeFill="background1"/>
            <w:vAlign w:val="bottom"/>
          </w:tcPr>
          <w:p w14:paraId="4C6AFF33" w14:textId="5B213F81" w:rsidR="00163D45" w:rsidRPr="00DD0561" w:rsidRDefault="00163D45" w:rsidP="00163D45">
            <w:pPr>
              <w:pStyle w:val="TableBody"/>
            </w:pPr>
            <w:r w:rsidRPr="00DD0561">
              <w:t>89.1</w:t>
            </w:r>
          </w:p>
        </w:tc>
        <w:tc>
          <w:tcPr>
            <w:tcW w:w="877" w:type="pct"/>
            <w:shd w:val="clear" w:color="auto" w:fill="FFFFFF" w:themeFill="background1"/>
            <w:vAlign w:val="bottom"/>
          </w:tcPr>
          <w:p w14:paraId="3FCD28B6" w14:textId="258E1A9F" w:rsidR="00163D45" w:rsidRPr="00DD0561" w:rsidRDefault="00163D45" w:rsidP="00163D45">
            <w:pPr>
              <w:pStyle w:val="TableBody"/>
            </w:pPr>
            <w:r w:rsidRPr="00DD0561">
              <w:t>10.9</w:t>
            </w:r>
          </w:p>
        </w:tc>
        <w:tc>
          <w:tcPr>
            <w:tcW w:w="876" w:type="pct"/>
            <w:shd w:val="clear" w:color="auto" w:fill="FFFFFF" w:themeFill="background1"/>
            <w:noWrap/>
            <w:vAlign w:val="bottom"/>
            <w:hideMark/>
          </w:tcPr>
          <w:p w14:paraId="34012B69" w14:textId="258DC642" w:rsidR="00163D45" w:rsidRPr="00DD0561" w:rsidRDefault="00163D45" w:rsidP="00163D45">
            <w:pPr>
              <w:pStyle w:val="TableBody"/>
            </w:pPr>
            <w:r w:rsidRPr="00DD0561">
              <w:t>59.5</w:t>
            </w:r>
          </w:p>
        </w:tc>
        <w:tc>
          <w:tcPr>
            <w:tcW w:w="876" w:type="pct"/>
            <w:shd w:val="clear" w:color="auto" w:fill="FFFFFF" w:themeFill="background1"/>
            <w:noWrap/>
            <w:vAlign w:val="bottom"/>
            <w:hideMark/>
          </w:tcPr>
          <w:p w14:paraId="2BEB3762" w14:textId="77777777" w:rsidR="00163D45" w:rsidRPr="00DD0561" w:rsidRDefault="00163D45" w:rsidP="00163D45">
            <w:pPr>
              <w:pStyle w:val="TableBody"/>
            </w:pPr>
            <w:r w:rsidRPr="00DD0561">
              <w:t>40.5</w:t>
            </w:r>
          </w:p>
        </w:tc>
      </w:tr>
      <w:tr w:rsidR="00163D45" w:rsidRPr="00DD0561" w14:paraId="1552525B" w14:textId="77777777" w:rsidTr="005265DE">
        <w:trPr>
          <w:trHeight w:val="300"/>
          <w:jc w:val="center"/>
        </w:trPr>
        <w:tc>
          <w:tcPr>
            <w:tcW w:w="1495" w:type="pct"/>
            <w:shd w:val="clear" w:color="auto" w:fill="DEEAF6" w:themeFill="accent5" w:themeFillTint="33"/>
            <w:noWrap/>
            <w:vAlign w:val="bottom"/>
            <w:hideMark/>
          </w:tcPr>
          <w:p w14:paraId="6E820750" w14:textId="77777777" w:rsidR="00163D45" w:rsidRPr="00DD0561" w:rsidRDefault="00163D45" w:rsidP="00163D45">
            <w:pPr>
              <w:pStyle w:val="TableHeader2"/>
              <w:ind w:left="0"/>
            </w:pPr>
            <w:r w:rsidRPr="00DD0561">
              <w:t>Language background^</w:t>
            </w:r>
          </w:p>
        </w:tc>
        <w:tc>
          <w:tcPr>
            <w:tcW w:w="876" w:type="pct"/>
            <w:shd w:val="clear" w:color="auto" w:fill="DEEAF6" w:themeFill="accent5" w:themeFillTint="33"/>
            <w:vAlign w:val="bottom"/>
          </w:tcPr>
          <w:p w14:paraId="519CAEF6" w14:textId="77777777" w:rsidR="00163D45" w:rsidRPr="00DD0561" w:rsidRDefault="00163D45" w:rsidP="00163D45">
            <w:pPr>
              <w:pStyle w:val="TableBody"/>
            </w:pPr>
          </w:p>
        </w:tc>
        <w:tc>
          <w:tcPr>
            <w:tcW w:w="877" w:type="pct"/>
            <w:shd w:val="clear" w:color="auto" w:fill="DEEAF6" w:themeFill="accent5" w:themeFillTint="33"/>
            <w:vAlign w:val="bottom"/>
          </w:tcPr>
          <w:p w14:paraId="02F10650"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0D5F7FBA" w14:textId="3029EE92" w:rsidR="00163D45" w:rsidRPr="00DD0561" w:rsidRDefault="00163D45" w:rsidP="00163D45">
            <w:pPr>
              <w:pStyle w:val="TableBody"/>
            </w:pPr>
          </w:p>
        </w:tc>
        <w:tc>
          <w:tcPr>
            <w:tcW w:w="876" w:type="pct"/>
            <w:shd w:val="clear" w:color="auto" w:fill="DEEAF6" w:themeFill="accent5" w:themeFillTint="33"/>
            <w:noWrap/>
            <w:vAlign w:val="bottom"/>
            <w:hideMark/>
          </w:tcPr>
          <w:p w14:paraId="23B3B932" w14:textId="36661BFE" w:rsidR="00163D45" w:rsidRPr="00DD0561" w:rsidRDefault="00163D45" w:rsidP="00163D45">
            <w:pPr>
              <w:pStyle w:val="TableBody"/>
            </w:pPr>
          </w:p>
        </w:tc>
      </w:tr>
      <w:tr w:rsidR="00163D45" w:rsidRPr="00DD0561" w14:paraId="3A88FB82" w14:textId="77777777" w:rsidTr="005265DE">
        <w:trPr>
          <w:trHeight w:val="300"/>
          <w:jc w:val="center"/>
        </w:trPr>
        <w:tc>
          <w:tcPr>
            <w:tcW w:w="1495" w:type="pct"/>
            <w:shd w:val="clear" w:color="auto" w:fill="FFFFFF" w:themeFill="background1"/>
            <w:noWrap/>
            <w:vAlign w:val="bottom"/>
            <w:hideMark/>
          </w:tcPr>
          <w:p w14:paraId="122E17FF" w14:textId="21796BDD" w:rsidR="00163D45" w:rsidRPr="00DD0561" w:rsidRDefault="00163D45" w:rsidP="00163D45">
            <w:pPr>
              <w:pStyle w:val="TableRowIndent"/>
            </w:pPr>
            <w:r w:rsidRPr="00DD0561">
              <w:t xml:space="preserve">English </w:t>
            </w:r>
          </w:p>
        </w:tc>
        <w:tc>
          <w:tcPr>
            <w:tcW w:w="876" w:type="pct"/>
            <w:shd w:val="clear" w:color="auto" w:fill="FFFFFF" w:themeFill="background1"/>
            <w:vAlign w:val="bottom"/>
          </w:tcPr>
          <w:p w14:paraId="55CE7DDC" w14:textId="57A008AC" w:rsidR="00163D45" w:rsidRPr="00DD0561" w:rsidRDefault="00163D45" w:rsidP="00163D45">
            <w:pPr>
              <w:pStyle w:val="TableBody"/>
            </w:pPr>
            <w:r w:rsidRPr="00DD0561">
              <w:t>85.9</w:t>
            </w:r>
          </w:p>
        </w:tc>
        <w:tc>
          <w:tcPr>
            <w:tcW w:w="877" w:type="pct"/>
            <w:shd w:val="clear" w:color="auto" w:fill="FFFFFF" w:themeFill="background1"/>
            <w:vAlign w:val="bottom"/>
          </w:tcPr>
          <w:p w14:paraId="6DBF50A3" w14:textId="31799031" w:rsidR="00163D45" w:rsidRPr="00DD0561" w:rsidRDefault="00163D45" w:rsidP="00163D45">
            <w:pPr>
              <w:pStyle w:val="TableBody"/>
            </w:pPr>
            <w:r w:rsidRPr="00DD0561">
              <w:t>14.1</w:t>
            </w:r>
          </w:p>
        </w:tc>
        <w:tc>
          <w:tcPr>
            <w:tcW w:w="876" w:type="pct"/>
            <w:shd w:val="clear" w:color="auto" w:fill="FFFFFF" w:themeFill="background1"/>
            <w:noWrap/>
            <w:vAlign w:val="bottom"/>
            <w:hideMark/>
          </w:tcPr>
          <w:p w14:paraId="0D5B4830" w14:textId="733B59BD" w:rsidR="00163D45" w:rsidRPr="00DD0561" w:rsidRDefault="00163D45" w:rsidP="00163D45">
            <w:pPr>
              <w:pStyle w:val="TableBody"/>
            </w:pPr>
            <w:r w:rsidRPr="00DD0561">
              <w:t>55.6</w:t>
            </w:r>
          </w:p>
        </w:tc>
        <w:tc>
          <w:tcPr>
            <w:tcW w:w="876" w:type="pct"/>
            <w:shd w:val="clear" w:color="auto" w:fill="FFFFFF" w:themeFill="background1"/>
            <w:noWrap/>
            <w:vAlign w:val="bottom"/>
            <w:hideMark/>
          </w:tcPr>
          <w:p w14:paraId="01ED15E9" w14:textId="77777777" w:rsidR="00163D45" w:rsidRPr="00DD0561" w:rsidRDefault="00163D45" w:rsidP="00163D45">
            <w:pPr>
              <w:pStyle w:val="TableBody"/>
            </w:pPr>
            <w:r w:rsidRPr="00DD0561">
              <w:t>44.4</w:t>
            </w:r>
          </w:p>
        </w:tc>
      </w:tr>
      <w:tr w:rsidR="00163D45" w:rsidRPr="00DD0561" w14:paraId="1F00DB67" w14:textId="77777777" w:rsidTr="005265DE">
        <w:trPr>
          <w:trHeight w:val="300"/>
          <w:jc w:val="center"/>
        </w:trPr>
        <w:tc>
          <w:tcPr>
            <w:tcW w:w="1495" w:type="pct"/>
            <w:shd w:val="clear" w:color="auto" w:fill="FFFFFF" w:themeFill="background1"/>
            <w:noWrap/>
            <w:vAlign w:val="bottom"/>
            <w:hideMark/>
          </w:tcPr>
          <w:p w14:paraId="34256C50" w14:textId="05A8D9BA" w:rsidR="00163D45" w:rsidRPr="00DD0561" w:rsidRDefault="00163D45" w:rsidP="00163D45">
            <w:pPr>
              <w:pStyle w:val="TableRowIndent"/>
            </w:pPr>
            <w:r w:rsidRPr="00DD0561">
              <w:t>English and another language</w:t>
            </w:r>
          </w:p>
        </w:tc>
        <w:tc>
          <w:tcPr>
            <w:tcW w:w="876" w:type="pct"/>
            <w:shd w:val="clear" w:color="auto" w:fill="FFFFFF" w:themeFill="background1"/>
            <w:vAlign w:val="bottom"/>
          </w:tcPr>
          <w:p w14:paraId="1E296F35" w14:textId="1F9D7C3F" w:rsidR="00163D45" w:rsidRPr="00DD0561" w:rsidRDefault="00163D45" w:rsidP="00163D45">
            <w:pPr>
              <w:pStyle w:val="TableBody"/>
            </w:pPr>
            <w:r w:rsidRPr="00DD0561">
              <w:t>71.0</w:t>
            </w:r>
          </w:p>
        </w:tc>
        <w:tc>
          <w:tcPr>
            <w:tcW w:w="877" w:type="pct"/>
            <w:shd w:val="clear" w:color="auto" w:fill="FFFFFF" w:themeFill="background1"/>
            <w:vAlign w:val="bottom"/>
          </w:tcPr>
          <w:p w14:paraId="369BF45C" w14:textId="77B44B8F" w:rsidR="00163D45" w:rsidRPr="00DD0561" w:rsidRDefault="00163D45" w:rsidP="00163D45">
            <w:pPr>
              <w:pStyle w:val="TableBody"/>
            </w:pPr>
            <w:r w:rsidRPr="00DD0561">
              <w:t>29.0</w:t>
            </w:r>
          </w:p>
        </w:tc>
        <w:tc>
          <w:tcPr>
            <w:tcW w:w="876" w:type="pct"/>
            <w:shd w:val="clear" w:color="auto" w:fill="FFFFFF" w:themeFill="background1"/>
            <w:noWrap/>
            <w:vAlign w:val="bottom"/>
            <w:hideMark/>
          </w:tcPr>
          <w:p w14:paraId="1AB91AD9" w14:textId="4BC4A561" w:rsidR="00163D45" w:rsidRPr="00DD0561" w:rsidRDefault="00163D45" w:rsidP="00163D45">
            <w:pPr>
              <w:pStyle w:val="TableBody"/>
            </w:pPr>
            <w:r w:rsidRPr="00DD0561">
              <w:t>77.8</w:t>
            </w:r>
          </w:p>
        </w:tc>
        <w:tc>
          <w:tcPr>
            <w:tcW w:w="876" w:type="pct"/>
            <w:shd w:val="clear" w:color="auto" w:fill="FFFFFF" w:themeFill="background1"/>
            <w:noWrap/>
            <w:vAlign w:val="bottom"/>
            <w:hideMark/>
          </w:tcPr>
          <w:p w14:paraId="4A47ABE2" w14:textId="77777777" w:rsidR="00163D45" w:rsidRPr="00DD0561" w:rsidRDefault="00163D45" w:rsidP="00163D45">
            <w:pPr>
              <w:pStyle w:val="TableBody"/>
            </w:pPr>
            <w:r w:rsidRPr="00DD0561">
              <w:t>22.2*</w:t>
            </w:r>
          </w:p>
        </w:tc>
      </w:tr>
      <w:tr w:rsidR="00163D45" w:rsidRPr="00DD0561" w14:paraId="18347B70" w14:textId="77777777" w:rsidTr="005265DE">
        <w:trPr>
          <w:trHeight w:val="300"/>
          <w:jc w:val="center"/>
        </w:trPr>
        <w:tc>
          <w:tcPr>
            <w:tcW w:w="1495" w:type="pct"/>
            <w:shd w:val="clear" w:color="auto" w:fill="FFFFFF" w:themeFill="background1"/>
            <w:noWrap/>
            <w:vAlign w:val="bottom"/>
            <w:hideMark/>
          </w:tcPr>
          <w:p w14:paraId="7EEDCCF0" w14:textId="196E2CEC" w:rsidR="00163D45" w:rsidRPr="00DD0561" w:rsidRDefault="00163D45" w:rsidP="00163D45">
            <w:pPr>
              <w:pStyle w:val="TableRowIndent"/>
            </w:pPr>
            <w:r w:rsidRPr="00DD0561">
              <w:t>Another language, no English</w:t>
            </w:r>
          </w:p>
        </w:tc>
        <w:tc>
          <w:tcPr>
            <w:tcW w:w="876" w:type="pct"/>
            <w:shd w:val="clear" w:color="auto" w:fill="FFFFFF" w:themeFill="background1"/>
            <w:vAlign w:val="bottom"/>
          </w:tcPr>
          <w:p w14:paraId="7553809E" w14:textId="5AC3A283" w:rsidR="00163D45" w:rsidRPr="00DD0561" w:rsidRDefault="00163D45" w:rsidP="00163D45">
            <w:pPr>
              <w:pStyle w:val="TableBody"/>
            </w:pPr>
            <w:r w:rsidRPr="00DD0561">
              <w:t>81.1</w:t>
            </w:r>
          </w:p>
        </w:tc>
        <w:tc>
          <w:tcPr>
            <w:tcW w:w="877" w:type="pct"/>
            <w:shd w:val="clear" w:color="auto" w:fill="FFFFFF" w:themeFill="background1"/>
            <w:vAlign w:val="bottom"/>
          </w:tcPr>
          <w:p w14:paraId="1F7A1121" w14:textId="1E3E5548" w:rsidR="00163D45" w:rsidRPr="00DD0561" w:rsidRDefault="00163D45" w:rsidP="00163D45">
            <w:pPr>
              <w:pStyle w:val="TableBody"/>
            </w:pPr>
            <w:r w:rsidRPr="00DD0561">
              <w:t>18.9</w:t>
            </w:r>
          </w:p>
        </w:tc>
        <w:tc>
          <w:tcPr>
            <w:tcW w:w="876" w:type="pct"/>
            <w:shd w:val="clear" w:color="auto" w:fill="FFFFFF" w:themeFill="background1"/>
            <w:noWrap/>
            <w:vAlign w:val="bottom"/>
            <w:hideMark/>
          </w:tcPr>
          <w:p w14:paraId="03DC212E" w14:textId="498F8496" w:rsidR="00163D45" w:rsidRPr="00DD0561" w:rsidRDefault="00163D45" w:rsidP="00163D45">
            <w:pPr>
              <w:pStyle w:val="TableBody"/>
            </w:pPr>
            <w:r w:rsidRPr="00DD0561">
              <w:t>70.0</w:t>
            </w:r>
          </w:p>
        </w:tc>
        <w:tc>
          <w:tcPr>
            <w:tcW w:w="876" w:type="pct"/>
            <w:shd w:val="clear" w:color="auto" w:fill="FFFFFF" w:themeFill="background1"/>
            <w:noWrap/>
            <w:vAlign w:val="bottom"/>
            <w:hideMark/>
          </w:tcPr>
          <w:p w14:paraId="2EF19D48" w14:textId="77777777" w:rsidR="00163D45" w:rsidRPr="00DD0561" w:rsidRDefault="00163D45" w:rsidP="00163D45">
            <w:pPr>
              <w:pStyle w:val="TableBody"/>
            </w:pPr>
            <w:r w:rsidRPr="00DD0561">
              <w:t>30.0</w:t>
            </w:r>
          </w:p>
        </w:tc>
      </w:tr>
      <w:tr w:rsidR="00163D45" w:rsidRPr="00DD0561" w14:paraId="0DE7732E" w14:textId="77777777" w:rsidTr="005265DE">
        <w:trPr>
          <w:trHeight w:val="300"/>
          <w:jc w:val="center"/>
        </w:trPr>
        <w:tc>
          <w:tcPr>
            <w:tcW w:w="1495" w:type="pct"/>
            <w:shd w:val="clear" w:color="auto" w:fill="DEEAF6" w:themeFill="accent5" w:themeFillTint="33"/>
            <w:noWrap/>
            <w:vAlign w:val="bottom"/>
            <w:hideMark/>
          </w:tcPr>
          <w:p w14:paraId="5C7F9830" w14:textId="77777777" w:rsidR="00163D45" w:rsidRPr="00DD0561" w:rsidRDefault="00163D45" w:rsidP="00163D45">
            <w:pPr>
              <w:pStyle w:val="TableHeader2"/>
              <w:ind w:left="0"/>
            </w:pPr>
            <w:r w:rsidRPr="00DD0561">
              <w:t>ESL^</w:t>
            </w:r>
          </w:p>
        </w:tc>
        <w:tc>
          <w:tcPr>
            <w:tcW w:w="876" w:type="pct"/>
            <w:shd w:val="clear" w:color="auto" w:fill="DEEAF6" w:themeFill="accent5" w:themeFillTint="33"/>
            <w:vAlign w:val="bottom"/>
          </w:tcPr>
          <w:p w14:paraId="17D0BE36" w14:textId="77777777" w:rsidR="00163D45" w:rsidRPr="00DD0561" w:rsidRDefault="00163D45" w:rsidP="00163D45">
            <w:pPr>
              <w:pStyle w:val="TableBody"/>
            </w:pPr>
          </w:p>
        </w:tc>
        <w:tc>
          <w:tcPr>
            <w:tcW w:w="877" w:type="pct"/>
            <w:shd w:val="clear" w:color="auto" w:fill="DEEAF6" w:themeFill="accent5" w:themeFillTint="33"/>
            <w:vAlign w:val="bottom"/>
          </w:tcPr>
          <w:p w14:paraId="3E1DCC73"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25FE418E" w14:textId="67759774" w:rsidR="00163D45" w:rsidRPr="00DD0561" w:rsidRDefault="00163D45" w:rsidP="00163D45">
            <w:pPr>
              <w:pStyle w:val="TableBody"/>
            </w:pPr>
          </w:p>
        </w:tc>
        <w:tc>
          <w:tcPr>
            <w:tcW w:w="876" w:type="pct"/>
            <w:shd w:val="clear" w:color="auto" w:fill="DEEAF6" w:themeFill="accent5" w:themeFillTint="33"/>
            <w:noWrap/>
            <w:vAlign w:val="bottom"/>
            <w:hideMark/>
          </w:tcPr>
          <w:p w14:paraId="2625AF71" w14:textId="698CD603" w:rsidR="00163D45" w:rsidRPr="00DD0561" w:rsidRDefault="00163D45" w:rsidP="00163D45">
            <w:pPr>
              <w:pStyle w:val="TableBody"/>
            </w:pPr>
          </w:p>
        </w:tc>
      </w:tr>
      <w:tr w:rsidR="00163D45" w:rsidRPr="00DD0561" w14:paraId="37C54540" w14:textId="77777777" w:rsidTr="005265DE">
        <w:trPr>
          <w:trHeight w:val="300"/>
          <w:jc w:val="center"/>
        </w:trPr>
        <w:tc>
          <w:tcPr>
            <w:tcW w:w="1495" w:type="pct"/>
            <w:shd w:val="clear" w:color="auto" w:fill="FFFFFF" w:themeFill="background1"/>
            <w:noWrap/>
            <w:vAlign w:val="bottom"/>
            <w:hideMark/>
          </w:tcPr>
          <w:p w14:paraId="033A5EE4" w14:textId="6B8E3C3F" w:rsidR="00163D45" w:rsidRPr="00DD0561" w:rsidRDefault="00163D45" w:rsidP="00163D45">
            <w:pPr>
              <w:pStyle w:val="TableRowIndent"/>
            </w:pPr>
            <w:r w:rsidRPr="00DD0561">
              <w:t>No</w:t>
            </w:r>
          </w:p>
        </w:tc>
        <w:tc>
          <w:tcPr>
            <w:tcW w:w="876" w:type="pct"/>
            <w:shd w:val="clear" w:color="auto" w:fill="FFFFFF" w:themeFill="background1"/>
            <w:vAlign w:val="bottom"/>
          </w:tcPr>
          <w:p w14:paraId="6276CB7F" w14:textId="585A6EE4" w:rsidR="00163D45" w:rsidRPr="00DD0561" w:rsidRDefault="00163D45" w:rsidP="00163D45">
            <w:pPr>
              <w:pStyle w:val="TableBody"/>
            </w:pPr>
            <w:r w:rsidRPr="00DD0561">
              <w:t>84.5</w:t>
            </w:r>
          </w:p>
        </w:tc>
        <w:tc>
          <w:tcPr>
            <w:tcW w:w="877" w:type="pct"/>
            <w:shd w:val="clear" w:color="auto" w:fill="FFFFFF" w:themeFill="background1"/>
            <w:vAlign w:val="bottom"/>
          </w:tcPr>
          <w:p w14:paraId="0269A480" w14:textId="205D0276" w:rsidR="00163D45" w:rsidRPr="00DD0561" w:rsidRDefault="00163D45" w:rsidP="00163D45">
            <w:pPr>
              <w:pStyle w:val="TableBody"/>
            </w:pPr>
            <w:r w:rsidRPr="00DD0561">
              <w:t>15.5</w:t>
            </w:r>
          </w:p>
        </w:tc>
        <w:tc>
          <w:tcPr>
            <w:tcW w:w="876" w:type="pct"/>
            <w:shd w:val="clear" w:color="auto" w:fill="FFFFFF" w:themeFill="background1"/>
            <w:noWrap/>
            <w:vAlign w:val="bottom"/>
            <w:hideMark/>
          </w:tcPr>
          <w:p w14:paraId="715706A0" w14:textId="2AFFDBD8" w:rsidR="00163D45" w:rsidRPr="00DD0561" w:rsidRDefault="00163D45" w:rsidP="00163D45">
            <w:pPr>
              <w:pStyle w:val="TableBody"/>
            </w:pPr>
            <w:r w:rsidRPr="00DD0561">
              <w:t>53.9</w:t>
            </w:r>
          </w:p>
        </w:tc>
        <w:tc>
          <w:tcPr>
            <w:tcW w:w="876" w:type="pct"/>
            <w:shd w:val="clear" w:color="auto" w:fill="FFFFFF" w:themeFill="background1"/>
            <w:noWrap/>
            <w:vAlign w:val="bottom"/>
            <w:hideMark/>
          </w:tcPr>
          <w:p w14:paraId="32A61201" w14:textId="77777777" w:rsidR="00163D45" w:rsidRPr="00DD0561" w:rsidRDefault="00163D45" w:rsidP="00163D45">
            <w:pPr>
              <w:pStyle w:val="TableBody"/>
            </w:pPr>
            <w:r w:rsidRPr="00DD0561">
              <w:t>46.2</w:t>
            </w:r>
          </w:p>
        </w:tc>
      </w:tr>
      <w:tr w:rsidR="00163D45" w:rsidRPr="00DD0561" w14:paraId="395973F4" w14:textId="77777777" w:rsidTr="005265DE">
        <w:trPr>
          <w:trHeight w:val="300"/>
          <w:jc w:val="center"/>
        </w:trPr>
        <w:tc>
          <w:tcPr>
            <w:tcW w:w="1495" w:type="pct"/>
            <w:shd w:val="clear" w:color="auto" w:fill="FFFFFF" w:themeFill="background1"/>
            <w:noWrap/>
            <w:vAlign w:val="bottom"/>
            <w:hideMark/>
          </w:tcPr>
          <w:p w14:paraId="25FE8191" w14:textId="68CDCB78" w:rsidR="00163D45" w:rsidRPr="00DD0561" w:rsidRDefault="00163D45" w:rsidP="00163D45">
            <w:pPr>
              <w:pStyle w:val="TableRowIndent"/>
            </w:pPr>
            <w:r w:rsidRPr="00DD0561">
              <w:t>Yes</w:t>
            </w:r>
          </w:p>
        </w:tc>
        <w:tc>
          <w:tcPr>
            <w:tcW w:w="876" w:type="pct"/>
            <w:shd w:val="clear" w:color="auto" w:fill="FFFFFF" w:themeFill="background1"/>
            <w:vAlign w:val="bottom"/>
          </w:tcPr>
          <w:p w14:paraId="720FF406" w14:textId="2B343658" w:rsidR="00163D45" w:rsidRPr="00DD0561" w:rsidRDefault="00163D45" w:rsidP="00163D45">
            <w:pPr>
              <w:pStyle w:val="TableBody"/>
            </w:pPr>
            <w:r w:rsidRPr="00DD0561">
              <w:t>76.0</w:t>
            </w:r>
          </w:p>
        </w:tc>
        <w:tc>
          <w:tcPr>
            <w:tcW w:w="877" w:type="pct"/>
            <w:shd w:val="clear" w:color="auto" w:fill="FFFFFF" w:themeFill="background1"/>
            <w:vAlign w:val="bottom"/>
          </w:tcPr>
          <w:p w14:paraId="69118104" w14:textId="0D15A0C5" w:rsidR="00163D45" w:rsidRPr="00DD0561" w:rsidRDefault="00163D45" w:rsidP="00163D45">
            <w:pPr>
              <w:pStyle w:val="TableBody"/>
            </w:pPr>
            <w:r w:rsidRPr="00DD0561">
              <w:t>24.1</w:t>
            </w:r>
          </w:p>
        </w:tc>
        <w:tc>
          <w:tcPr>
            <w:tcW w:w="876" w:type="pct"/>
            <w:shd w:val="clear" w:color="auto" w:fill="FFFFFF" w:themeFill="background1"/>
            <w:noWrap/>
            <w:vAlign w:val="bottom"/>
            <w:hideMark/>
          </w:tcPr>
          <w:p w14:paraId="2FBD5EEF" w14:textId="393D835A" w:rsidR="00163D45" w:rsidRPr="00DD0561" w:rsidRDefault="00163D45" w:rsidP="00163D45">
            <w:pPr>
              <w:pStyle w:val="TableBody"/>
            </w:pPr>
            <w:r w:rsidRPr="00DD0561">
              <w:t>59.0</w:t>
            </w:r>
          </w:p>
        </w:tc>
        <w:tc>
          <w:tcPr>
            <w:tcW w:w="876" w:type="pct"/>
            <w:shd w:val="clear" w:color="auto" w:fill="FFFFFF" w:themeFill="background1"/>
            <w:noWrap/>
            <w:vAlign w:val="bottom"/>
            <w:hideMark/>
          </w:tcPr>
          <w:p w14:paraId="0EEFC6B3" w14:textId="77777777" w:rsidR="00163D45" w:rsidRPr="00DD0561" w:rsidRDefault="00163D45" w:rsidP="00163D45">
            <w:pPr>
              <w:pStyle w:val="TableBody"/>
            </w:pPr>
            <w:r w:rsidRPr="00DD0561">
              <w:t>41.0</w:t>
            </w:r>
          </w:p>
        </w:tc>
      </w:tr>
      <w:tr w:rsidR="00163D45" w:rsidRPr="00DD0561" w14:paraId="5C8B706E" w14:textId="77777777" w:rsidTr="005265DE">
        <w:trPr>
          <w:trHeight w:val="300"/>
          <w:jc w:val="center"/>
        </w:trPr>
        <w:tc>
          <w:tcPr>
            <w:tcW w:w="1495" w:type="pct"/>
            <w:shd w:val="clear" w:color="auto" w:fill="DEEAF6" w:themeFill="accent5" w:themeFillTint="33"/>
            <w:noWrap/>
            <w:vAlign w:val="bottom"/>
            <w:hideMark/>
          </w:tcPr>
          <w:p w14:paraId="2D5400BF" w14:textId="77777777" w:rsidR="00163D45" w:rsidRPr="00DD0561" w:rsidRDefault="00163D45" w:rsidP="00163D45">
            <w:pPr>
              <w:pStyle w:val="TableHeader2"/>
              <w:ind w:left="0"/>
            </w:pPr>
            <w:r w:rsidRPr="00DD0561">
              <w:t>School sector (at Year 3)</w:t>
            </w:r>
          </w:p>
        </w:tc>
        <w:tc>
          <w:tcPr>
            <w:tcW w:w="876" w:type="pct"/>
            <w:shd w:val="clear" w:color="auto" w:fill="DEEAF6" w:themeFill="accent5" w:themeFillTint="33"/>
            <w:vAlign w:val="bottom"/>
          </w:tcPr>
          <w:p w14:paraId="1886993B" w14:textId="77777777" w:rsidR="00163D45" w:rsidRPr="00DD0561" w:rsidRDefault="00163D45" w:rsidP="00163D45">
            <w:pPr>
              <w:pStyle w:val="TableBody"/>
            </w:pPr>
          </w:p>
        </w:tc>
        <w:tc>
          <w:tcPr>
            <w:tcW w:w="877" w:type="pct"/>
            <w:shd w:val="clear" w:color="auto" w:fill="DEEAF6" w:themeFill="accent5" w:themeFillTint="33"/>
            <w:vAlign w:val="bottom"/>
          </w:tcPr>
          <w:p w14:paraId="7EB129F2" w14:textId="77777777" w:rsidR="00163D45" w:rsidRPr="00DD0561" w:rsidRDefault="00163D45" w:rsidP="00163D45">
            <w:pPr>
              <w:pStyle w:val="TableBody"/>
            </w:pPr>
          </w:p>
        </w:tc>
        <w:tc>
          <w:tcPr>
            <w:tcW w:w="876" w:type="pct"/>
            <w:shd w:val="clear" w:color="auto" w:fill="DEEAF6" w:themeFill="accent5" w:themeFillTint="33"/>
            <w:noWrap/>
            <w:vAlign w:val="bottom"/>
            <w:hideMark/>
          </w:tcPr>
          <w:p w14:paraId="0AAD7ABA" w14:textId="73909CEA" w:rsidR="00163D45" w:rsidRPr="00DD0561" w:rsidRDefault="00163D45" w:rsidP="00163D45">
            <w:pPr>
              <w:pStyle w:val="TableBody"/>
            </w:pPr>
          </w:p>
        </w:tc>
        <w:tc>
          <w:tcPr>
            <w:tcW w:w="876" w:type="pct"/>
            <w:shd w:val="clear" w:color="auto" w:fill="DEEAF6" w:themeFill="accent5" w:themeFillTint="33"/>
            <w:noWrap/>
            <w:vAlign w:val="bottom"/>
            <w:hideMark/>
          </w:tcPr>
          <w:p w14:paraId="3C49F528" w14:textId="7778C89B" w:rsidR="00163D45" w:rsidRPr="00DD0561" w:rsidRDefault="00163D45" w:rsidP="00163D45">
            <w:pPr>
              <w:pStyle w:val="TableBody"/>
            </w:pPr>
          </w:p>
        </w:tc>
      </w:tr>
      <w:tr w:rsidR="00163D45" w:rsidRPr="00DD0561" w14:paraId="259732D3" w14:textId="77777777" w:rsidTr="005265DE">
        <w:trPr>
          <w:trHeight w:val="300"/>
          <w:jc w:val="center"/>
        </w:trPr>
        <w:tc>
          <w:tcPr>
            <w:tcW w:w="1495" w:type="pct"/>
            <w:shd w:val="clear" w:color="auto" w:fill="FFFFFF" w:themeFill="background1"/>
            <w:noWrap/>
            <w:vAlign w:val="bottom"/>
            <w:hideMark/>
          </w:tcPr>
          <w:p w14:paraId="6C6501E7" w14:textId="0A271E79" w:rsidR="00163D45" w:rsidRPr="00DD0561" w:rsidRDefault="00163D45" w:rsidP="00163D45">
            <w:pPr>
              <w:pStyle w:val="TableRowIndent"/>
            </w:pPr>
            <w:r w:rsidRPr="00DD0561">
              <w:t>Government</w:t>
            </w:r>
          </w:p>
        </w:tc>
        <w:tc>
          <w:tcPr>
            <w:tcW w:w="876" w:type="pct"/>
            <w:shd w:val="clear" w:color="auto" w:fill="FFFFFF" w:themeFill="background1"/>
            <w:vAlign w:val="bottom"/>
          </w:tcPr>
          <w:p w14:paraId="28280D2A" w14:textId="11C54E08" w:rsidR="00163D45" w:rsidRPr="00DD0561" w:rsidRDefault="00163D45" w:rsidP="00163D45">
            <w:pPr>
              <w:pStyle w:val="TableBody"/>
            </w:pPr>
            <w:r w:rsidRPr="00DD0561">
              <w:t>82.4</w:t>
            </w:r>
          </w:p>
        </w:tc>
        <w:tc>
          <w:tcPr>
            <w:tcW w:w="877" w:type="pct"/>
            <w:shd w:val="clear" w:color="auto" w:fill="FFFFFF" w:themeFill="background1"/>
            <w:vAlign w:val="bottom"/>
          </w:tcPr>
          <w:p w14:paraId="238DDE66" w14:textId="594F3FAD" w:rsidR="00163D45" w:rsidRPr="00DD0561" w:rsidRDefault="00163D45" w:rsidP="00163D45">
            <w:pPr>
              <w:pStyle w:val="TableBody"/>
            </w:pPr>
            <w:r w:rsidRPr="00DD0561">
              <w:t>17.6</w:t>
            </w:r>
          </w:p>
        </w:tc>
        <w:tc>
          <w:tcPr>
            <w:tcW w:w="876" w:type="pct"/>
            <w:shd w:val="clear" w:color="auto" w:fill="FFFFFF" w:themeFill="background1"/>
            <w:noWrap/>
            <w:vAlign w:val="bottom"/>
            <w:hideMark/>
          </w:tcPr>
          <w:p w14:paraId="7A06E1DE" w14:textId="7FFE86D9" w:rsidR="00163D45" w:rsidRPr="00DD0561" w:rsidRDefault="00163D45" w:rsidP="00163D45">
            <w:pPr>
              <w:pStyle w:val="TableBody"/>
            </w:pPr>
            <w:r w:rsidRPr="00DD0561">
              <w:t>51.0</w:t>
            </w:r>
          </w:p>
        </w:tc>
        <w:tc>
          <w:tcPr>
            <w:tcW w:w="876" w:type="pct"/>
            <w:shd w:val="clear" w:color="auto" w:fill="FFFFFF" w:themeFill="background1"/>
            <w:noWrap/>
            <w:vAlign w:val="bottom"/>
            <w:hideMark/>
          </w:tcPr>
          <w:p w14:paraId="7513F1AA" w14:textId="77777777" w:rsidR="00163D45" w:rsidRPr="00DD0561" w:rsidRDefault="00163D45" w:rsidP="00163D45">
            <w:pPr>
              <w:pStyle w:val="TableBody"/>
            </w:pPr>
            <w:r w:rsidRPr="00DD0561">
              <w:t>49.0</w:t>
            </w:r>
          </w:p>
        </w:tc>
      </w:tr>
      <w:tr w:rsidR="00163D45" w:rsidRPr="00DD0561" w14:paraId="6144F927" w14:textId="77777777" w:rsidTr="005265DE">
        <w:trPr>
          <w:trHeight w:val="300"/>
          <w:jc w:val="center"/>
        </w:trPr>
        <w:tc>
          <w:tcPr>
            <w:tcW w:w="1495" w:type="pct"/>
            <w:shd w:val="clear" w:color="auto" w:fill="FFFFFF" w:themeFill="background1"/>
            <w:noWrap/>
            <w:vAlign w:val="bottom"/>
            <w:hideMark/>
          </w:tcPr>
          <w:p w14:paraId="34858A11" w14:textId="651BEEAB" w:rsidR="00163D45" w:rsidRPr="00DD0561" w:rsidRDefault="00163D45" w:rsidP="00163D45">
            <w:pPr>
              <w:pStyle w:val="TableRowIndent"/>
            </w:pPr>
            <w:r w:rsidRPr="00DD0561">
              <w:t>Catholic</w:t>
            </w:r>
          </w:p>
        </w:tc>
        <w:tc>
          <w:tcPr>
            <w:tcW w:w="876" w:type="pct"/>
            <w:shd w:val="clear" w:color="auto" w:fill="FFFFFF" w:themeFill="background1"/>
            <w:vAlign w:val="bottom"/>
          </w:tcPr>
          <w:p w14:paraId="67F10B10" w14:textId="504AC795" w:rsidR="00163D45" w:rsidRPr="00DD0561" w:rsidRDefault="00163D45" w:rsidP="00163D45">
            <w:pPr>
              <w:pStyle w:val="TableBody"/>
            </w:pPr>
            <w:r w:rsidRPr="00DD0561">
              <w:t>85.6</w:t>
            </w:r>
          </w:p>
        </w:tc>
        <w:tc>
          <w:tcPr>
            <w:tcW w:w="877" w:type="pct"/>
            <w:shd w:val="clear" w:color="auto" w:fill="FFFFFF" w:themeFill="background1"/>
            <w:vAlign w:val="bottom"/>
          </w:tcPr>
          <w:p w14:paraId="25425AE7" w14:textId="5FD78302" w:rsidR="00163D45" w:rsidRPr="00DD0561" w:rsidRDefault="00163D45" w:rsidP="00163D45">
            <w:pPr>
              <w:pStyle w:val="TableBody"/>
            </w:pPr>
            <w:r w:rsidRPr="00DD0561">
              <w:t>14.4</w:t>
            </w:r>
          </w:p>
        </w:tc>
        <w:tc>
          <w:tcPr>
            <w:tcW w:w="876" w:type="pct"/>
            <w:shd w:val="clear" w:color="auto" w:fill="FFFFFF" w:themeFill="background1"/>
            <w:noWrap/>
            <w:vAlign w:val="bottom"/>
            <w:hideMark/>
          </w:tcPr>
          <w:p w14:paraId="020E779C" w14:textId="1E7F4D91" w:rsidR="00163D45" w:rsidRPr="00DD0561" w:rsidRDefault="00163D45" w:rsidP="00163D45">
            <w:pPr>
              <w:pStyle w:val="TableBody"/>
            </w:pPr>
            <w:r w:rsidRPr="00DD0561">
              <w:t>67.9</w:t>
            </w:r>
          </w:p>
        </w:tc>
        <w:tc>
          <w:tcPr>
            <w:tcW w:w="876" w:type="pct"/>
            <w:shd w:val="clear" w:color="auto" w:fill="FFFFFF" w:themeFill="background1"/>
            <w:noWrap/>
            <w:vAlign w:val="bottom"/>
            <w:hideMark/>
          </w:tcPr>
          <w:p w14:paraId="000F4F74" w14:textId="77777777" w:rsidR="00163D45" w:rsidRPr="00DD0561" w:rsidRDefault="00163D45" w:rsidP="00163D45">
            <w:pPr>
              <w:pStyle w:val="TableBody"/>
            </w:pPr>
            <w:r w:rsidRPr="00DD0561">
              <w:t>32.1</w:t>
            </w:r>
          </w:p>
        </w:tc>
      </w:tr>
      <w:tr w:rsidR="00163D45" w:rsidRPr="00DD0561" w14:paraId="47222989" w14:textId="77777777" w:rsidTr="005265DE">
        <w:trPr>
          <w:trHeight w:val="300"/>
          <w:jc w:val="center"/>
        </w:trPr>
        <w:tc>
          <w:tcPr>
            <w:tcW w:w="1495" w:type="pct"/>
            <w:shd w:val="clear" w:color="auto" w:fill="FFFFFF" w:themeFill="background1"/>
            <w:noWrap/>
            <w:vAlign w:val="bottom"/>
            <w:hideMark/>
          </w:tcPr>
          <w:p w14:paraId="2E173013" w14:textId="15DBCD2F" w:rsidR="00163D45" w:rsidRPr="00DD0561" w:rsidRDefault="00163D45" w:rsidP="00163D45">
            <w:pPr>
              <w:pStyle w:val="TableRowIndent"/>
            </w:pPr>
            <w:r w:rsidRPr="00DD0561">
              <w:t>Independent</w:t>
            </w:r>
          </w:p>
        </w:tc>
        <w:tc>
          <w:tcPr>
            <w:tcW w:w="876" w:type="pct"/>
            <w:shd w:val="clear" w:color="auto" w:fill="FFFFFF" w:themeFill="background1"/>
            <w:vAlign w:val="bottom"/>
          </w:tcPr>
          <w:p w14:paraId="6663F9C6" w14:textId="69C9C26F" w:rsidR="00163D45" w:rsidRPr="00DD0561" w:rsidRDefault="00163D45" w:rsidP="00163D45">
            <w:pPr>
              <w:pStyle w:val="TableBody"/>
            </w:pPr>
            <w:r w:rsidRPr="00DD0561">
              <w:t>87.5</w:t>
            </w:r>
          </w:p>
        </w:tc>
        <w:tc>
          <w:tcPr>
            <w:tcW w:w="877" w:type="pct"/>
            <w:shd w:val="clear" w:color="auto" w:fill="FFFFFF" w:themeFill="background1"/>
            <w:vAlign w:val="bottom"/>
          </w:tcPr>
          <w:p w14:paraId="24720975" w14:textId="7C350CF0" w:rsidR="00163D45" w:rsidRPr="00DD0561" w:rsidRDefault="00163D45" w:rsidP="00163D45">
            <w:pPr>
              <w:pStyle w:val="TableBody"/>
            </w:pPr>
            <w:r w:rsidRPr="00DD0561">
              <w:t>12.5*</w:t>
            </w:r>
          </w:p>
        </w:tc>
        <w:tc>
          <w:tcPr>
            <w:tcW w:w="876" w:type="pct"/>
            <w:shd w:val="clear" w:color="auto" w:fill="FFFFFF" w:themeFill="background1"/>
            <w:noWrap/>
            <w:vAlign w:val="bottom"/>
            <w:hideMark/>
          </w:tcPr>
          <w:p w14:paraId="4A9C19C0" w14:textId="771C0DA7" w:rsidR="00163D45" w:rsidRPr="00DD0561" w:rsidRDefault="00163D45" w:rsidP="00163D45">
            <w:pPr>
              <w:pStyle w:val="TableBody"/>
            </w:pPr>
            <w:r w:rsidRPr="00DD0561">
              <w:t>100.0*</w:t>
            </w:r>
          </w:p>
        </w:tc>
        <w:tc>
          <w:tcPr>
            <w:tcW w:w="876" w:type="pct"/>
            <w:shd w:val="clear" w:color="auto" w:fill="FFFFFF" w:themeFill="background1"/>
            <w:noWrap/>
            <w:vAlign w:val="bottom"/>
            <w:hideMark/>
          </w:tcPr>
          <w:p w14:paraId="6194B436" w14:textId="77777777" w:rsidR="00163D45" w:rsidRPr="00DD0561" w:rsidRDefault="00163D45" w:rsidP="00163D45">
            <w:pPr>
              <w:pStyle w:val="TableBody"/>
            </w:pPr>
            <w:r w:rsidRPr="00DD0561">
              <w:t>0.0*</w:t>
            </w:r>
          </w:p>
        </w:tc>
      </w:tr>
    </w:tbl>
    <w:p w14:paraId="67CAF8D8" w14:textId="45BEE7BE" w:rsidR="00FE47DC" w:rsidRDefault="00F274B3" w:rsidP="00F274B3">
      <w:pPr>
        <w:pStyle w:val="Belowtablecaption"/>
        <w:ind w:left="567"/>
      </w:pPr>
      <w:r w:rsidRPr="00054365">
        <w:t>* i</w:t>
      </w:r>
      <w:r w:rsidR="00392D73">
        <w:t>n</w:t>
      </w:r>
      <w:r w:rsidRPr="00054365">
        <w:t>terpret with caution since cell number is n = 5 or less</w:t>
      </w:r>
      <w:r>
        <w:br/>
      </w:r>
      <w:r w:rsidRPr="00054365">
        <w:t>^ percentages are based on valid data i.e. there are missing data on the demographic variable</w:t>
      </w:r>
    </w:p>
    <w:p w14:paraId="70B95F97" w14:textId="77777777" w:rsidR="00FE47DC" w:rsidRDefault="00FE47DC" w:rsidP="00D52B12"/>
    <w:p w14:paraId="1CD79A17" w14:textId="77777777" w:rsidR="00330CAF" w:rsidRDefault="00330CAF">
      <w:pPr>
        <w:spacing w:after="0" w:line="240" w:lineRule="auto"/>
        <w:rPr>
          <w:rFonts w:eastAsiaTheme="majorEastAsia" w:cstheme="majorBidi"/>
          <w:color w:val="2F5496" w:themeColor="accent1" w:themeShade="BF"/>
          <w:sz w:val="32"/>
          <w:szCs w:val="32"/>
          <w:lang w:val="en-US"/>
        </w:rPr>
      </w:pPr>
      <w:bookmarkStart w:id="62" w:name="_Toc501120741"/>
      <w:r>
        <w:br w:type="page"/>
      </w:r>
    </w:p>
    <w:p w14:paraId="26EAFBE9" w14:textId="693E79E8" w:rsidR="005E6CF6" w:rsidRDefault="005E6CF6" w:rsidP="00BA2BA4">
      <w:pPr>
        <w:pStyle w:val="Heading1"/>
        <w:spacing w:before="0"/>
      </w:pPr>
      <w:r>
        <w:t>Results Chapter 2 – School Disengagement</w:t>
      </w:r>
      <w:bookmarkEnd w:id="62"/>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Caption w:val="Text Box - Chapter 2 - School Disengagement"/>
        <w:tblDescription w:val="Text box for Chapter 2 - School Disengagement, covering Key Analysis Questions and Key Findings."/>
      </w:tblPr>
      <w:tblGrid>
        <w:gridCol w:w="9010"/>
      </w:tblGrid>
      <w:tr w:rsidR="00624247" w14:paraId="4CD6F540" w14:textId="77777777" w:rsidTr="001B0E9A">
        <w:trPr>
          <w:trHeight w:val="300"/>
          <w:jc w:val="center"/>
        </w:trPr>
        <w:tc>
          <w:tcPr>
            <w:tcW w:w="5000" w:type="pct"/>
            <w:shd w:val="clear" w:color="auto" w:fill="FFFFFF" w:themeFill="background1"/>
            <w:noWrap/>
            <w:vAlign w:val="bottom"/>
            <w:hideMark/>
          </w:tcPr>
          <w:p w14:paraId="7E0DF5E3" w14:textId="77777777" w:rsidR="00663658" w:rsidRPr="007746B4" w:rsidRDefault="00663658" w:rsidP="005265DE">
            <w:pPr>
              <w:spacing w:before="120" w:after="120"/>
              <w:rPr>
                <w:b/>
              </w:rPr>
            </w:pPr>
            <w:r w:rsidRPr="007746B4">
              <w:rPr>
                <w:b/>
              </w:rPr>
              <w:t>Key Analysis Questions</w:t>
            </w:r>
          </w:p>
          <w:p w14:paraId="789F03DE" w14:textId="6ADF73C3" w:rsidR="00663658" w:rsidRPr="005265DE" w:rsidRDefault="00C173AB" w:rsidP="005265DE">
            <w:pPr>
              <w:pStyle w:val="ListParagraph"/>
              <w:numPr>
                <w:ilvl w:val="0"/>
                <w:numId w:val="42"/>
              </w:numPr>
              <w:spacing w:after="120"/>
              <w:ind w:left="714" w:hanging="357"/>
              <w:rPr>
                <w:b/>
              </w:rPr>
            </w:pPr>
            <w:r w:rsidRPr="007746B4">
              <w:t xml:space="preserve">Is developmental vulnerability status at school entry predictive school disengagement in later years, specifically Years 3 to Years 7? </w:t>
            </w:r>
          </w:p>
          <w:p w14:paraId="2D5715DB" w14:textId="1BD59C9A" w:rsidR="0095595F" w:rsidRPr="007746B4" w:rsidRDefault="008A1970" w:rsidP="005265DE">
            <w:pPr>
              <w:spacing w:before="120" w:after="120"/>
              <w:rPr>
                <w:b/>
              </w:rPr>
            </w:pPr>
            <w:r w:rsidRPr="005265DE">
              <w:rPr>
                <w:b/>
              </w:rPr>
              <w:t>Key Findings</w:t>
            </w:r>
          </w:p>
          <w:p w14:paraId="04120880" w14:textId="285E99E3" w:rsidR="008A1970" w:rsidRPr="007746B4" w:rsidRDefault="008A1970" w:rsidP="007E3122">
            <w:pPr>
              <w:pStyle w:val="ListParagraph"/>
              <w:numPr>
                <w:ilvl w:val="0"/>
                <w:numId w:val="34"/>
              </w:numPr>
              <w:ind w:left="714" w:hanging="357"/>
            </w:pPr>
            <w:r w:rsidRPr="007746B4">
              <w:t xml:space="preserve">A much larger proportion of DV students compared to not-DV students were observed to be disengaged </w:t>
            </w:r>
            <w:r w:rsidR="00C173AB" w:rsidRPr="007746B4">
              <w:t>in their</w:t>
            </w:r>
            <w:r w:rsidRPr="007746B4">
              <w:t xml:space="preserve"> school</w:t>
            </w:r>
            <w:r w:rsidR="00C173AB" w:rsidRPr="007746B4">
              <w:t>ing</w:t>
            </w:r>
            <w:r w:rsidRPr="007746B4">
              <w:t xml:space="preserve"> at Year 4 (17.2% versus 8.2%).</w:t>
            </w:r>
          </w:p>
          <w:p w14:paraId="0951BE5A" w14:textId="77777777" w:rsidR="008A1970" w:rsidRPr="007746B4" w:rsidRDefault="008A1970" w:rsidP="005265DE">
            <w:pPr>
              <w:pStyle w:val="ListParagraph"/>
              <w:numPr>
                <w:ilvl w:val="0"/>
                <w:numId w:val="34"/>
              </w:numPr>
            </w:pPr>
            <w:r w:rsidRPr="007746B4">
              <w:t>The high level of disengagement in DV students persisted across primary school years and into Year 7.</w:t>
            </w:r>
          </w:p>
          <w:p w14:paraId="10D63523" w14:textId="77777777" w:rsidR="008A1970" w:rsidRPr="007746B4" w:rsidRDefault="008A1970" w:rsidP="005265DE">
            <w:pPr>
              <w:pStyle w:val="ListParagraph"/>
              <w:numPr>
                <w:ilvl w:val="0"/>
                <w:numId w:val="34"/>
              </w:numPr>
            </w:pPr>
            <w:r w:rsidRPr="007746B4">
              <w:t>The not-DV group demonstrated increasing levels of school disengagement across primary school years and into Year 7.</w:t>
            </w:r>
          </w:p>
          <w:p w14:paraId="230E9870" w14:textId="6CE5882C" w:rsidR="008A1970" w:rsidRPr="007746B4" w:rsidRDefault="008A1970" w:rsidP="00C1218A">
            <w:pPr>
              <w:pStyle w:val="ListParagraph"/>
              <w:numPr>
                <w:ilvl w:val="0"/>
                <w:numId w:val="34"/>
              </w:numPr>
              <w:ind w:left="714" w:hanging="357"/>
            </w:pPr>
            <w:r w:rsidRPr="007746B4">
              <w:t xml:space="preserve">Early disengagement is problematic since it has been linked to poorer learning outcomes but is of particular concern because of the </w:t>
            </w:r>
            <w:r w:rsidR="00C1218A">
              <w:t xml:space="preserve">known </w:t>
            </w:r>
            <w:r w:rsidRPr="007746B4">
              <w:t>reciprocal relationship between engagement and learning.</w:t>
            </w:r>
          </w:p>
        </w:tc>
      </w:tr>
    </w:tbl>
    <w:p w14:paraId="17964E4B" w14:textId="77777777" w:rsidR="00545FD3" w:rsidRDefault="00545FD3" w:rsidP="005265DE">
      <w:pPr>
        <w:spacing w:after="0"/>
      </w:pPr>
    </w:p>
    <w:p w14:paraId="424BF432" w14:textId="53C4BA97" w:rsidR="00694F83" w:rsidRDefault="00694F83" w:rsidP="00BA2BA4">
      <w:pPr>
        <w:spacing w:after="0"/>
      </w:pPr>
      <w:r w:rsidRPr="00E56D4E">
        <w:t>In this section we examine the relationship between developmental vulnerability in the first year of primary school and later school disengagement. School disengagement is characterised by low attendance and participation, a lack of motivation for learning and low connection with teachers and school.</w:t>
      </w:r>
      <w:r>
        <w:t xml:space="preserve"> </w:t>
      </w:r>
      <w:r w:rsidRPr="006E3FBF">
        <w:t xml:space="preserve">Disengaged students are at risk of a range of adverse academic and social outcomes including lower academic </w:t>
      </w:r>
      <w:r>
        <w:t>achievement</w:t>
      </w:r>
      <w:r w:rsidRPr="006E3FBF">
        <w:t xml:space="preserve"> </w:t>
      </w:r>
      <w:r>
        <w:t>and school dropout</w:t>
      </w:r>
      <w:r w:rsidRPr="006E3FBF">
        <w:t xml:space="preserve"> </w:t>
      </w:r>
      <w:r w:rsidR="00B22107">
        <w:fldChar w:fldCharType="begin"/>
      </w:r>
      <w:r w:rsidR="000C02DE">
        <w:instrText xml:space="preserve"> ADDIN EN.CITE &lt;EndNote&gt;&lt;Cite&gt;&lt;Author&gt;Fredricks&lt;/Author&gt;&lt;Year&gt;2004&lt;/Year&gt;&lt;RecNum&gt;1266&lt;/RecNum&gt;&lt;DisplayText&gt;[38]&lt;/DisplayText&gt;&lt;record&gt;&lt;rec-number&gt;1266&lt;/rec-number&gt;&lt;foreign-keys&gt;&lt;key app="EN" db-id="fztfxtw2kew9raetd235rfx625vrvpf9e0df" timestamp="1513905663"&gt;1266&lt;/key&gt;&lt;key app="ENWeb" db-id=""&gt;0&lt;/key&gt;&lt;/foreign-keys&gt;&lt;ref-type name="Journal Article"&gt;17&lt;/ref-type&gt;&lt;contributors&gt;&lt;authors&gt;&lt;author&gt;Fredricks, J. A.&lt;/author&gt;&lt;author&gt;Blumenfeld, P. C.&lt;/author&gt;&lt;author&gt;Paris, A. H.&lt;/author&gt;&lt;/authors&gt;&lt;/contributors&gt;&lt;titles&gt;&lt;title&gt;School engagement: Potential of the concept, state of the evidence&lt;/title&gt;&lt;secondary-title&gt;Review of Educational Research&lt;/secondary-title&gt;&lt;/titles&gt;&lt;periodical&gt;&lt;full-title&gt;Review of Educational Research&lt;/full-title&gt;&lt;/periodical&gt;&lt;pages&gt;59-109&lt;/pages&gt;&lt;volume&gt;74&lt;/volume&gt;&lt;number&gt;1&lt;/number&gt;&lt;dates&gt;&lt;year&gt;2004&lt;/year&gt;&lt;/dates&gt;&lt;work-type&gt;Review&lt;/work-type&gt;&lt;urls&gt;&lt;related-urls&gt;&lt;url&gt;https://www.scopus.com/inward/record.uri?eid=2-s2.0-2442601415&amp;amp;partnerID=40&amp;amp;md5=6218de90c8b4e289ad8a02aff55785ef&lt;/url&gt;&lt;/related-urls&gt;&lt;/urls&gt;&lt;remote-database-name&gt;Scopus&lt;/remote-database-name&gt;&lt;/record&gt;&lt;/Cite&gt;&lt;/EndNote&gt;</w:instrText>
      </w:r>
      <w:r w:rsidR="00B22107">
        <w:fldChar w:fldCharType="separate"/>
      </w:r>
      <w:r w:rsidR="000C02DE">
        <w:rPr>
          <w:noProof/>
        </w:rPr>
        <w:t>[38]</w:t>
      </w:r>
      <w:r w:rsidR="00B22107">
        <w:fldChar w:fldCharType="end"/>
      </w:r>
      <w:r w:rsidRPr="006E3FBF">
        <w:t xml:space="preserve">. </w:t>
      </w:r>
      <w:r>
        <w:t xml:space="preserve">It has been suggested that students starting school with low school readiness are more likely to be disengaged </w:t>
      </w:r>
      <w:r w:rsidR="00B22107">
        <w:fldChar w:fldCharType="begin"/>
      </w:r>
      <w:r w:rsidR="000C02DE">
        <w:instrText xml:space="preserve"> ADDIN EN.CITE &lt;EndNote&gt;&lt;Cite&gt;&lt;Author&gt;Hancock&lt;/Author&gt;&lt;Year&gt;2015&lt;/Year&gt;&lt;RecNum&gt;1283&lt;/RecNum&gt;&lt;DisplayText&gt;[39]&lt;/DisplayText&gt;&lt;record&gt;&lt;rec-number&gt;1283&lt;/rec-number&gt;&lt;foreign-keys&gt;&lt;key app="EN" db-id="fztfxtw2kew9raetd235rfx625vrvpf9e0df" timestamp="1513905715"&gt;1283&lt;/key&gt;&lt;key app="ENWeb" db-id=""&gt;0&lt;/key&gt;&lt;/foreign-keys&gt;&lt;ref-type name="Report"&gt;27&lt;/ref-type&gt;&lt;contributors&gt;&lt;authors&gt;&lt;author&gt;Hancock, Kirsten J.&lt;/author&gt;&lt;author&gt;Zubrick, Stephen R.&lt;/author&gt;&lt;/authors&gt;&lt;/contributors&gt;&lt;titles&gt;&lt;title&gt;Children and young people at risk of disengagement from school&lt;/title&gt;&lt;/titles&gt;&lt;dates&gt;&lt;year&gt;2015&lt;/year&gt;&lt;pub-dates&gt;&lt;date&gt;June 2015&lt;/date&gt;&lt;/pub-dates&gt;&lt;/dates&gt;&lt;publisher&gt;Telethon Kids Institute, University of Western Australia&lt;/publisher&gt;&lt;urls&gt;&lt;/urls&gt;&lt;/record&gt;&lt;/Cite&gt;&lt;/EndNote&gt;</w:instrText>
      </w:r>
      <w:r w:rsidR="00B22107">
        <w:fldChar w:fldCharType="separate"/>
      </w:r>
      <w:r w:rsidR="000C02DE">
        <w:rPr>
          <w:noProof/>
        </w:rPr>
        <w:t>[39]</w:t>
      </w:r>
      <w:r w:rsidR="00B22107">
        <w:fldChar w:fldCharType="end"/>
      </w:r>
      <w:r>
        <w:t xml:space="preserve"> although few research studies have examined this directly.</w:t>
      </w:r>
    </w:p>
    <w:p w14:paraId="48DA8737" w14:textId="77777777" w:rsidR="00BA2BA4" w:rsidRPr="00E56D4E" w:rsidRDefault="00BA2BA4" w:rsidP="00BA2BA4">
      <w:pPr>
        <w:spacing w:after="0"/>
      </w:pPr>
    </w:p>
    <w:p w14:paraId="12274C03" w14:textId="2EF9D3B1" w:rsidR="005E6CF6" w:rsidRDefault="005E6CF6" w:rsidP="007F76A2">
      <w:pPr>
        <w:pStyle w:val="Heading2"/>
        <w:spacing w:before="0" w:after="120"/>
      </w:pPr>
      <w:bookmarkStart w:id="63" w:name="_Toc501120742"/>
      <w:r>
        <w:t xml:space="preserve">Summary of </w:t>
      </w:r>
      <w:r w:rsidR="0022511C">
        <w:t>school d</w:t>
      </w:r>
      <w:r>
        <w:t>isengagement at Years 4 to 7</w:t>
      </w:r>
      <w:bookmarkEnd w:id="63"/>
    </w:p>
    <w:p w14:paraId="22E5D3E6" w14:textId="57A63F0D" w:rsidR="00694F83" w:rsidRPr="0070054A" w:rsidRDefault="00694F83" w:rsidP="00AB2D00">
      <w:pPr>
        <w:spacing w:after="0"/>
      </w:pPr>
      <w:r w:rsidRPr="0070054A">
        <w:t xml:space="preserve">The proportions of disengaged students were estimated in the DV and not-DV groups at each year level. </w:t>
      </w:r>
      <w:r>
        <w:t>See Appendix 2: Regression analyses - part one, for further information on how these estimates were calculated</w:t>
      </w:r>
      <w:r w:rsidR="005A6900">
        <w:t xml:space="preserve"> and Table </w:t>
      </w:r>
      <w:r w:rsidR="00B13C69">
        <w:t>23</w:t>
      </w:r>
      <w:r w:rsidR="005A6900">
        <w:t xml:space="preserve"> in Appendix 4: Supplementary results</w:t>
      </w:r>
      <w:r w:rsidR="00F44494">
        <w:t>,</w:t>
      </w:r>
      <w:r w:rsidR="005A6900">
        <w:t xml:space="preserve"> for the </w:t>
      </w:r>
      <w:r w:rsidR="00F44494">
        <w:t xml:space="preserve">associated </w:t>
      </w:r>
      <w:r w:rsidR="002C607D">
        <w:t>odds ratio</w:t>
      </w:r>
      <w:r w:rsidR="005A6900">
        <w:t xml:space="preserve"> estimates</w:t>
      </w:r>
      <w:r>
        <w:t>.</w:t>
      </w:r>
    </w:p>
    <w:p w14:paraId="2739830E" w14:textId="57AA2A08" w:rsidR="00296B7A" w:rsidRDefault="00296B7A" w:rsidP="00AB2D00">
      <w:pPr>
        <w:keepNext/>
        <w:spacing w:after="0"/>
      </w:pPr>
    </w:p>
    <w:p w14:paraId="32D7468C" w14:textId="1B90DCA6" w:rsidR="00ED2824" w:rsidRDefault="000B596B" w:rsidP="00AB2D00">
      <w:pPr>
        <w:keepNext/>
        <w:spacing w:after="0"/>
        <w:jc w:val="center"/>
      </w:pPr>
      <w:r>
        <w:rPr>
          <w:noProof/>
          <w:lang w:eastAsia="en-AU"/>
        </w:rPr>
        <w:drawing>
          <wp:inline distT="0" distB="0" distL="0" distR="0" wp14:anchorId="1F6D8E78" wp14:editId="78B432EC">
            <wp:extent cx="4067175" cy="2152650"/>
            <wp:effectExtent l="0" t="0" r="9525" b="0"/>
            <wp:docPr id="20" name="Picture 20" descr="Column charts showing the proportions of disengaged students in Years 4, 5, 6 and 7 according to whether or not they were assessed as developmentally vulnerable in their first year of primary school.&#10;&#10;The commentary below the chart describes the results." title="Figure 7. Proportion of disengaged students by developmental vulnerability status in Years 4, 5, 6 a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7.JPG"/>
                    <pic:cNvPicPr/>
                  </pic:nvPicPr>
                  <pic:blipFill>
                    <a:blip r:embed="rId27">
                      <a:extLst>
                        <a:ext uri="{28A0092B-C50C-407E-A947-70E740481C1C}">
                          <a14:useLocalDpi xmlns:a14="http://schemas.microsoft.com/office/drawing/2010/main" val="0"/>
                        </a:ext>
                      </a:extLst>
                    </a:blip>
                    <a:stretch>
                      <a:fillRect/>
                    </a:stretch>
                  </pic:blipFill>
                  <pic:spPr>
                    <a:xfrm>
                      <a:off x="0" y="0"/>
                      <a:ext cx="4067175" cy="2152650"/>
                    </a:xfrm>
                    <a:prstGeom prst="rect">
                      <a:avLst/>
                    </a:prstGeom>
                  </pic:spPr>
                </pic:pic>
              </a:graphicData>
            </a:graphic>
          </wp:inline>
        </w:drawing>
      </w:r>
    </w:p>
    <w:p w14:paraId="62852401" w14:textId="77777777" w:rsidR="00AB2D00" w:rsidRDefault="00AB2D00" w:rsidP="00AB2D00">
      <w:pPr>
        <w:pStyle w:val="Caption"/>
        <w:spacing w:after="0"/>
      </w:pPr>
      <w:bookmarkStart w:id="64" w:name="_Ref501029258"/>
      <w:bookmarkStart w:id="65" w:name="_Toc500946772"/>
      <w:bookmarkStart w:id="66" w:name="_Toc501014906"/>
      <w:bookmarkStart w:id="67" w:name="_Toc501014922"/>
      <w:bookmarkStart w:id="68" w:name="_Toc502153727"/>
      <w:r>
        <w:t xml:space="preserve">Figure </w:t>
      </w:r>
      <w:r>
        <w:fldChar w:fldCharType="begin"/>
      </w:r>
      <w:r>
        <w:instrText xml:space="preserve"> SEQ Figure \* ARABIC </w:instrText>
      </w:r>
      <w:r>
        <w:fldChar w:fldCharType="separate"/>
      </w:r>
      <w:r w:rsidR="004C27B3">
        <w:rPr>
          <w:noProof/>
        </w:rPr>
        <w:t>7</w:t>
      </w:r>
      <w:r>
        <w:fldChar w:fldCharType="end"/>
      </w:r>
      <w:bookmarkEnd w:id="64"/>
      <w:r>
        <w:t xml:space="preserve">. </w:t>
      </w:r>
      <w:r w:rsidRPr="00B733AA">
        <w:t>Proportion of disengaged students by developmental vulnerabilit</w:t>
      </w:r>
      <w:r>
        <w:t>y status in Years 4, 5, 6 and 7.</w:t>
      </w:r>
      <w:bookmarkEnd w:id="65"/>
      <w:bookmarkEnd w:id="66"/>
      <w:bookmarkEnd w:id="67"/>
      <w:bookmarkEnd w:id="68"/>
    </w:p>
    <w:p w14:paraId="56897AEE" w14:textId="77777777" w:rsidR="00796201" w:rsidRPr="00796201" w:rsidRDefault="00796201" w:rsidP="005265DE">
      <w:pPr>
        <w:spacing w:after="0"/>
      </w:pPr>
    </w:p>
    <w:p w14:paraId="08FF30E3" w14:textId="77777777" w:rsidR="00694F83" w:rsidRDefault="00694F83" w:rsidP="00AB2D00">
      <w:pPr>
        <w:spacing w:after="0"/>
      </w:pPr>
      <w:r w:rsidRPr="007746B4">
        <w:t>Overall, levels of disengagement ranged from 8.2% to 17.2%. There was a marked difference in the proportion of disengaged students in Year 4 by DV status with more DV than not-DV students being disengaged (17.2% DV, 8.2% not-DV). The relatively high level of disengagement amongst the DV group was maintained across the primary school years and into Year 7. In contrast, the not-DV group displayed increasing levels of disengagement in Years 5 and 6.</w:t>
      </w:r>
    </w:p>
    <w:p w14:paraId="28C32A9C" w14:textId="77777777" w:rsidR="00AB2D00" w:rsidRDefault="00AB2D00" w:rsidP="00AB2D00">
      <w:pPr>
        <w:spacing w:after="0"/>
      </w:pPr>
    </w:p>
    <w:p w14:paraId="410322D9" w14:textId="3D294C8F" w:rsidR="00694F83" w:rsidRDefault="00694F83" w:rsidP="005265DE">
      <w:pPr>
        <w:spacing w:after="0"/>
      </w:pPr>
      <w:r>
        <w:t xml:space="preserve">The finding that around 1 in 6 students with DV are disengaged from school in Year 4 is concerning. Our measure of disengagement in Year 4 is quite stringent with only students reporting they do not like their school or their teacher ‘at all’ and/or they ‘never’ or ‘only a little’ try their best at school being classified as disengaged. Only 1 in 14 not-DV students met </w:t>
      </w:r>
      <w:proofErr w:type="gramStart"/>
      <w:r>
        <w:t>this criteria</w:t>
      </w:r>
      <w:proofErr w:type="gramEnd"/>
      <w:r>
        <w:t xml:space="preserve"> in Year 4. Early disengagement (disengagement suggests a removal or loss of engagement although it is possible that this group of students never engage with school from the outset) is problematic since it has been linked to poorer learning outcomes but is of particular concern because of the reciprocal relationship observed between engagement and learning. Whilst disengagement is linked to poorer learning outcomes, poor academic progress can increase risk of disengagement </w:t>
      </w:r>
      <w:r w:rsidR="000C02DE">
        <w:fldChar w:fldCharType="begin"/>
      </w:r>
      <w:r w:rsidR="000C02DE">
        <w:instrText xml:space="preserve"> ADDIN EN.CITE &lt;EndNote&gt;&lt;Cite&gt;&lt;Author&gt;Evans-Whipp&lt;/Author&gt;&lt;Year&gt;2017&lt;/Year&gt;&lt;RecNum&gt;1281&lt;/RecNum&gt;&lt;DisplayText&gt;[5, 39]&lt;/DisplayText&gt;&lt;record&gt;&lt;rec-number&gt;1281&lt;/rec-number&gt;&lt;foreign-keys&gt;&lt;key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MCRI&lt;/publisher&gt;&lt;urls&gt;&lt;/urls&gt;&lt;/record&gt;&lt;/Cite&gt;&lt;Cite&gt;&lt;Author&gt;Hancock&lt;/Author&gt;&lt;Year&gt;2015&lt;/Year&gt;&lt;RecNum&gt;1283&lt;/RecNum&gt;&lt;record&gt;&lt;rec-number&gt;1283&lt;/rec-number&gt;&lt;foreign-keys&gt;&lt;key app="EN" db-id="fztfxtw2kew9raetd235rfx625vrvpf9e0df" timestamp="1513905715"&gt;1283&lt;/key&gt;&lt;key app="ENWeb" db-id=""&gt;0&lt;/key&gt;&lt;/foreign-keys&gt;&lt;ref-type name="Report"&gt;27&lt;/ref-type&gt;&lt;contributors&gt;&lt;authors&gt;&lt;author&gt;Hancock, Kirsten J.&lt;/author&gt;&lt;author&gt;Zubrick, Stephen R.&lt;/author&gt;&lt;/authors&gt;&lt;/contributors&gt;&lt;titles&gt;&lt;title&gt;Children and young people at risk of disengagement from school&lt;/title&gt;&lt;/titles&gt;&lt;dates&gt;&lt;year&gt;2015&lt;/year&gt;&lt;pub-dates&gt;&lt;date&gt;June 2015&lt;/date&gt;&lt;/pub-dates&gt;&lt;/dates&gt;&lt;publisher&gt;Telethon Kids Institute, University of Western Australia&lt;/publisher&gt;&lt;urls&gt;&lt;/urls&gt;&lt;/record&gt;&lt;/Cite&gt;&lt;/EndNote&gt;</w:instrText>
      </w:r>
      <w:r w:rsidR="000C02DE">
        <w:fldChar w:fldCharType="separate"/>
      </w:r>
      <w:r w:rsidR="000C02DE">
        <w:rPr>
          <w:noProof/>
        </w:rPr>
        <w:t>[5, 39]</w:t>
      </w:r>
      <w:r w:rsidR="000C02DE">
        <w:fldChar w:fldCharType="end"/>
      </w:r>
      <w:r>
        <w:t>.</w:t>
      </w:r>
    </w:p>
    <w:p w14:paraId="7D4D67C8" w14:textId="77777777" w:rsidR="00BF5A98" w:rsidRDefault="00BF5A98" w:rsidP="005265DE">
      <w:pPr>
        <w:spacing w:after="0"/>
      </w:pPr>
    </w:p>
    <w:p w14:paraId="45AF7578" w14:textId="043E2EE9" w:rsidR="005E6CF6" w:rsidRDefault="005E6CF6" w:rsidP="007F76A2">
      <w:pPr>
        <w:pStyle w:val="Heading2"/>
        <w:spacing w:before="0" w:after="120"/>
      </w:pPr>
      <w:bookmarkStart w:id="69" w:name="_Toc501120743"/>
      <w:r>
        <w:t xml:space="preserve">Risk of disengagement by </w:t>
      </w:r>
      <w:r w:rsidR="004B52BA">
        <w:t>developmental v</w:t>
      </w:r>
      <w:r>
        <w:t>ulnerability status</w:t>
      </w:r>
      <w:bookmarkEnd w:id="69"/>
    </w:p>
    <w:p w14:paraId="773A4A84" w14:textId="132D31C8" w:rsidR="005E6CF6" w:rsidRDefault="00694F83" w:rsidP="00D52B12">
      <w:r>
        <w:t xml:space="preserve">Logistic regression models were used to estimate associations between DV status and school disengagement. All models were adjusted for child age (at time of AEDC), child sex, and SES (see Appendix 2: Regression analyses - part one, for further details). </w:t>
      </w:r>
      <w:r w:rsidR="002F310B">
        <w:fldChar w:fldCharType="begin"/>
      </w:r>
      <w:r w:rsidR="002F310B">
        <w:instrText xml:space="preserve"> REF _Ref501027728 \h </w:instrText>
      </w:r>
      <w:r w:rsidR="002F310B">
        <w:fldChar w:fldCharType="separate"/>
      </w:r>
      <w:r w:rsidR="004C27B3">
        <w:t xml:space="preserve">Table </w:t>
      </w:r>
      <w:r w:rsidR="004C27B3">
        <w:rPr>
          <w:noProof/>
        </w:rPr>
        <w:t>4</w:t>
      </w:r>
      <w:r w:rsidR="002F310B">
        <w:fldChar w:fldCharType="end"/>
      </w:r>
      <w:r w:rsidR="002F310B">
        <w:t xml:space="preserve"> </w:t>
      </w:r>
      <w:r>
        <w:t xml:space="preserve">shows the odds ratios for disengagement in the DV versus the not-DV group at each year level. The likelihood of disengagement was almost two times higher for the DV group in Year 4. In Year 5 the DV group were 1.64 times as likely to be disengaged. No differences were observed by Year 6 and </w:t>
      </w:r>
      <w:proofErr w:type="gramStart"/>
      <w:r>
        <w:t>7 which is likely to be due to increased levels of disengagement amongst the not-DV group in Years 6</w:t>
      </w:r>
      <w:proofErr w:type="gramEnd"/>
      <w:r>
        <w:t xml:space="preserve"> and 7, rather than a decrease in the DV group as shown in the prevalence data presented in </w:t>
      </w:r>
      <w:r w:rsidR="005C4382">
        <w:fldChar w:fldCharType="begin"/>
      </w:r>
      <w:r w:rsidR="005C4382">
        <w:instrText xml:space="preserve"> REF _Ref501029258 \h </w:instrText>
      </w:r>
      <w:r w:rsidR="005C4382">
        <w:fldChar w:fldCharType="separate"/>
      </w:r>
      <w:r w:rsidR="004C27B3">
        <w:t xml:space="preserve">Figure </w:t>
      </w:r>
      <w:r w:rsidR="004C27B3">
        <w:rPr>
          <w:noProof/>
        </w:rPr>
        <w:t>7</w:t>
      </w:r>
      <w:r w:rsidR="005C4382">
        <w:fldChar w:fldCharType="end"/>
      </w:r>
      <w:r w:rsidR="005E6CF6">
        <w:t>.</w:t>
      </w:r>
    </w:p>
    <w:p w14:paraId="23ED1C36" w14:textId="5BC0DD0B" w:rsidR="00710258" w:rsidRDefault="00710258" w:rsidP="00710258">
      <w:pPr>
        <w:pStyle w:val="Caption"/>
      </w:pPr>
      <w:bookmarkStart w:id="70" w:name="_Ref501027728"/>
      <w:bookmarkStart w:id="71" w:name="_Toc501014923"/>
      <w:bookmarkStart w:id="72" w:name="_Toc503780744"/>
      <w:r>
        <w:t xml:space="preserve">Table </w:t>
      </w:r>
      <w:r>
        <w:fldChar w:fldCharType="begin"/>
      </w:r>
      <w:r>
        <w:instrText xml:space="preserve"> SEQ Table \* ARABIC </w:instrText>
      </w:r>
      <w:r>
        <w:fldChar w:fldCharType="separate"/>
      </w:r>
      <w:r w:rsidR="004C27B3">
        <w:rPr>
          <w:noProof/>
        </w:rPr>
        <w:t>4</w:t>
      </w:r>
      <w:r>
        <w:fldChar w:fldCharType="end"/>
      </w:r>
      <w:bookmarkEnd w:id="70"/>
      <w:r>
        <w:t xml:space="preserve">. </w:t>
      </w:r>
      <w:r w:rsidRPr="006A174F">
        <w:t>Likelihood of student disengagement in Year 4, 5, 6 and 7 associated with developmental vulnerability status</w:t>
      </w:r>
      <w:r>
        <w:t>.</w:t>
      </w:r>
      <w:bookmarkEnd w:id="71"/>
      <w:bookmarkEnd w:id="72"/>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Caption w:val="Table 4. Likelihood of student disengagement in Year 4, 5,6 and 7 associated with developmental vulnerability status"/>
      </w:tblPr>
      <w:tblGrid>
        <w:gridCol w:w="839"/>
        <w:gridCol w:w="236"/>
        <w:gridCol w:w="1117"/>
        <w:gridCol w:w="236"/>
        <w:gridCol w:w="2259"/>
      </w:tblGrid>
      <w:tr w:rsidR="00694F83" w:rsidRPr="007D68B2" w14:paraId="6E5CC1B3" w14:textId="77777777" w:rsidTr="005265DE">
        <w:trPr>
          <w:jc w:val="center"/>
        </w:trPr>
        <w:tc>
          <w:tcPr>
            <w:tcW w:w="839" w:type="dxa"/>
            <w:shd w:val="clear" w:color="auto" w:fill="0070C0"/>
          </w:tcPr>
          <w:p w14:paraId="2EEC58BA" w14:textId="77777777" w:rsidR="00694F83" w:rsidRPr="007D68B2" w:rsidRDefault="00694F83" w:rsidP="00694F83">
            <w:pPr>
              <w:pStyle w:val="TableHeader1"/>
              <w:jc w:val="left"/>
            </w:pPr>
          </w:p>
        </w:tc>
        <w:tc>
          <w:tcPr>
            <w:tcW w:w="222" w:type="dxa"/>
            <w:shd w:val="clear" w:color="auto" w:fill="0070C0"/>
          </w:tcPr>
          <w:p w14:paraId="3C14953D" w14:textId="77777777" w:rsidR="00694F83" w:rsidRPr="007D68B2" w:rsidRDefault="00694F83" w:rsidP="00785532">
            <w:pPr>
              <w:pStyle w:val="TableHeader1"/>
            </w:pPr>
          </w:p>
        </w:tc>
        <w:tc>
          <w:tcPr>
            <w:tcW w:w="1117" w:type="dxa"/>
            <w:shd w:val="clear" w:color="auto" w:fill="0070C0"/>
          </w:tcPr>
          <w:p w14:paraId="7CAE0B71" w14:textId="604F6A42" w:rsidR="00694F83" w:rsidRPr="007746B4" w:rsidRDefault="00694F83" w:rsidP="00785532">
            <w:pPr>
              <w:pStyle w:val="TableHeader1"/>
            </w:pPr>
            <w:r w:rsidRPr="007746B4">
              <w:t>O</w:t>
            </w:r>
            <w:r w:rsidR="00E52F52" w:rsidRPr="007746B4">
              <w:t xml:space="preserve">dds </w:t>
            </w:r>
            <w:r w:rsidRPr="007746B4">
              <w:t>R</w:t>
            </w:r>
            <w:r w:rsidR="00E52F52" w:rsidRPr="007746B4">
              <w:t>atio</w:t>
            </w:r>
          </w:p>
        </w:tc>
        <w:tc>
          <w:tcPr>
            <w:tcW w:w="222" w:type="dxa"/>
            <w:shd w:val="clear" w:color="auto" w:fill="0070C0"/>
          </w:tcPr>
          <w:p w14:paraId="3BF9D66D" w14:textId="77777777" w:rsidR="00694F83" w:rsidRPr="007746B4" w:rsidRDefault="00694F83" w:rsidP="00785532">
            <w:pPr>
              <w:pStyle w:val="TableHeader1"/>
            </w:pPr>
          </w:p>
        </w:tc>
        <w:tc>
          <w:tcPr>
            <w:tcW w:w="2259" w:type="dxa"/>
            <w:shd w:val="clear" w:color="auto" w:fill="0070C0"/>
          </w:tcPr>
          <w:p w14:paraId="7AA3EE7B" w14:textId="2B775FCD" w:rsidR="00694F83" w:rsidRPr="007D68B2" w:rsidRDefault="00694F83" w:rsidP="00785532">
            <w:pPr>
              <w:pStyle w:val="TableHeader1"/>
            </w:pPr>
            <w:r w:rsidRPr="007746B4">
              <w:t>95% C</w:t>
            </w:r>
            <w:r w:rsidR="00E52F52" w:rsidRPr="007746B4">
              <w:t xml:space="preserve">onfidence </w:t>
            </w:r>
            <w:r w:rsidRPr="007746B4">
              <w:t>I</w:t>
            </w:r>
            <w:r w:rsidR="00E52F52" w:rsidRPr="007746B4">
              <w:t>nterval</w:t>
            </w:r>
          </w:p>
        </w:tc>
      </w:tr>
      <w:tr w:rsidR="00694F83" w:rsidRPr="007D68B2" w14:paraId="6E518FF6" w14:textId="77777777" w:rsidTr="005265DE">
        <w:trPr>
          <w:jc w:val="center"/>
        </w:trPr>
        <w:tc>
          <w:tcPr>
            <w:tcW w:w="839" w:type="dxa"/>
            <w:shd w:val="clear" w:color="auto" w:fill="DEEAF6" w:themeFill="accent5" w:themeFillTint="33"/>
          </w:tcPr>
          <w:p w14:paraId="7E96FCE8" w14:textId="77777777" w:rsidR="00694F83" w:rsidRPr="007D68B2" w:rsidRDefault="00694F83" w:rsidP="006327A0">
            <w:pPr>
              <w:pStyle w:val="TableHeader2"/>
              <w:ind w:left="0"/>
            </w:pPr>
            <w:r w:rsidRPr="007D68B2">
              <w:t xml:space="preserve">Year </w:t>
            </w:r>
            <w:r>
              <w:t>4</w:t>
            </w:r>
          </w:p>
        </w:tc>
        <w:tc>
          <w:tcPr>
            <w:tcW w:w="222" w:type="dxa"/>
            <w:shd w:val="clear" w:color="auto" w:fill="DEEAF6" w:themeFill="accent5" w:themeFillTint="33"/>
          </w:tcPr>
          <w:p w14:paraId="017146F9" w14:textId="77777777" w:rsidR="00694F83" w:rsidRPr="007D68B2" w:rsidRDefault="00694F83" w:rsidP="00BC3CD1">
            <w:pPr>
              <w:pStyle w:val="TableBody"/>
            </w:pPr>
          </w:p>
        </w:tc>
        <w:tc>
          <w:tcPr>
            <w:tcW w:w="1117" w:type="dxa"/>
            <w:shd w:val="clear" w:color="auto" w:fill="DEEAF6" w:themeFill="accent5" w:themeFillTint="33"/>
          </w:tcPr>
          <w:p w14:paraId="71BC6724" w14:textId="77777777" w:rsidR="00694F83" w:rsidRPr="007D68B2" w:rsidRDefault="00694F83" w:rsidP="00BC3CD1">
            <w:pPr>
              <w:pStyle w:val="TableBody"/>
            </w:pPr>
          </w:p>
        </w:tc>
        <w:tc>
          <w:tcPr>
            <w:tcW w:w="222" w:type="dxa"/>
            <w:shd w:val="clear" w:color="auto" w:fill="DEEAF6" w:themeFill="accent5" w:themeFillTint="33"/>
          </w:tcPr>
          <w:p w14:paraId="63CDC21E" w14:textId="77777777" w:rsidR="00694F83" w:rsidRPr="007D68B2" w:rsidRDefault="00694F83" w:rsidP="00BC3CD1">
            <w:pPr>
              <w:pStyle w:val="TableBody"/>
            </w:pPr>
          </w:p>
        </w:tc>
        <w:tc>
          <w:tcPr>
            <w:tcW w:w="2259" w:type="dxa"/>
            <w:shd w:val="clear" w:color="auto" w:fill="DEEAF6" w:themeFill="accent5" w:themeFillTint="33"/>
          </w:tcPr>
          <w:p w14:paraId="679CEFCF" w14:textId="77777777" w:rsidR="00694F83" w:rsidRPr="007D68B2" w:rsidRDefault="00694F83" w:rsidP="00BC3CD1">
            <w:pPr>
              <w:pStyle w:val="TableBody"/>
            </w:pPr>
          </w:p>
        </w:tc>
      </w:tr>
      <w:tr w:rsidR="00694F83" w:rsidRPr="007D68B2" w14:paraId="5FEC8D4E" w14:textId="77777777" w:rsidTr="005265DE">
        <w:trPr>
          <w:jc w:val="center"/>
        </w:trPr>
        <w:tc>
          <w:tcPr>
            <w:tcW w:w="839" w:type="dxa"/>
          </w:tcPr>
          <w:p w14:paraId="4A0CD12B" w14:textId="6EABF42C" w:rsidR="00694F83" w:rsidRPr="007D68B2" w:rsidRDefault="00694F83" w:rsidP="00BC3CD1">
            <w:pPr>
              <w:pStyle w:val="TableRowIndent"/>
            </w:pPr>
            <w:r w:rsidRPr="007D68B2">
              <w:t>No</w:t>
            </w:r>
            <w:r>
              <w:t>t-DV</w:t>
            </w:r>
          </w:p>
        </w:tc>
        <w:tc>
          <w:tcPr>
            <w:tcW w:w="222" w:type="dxa"/>
          </w:tcPr>
          <w:p w14:paraId="68C141C0" w14:textId="77777777" w:rsidR="00694F83" w:rsidRPr="007D68B2" w:rsidRDefault="00694F83" w:rsidP="00BC3CD1">
            <w:pPr>
              <w:pStyle w:val="TableBody"/>
            </w:pPr>
          </w:p>
        </w:tc>
        <w:tc>
          <w:tcPr>
            <w:tcW w:w="1117" w:type="dxa"/>
          </w:tcPr>
          <w:p w14:paraId="59044880" w14:textId="67D12F1B" w:rsidR="00694F83" w:rsidRPr="007D68B2" w:rsidRDefault="00163D45" w:rsidP="00BC3CD1">
            <w:pPr>
              <w:pStyle w:val="TableBody"/>
            </w:pPr>
            <w:r>
              <w:t>R</w:t>
            </w:r>
            <w:r w:rsidR="00694F83" w:rsidRPr="007D68B2">
              <w:t>ef</w:t>
            </w:r>
          </w:p>
        </w:tc>
        <w:tc>
          <w:tcPr>
            <w:tcW w:w="222" w:type="dxa"/>
          </w:tcPr>
          <w:p w14:paraId="145E49F8" w14:textId="77777777" w:rsidR="00694F83" w:rsidRPr="007D68B2" w:rsidRDefault="00694F83" w:rsidP="00BC3CD1">
            <w:pPr>
              <w:pStyle w:val="TableBody"/>
            </w:pPr>
          </w:p>
        </w:tc>
        <w:tc>
          <w:tcPr>
            <w:tcW w:w="2259" w:type="dxa"/>
          </w:tcPr>
          <w:p w14:paraId="00485F0D" w14:textId="77777777" w:rsidR="00694F83" w:rsidRPr="007D68B2" w:rsidRDefault="00694F83" w:rsidP="00BC3CD1">
            <w:pPr>
              <w:pStyle w:val="TableBody"/>
            </w:pPr>
          </w:p>
        </w:tc>
      </w:tr>
      <w:tr w:rsidR="00694F83" w:rsidRPr="007D68B2" w14:paraId="54E7C3ED" w14:textId="77777777" w:rsidTr="005265DE">
        <w:trPr>
          <w:jc w:val="center"/>
        </w:trPr>
        <w:tc>
          <w:tcPr>
            <w:tcW w:w="839" w:type="dxa"/>
          </w:tcPr>
          <w:p w14:paraId="10F5E2B9" w14:textId="55C31E37" w:rsidR="00694F83" w:rsidRPr="007D68B2" w:rsidRDefault="00694F83" w:rsidP="00BC3CD1">
            <w:pPr>
              <w:pStyle w:val="TableRowIndent"/>
            </w:pPr>
            <w:r>
              <w:t>DV</w:t>
            </w:r>
          </w:p>
        </w:tc>
        <w:tc>
          <w:tcPr>
            <w:tcW w:w="222" w:type="dxa"/>
          </w:tcPr>
          <w:p w14:paraId="44079093" w14:textId="77777777" w:rsidR="00694F83" w:rsidRPr="007D68B2" w:rsidRDefault="00694F83" w:rsidP="00BC3CD1">
            <w:pPr>
              <w:pStyle w:val="TableBody"/>
            </w:pPr>
          </w:p>
        </w:tc>
        <w:tc>
          <w:tcPr>
            <w:tcW w:w="1117" w:type="dxa"/>
          </w:tcPr>
          <w:p w14:paraId="7142282C" w14:textId="77777777" w:rsidR="00694F83" w:rsidRPr="007D68B2" w:rsidRDefault="00694F83" w:rsidP="00BC3CD1">
            <w:pPr>
              <w:pStyle w:val="TableBody"/>
            </w:pPr>
            <w:r>
              <w:t>1.96</w:t>
            </w:r>
          </w:p>
        </w:tc>
        <w:tc>
          <w:tcPr>
            <w:tcW w:w="222" w:type="dxa"/>
          </w:tcPr>
          <w:p w14:paraId="120C18D9" w14:textId="77777777" w:rsidR="00694F83" w:rsidRPr="007D68B2" w:rsidRDefault="00694F83" w:rsidP="00BC3CD1">
            <w:pPr>
              <w:pStyle w:val="TableBody"/>
            </w:pPr>
          </w:p>
        </w:tc>
        <w:tc>
          <w:tcPr>
            <w:tcW w:w="2259" w:type="dxa"/>
          </w:tcPr>
          <w:p w14:paraId="7521EFDB" w14:textId="77777777" w:rsidR="00694F83" w:rsidRPr="007D68B2" w:rsidRDefault="00694F83" w:rsidP="00BC3CD1">
            <w:pPr>
              <w:pStyle w:val="TableBody"/>
            </w:pPr>
            <w:r>
              <w:t>1.17 to 3.29</w:t>
            </w:r>
          </w:p>
        </w:tc>
      </w:tr>
      <w:tr w:rsidR="00694F83" w:rsidRPr="007D68B2" w14:paraId="1A1DBF05" w14:textId="77777777" w:rsidTr="005265DE">
        <w:trPr>
          <w:jc w:val="center"/>
        </w:trPr>
        <w:tc>
          <w:tcPr>
            <w:tcW w:w="839" w:type="dxa"/>
            <w:shd w:val="clear" w:color="auto" w:fill="DEEAF6" w:themeFill="accent5" w:themeFillTint="33"/>
          </w:tcPr>
          <w:p w14:paraId="5A543BFB" w14:textId="77777777" w:rsidR="00694F83" w:rsidRPr="007D68B2" w:rsidRDefault="00694F83" w:rsidP="006327A0">
            <w:pPr>
              <w:pStyle w:val="TableHeader2"/>
              <w:ind w:left="0"/>
            </w:pPr>
            <w:r w:rsidRPr="007D68B2">
              <w:t>Year</w:t>
            </w:r>
            <w:r>
              <w:t xml:space="preserve"> 5</w:t>
            </w:r>
          </w:p>
        </w:tc>
        <w:tc>
          <w:tcPr>
            <w:tcW w:w="222" w:type="dxa"/>
            <w:shd w:val="clear" w:color="auto" w:fill="DEEAF6" w:themeFill="accent5" w:themeFillTint="33"/>
          </w:tcPr>
          <w:p w14:paraId="6C8DE0B3" w14:textId="77777777" w:rsidR="00694F83" w:rsidRPr="007D68B2" w:rsidRDefault="00694F83" w:rsidP="00BC3CD1">
            <w:pPr>
              <w:pStyle w:val="TableBody"/>
            </w:pPr>
          </w:p>
        </w:tc>
        <w:tc>
          <w:tcPr>
            <w:tcW w:w="1117" w:type="dxa"/>
            <w:shd w:val="clear" w:color="auto" w:fill="DEEAF6" w:themeFill="accent5" w:themeFillTint="33"/>
          </w:tcPr>
          <w:p w14:paraId="19F22F09" w14:textId="77777777" w:rsidR="00694F83" w:rsidRPr="007D68B2" w:rsidRDefault="00694F83" w:rsidP="00BC3CD1">
            <w:pPr>
              <w:pStyle w:val="TableBody"/>
            </w:pPr>
          </w:p>
        </w:tc>
        <w:tc>
          <w:tcPr>
            <w:tcW w:w="222" w:type="dxa"/>
            <w:shd w:val="clear" w:color="auto" w:fill="DEEAF6" w:themeFill="accent5" w:themeFillTint="33"/>
          </w:tcPr>
          <w:p w14:paraId="7B03376B" w14:textId="77777777" w:rsidR="00694F83" w:rsidRPr="007D68B2" w:rsidRDefault="00694F83" w:rsidP="00BC3CD1">
            <w:pPr>
              <w:pStyle w:val="TableBody"/>
            </w:pPr>
          </w:p>
        </w:tc>
        <w:tc>
          <w:tcPr>
            <w:tcW w:w="2259" w:type="dxa"/>
            <w:shd w:val="clear" w:color="auto" w:fill="DEEAF6" w:themeFill="accent5" w:themeFillTint="33"/>
          </w:tcPr>
          <w:p w14:paraId="45720B31" w14:textId="77777777" w:rsidR="00694F83" w:rsidRPr="007D68B2" w:rsidRDefault="00694F83" w:rsidP="00BC3CD1">
            <w:pPr>
              <w:pStyle w:val="TableBody"/>
            </w:pPr>
          </w:p>
        </w:tc>
      </w:tr>
      <w:tr w:rsidR="00694F83" w:rsidRPr="007D68B2" w14:paraId="7DB9889A" w14:textId="77777777" w:rsidTr="005265DE">
        <w:trPr>
          <w:jc w:val="center"/>
        </w:trPr>
        <w:tc>
          <w:tcPr>
            <w:tcW w:w="839" w:type="dxa"/>
          </w:tcPr>
          <w:p w14:paraId="0235D3AC" w14:textId="3B0A7E60" w:rsidR="00694F83" w:rsidRPr="007D68B2" w:rsidRDefault="00694F83" w:rsidP="00BC3CD1">
            <w:pPr>
              <w:pStyle w:val="TableRowIndent"/>
            </w:pPr>
            <w:r w:rsidRPr="007D68B2">
              <w:t>No</w:t>
            </w:r>
            <w:r>
              <w:t>t-DV</w:t>
            </w:r>
          </w:p>
        </w:tc>
        <w:tc>
          <w:tcPr>
            <w:tcW w:w="222" w:type="dxa"/>
          </w:tcPr>
          <w:p w14:paraId="66063171" w14:textId="77777777" w:rsidR="00694F83" w:rsidRPr="007D68B2" w:rsidRDefault="00694F83" w:rsidP="00BC3CD1">
            <w:pPr>
              <w:pStyle w:val="TableBody"/>
            </w:pPr>
          </w:p>
        </w:tc>
        <w:tc>
          <w:tcPr>
            <w:tcW w:w="1117" w:type="dxa"/>
          </w:tcPr>
          <w:p w14:paraId="16A3B298" w14:textId="7B6AAE18" w:rsidR="00694F83" w:rsidRPr="007D68B2" w:rsidRDefault="00163D45" w:rsidP="00BC3CD1">
            <w:pPr>
              <w:pStyle w:val="TableBody"/>
            </w:pPr>
            <w:r>
              <w:t>R</w:t>
            </w:r>
            <w:r w:rsidR="00694F83" w:rsidRPr="007D68B2">
              <w:t>ef</w:t>
            </w:r>
          </w:p>
        </w:tc>
        <w:tc>
          <w:tcPr>
            <w:tcW w:w="222" w:type="dxa"/>
          </w:tcPr>
          <w:p w14:paraId="210722F9" w14:textId="77777777" w:rsidR="00694F83" w:rsidRPr="007D68B2" w:rsidRDefault="00694F83" w:rsidP="00BC3CD1">
            <w:pPr>
              <w:pStyle w:val="TableBody"/>
            </w:pPr>
          </w:p>
        </w:tc>
        <w:tc>
          <w:tcPr>
            <w:tcW w:w="2259" w:type="dxa"/>
          </w:tcPr>
          <w:p w14:paraId="29D57550" w14:textId="77777777" w:rsidR="00694F83" w:rsidRPr="007D68B2" w:rsidRDefault="00694F83" w:rsidP="00BC3CD1">
            <w:pPr>
              <w:pStyle w:val="TableBody"/>
            </w:pPr>
          </w:p>
        </w:tc>
      </w:tr>
      <w:tr w:rsidR="00694F83" w:rsidRPr="007D68B2" w14:paraId="6940E36A" w14:textId="77777777" w:rsidTr="005265DE">
        <w:trPr>
          <w:jc w:val="center"/>
        </w:trPr>
        <w:tc>
          <w:tcPr>
            <w:tcW w:w="839" w:type="dxa"/>
          </w:tcPr>
          <w:p w14:paraId="51BA82D1" w14:textId="1624232B" w:rsidR="00694F83" w:rsidRPr="007D68B2" w:rsidRDefault="00694F83" w:rsidP="00BC3CD1">
            <w:pPr>
              <w:pStyle w:val="TableRowIndent"/>
            </w:pPr>
            <w:r>
              <w:t>DV</w:t>
            </w:r>
          </w:p>
        </w:tc>
        <w:tc>
          <w:tcPr>
            <w:tcW w:w="222" w:type="dxa"/>
          </w:tcPr>
          <w:p w14:paraId="7B3963F7" w14:textId="77777777" w:rsidR="00694F83" w:rsidRPr="007D68B2" w:rsidRDefault="00694F83" w:rsidP="00BC3CD1">
            <w:pPr>
              <w:pStyle w:val="TableBody"/>
            </w:pPr>
          </w:p>
        </w:tc>
        <w:tc>
          <w:tcPr>
            <w:tcW w:w="1117" w:type="dxa"/>
          </w:tcPr>
          <w:p w14:paraId="63BCE4FA" w14:textId="77777777" w:rsidR="00694F83" w:rsidRPr="007D68B2" w:rsidRDefault="00694F83" w:rsidP="00BC3CD1">
            <w:pPr>
              <w:pStyle w:val="TableBody"/>
            </w:pPr>
            <w:r>
              <w:t>1.64</w:t>
            </w:r>
          </w:p>
        </w:tc>
        <w:tc>
          <w:tcPr>
            <w:tcW w:w="222" w:type="dxa"/>
          </w:tcPr>
          <w:p w14:paraId="60A93A89" w14:textId="77777777" w:rsidR="00694F83" w:rsidRPr="007D68B2" w:rsidRDefault="00694F83" w:rsidP="00BC3CD1">
            <w:pPr>
              <w:pStyle w:val="TableBody"/>
            </w:pPr>
          </w:p>
        </w:tc>
        <w:tc>
          <w:tcPr>
            <w:tcW w:w="2259" w:type="dxa"/>
          </w:tcPr>
          <w:p w14:paraId="5737934D" w14:textId="77777777" w:rsidR="00694F83" w:rsidRPr="007D68B2" w:rsidRDefault="00694F83" w:rsidP="00BC3CD1">
            <w:pPr>
              <w:pStyle w:val="TableBody"/>
            </w:pPr>
            <w:r>
              <w:t>0.99 to 2.70</w:t>
            </w:r>
          </w:p>
        </w:tc>
      </w:tr>
      <w:tr w:rsidR="00694F83" w:rsidRPr="007D68B2" w14:paraId="741926E5" w14:textId="77777777" w:rsidTr="005265DE">
        <w:trPr>
          <w:jc w:val="center"/>
        </w:trPr>
        <w:tc>
          <w:tcPr>
            <w:tcW w:w="839" w:type="dxa"/>
            <w:shd w:val="clear" w:color="auto" w:fill="DEEAF6" w:themeFill="accent5" w:themeFillTint="33"/>
          </w:tcPr>
          <w:p w14:paraId="79615224" w14:textId="77777777" w:rsidR="00694F83" w:rsidRPr="007D68B2" w:rsidRDefault="00694F83" w:rsidP="006327A0">
            <w:pPr>
              <w:pStyle w:val="TableHeader2"/>
              <w:ind w:left="0"/>
            </w:pPr>
            <w:r w:rsidRPr="007D68B2">
              <w:t xml:space="preserve">Year </w:t>
            </w:r>
            <w:r>
              <w:t>6</w:t>
            </w:r>
          </w:p>
        </w:tc>
        <w:tc>
          <w:tcPr>
            <w:tcW w:w="222" w:type="dxa"/>
            <w:shd w:val="clear" w:color="auto" w:fill="DEEAF6" w:themeFill="accent5" w:themeFillTint="33"/>
          </w:tcPr>
          <w:p w14:paraId="259919DA" w14:textId="77777777" w:rsidR="00694F83" w:rsidRPr="007D68B2" w:rsidRDefault="00694F83" w:rsidP="00BC3CD1">
            <w:pPr>
              <w:pStyle w:val="TableBody"/>
            </w:pPr>
          </w:p>
        </w:tc>
        <w:tc>
          <w:tcPr>
            <w:tcW w:w="1117" w:type="dxa"/>
            <w:shd w:val="clear" w:color="auto" w:fill="DEEAF6" w:themeFill="accent5" w:themeFillTint="33"/>
          </w:tcPr>
          <w:p w14:paraId="7D8193E3" w14:textId="77777777" w:rsidR="00694F83" w:rsidRPr="007D68B2" w:rsidRDefault="00694F83" w:rsidP="00BC3CD1">
            <w:pPr>
              <w:pStyle w:val="TableBody"/>
            </w:pPr>
          </w:p>
        </w:tc>
        <w:tc>
          <w:tcPr>
            <w:tcW w:w="222" w:type="dxa"/>
            <w:shd w:val="clear" w:color="auto" w:fill="DEEAF6" w:themeFill="accent5" w:themeFillTint="33"/>
          </w:tcPr>
          <w:p w14:paraId="6F13678B" w14:textId="77777777" w:rsidR="00694F83" w:rsidRPr="007D68B2" w:rsidRDefault="00694F83" w:rsidP="00BC3CD1">
            <w:pPr>
              <w:pStyle w:val="TableBody"/>
            </w:pPr>
          </w:p>
        </w:tc>
        <w:tc>
          <w:tcPr>
            <w:tcW w:w="2259" w:type="dxa"/>
            <w:shd w:val="clear" w:color="auto" w:fill="DEEAF6" w:themeFill="accent5" w:themeFillTint="33"/>
          </w:tcPr>
          <w:p w14:paraId="567837E8" w14:textId="77777777" w:rsidR="00694F83" w:rsidRPr="007D68B2" w:rsidRDefault="00694F83" w:rsidP="00BC3CD1">
            <w:pPr>
              <w:pStyle w:val="TableBody"/>
            </w:pPr>
          </w:p>
        </w:tc>
      </w:tr>
      <w:tr w:rsidR="00694F83" w:rsidRPr="007D68B2" w14:paraId="7144511A" w14:textId="77777777" w:rsidTr="005265DE">
        <w:trPr>
          <w:jc w:val="center"/>
        </w:trPr>
        <w:tc>
          <w:tcPr>
            <w:tcW w:w="839" w:type="dxa"/>
          </w:tcPr>
          <w:p w14:paraId="03F626AA" w14:textId="1CC33C83" w:rsidR="00694F83" w:rsidRPr="007D68B2" w:rsidRDefault="00694F83" w:rsidP="00BC3CD1">
            <w:pPr>
              <w:pStyle w:val="TableRowIndent"/>
            </w:pPr>
            <w:r w:rsidRPr="007D68B2">
              <w:t>No</w:t>
            </w:r>
            <w:r>
              <w:t>t-DV</w:t>
            </w:r>
          </w:p>
        </w:tc>
        <w:tc>
          <w:tcPr>
            <w:tcW w:w="222" w:type="dxa"/>
          </w:tcPr>
          <w:p w14:paraId="15360AD2" w14:textId="77777777" w:rsidR="00694F83" w:rsidRPr="007D68B2" w:rsidRDefault="00694F83" w:rsidP="00BC3CD1">
            <w:pPr>
              <w:pStyle w:val="TableBody"/>
            </w:pPr>
          </w:p>
        </w:tc>
        <w:tc>
          <w:tcPr>
            <w:tcW w:w="1117" w:type="dxa"/>
          </w:tcPr>
          <w:p w14:paraId="5549E391" w14:textId="6372D4B9" w:rsidR="00694F83" w:rsidRPr="007D68B2" w:rsidRDefault="00163D45" w:rsidP="00BC3CD1">
            <w:pPr>
              <w:pStyle w:val="TableBody"/>
            </w:pPr>
            <w:r>
              <w:t>R</w:t>
            </w:r>
            <w:r w:rsidR="00694F83" w:rsidRPr="007D68B2">
              <w:t>ef</w:t>
            </w:r>
          </w:p>
        </w:tc>
        <w:tc>
          <w:tcPr>
            <w:tcW w:w="222" w:type="dxa"/>
          </w:tcPr>
          <w:p w14:paraId="0EAC243F" w14:textId="77777777" w:rsidR="00694F83" w:rsidRPr="007D68B2" w:rsidRDefault="00694F83" w:rsidP="00BC3CD1">
            <w:pPr>
              <w:pStyle w:val="TableBody"/>
            </w:pPr>
          </w:p>
        </w:tc>
        <w:tc>
          <w:tcPr>
            <w:tcW w:w="2259" w:type="dxa"/>
          </w:tcPr>
          <w:p w14:paraId="7CF72DF2" w14:textId="77777777" w:rsidR="00694F83" w:rsidRPr="007D68B2" w:rsidRDefault="00694F83" w:rsidP="00BC3CD1">
            <w:pPr>
              <w:pStyle w:val="TableBody"/>
            </w:pPr>
          </w:p>
        </w:tc>
      </w:tr>
      <w:tr w:rsidR="00694F83" w:rsidRPr="007D68B2" w14:paraId="7C4B0F2A" w14:textId="77777777" w:rsidTr="005265DE">
        <w:trPr>
          <w:jc w:val="center"/>
        </w:trPr>
        <w:tc>
          <w:tcPr>
            <w:tcW w:w="839" w:type="dxa"/>
          </w:tcPr>
          <w:p w14:paraId="64E8375F" w14:textId="7D41AC13" w:rsidR="00694F83" w:rsidRPr="007D68B2" w:rsidRDefault="00694F83" w:rsidP="00BC3CD1">
            <w:pPr>
              <w:pStyle w:val="TableRowIndent"/>
            </w:pPr>
            <w:r>
              <w:t>DV</w:t>
            </w:r>
          </w:p>
        </w:tc>
        <w:tc>
          <w:tcPr>
            <w:tcW w:w="222" w:type="dxa"/>
          </w:tcPr>
          <w:p w14:paraId="3BA12B20" w14:textId="77777777" w:rsidR="00694F83" w:rsidRPr="007D68B2" w:rsidRDefault="00694F83" w:rsidP="00BC3CD1">
            <w:pPr>
              <w:pStyle w:val="TableBody"/>
            </w:pPr>
          </w:p>
        </w:tc>
        <w:tc>
          <w:tcPr>
            <w:tcW w:w="1117" w:type="dxa"/>
          </w:tcPr>
          <w:p w14:paraId="31004EE1" w14:textId="77777777" w:rsidR="00694F83" w:rsidRPr="007D68B2" w:rsidRDefault="00694F83" w:rsidP="00BC3CD1">
            <w:pPr>
              <w:pStyle w:val="TableBody"/>
            </w:pPr>
            <w:r>
              <w:t>1.23</w:t>
            </w:r>
          </w:p>
        </w:tc>
        <w:tc>
          <w:tcPr>
            <w:tcW w:w="222" w:type="dxa"/>
          </w:tcPr>
          <w:p w14:paraId="73DEE8EC" w14:textId="77777777" w:rsidR="00694F83" w:rsidRPr="007D68B2" w:rsidRDefault="00694F83" w:rsidP="00BC3CD1">
            <w:pPr>
              <w:pStyle w:val="TableBody"/>
            </w:pPr>
          </w:p>
        </w:tc>
        <w:tc>
          <w:tcPr>
            <w:tcW w:w="2259" w:type="dxa"/>
          </w:tcPr>
          <w:p w14:paraId="499AA81C" w14:textId="77777777" w:rsidR="00694F83" w:rsidRPr="007D68B2" w:rsidRDefault="00694F83" w:rsidP="00BC3CD1">
            <w:pPr>
              <w:pStyle w:val="TableBody"/>
            </w:pPr>
            <w:r>
              <w:t>0.74 to 2.03</w:t>
            </w:r>
          </w:p>
        </w:tc>
      </w:tr>
      <w:tr w:rsidR="00694F83" w:rsidRPr="007D68B2" w14:paraId="51011A24" w14:textId="77777777" w:rsidTr="005265DE">
        <w:trPr>
          <w:jc w:val="center"/>
        </w:trPr>
        <w:tc>
          <w:tcPr>
            <w:tcW w:w="839" w:type="dxa"/>
            <w:shd w:val="clear" w:color="auto" w:fill="DEEAF6" w:themeFill="accent5" w:themeFillTint="33"/>
          </w:tcPr>
          <w:p w14:paraId="6691BD56" w14:textId="77777777" w:rsidR="00694F83" w:rsidRPr="007D68B2" w:rsidRDefault="00694F83" w:rsidP="006327A0">
            <w:pPr>
              <w:pStyle w:val="TableHeader2"/>
              <w:ind w:left="0"/>
            </w:pPr>
            <w:r w:rsidRPr="007D68B2">
              <w:t xml:space="preserve">Year </w:t>
            </w:r>
            <w:r>
              <w:t>7</w:t>
            </w:r>
          </w:p>
        </w:tc>
        <w:tc>
          <w:tcPr>
            <w:tcW w:w="222" w:type="dxa"/>
            <w:shd w:val="clear" w:color="auto" w:fill="DEEAF6" w:themeFill="accent5" w:themeFillTint="33"/>
          </w:tcPr>
          <w:p w14:paraId="0019687C" w14:textId="77777777" w:rsidR="00694F83" w:rsidRPr="007D68B2" w:rsidRDefault="00694F83" w:rsidP="00BC3CD1">
            <w:pPr>
              <w:pStyle w:val="TableBody"/>
            </w:pPr>
          </w:p>
        </w:tc>
        <w:tc>
          <w:tcPr>
            <w:tcW w:w="1117" w:type="dxa"/>
            <w:shd w:val="clear" w:color="auto" w:fill="DEEAF6" w:themeFill="accent5" w:themeFillTint="33"/>
          </w:tcPr>
          <w:p w14:paraId="69CA0129" w14:textId="77777777" w:rsidR="00694F83" w:rsidRPr="007D68B2" w:rsidRDefault="00694F83" w:rsidP="00BC3CD1">
            <w:pPr>
              <w:pStyle w:val="TableBody"/>
            </w:pPr>
          </w:p>
        </w:tc>
        <w:tc>
          <w:tcPr>
            <w:tcW w:w="222" w:type="dxa"/>
            <w:shd w:val="clear" w:color="auto" w:fill="DEEAF6" w:themeFill="accent5" w:themeFillTint="33"/>
          </w:tcPr>
          <w:p w14:paraId="059B70DE" w14:textId="77777777" w:rsidR="00694F83" w:rsidRPr="007D68B2" w:rsidRDefault="00694F83" w:rsidP="00BC3CD1">
            <w:pPr>
              <w:pStyle w:val="TableBody"/>
            </w:pPr>
          </w:p>
        </w:tc>
        <w:tc>
          <w:tcPr>
            <w:tcW w:w="2259" w:type="dxa"/>
            <w:shd w:val="clear" w:color="auto" w:fill="DEEAF6" w:themeFill="accent5" w:themeFillTint="33"/>
          </w:tcPr>
          <w:p w14:paraId="3745B623" w14:textId="77777777" w:rsidR="00694F83" w:rsidRPr="007D68B2" w:rsidRDefault="00694F83" w:rsidP="00BC3CD1">
            <w:pPr>
              <w:pStyle w:val="TableBody"/>
            </w:pPr>
          </w:p>
        </w:tc>
      </w:tr>
      <w:tr w:rsidR="00694F83" w:rsidRPr="007D68B2" w14:paraId="4CE9F682" w14:textId="77777777" w:rsidTr="005265DE">
        <w:trPr>
          <w:trHeight w:val="87"/>
          <w:jc w:val="center"/>
        </w:trPr>
        <w:tc>
          <w:tcPr>
            <w:tcW w:w="839" w:type="dxa"/>
          </w:tcPr>
          <w:p w14:paraId="3254C2D3" w14:textId="1C98A3FB" w:rsidR="00694F83" w:rsidRPr="007D68B2" w:rsidRDefault="00694F83" w:rsidP="00BC3CD1">
            <w:pPr>
              <w:pStyle w:val="TableRowIndent"/>
            </w:pPr>
            <w:r w:rsidRPr="007D68B2">
              <w:t>No</w:t>
            </w:r>
            <w:r>
              <w:t>t-DV</w:t>
            </w:r>
          </w:p>
        </w:tc>
        <w:tc>
          <w:tcPr>
            <w:tcW w:w="222" w:type="dxa"/>
          </w:tcPr>
          <w:p w14:paraId="78C2FA22" w14:textId="77777777" w:rsidR="00694F83" w:rsidRPr="007D68B2" w:rsidRDefault="00694F83" w:rsidP="00BC3CD1">
            <w:pPr>
              <w:pStyle w:val="TableBody"/>
            </w:pPr>
          </w:p>
        </w:tc>
        <w:tc>
          <w:tcPr>
            <w:tcW w:w="1117" w:type="dxa"/>
          </w:tcPr>
          <w:p w14:paraId="6B02D040" w14:textId="070B105F" w:rsidR="00694F83" w:rsidRPr="007D68B2" w:rsidRDefault="00163D45" w:rsidP="00BC3CD1">
            <w:pPr>
              <w:pStyle w:val="TableBody"/>
            </w:pPr>
            <w:r>
              <w:t>R</w:t>
            </w:r>
            <w:r w:rsidR="00694F83" w:rsidRPr="007D68B2">
              <w:t>ef</w:t>
            </w:r>
          </w:p>
        </w:tc>
        <w:tc>
          <w:tcPr>
            <w:tcW w:w="222" w:type="dxa"/>
          </w:tcPr>
          <w:p w14:paraId="65FC28A6" w14:textId="77777777" w:rsidR="00694F83" w:rsidRPr="007D68B2" w:rsidRDefault="00694F83" w:rsidP="00BC3CD1">
            <w:pPr>
              <w:pStyle w:val="TableBody"/>
            </w:pPr>
          </w:p>
        </w:tc>
        <w:tc>
          <w:tcPr>
            <w:tcW w:w="2259" w:type="dxa"/>
          </w:tcPr>
          <w:p w14:paraId="15B05CD2" w14:textId="77777777" w:rsidR="00694F83" w:rsidRPr="007D68B2" w:rsidRDefault="00694F83" w:rsidP="00BC3CD1">
            <w:pPr>
              <w:pStyle w:val="TableBody"/>
            </w:pPr>
          </w:p>
        </w:tc>
      </w:tr>
      <w:tr w:rsidR="00694F83" w:rsidRPr="007D68B2" w14:paraId="5103E314" w14:textId="77777777" w:rsidTr="005265DE">
        <w:trPr>
          <w:jc w:val="center"/>
        </w:trPr>
        <w:tc>
          <w:tcPr>
            <w:tcW w:w="839" w:type="dxa"/>
          </w:tcPr>
          <w:p w14:paraId="46A2B144" w14:textId="56825332" w:rsidR="00694F83" w:rsidRPr="007D68B2" w:rsidRDefault="00694F83" w:rsidP="00BC3CD1">
            <w:pPr>
              <w:pStyle w:val="TableRowIndent"/>
            </w:pPr>
            <w:r>
              <w:t>DV</w:t>
            </w:r>
          </w:p>
        </w:tc>
        <w:tc>
          <w:tcPr>
            <w:tcW w:w="222" w:type="dxa"/>
          </w:tcPr>
          <w:p w14:paraId="6A7767F3" w14:textId="77777777" w:rsidR="00694F83" w:rsidRPr="007D68B2" w:rsidRDefault="00694F83" w:rsidP="00BC3CD1">
            <w:pPr>
              <w:pStyle w:val="TableBody"/>
            </w:pPr>
          </w:p>
        </w:tc>
        <w:tc>
          <w:tcPr>
            <w:tcW w:w="1117" w:type="dxa"/>
          </w:tcPr>
          <w:p w14:paraId="01DBC4DA" w14:textId="77777777" w:rsidR="00694F83" w:rsidRPr="007D68B2" w:rsidRDefault="00694F83" w:rsidP="00BC3CD1">
            <w:pPr>
              <w:pStyle w:val="TableBody"/>
            </w:pPr>
            <w:r>
              <w:t>0.97</w:t>
            </w:r>
          </w:p>
        </w:tc>
        <w:tc>
          <w:tcPr>
            <w:tcW w:w="222" w:type="dxa"/>
          </w:tcPr>
          <w:p w14:paraId="671B7E10" w14:textId="77777777" w:rsidR="00694F83" w:rsidRPr="007D68B2" w:rsidRDefault="00694F83" w:rsidP="00BC3CD1">
            <w:pPr>
              <w:pStyle w:val="TableBody"/>
            </w:pPr>
          </w:p>
        </w:tc>
        <w:tc>
          <w:tcPr>
            <w:tcW w:w="2259" w:type="dxa"/>
          </w:tcPr>
          <w:p w14:paraId="24C025BA" w14:textId="77777777" w:rsidR="00694F83" w:rsidRPr="007D68B2" w:rsidRDefault="00694F83" w:rsidP="00BC3CD1">
            <w:pPr>
              <w:pStyle w:val="TableBody"/>
            </w:pPr>
            <w:r>
              <w:t>0.59 to 1.59</w:t>
            </w:r>
          </w:p>
        </w:tc>
      </w:tr>
    </w:tbl>
    <w:p w14:paraId="23A3F6DA" w14:textId="77777777" w:rsidR="005E6CF6" w:rsidRDefault="005E6CF6" w:rsidP="00330CAF">
      <w:pPr>
        <w:pStyle w:val="Belowtablecaption"/>
        <w:ind w:left="2552" w:right="2499"/>
      </w:pPr>
      <w:r>
        <w:t>Analyses controlled for gender, SEIFA advantage/disadvantage quintile and age.</w:t>
      </w:r>
    </w:p>
    <w:p w14:paraId="6441C3F0" w14:textId="508421D5" w:rsidR="005E6CF6" w:rsidRDefault="005E6CF6" w:rsidP="00330CAF">
      <w:pPr>
        <w:pStyle w:val="Belowtablecaption"/>
        <w:ind w:left="2552" w:right="2499"/>
      </w:pPr>
      <w:r>
        <w:t xml:space="preserve">Ref – the reference group with an </w:t>
      </w:r>
      <w:r w:rsidR="004F2E7B">
        <w:t>o</w:t>
      </w:r>
      <w:r w:rsidR="00B15C88">
        <w:t>dds ratio</w:t>
      </w:r>
      <w:r>
        <w:t xml:space="preserve"> of 1</w:t>
      </w:r>
      <w:r w:rsidR="00694F83">
        <w:br/>
      </w:r>
    </w:p>
    <w:p w14:paraId="4A06B79C" w14:textId="77777777" w:rsidR="005E6CF6" w:rsidRDefault="005E6CF6" w:rsidP="00D52B12"/>
    <w:p w14:paraId="51A17E89" w14:textId="6403ABB9" w:rsidR="00545FD3" w:rsidRPr="00057A30" w:rsidRDefault="00821162" w:rsidP="005265DE">
      <w:pPr>
        <w:pStyle w:val="Heading1"/>
        <w:spacing w:before="0"/>
      </w:pPr>
      <w:bookmarkStart w:id="73" w:name="_Toc501120744"/>
      <w:r w:rsidRPr="00057A30">
        <w:t>Results C</w:t>
      </w:r>
      <w:r w:rsidR="005E6CF6" w:rsidRPr="00057A30">
        <w:t>hapter 3 – Wellbeing</w:t>
      </w:r>
      <w:bookmarkEnd w:id="73"/>
    </w:p>
    <w:tbl>
      <w:tblPr>
        <w:tblStyle w:val="GridTable4"/>
        <w:tblpPr w:leftFromText="180" w:rightFromText="180" w:vertAnchor="text" w:horzAnchor="margin" w:tblpY="3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8F8F8"/>
        <w:tblLook w:val="04A0" w:firstRow="1" w:lastRow="0" w:firstColumn="1" w:lastColumn="0" w:noHBand="0" w:noVBand="1"/>
        <w:tblCaption w:val="Text Box - Chapter 3 - Wellbeing"/>
        <w:tblDescription w:val="Text box for Chapter 3 - Wellbeing, covering Key Analysis Questions and Key Findings."/>
      </w:tblPr>
      <w:tblGrid>
        <w:gridCol w:w="9010"/>
      </w:tblGrid>
      <w:tr w:rsidR="006B17CE" w:rsidRPr="0096460E" w14:paraId="71C10788" w14:textId="77777777" w:rsidTr="00545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shd w:val="clear" w:color="auto" w:fill="F8F8F8"/>
          </w:tcPr>
          <w:p w14:paraId="0EE2F692" w14:textId="4912B287" w:rsidR="006B17CE" w:rsidRPr="0096460E" w:rsidRDefault="006E31DA" w:rsidP="005265DE">
            <w:pPr>
              <w:spacing w:before="120" w:after="120"/>
              <w:rPr>
                <w:b w:val="0"/>
                <w:color w:val="auto"/>
              </w:rPr>
            </w:pPr>
            <w:r w:rsidRPr="0096460E">
              <w:rPr>
                <w:color w:val="auto"/>
              </w:rPr>
              <w:t xml:space="preserve">Key </w:t>
            </w:r>
            <w:r w:rsidR="006B17CE" w:rsidRPr="0096460E">
              <w:rPr>
                <w:color w:val="auto"/>
              </w:rPr>
              <w:t>Analysis Question</w:t>
            </w:r>
          </w:p>
          <w:p w14:paraId="341A046C" w14:textId="77777777" w:rsidR="006B17CE" w:rsidRPr="0096460E" w:rsidRDefault="006B17CE" w:rsidP="006B17CE">
            <w:pPr>
              <w:pStyle w:val="ListParagraph"/>
              <w:numPr>
                <w:ilvl w:val="0"/>
                <w:numId w:val="50"/>
              </w:numPr>
              <w:spacing w:before="120" w:after="120"/>
              <w:rPr>
                <w:b w:val="0"/>
                <w:color w:val="auto"/>
              </w:rPr>
            </w:pPr>
            <w:r w:rsidRPr="0096460E">
              <w:rPr>
                <w:b w:val="0"/>
                <w:color w:val="auto"/>
              </w:rPr>
              <w:t>Is there a relationship between early developmental vulnerability at school entry and future wellbeing of students in Year 3 to Year 7?</w:t>
            </w:r>
          </w:p>
          <w:p w14:paraId="652884B7" w14:textId="77777777" w:rsidR="006B17CE" w:rsidRPr="0096460E" w:rsidRDefault="006B17CE" w:rsidP="006B17CE">
            <w:pPr>
              <w:spacing w:before="120" w:after="120"/>
              <w:rPr>
                <w:color w:val="auto"/>
              </w:rPr>
            </w:pPr>
            <w:r w:rsidRPr="0096460E">
              <w:rPr>
                <w:color w:val="auto"/>
              </w:rPr>
              <w:t>Key Findings</w:t>
            </w:r>
          </w:p>
          <w:p w14:paraId="5E784662" w14:textId="6D57B331" w:rsidR="006B17CE" w:rsidRPr="0096460E" w:rsidRDefault="006B17CE" w:rsidP="006B17CE">
            <w:pPr>
              <w:pStyle w:val="ListParagraph"/>
              <w:numPr>
                <w:ilvl w:val="0"/>
                <w:numId w:val="50"/>
              </w:numPr>
              <w:spacing w:before="120" w:after="120"/>
              <w:rPr>
                <w:b w:val="0"/>
                <w:color w:val="auto"/>
              </w:rPr>
            </w:pPr>
            <w:r w:rsidRPr="0096460E">
              <w:rPr>
                <w:b w:val="0"/>
                <w:color w:val="auto"/>
              </w:rPr>
              <w:t xml:space="preserve">In Year 3 twice as many students in the DV group </w:t>
            </w:r>
            <w:r w:rsidR="00F630EF" w:rsidRPr="0096460E">
              <w:rPr>
                <w:b w:val="0"/>
                <w:color w:val="auto"/>
              </w:rPr>
              <w:t xml:space="preserve">were identified as </w:t>
            </w:r>
            <w:r w:rsidRPr="0096460E">
              <w:rPr>
                <w:b w:val="0"/>
                <w:color w:val="auto"/>
              </w:rPr>
              <w:t>ha</w:t>
            </w:r>
            <w:r w:rsidR="00F630EF" w:rsidRPr="0096460E">
              <w:rPr>
                <w:b w:val="0"/>
                <w:color w:val="auto"/>
              </w:rPr>
              <w:t>ving</w:t>
            </w:r>
            <w:r w:rsidRPr="0096460E">
              <w:rPr>
                <w:b w:val="0"/>
                <w:color w:val="auto"/>
              </w:rPr>
              <w:t xml:space="preserve"> behaviour problems (42.2% compared to 19.0% for not-DV group).</w:t>
            </w:r>
          </w:p>
          <w:p w14:paraId="0572C1CA" w14:textId="36EDD3C0" w:rsidR="00F630EF" w:rsidRPr="0096460E" w:rsidRDefault="00F630EF" w:rsidP="005265DE">
            <w:pPr>
              <w:pStyle w:val="ListParagraph"/>
              <w:numPr>
                <w:ilvl w:val="0"/>
                <w:numId w:val="50"/>
              </w:numPr>
              <w:rPr>
                <w:b w:val="0"/>
                <w:color w:val="auto"/>
              </w:rPr>
            </w:pPr>
            <w:r w:rsidRPr="0096460E">
              <w:rPr>
                <w:b w:val="0"/>
                <w:color w:val="auto"/>
              </w:rPr>
              <w:t>There was evidence of a trend for the proportion of DV students with behaviour problems to decline over time from 42.2% in Year 3 to 33.0% in Year 6.</w:t>
            </w:r>
          </w:p>
          <w:p w14:paraId="4730F8A4" w14:textId="77777777" w:rsidR="006B17CE" w:rsidRPr="0096460E" w:rsidRDefault="006B17CE" w:rsidP="006B17CE">
            <w:pPr>
              <w:pStyle w:val="ListParagraph"/>
              <w:numPr>
                <w:ilvl w:val="0"/>
                <w:numId w:val="50"/>
              </w:numPr>
              <w:spacing w:before="120" w:after="120"/>
              <w:rPr>
                <w:b w:val="0"/>
                <w:color w:val="auto"/>
              </w:rPr>
            </w:pPr>
            <w:r w:rsidRPr="0096460E">
              <w:rPr>
                <w:b w:val="0"/>
                <w:color w:val="auto"/>
              </w:rPr>
              <w:t>Both DV and not-DV groups of students were found to have the greatest proportion of emotional problems in Year 3.</w:t>
            </w:r>
          </w:p>
          <w:p w14:paraId="3CBF79A7" w14:textId="77777777" w:rsidR="006B17CE" w:rsidRPr="0096460E" w:rsidRDefault="006B17CE" w:rsidP="006B17CE">
            <w:pPr>
              <w:pStyle w:val="ListParagraph"/>
              <w:numPr>
                <w:ilvl w:val="0"/>
                <w:numId w:val="50"/>
              </w:numPr>
              <w:spacing w:before="120" w:after="120"/>
              <w:rPr>
                <w:b w:val="0"/>
                <w:color w:val="auto"/>
              </w:rPr>
            </w:pPr>
            <w:r w:rsidRPr="0096460E">
              <w:rPr>
                <w:b w:val="0"/>
                <w:color w:val="auto"/>
              </w:rPr>
              <w:t>In later years, Years 4 and 5 emotional problems were vastly higher in the DV compared to the not-DV group (47.4% versus 33.5%).</w:t>
            </w:r>
          </w:p>
          <w:p w14:paraId="18AADFDA" w14:textId="6FCF661F" w:rsidR="006B17CE" w:rsidRPr="0096460E" w:rsidRDefault="00F630EF" w:rsidP="006B17CE">
            <w:pPr>
              <w:pStyle w:val="ListParagraph"/>
              <w:numPr>
                <w:ilvl w:val="0"/>
                <w:numId w:val="50"/>
              </w:numPr>
              <w:spacing w:before="120" w:after="120"/>
              <w:rPr>
                <w:b w:val="0"/>
                <w:color w:val="auto"/>
              </w:rPr>
            </w:pPr>
            <w:r w:rsidRPr="0096460E">
              <w:rPr>
                <w:b w:val="0"/>
                <w:color w:val="auto"/>
              </w:rPr>
              <w:t>By Years 6 and 7 t</w:t>
            </w:r>
            <w:r w:rsidR="006B17CE" w:rsidRPr="0096460E">
              <w:rPr>
                <w:b w:val="0"/>
                <w:color w:val="auto"/>
              </w:rPr>
              <w:t>he difference between the DV and not-DV groups regarding emotional problems was no</w:t>
            </w:r>
            <w:r w:rsidRPr="0096460E">
              <w:rPr>
                <w:b w:val="0"/>
                <w:color w:val="auto"/>
              </w:rPr>
              <w:t xml:space="preserve"> longer</w:t>
            </w:r>
            <w:r w:rsidR="006B17CE" w:rsidRPr="0096460E">
              <w:rPr>
                <w:b w:val="0"/>
                <w:color w:val="auto"/>
              </w:rPr>
              <w:t xml:space="preserve"> present.  </w:t>
            </w:r>
          </w:p>
          <w:p w14:paraId="32CCB178" w14:textId="0B73058A" w:rsidR="007E3122" w:rsidRPr="0096460E" w:rsidRDefault="006B17CE" w:rsidP="005265DE">
            <w:pPr>
              <w:pStyle w:val="ListParagraph"/>
              <w:numPr>
                <w:ilvl w:val="0"/>
                <w:numId w:val="50"/>
              </w:numPr>
              <w:spacing w:after="120"/>
              <w:ind w:left="714" w:hanging="357"/>
              <w:rPr>
                <w:b w:val="0"/>
                <w:color w:val="auto"/>
              </w:rPr>
            </w:pPr>
            <w:r w:rsidRPr="0096460E">
              <w:rPr>
                <w:b w:val="0"/>
                <w:color w:val="auto"/>
              </w:rPr>
              <w:t>At all year levels greater proportions of the DV group reported low subjective wellbeing in comparison to the not-DV group.</w:t>
            </w:r>
          </w:p>
        </w:tc>
      </w:tr>
    </w:tbl>
    <w:p w14:paraId="7FF6C0B0" w14:textId="77777777" w:rsidR="00545FD3" w:rsidRPr="006B17CE" w:rsidRDefault="00545FD3" w:rsidP="005265DE">
      <w:pPr>
        <w:spacing w:after="0"/>
      </w:pPr>
    </w:p>
    <w:p w14:paraId="427C2EEC" w14:textId="0FA97F4F" w:rsidR="00694F83" w:rsidRPr="00694F83" w:rsidRDefault="00694F83" w:rsidP="00AB2D00">
      <w:pPr>
        <w:spacing w:after="120"/>
      </w:pPr>
      <w:r w:rsidRPr="00694F83">
        <w:t>Wellbeing is defined here as the psychological, cognitive, social and physical functioning and capabilities that students need to live a happy and fulfilling life. Student wellbeing is an important outcome of education and it is now well recognised that schools play an important role. As the 2015 PISA report on students’ wellbeing states:</w:t>
      </w:r>
    </w:p>
    <w:p w14:paraId="7E1CC881" w14:textId="77777777" w:rsidR="007E3122" w:rsidRDefault="00694F83" w:rsidP="00AB2D00">
      <w:pPr>
        <w:spacing w:after="0"/>
        <w:rPr>
          <w:i/>
        </w:rPr>
      </w:pPr>
      <w:r w:rsidRPr="007E3122">
        <w:rPr>
          <w:i/>
        </w:rPr>
        <w:t>“Schools are not just places where students acquire academic skills; they also help students become more resilient in the face of adversity, feel more connected with the people around them, and aim higher in their aspirations for their future. Not least, schools are the first place where children experience society in all its facets, and those experiences can have a profound influence on students’ attitudes and behaviour in life.” [45]</w:t>
      </w:r>
      <w:r w:rsidR="006E09EE" w:rsidRPr="007E3122">
        <w:rPr>
          <w:i/>
        </w:rPr>
        <w:t xml:space="preserve"> </w:t>
      </w:r>
      <w:r w:rsidRPr="007E3122">
        <w:rPr>
          <w:i/>
        </w:rPr>
        <w:t>p.5</w:t>
      </w:r>
    </w:p>
    <w:p w14:paraId="053EA9A8" w14:textId="77777777" w:rsidR="00AB2D00" w:rsidRDefault="00AB2D00" w:rsidP="00AB2D00">
      <w:pPr>
        <w:spacing w:after="0"/>
        <w:rPr>
          <w:i/>
        </w:rPr>
      </w:pPr>
    </w:p>
    <w:p w14:paraId="55052C11" w14:textId="3144EE9B" w:rsidR="00694F83" w:rsidRDefault="00694F83" w:rsidP="00AB2D00">
      <w:pPr>
        <w:spacing w:after="0"/>
      </w:pPr>
      <w:r w:rsidRPr="00694F83">
        <w:t>Schools and education systems are no longer a place simply for ‘traditional’ academic learning, they must also provide an environment to nurture and enhance student’s psychological, cognitive, physical and social skills to optimise student wellbeing and future life capacity. In light of this knowledge, over recent years a review of policy focus has seen the introduction of additional curricula programmes. These programmes focus on the acquisition and advancement of social and emotional skills with the purpose of driving students to achieve positive life outcomes (for example, see [27]).</w:t>
      </w:r>
    </w:p>
    <w:p w14:paraId="173EED09" w14:textId="77777777" w:rsidR="00AB2D00" w:rsidRPr="00694F83" w:rsidRDefault="00AB2D00" w:rsidP="00AB2D00">
      <w:pPr>
        <w:spacing w:after="0"/>
      </w:pPr>
    </w:p>
    <w:p w14:paraId="42787845" w14:textId="77777777" w:rsidR="00694F83" w:rsidRDefault="00694F83" w:rsidP="00AB2D00">
      <w:pPr>
        <w:spacing w:after="0"/>
      </w:pPr>
      <w:r w:rsidRPr="00694F83">
        <w:t>Furthermore, student wellbeing has profound implications for student learning and school engagement as was seen in a previous report from the CATS study. This previous work demonstrated a positive relationship between student wellbeing in the middle years and later learning and school engagement [8]. The relationships between wellbeing and engagement and learning are reciprocal and likely to be reinforced over time.</w:t>
      </w:r>
    </w:p>
    <w:p w14:paraId="5BF9B0AA" w14:textId="77777777" w:rsidR="00AB2D00" w:rsidRPr="00694F83" w:rsidRDefault="00AB2D00" w:rsidP="00AB2D00">
      <w:pPr>
        <w:spacing w:after="0"/>
      </w:pPr>
    </w:p>
    <w:p w14:paraId="22AABEB8" w14:textId="77777777" w:rsidR="00694F83" w:rsidRPr="00694F83" w:rsidRDefault="00694F83" w:rsidP="00694F83">
      <w:r w:rsidRPr="00694F83">
        <w:t>Wellbeing is a multi-faceted concept incorporating both subjective experience and objective circumstances. Wellbeing is therefore rated using 3 indicators: (1) student self-report of their emotional problems (depression and anxiety); (2) teacher-report of behaviour problems; and (3) students’ own rating of their happiness and quality of life (subjective wellbeing).</w:t>
      </w:r>
    </w:p>
    <w:p w14:paraId="21A422A3" w14:textId="77777777" w:rsidR="00694F83" w:rsidRDefault="00694F83" w:rsidP="005265DE">
      <w:pPr>
        <w:spacing w:after="0"/>
      </w:pPr>
      <w:r w:rsidRPr="00694F83">
        <w:t>To date, there has been just a single Canadian report in the research literature demonstrating a relationship between DV at school entry and lower levels of emotional wellbeing at age 10 (Year 4) [39]. However, the relationship between early DV and future wellbeing of Australian students has not been examined to date and is the focus of this chapter.</w:t>
      </w:r>
    </w:p>
    <w:p w14:paraId="7EFB823C" w14:textId="77777777" w:rsidR="00BF5A98" w:rsidRDefault="00BF5A98" w:rsidP="005265DE">
      <w:pPr>
        <w:spacing w:after="0"/>
        <w:rPr>
          <w:b/>
        </w:rPr>
      </w:pPr>
    </w:p>
    <w:p w14:paraId="1C8B36B8" w14:textId="7FFA84D5" w:rsidR="005E6CF6" w:rsidRDefault="005E6CF6" w:rsidP="005265DE">
      <w:pPr>
        <w:pStyle w:val="Heading2"/>
        <w:spacing w:before="0"/>
      </w:pPr>
      <w:bookmarkStart w:id="74" w:name="_Toc501120745"/>
      <w:r>
        <w:t>Summary of Student Wellbeing at Years 3 to 7</w:t>
      </w:r>
      <w:bookmarkEnd w:id="74"/>
    </w:p>
    <w:p w14:paraId="0780E93A" w14:textId="22B3ACCC" w:rsidR="005E6CF6" w:rsidRDefault="00694F83" w:rsidP="005265DE">
      <w:pPr>
        <w:spacing w:after="0"/>
      </w:pPr>
      <w:r w:rsidRPr="00694F83">
        <w:t>The proportions of the sample positive for each indicator of poor wellbeing at each year level were estimated for the DV and not-DV groups (see Appendix 2: Regression analyses – part one, for further details</w:t>
      </w:r>
      <w:r w:rsidR="002C607D">
        <w:t xml:space="preserve"> and Table 24 in Appendix 4: Supplementary results, for the associated odds ratio estimates</w:t>
      </w:r>
      <w:r w:rsidRPr="00694F83">
        <w:t>).</w:t>
      </w:r>
    </w:p>
    <w:p w14:paraId="77801DA0" w14:textId="77777777" w:rsidR="005E6CF6" w:rsidRDefault="005E6CF6" w:rsidP="005265DE">
      <w:pPr>
        <w:spacing w:after="0"/>
      </w:pPr>
    </w:p>
    <w:p w14:paraId="47D93DC6" w14:textId="71425EEF" w:rsidR="0095248E" w:rsidRDefault="00436E19" w:rsidP="005265DE">
      <w:pPr>
        <w:spacing w:after="0"/>
        <w:jc w:val="center"/>
      </w:pPr>
      <w:r>
        <w:rPr>
          <w:noProof/>
          <w:lang w:eastAsia="en-AU"/>
        </w:rPr>
        <w:drawing>
          <wp:inline distT="0" distB="0" distL="0" distR="0" wp14:anchorId="1A40F7EE" wp14:editId="0B3FF70F">
            <wp:extent cx="3344092" cy="5087289"/>
            <wp:effectExtent l="0" t="0" r="8890" b="0"/>
            <wp:docPr id="21" name="Picture 21" descr="Three column charts showing the proportions of students in Years 4, 5, 6 and 7 with a) emotional problems, b) behaviour problems, and c) low subjective wellbeing, according to whether or not they were assessed as developmentally vulnerable in their first year of primary school.&#10;&#10;The commentary below the chart describes the distribution.&#10;" title="Figure 8. Proportion of students with a) emotional problems, b) behaviour problems, and c) low subjective wellbeing by developmental vulnerability status in Years 3, 4, 5,6 a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8 a b c.JPG"/>
                    <pic:cNvPicPr/>
                  </pic:nvPicPr>
                  <pic:blipFill>
                    <a:blip r:embed="rId28">
                      <a:extLst>
                        <a:ext uri="{28A0092B-C50C-407E-A947-70E740481C1C}">
                          <a14:useLocalDpi xmlns:a14="http://schemas.microsoft.com/office/drawing/2010/main" val="0"/>
                        </a:ext>
                      </a:extLst>
                    </a:blip>
                    <a:stretch>
                      <a:fillRect/>
                    </a:stretch>
                  </pic:blipFill>
                  <pic:spPr>
                    <a:xfrm>
                      <a:off x="0" y="0"/>
                      <a:ext cx="3350873" cy="5097605"/>
                    </a:xfrm>
                    <a:prstGeom prst="rect">
                      <a:avLst/>
                    </a:prstGeom>
                  </pic:spPr>
                </pic:pic>
              </a:graphicData>
            </a:graphic>
          </wp:inline>
        </w:drawing>
      </w:r>
    </w:p>
    <w:p w14:paraId="60BC06AF" w14:textId="765ADDF6" w:rsidR="005E6CF6" w:rsidRPr="007746B4" w:rsidRDefault="00296B7A" w:rsidP="007F76A2">
      <w:pPr>
        <w:pStyle w:val="Caption"/>
        <w:spacing w:after="0"/>
      </w:pPr>
      <w:bookmarkStart w:id="75" w:name="_Ref501032343"/>
      <w:bookmarkStart w:id="76" w:name="_Toc500946773"/>
      <w:bookmarkStart w:id="77" w:name="_Toc501014907"/>
      <w:bookmarkStart w:id="78" w:name="_Toc501014924"/>
      <w:bookmarkStart w:id="79" w:name="_Toc502153728"/>
      <w:r>
        <w:t xml:space="preserve">Figure </w:t>
      </w:r>
      <w:r>
        <w:fldChar w:fldCharType="begin"/>
      </w:r>
      <w:r>
        <w:instrText xml:space="preserve"> SEQ Figure \* ARABIC </w:instrText>
      </w:r>
      <w:r>
        <w:fldChar w:fldCharType="separate"/>
      </w:r>
      <w:r w:rsidR="004C27B3">
        <w:rPr>
          <w:noProof/>
        </w:rPr>
        <w:t>8</w:t>
      </w:r>
      <w:r>
        <w:fldChar w:fldCharType="end"/>
      </w:r>
      <w:bookmarkEnd w:id="75"/>
      <w:r>
        <w:t xml:space="preserve">. </w:t>
      </w:r>
      <w:r w:rsidRPr="00BA0FFD">
        <w:t xml:space="preserve">Proportion of students with a) emotional problems b) behaviour problems and c) low subjective </w:t>
      </w:r>
      <w:r w:rsidRPr="007746B4">
        <w:t>wellbeing by developmental vulnerability status in Years 3, 4, 5, 6 and 7.</w:t>
      </w:r>
      <w:bookmarkEnd w:id="76"/>
      <w:bookmarkEnd w:id="77"/>
      <w:bookmarkEnd w:id="78"/>
      <w:bookmarkEnd w:id="79"/>
    </w:p>
    <w:p w14:paraId="675506D8" w14:textId="77777777" w:rsidR="004A73F6" w:rsidRPr="00057A30" w:rsidRDefault="004A73F6" w:rsidP="005265DE">
      <w:pPr>
        <w:spacing w:after="0"/>
      </w:pPr>
    </w:p>
    <w:p w14:paraId="035B6468" w14:textId="337F2302" w:rsidR="00D71D60" w:rsidRPr="007746B4" w:rsidRDefault="00D71D60" w:rsidP="00AB2D00">
      <w:pPr>
        <w:spacing w:after="0"/>
      </w:pPr>
      <w:r w:rsidRPr="007746B4">
        <w:t xml:space="preserve">The proportion of students with emotional problems was highest for both groups in Year 3 </w:t>
      </w:r>
      <w:r w:rsidR="006327A0" w:rsidRPr="007746B4">
        <w:t>(</w:t>
      </w:r>
      <w:r w:rsidR="006327A0" w:rsidRPr="00057A30">
        <w:fldChar w:fldCharType="begin"/>
      </w:r>
      <w:r w:rsidR="006327A0" w:rsidRPr="007746B4">
        <w:instrText xml:space="preserve"> REF _Ref501032343 \h </w:instrText>
      </w:r>
      <w:r w:rsidR="007746B4">
        <w:instrText xml:space="preserve"> \* MERGEFORMAT </w:instrText>
      </w:r>
      <w:r w:rsidR="006327A0" w:rsidRPr="00057A30">
        <w:fldChar w:fldCharType="separate"/>
      </w:r>
      <w:r w:rsidR="004C27B3">
        <w:t xml:space="preserve">Figure </w:t>
      </w:r>
      <w:r w:rsidR="004C27B3">
        <w:rPr>
          <w:noProof/>
        </w:rPr>
        <w:t>8</w:t>
      </w:r>
      <w:r w:rsidR="006327A0" w:rsidRPr="00057A30">
        <w:fldChar w:fldCharType="end"/>
      </w:r>
      <w:r w:rsidR="005E6CF6" w:rsidRPr="007746B4">
        <w:t>a</w:t>
      </w:r>
      <w:r w:rsidR="00D2248B" w:rsidRPr="007746B4">
        <w:t xml:space="preserve">). </w:t>
      </w:r>
      <w:r w:rsidRPr="007746B4">
        <w:t>In Years 3, 4 and 5 rates of emotional problems were markedly higher in the DV group compared to the not-DV group. For example, in Year 3, 47.4% students with DV reported emotional problems compared to 33.5% not-DV students. There was no evidence of a difference between groups in Years 6 and 7.</w:t>
      </w:r>
    </w:p>
    <w:p w14:paraId="0EE1FAE6" w14:textId="77777777" w:rsidR="00AB2D00" w:rsidRPr="007746B4" w:rsidRDefault="00AB2D00" w:rsidP="00AB2D00">
      <w:pPr>
        <w:spacing w:after="0"/>
      </w:pPr>
    </w:p>
    <w:p w14:paraId="03EC305C" w14:textId="2F6EBFBF" w:rsidR="005E6CF6" w:rsidRPr="007746B4" w:rsidRDefault="00D71D60" w:rsidP="00AB2D00">
      <w:pPr>
        <w:spacing w:after="0"/>
      </w:pPr>
      <w:r w:rsidRPr="007746B4">
        <w:t xml:space="preserve">It </w:t>
      </w:r>
      <w:proofErr w:type="gramStart"/>
      <w:r w:rsidRPr="007746B4">
        <w:t>can be seen</w:t>
      </w:r>
      <w:proofErr w:type="gramEnd"/>
      <w:r w:rsidRPr="007746B4">
        <w:t xml:space="preserve"> from </w:t>
      </w:r>
      <w:r w:rsidR="006327A0" w:rsidRPr="00057A30">
        <w:fldChar w:fldCharType="begin"/>
      </w:r>
      <w:r w:rsidR="006327A0" w:rsidRPr="007746B4">
        <w:instrText xml:space="preserve"> REF _Ref501032343 \h </w:instrText>
      </w:r>
      <w:r w:rsidR="007746B4">
        <w:instrText xml:space="preserve"> \* MERGEFORMAT </w:instrText>
      </w:r>
      <w:r w:rsidR="006327A0" w:rsidRPr="00057A30">
        <w:fldChar w:fldCharType="separate"/>
      </w:r>
      <w:r w:rsidR="004C27B3">
        <w:t xml:space="preserve">Figure </w:t>
      </w:r>
      <w:r w:rsidR="004C27B3">
        <w:rPr>
          <w:noProof/>
        </w:rPr>
        <w:t>8</w:t>
      </w:r>
      <w:r w:rsidR="006327A0" w:rsidRPr="00057A30">
        <w:fldChar w:fldCharType="end"/>
      </w:r>
      <w:r w:rsidR="005E6CF6" w:rsidRPr="007746B4">
        <w:t xml:space="preserve">b </w:t>
      </w:r>
      <w:r w:rsidRPr="007746B4">
        <w:t>that the proportions of students with behaviour problems were higher for the DV group compared to the not-DV group at all year levels. In Year 3 twice as many students in the DV group had behaviour problems (42.2% compared to 19.0% for not-DV group). Unlike the not-DV group which had stable rates of behaviour problems at all year levels, there is a trend for the proportion of DV students with behaviour problems to decline over time from 42.2% in Year 3 to 33.0% in Year 6.</w:t>
      </w:r>
    </w:p>
    <w:p w14:paraId="16517096" w14:textId="77777777" w:rsidR="00AB2D00" w:rsidRPr="007746B4" w:rsidRDefault="00AB2D00" w:rsidP="00AB2D00">
      <w:pPr>
        <w:spacing w:after="0"/>
      </w:pPr>
    </w:p>
    <w:p w14:paraId="1707EEB3" w14:textId="46BEC8D2" w:rsidR="005E6CF6" w:rsidRDefault="006327A0" w:rsidP="007D7FE9">
      <w:pPr>
        <w:spacing w:after="0"/>
      </w:pPr>
      <w:r w:rsidRPr="00057A30">
        <w:fldChar w:fldCharType="begin"/>
      </w:r>
      <w:r w:rsidRPr="007746B4">
        <w:instrText xml:space="preserve"> REF _Ref501032343 \h </w:instrText>
      </w:r>
      <w:r w:rsidR="007746B4">
        <w:instrText xml:space="preserve"> \* MERGEFORMAT </w:instrText>
      </w:r>
      <w:r w:rsidRPr="00057A30">
        <w:fldChar w:fldCharType="separate"/>
      </w:r>
      <w:r w:rsidR="004C27B3">
        <w:t xml:space="preserve">Figure </w:t>
      </w:r>
      <w:r w:rsidR="004C27B3">
        <w:rPr>
          <w:noProof/>
        </w:rPr>
        <w:t>8</w:t>
      </w:r>
      <w:r w:rsidRPr="00057A30">
        <w:fldChar w:fldCharType="end"/>
      </w:r>
      <w:r w:rsidR="005E6CF6" w:rsidRPr="007746B4">
        <w:t xml:space="preserve">c </w:t>
      </w:r>
      <w:r w:rsidR="00D71D60" w:rsidRPr="007746B4">
        <w:t>shows that at all year levels greater proportions of the DV group reported low subjective</w:t>
      </w:r>
      <w:r w:rsidR="00D71D60">
        <w:t xml:space="preserve"> wellbeing compared to the not-DV group. The proportions didn’t vary much across year levels with around 1 in 4 DV students and around 1 in 7 not-DV students reporting low wellbeing in Years 3 to 7.</w:t>
      </w:r>
    </w:p>
    <w:p w14:paraId="72B19C41" w14:textId="77777777" w:rsidR="00BF5A98" w:rsidRDefault="00BF5A98" w:rsidP="005265DE">
      <w:pPr>
        <w:spacing w:after="0"/>
      </w:pPr>
    </w:p>
    <w:p w14:paraId="265D0220" w14:textId="77777777" w:rsidR="005E6CF6" w:rsidRDefault="005E6CF6" w:rsidP="007F76A2">
      <w:pPr>
        <w:pStyle w:val="Heading2"/>
        <w:spacing w:before="0"/>
      </w:pPr>
      <w:bookmarkStart w:id="80" w:name="_Toc501120746"/>
      <w:r>
        <w:t>Likelihood of poor wellbeing by developmental vulnerability status</w:t>
      </w:r>
      <w:bookmarkEnd w:id="80"/>
    </w:p>
    <w:p w14:paraId="6F0557F0" w14:textId="598F5E02" w:rsidR="00D71D60" w:rsidRDefault="00D71D60" w:rsidP="00AB2D00">
      <w:pPr>
        <w:spacing w:after="0"/>
      </w:pPr>
      <w:r>
        <w:t xml:space="preserve">The association between DV status and student wellbeing was investigated in logistic regression analyses. </w:t>
      </w:r>
      <w:r>
        <w:rPr>
          <w:rFonts w:eastAsia="TimesNewRoman" w:cs="Times New Roman"/>
        </w:rPr>
        <w:t xml:space="preserve">These analyses also took the gender, </w:t>
      </w:r>
      <w:r w:rsidRPr="00617121">
        <w:rPr>
          <w:rFonts w:eastAsia="TimesNewRoman" w:cs="Times New Roman"/>
        </w:rPr>
        <w:t xml:space="preserve">age, and SES </w:t>
      </w:r>
      <w:r>
        <w:rPr>
          <w:rFonts w:eastAsia="TimesNewRoman" w:cs="Times New Roman"/>
        </w:rPr>
        <w:t xml:space="preserve">of each participant into account (see Appendix 2: </w:t>
      </w:r>
      <w:r>
        <w:t>Regression analyses – part one,</w:t>
      </w:r>
      <w:r>
        <w:rPr>
          <w:rFonts w:eastAsia="TimesNewRoman" w:cs="Times New Roman"/>
        </w:rPr>
        <w:t xml:space="preserve"> for further details). </w:t>
      </w:r>
      <w:r w:rsidR="002F310B">
        <w:fldChar w:fldCharType="begin"/>
      </w:r>
      <w:r w:rsidR="002F310B">
        <w:rPr>
          <w:rFonts w:eastAsia="TimesNewRoman" w:cs="Times New Roman"/>
        </w:rPr>
        <w:instrText xml:space="preserve"> REF _Ref501027763 \h </w:instrText>
      </w:r>
      <w:r w:rsidR="002F310B">
        <w:fldChar w:fldCharType="separate"/>
      </w:r>
      <w:r w:rsidR="004C27B3" w:rsidRPr="007746B4">
        <w:t xml:space="preserve">Table </w:t>
      </w:r>
      <w:r w:rsidR="004C27B3">
        <w:rPr>
          <w:noProof/>
        </w:rPr>
        <w:t>5</w:t>
      </w:r>
      <w:r w:rsidR="002F310B">
        <w:fldChar w:fldCharType="end"/>
      </w:r>
      <w:r w:rsidR="0043740D">
        <w:t xml:space="preserve">, </w:t>
      </w:r>
      <w:r w:rsidR="0043740D">
        <w:fldChar w:fldCharType="begin"/>
      </w:r>
      <w:r w:rsidR="0043740D">
        <w:instrText xml:space="preserve"> REF _Ref501114373 \h </w:instrText>
      </w:r>
      <w:r w:rsidR="0043740D">
        <w:fldChar w:fldCharType="separate"/>
      </w:r>
      <w:r w:rsidR="004C27B3" w:rsidRPr="007746B4">
        <w:t xml:space="preserve">Table </w:t>
      </w:r>
      <w:r w:rsidR="004C27B3">
        <w:rPr>
          <w:noProof/>
        </w:rPr>
        <w:t>6</w:t>
      </w:r>
      <w:r w:rsidR="0043740D">
        <w:fldChar w:fldCharType="end"/>
      </w:r>
      <w:r w:rsidR="0043740D">
        <w:t xml:space="preserve"> and </w:t>
      </w:r>
      <w:r w:rsidR="0043740D">
        <w:fldChar w:fldCharType="begin"/>
      </w:r>
      <w:r w:rsidR="0043740D">
        <w:instrText xml:space="preserve"> REF _Ref501114377 \h </w:instrText>
      </w:r>
      <w:r w:rsidR="0043740D">
        <w:fldChar w:fldCharType="separate"/>
      </w:r>
      <w:r w:rsidR="004C27B3">
        <w:t xml:space="preserve">Table </w:t>
      </w:r>
      <w:r w:rsidR="004C27B3">
        <w:rPr>
          <w:noProof/>
        </w:rPr>
        <w:t>7</w:t>
      </w:r>
      <w:r w:rsidR="0043740D">
        <w:fldChar w:fldCharType="end"/>
      </w:r>
      <w:r w:rsidR="002F310B">
        <w:t xml:space="preserve"> </w:t>
      </w:r>
      <w:r>
        <w:t>show the odds ratios (ORs) for emotional problems, behaviour problems and low subjective wellbeing in the DV group versus the not-DV group at each year level. The likelihood of emotional problems was 1.56 to 2.22 times higher for the DV group in Years 3, 4 and 5. There was no difference between the groups in Years 6 and 7 suggesting that the association between DV and later emotional problems becomes less apparent over time.</w:t>
      </w:r>
    </w:p>
    <w:p w14:paraId="56020811" w14:textId="77777777" w:rsidR="00AB2D00" w:rsidRDefault="00AB2D00" w:rsidP="00AB2D00">
      <w:pPr>
        <w:spacing w:after="0"/>
      </w:pPr>
    </w:p>
    <w:p w14:paraId="386F1F72" w14:textId="77777777" w:rsidR="00AB2D00" w:rsidRPr="007746B4" w:rsidRDefault="00D71D60" w:rsidP="00AB2D00">
      <w:pPr>
        <w:spacing w:after="0"/>
      </w:pPr>
      <w:r>
        <w:t xml:space="preserve">Developmental vulnerability was associated with behaviour problems at all year levels assessed (Years 3 to 6). The strongest association was observed in Year 3 where students with DV were 3 </w:t>
      </w:r>
      <w:r w:rsidRPr="007746B4">
        <w:t>times as likely as not-DV students to experience behaviour problems.</w:t>
      </w:r>
    </w:p>
    <w:p w14:paraId="5E39F450" w14:textId="77777777" w:rsidR="00AB2D00" w:rsidRPr="007746B4" w:rsidRDefault="00AB2D00" w:rsidP="00AB2D00">
      <w:pPr>
        <w:spacing w:after="0"/>
      </w:pPr>
    </w:p>
    <w:p w14:paraId="462F95BF" w14:textId="1A162299" w:rsidR="00D71D60" w:rsidRDefault="00D71D60" w:rsidP="00AB2D00">
      <w:pPr>
        <w:spacing w:after="0"/>
      </w:pPr>
      <w:r w:rsidRPr="007746B4">
        <w:t xml:space="preserve">Low subjective wellbeing was also more likely in the DV group than the not-DV group in Years 3 to 7. Interestingly, the odds of low wellbeing in the DV group appear to increase in later years with DV </w:t>
      </w:r>
      <w:r w:rsidRPr="005265DE">
        <w:t>students 57%</w:t>
      </w:r>
      <w:r w:rsidRPr="007746B4">
        <w:t xml:space="preserve"> more likely to report low wellbeing in Year 3 and 90% more likely in Year 7.</w:t>
      </w:r>
    </w:p>
    <w:p w14:paraId="4FCE6C23" w14:textId="77777777" w:rsidR="004F2E7B" w:rsidRDefault="004F2E7B">
      <w:pPr>
        <w:spacing w:after="0" w:line="240" w:lineRule="auto"/>
        <w:rPr>
          <w:rFonts w:eastAsiaTheme="minorEastAsia" w:cs="ArialMT"/>
          <w:b/>
          <w:bCs/>
          <w:color w:val="222A35" w:themeColor="text2" w:themeShade="80"/>
          <w:sz w:val="18"/>
          <w:szCs w:val="18"/>
        </w:rPr>
      </w:pPr>
      <w:r>
        <w:br w:type="page"/>
      </w:r>
    </w:p>
    <w:p w14:paraId="4B7033F7" w14:textId="0F53A240" w:rsidR="00710258" w:rsidRPr="007746B4" w:rsidRDefault="00710258" w:rsidP="007F76A2">
      <w:pPr>
        <w:pStyle w:val="Caption"/>
        <w:spacing w:before="0"/>
      </w:pPr>
      <w:bookmarkStart w:id="81" w:name="_Ref501027763"/>
      <w:bookmarkStart w:id="82" w:name="_Toc501014925"/>
      <w:bookmarkStart w:id="83" w:name="_Toc503780745"/>
      <w:r w:rsidRPr="007746B4">
        <w:t xml:space="preserve">Table </w:t>
      </w:r>
      <w:r w:rsidRPr="00057A30">
        <w:fldChar w:fldCharType="begin"/>
      </w:r>
      <w:r w:rsidRPr="007746B4">
        <w:instrText xml:space="preserve"> SEQ Table \* ARABIC </w:instrText>
      </w:r>
      <w:r w:rsidRPr="00057A30">
        <w:fldChar w:fldCharType="separate"/>
      </w:r>
      <w:r w:rsidR="004C27B3">
        <w:rPr>
          <w:noProof/>
        </w:rPr>
        <w:t>5</w:t>
      </w:r>
      <w:r w:rsidRPr="00057A30">
        <w:fldChar w:fldCharType="end"/>
      </w:r>
      <w:bookmarkEnd w:id="81"/>
      <w:r w:rsidRPr="007746B4">
        <w:t xml:space="preserve">. Likelihood of </w:t>
      </w:r>
      <w:r w:rsidR="00D71D60" w:rsidRPr="007746B4">
        <w:t>emotional problems</w:t>
      </w:r>
      <w:r w:rsidRPr="007746B4">
        <w:t xml:space="preserve"> in Year 3, 4, 5, 6 and 7 associated with developmental vulnerability status.</w:t>
      </w:r>
      <w:bookmarkEnd w:id="82"/>
      <w:bookmarkEnd w:id="83"/>
    </w:p>
    <w:tbl>
      <w:tblPr>
        <w:tblStyle w:val="TableGrid"/>
        <w:tblpPr w:leftFromText="180" w:rightFromText="180" w:vertAnchor="text" w:tblpXSpec="center" w:tblpY="1"/>
        <w:tblOverlap w:val="never"/>
        <w:tblW w:w="0" w:type="auto"/>
        <w:jc w:val="center"/>
        <w:tblBorders>
          <w:insideH w:val="none" w:sz="0" w:space="0" w:color="auto"/>
          <w:insideV w:val="none" w:sz="0" w:space="0" w:color="auto"/>
        </w:tblBorders>
        <w:tblLook w:val="04A0" w:firstRow="1" w:lastRow="0" w:firstColumn="1" w:lastColumn="0" w:noHBand="0" w:noVBand="1"/>
        <w:tblCaption w:val="Table 5. Likelihood ofemotional problems in Year 3, 4, 5,6 and 7 associated with developmental vulnerability status"/>
      </w:tblPr>
      <w:tblGrid>
        <w:gridCol w:w="839"/>
        <w:gridCol w:w="222"/>
        <w:gridCol w:w="1117"/>
        <w:gridCol w:w="222"/>
        <w:gridCol w:w="2259"/>
      </w:tblGrid>
      <w:tr w:rsidR="00D71D60" w:rsidRPr="007746B4" w14:paraId="26484C6E" w14:textId="77777777" w:rsidTr="005265DE">
        <w:trPr>
          <w:jc w:val="center"/>
        </w:trPr>
        <w:tc>
          <w:tcPr>
            <w:tcW w:w="0" w:type="auto"/>
            <w:shd w:val="clear" w:color="auto" w:fill="0070C0"/>
          </w:tcPr>
          <w:p w14:paraId="18945C39" w14:textId="77777777" w:rsidR="00D71D60" w:rsidRPr="007746B4" w:rsidRDefault="00D71D60" w:rsidP="00785532">
            <w:pPr>
              <w:pStyle w:val="TableHeader1"/>
            </w:pPr>
          </w:p>
        </w:tc>
        <w:tc>
          <w:tcPr>
            <w:tcW w:w="0" w:type="auto"/>
            <w:shd w:val="clear" w:color="auto" w:fill="0070C0"/>
          </w:tcPr>
          <w:p w14:paraId="0EA2BC65" w14:textId="77777777" w:rsidR="00D71D60" w:rsidRPr="007746B4" w:rsidRDefault="00D71D60" w:rsidP="00785532">
            <w:pPr>
              <w:pStyle w:val="TableHeader1"/>
            </w:pPr>
          </w:p>
        </w:tc>
        <w:tc>
          <w:tcPr>
            <w:tcW w:w="0" w:type="auto"/>
            <w:shd w:val="clear" w:color="auto" w:fill="0070C0"/>
          </w:tcPr>
          <w:p w14:paraId="14223653" w14:textId="1316BF84" w:rsidR="00D71D60" w:rsidRPr="007746B4" w:rsidRDefault="00D71D60" w:rsidP="00785532">
            <w:pPr>
              <w:pStyle w:val="TableHeader1"/>
            </w:pPr>
            <w:r w:rsidRPr="007746B4">
              <w:t>O</w:t>
            </w:r>
            <w:r w:rsidR="00E52F52" w:rsidRPr="007746B4">
              <w:t xml:space="preserve">dds </w:t>
            </w:r>
            <w:r w:rsidRPr="007746B4">
              <w:t>R</w:t>
            </w:r>
            <w:r w:rsidR="00E52F52" w:rsidRPr="007746B4">
              <w:t>atio</w:t>
            </w:r>
          </w:p>
        </w:tc>
        <w:tc>
          <w:tcPr>
            <w:tcW w:w="0" w:type="auto"/>
            <w:shd w:val="clear" w:color="auto" w:fill="0070C0"/>
          </w:tcPr>
          <w:p w14:paraId="7F8ADA80" w14:textId="77777777" w:rsidR="00D71D60" w:rsidRPr="007746B4" w:rsidRDefault="00D71D60" w:rsidP="00785532">
            <w:pPr>
              <w:pStyle w:val="TableHeader1"/>
            </w:pPr>
          </w:p>
        </w:tc>
        <w:tc>
          <w:tcPr>
            <w:tcW w:w="0" w:type="auto"/>
            <w:shd w:val="clear" w:color="auto" w:fill="0070C0"/>
          </w:tcPr>
          <w:p w14:paraId="0CED643A" w14:textId="1194ED6E" w:rsidR="00D71D60" w:rsidRPr="007746B4" w:rsidRDefault="00D71D60" w:rsidP="00785532">
            <w:pPr>
              <w:pStyle w:val="TableHeader1"/>
            </w:pPr>
            <w:r w:rsidRPr="007746B4">
              <w:t>95% C</w:t>
            </w:r>
            <w:r w:rsidR="00E52F52" w:rsidRPr="007746B4">
              <w:t xml:space="preserve">onfidence </w:t>
            </w:r>
            <w:r w:rsidRPr="007746B4">
              <w:t>I</w:t>
            </w:r>
            <w:r w:rsidR="00E52F52" w:rsidRPr="007746B4">
              <w:t>nterval</w:t>
            </w:r>
          </w:p>
        </w:tc>
      </w:tr>
      <w:tr w:rsidR="00D71D60" w:rsidRPr="007746B4" w14:paraId="0369F808" w14:textId="77777777" w:rsidTr="0098004D">
        <w:trPr>
          <w:jc w:val="center"/>
        </w:trPr>
        <w:tc>
          <w:tcPr>
            <w:tcW w:w="0" w:type="auto"/>
            <w:shd w:val="clear" w:color="auto" w:fill="D9E2F3" w:themeFill="accent1" w:themeFillTint="33"/>
          </w:tcPr>
          <w:p w14:paraId="3EA8D866" w14:textId="77777777" w:rsidR="00D71D60" w:rsidRPr="007746B4" w:rsidRDefault="00D71D60" w:rsidP="00392D73">
            <w:pPr>
              <w:pStyle w:val="TableHeader2"/>
              <w:ind w:left="0"/>
            </w:pPr>
            <w:r w:rsidRPr="007746B4">
              <w:t>Year 3</w:t>
            </w:r>
          </w:p>
        </w:tc>
        <w:tc>
          <w:tcPr>
            <w:tcW w:w="0" w:type="auto"/>
            <w:shd w:val="clear" w:color="auto" w:fill="D9E2F3" w:themeFill="accent1" w:themeFillTint="33"/>
          </w:tcPr>
          <w:p w14:paraId="6E82A2FC" w14:textId="77777777" w:rsidR="00D71D60" w:rsidRPr="007746B4" w:rsidRDefault="00D71D60" w:rsidP="00BC3CD1">
            <w:pPr>
              <w:pStyle w:val="TableHeader2"/>
            </w:pPr>
          </w:p>
        </w:tc>
        <w:tc>
          <w:tcPr>
            <w:tcW w:w="0" w:type="auto"/>
            <w:shd w:val="clear" w:color="auto" w:fill="D9E2F3" w:themeFill="accent1" w:themeFillTint="33"/>
          </w:tcPr>
          <w:p w14:paraId="24B386E6" w14:textId="77777777" w:rsidR="00D71D60" w:rsidRPr="007746B4" w:rsidRDefault="00D71D60" w:rsidP="00BC3CD1">
            <w:pPr>
              <w:pStyle w:val="TableHeader2"/>
            </w:pPr>
          </w:p>
        </w:tc>
        <w:tc>
          <w:tcPr>
            <w:tcW w:w="0" w:type="auto"/>
            <w:shd w:val="clear" w:color="auto" w:fill="D9E2F3" w:themeFill="accent1" w:themeFillTint="33"/>
          </w:tcPr>
          <w:p w14:paraId="164AE805" w14:textId="77777777" w:rsidR="00D71D60" w:rsidRPr="007746B4" w:rsidRDefault="00D71D60" w:rsidP="00BC3CD1">
            <w:pPr>
              <w:pStyle w:val="TableHeader2"/>
            </w:pPr>
          </w:p>
        </w:tc>
        <w:tc>
          <w:tcPr>
            <w:tcW w:w="0" w:type="auto"/>
            <w:shd w:val="clear" w:color="auto" w:fill="D9E2F3" w:themeFill="accent1" w:themeFillTint="33"/>
          </w:tcPr>
          <w:p w14:paraId="52B3BFB6" w14:textId="77777777" w:rsidR="00D71D60" w:rsidRPr="007746B4" w:rsidRDefault="00D71D60" w:rsidP="00BC3CD1">
            <w:pPr>
              <w:pStyle w:val="TableHeader2"/>
            </w:pPr>
          </w:p>
        </w:tc>
      </w:tr>
      <w:tr w:rsidR="00D71D60" w:rsidRPr="007746B4" w14:paraId="11DD43EA" w14:textId="77777777" w:rsidTr="005265DE">
        <w:trPr>
          <w:jc w:val="center"/>
        </w:trPr>
        <w:tc>
          <w:tcPr>
            <w:tcW w:w="0" w:type="auto"/>
          </w:tcPr>
          <w:p w14:paraId="135D06B4" w14:textId="61F8D5F7" w:rsidR="00D71D60" w:rsidRPr="007746B4" w:rsidRDefault="00D71D60" w:rsidP="00BC3CD1">
            <w:pPr>
              <w:pStyle w:val="TableRowIndent"/>
            </w:pPr>
            <w:r w:rsidRPr="007746B4">
              <w:t>No</w:t>
            </w:r>
            <w:r w:rsidR="002C607D">
              <w:t>t-DV</w:t>
            </w:r>
          </w:p>
        </w:tc>
        <w:tc>
          <w:tcPr>
            <w:tcW w:w="0" w:type="auto"/>
          </w:tcPr>
          <w:p w14:paraId="72D6D8EA" w14:textId="77777777" w:rsidR="00D71D60" w:rsidRPr="007746B4" w:rsidRDefault="00D71D60" w:rsidP="00BC3CD1">
            <w:pPr>
              <w:pStyle w:val="TableBody"/>
            </w:pPr>
          </w:p>
        </w:tc>
        <w:tc>
          <w:tcPr>
            <w:tcW w:w="0" w:type="auto"/>
          </w:tcPr>
          <w:p w14:paraId="374C8BAF" w14:textId="2B9CCAD2" w:rsidR="00D71D60" w:rsidRPr="007746B4" w:rsidRDefault="00163D45" w:rsidP="00BC3CD1">
            <w:pPr>
              <w:pStyle w:val="TableBody"/>
            </w:pPr>
            <w:r w:rsidRPr="007746B4">
              <w:t>R</w:t>
            </w:r>
            <w:r w:rsidR="00D71D60" w:rsidRPr="007746B4">
              <w:t>ef</w:t>
            </w:r>
          </w:p>
        </w:tc>
        <w:tc>
          <w:tcPr>
            <w:tcW w:w="0" w:type="auto"/>
          </w:tcPr>
          <w:p w14:paraId="0E978A06" w14:textId="77777777" w:rsidR="00D71D60" w:rsidRPr="007746B4" w:rsidRDefault="00D71D60" w:rsidP="00BC3CD1">
            <w:pPr>
              <w:pStyle w:val="TableBody"/>
            </w:pPr>
          </w:p>
        </w:tc>
        <w:tc>
          <w:tcPr>
            <w:tcW w:w="0" w:type="auto"/>
          </w:tcPr>
          <w:p w14:paraId="6696CCAA" w14:textId="77777777" w:rsidR="00D71D60" w:rsidRPr="007746B4" w:rsidRDefault="00D71D60" w:rsidP="00BC3CD1">
            <w:pPr>
              <w:pStyle w:val="TableBody"/>
            </w:pPr>
          </w:p>
        </w:tc>
      </w:tr>
      <w:tr w:rsidR="00D71D60" w:rsidRPr="007746B4" w14:paraId="29C5DFEE" w14:textId="77777777" w:rsidTr="005265DE">
        <w:trPr>
          <w:jc w:val="center"/>
        </w:trPr>
        <w:tc>
          <w:tcPr>
            <w:tcW w:w="0" w:type="auto"/>
          </w:tcPr>
          <w:p w14:paraId="7083139D" w14:textId="0639775E" w:rsidR="00D71D60" w:rsidRPr="007746B4" w:rsidRDefault="002C607D" w:rsidP="00BC3CD1">
            <w:pPr>
              <w:pStyle w:val="TableRowIndent"/>
            </w:pPr>
            <w:r>
              <w:t>DV</w:t>
            </w:r>
          </w:p>
        </w:tc>
        <w:tc>
          <w:tcPr>
            <w:tcW w:w="0" w:type="auto"/>
          </w:tcPr>
          <w:p w14:paraId="6F94634C" w14:textId="77777777" w:rsidR="00D71D60" w:rsidRPr="007746B4" w:rsidRDefault="00D71D60" w:rsidP="00BC3CD1">
            <w:pPr>
              <w:pStyle w:val="TableBody"/>
            </w:pPr>
          </w:p>
        </w:tc>
        <w:tc>
          <w:tcPr>
            <w:tcW w:w="0" w:type="auto"/>
          </w:tcPr>
          <w:p w14:paraId="2AB23ECA" w14:textId="77777777" w:rsidR="00D71D60" w:rsidRPr="007746B4" w:rsidRDefault="00D71D60" w:rsidP="00BC3CD1">
            <w:pPr>
              <w:pStyle w:val="TableBody"/>
            </w:pPr>
            <w:r w:rsidRPr="007746B4">
              <w:t>1.78</w:t>
            </w:r>
          </w:p>
        </w:tc>
        <w:tc>
          <w:tcPr>
            <w:tcW w:w="0" w:type="auto"/>
          </w:tcPr>
          <w:p w14:paraId="131F9FAE" w14:textId="77777777" w:rsidR="00D71D60" w:rsidRPr="007746B4" w:rsidRDefault="00D71D60" w:rsidP="00BC3CD1">
            <w:pPr>
              <w:pStyle w:val="TableBody"/>
            </w:pPr>
          </w:p>
        </w:tc>
        <w:tc>
          <w:tcPr>
            <w:tcW w:w="0" w:type="auto"/>
          </w:tcPr>
          <w:p w14:paraId="3F3D96F3" w14:textId="77777777" w:rsidR="00D71D60" w:rsidRPr="007746B4" w:rsidRDefault="00D71D60" w:rsidP="00BC3CD1">
            <w:pPr>
              <w:pStyle w:val="TableBody"/>
            </w:pPr>
            <w:r w:rsidRPr="007746B4">
              <w:t>1.27 to 2.49</w:t>
            </w:r>
          </w:p>
        </w:tc>
      </w:tr>
      <w:tr w:rsidR="00D71D60" w:rsidRPr="007746B4" w14:paraId="575CC577" w14:textId="77777777" w:rsidTr="0098004D">
        <w:trPr>
          <w:jc w:val="center"/>
        </w:trPr>
        <w:tc>
          <w:tcPr>
            <w:tcW w:w="0" w:type="auto"/>
            <w:shd w:val="clear" w:color="auto" w:fill="D9E2F3" w:themeFill="accent1" w:themeFillTint="33"/>
          </w:tcPr>
          <w:p w14:paraId="272C6FB3" w14:textId="77777777" w:rsidR="00D71D60" w:rsidRPr="007746B4" w:rsidRDefault="00D71D60" w:rsidP="00392D73">
            <w:pPr>
              <w:pStyle w:val="TableHeader2"/>
              <w:ind w:left="0"/>
            </w:pPr>
            <w:r w:rsidRPr="007746B4">
              <w:t>Year 4</w:t>
            </w:r>
          </w:p>
        </w:tc>
        <w:tc>
          <w:tcPr>
            <w:tcW w:w="0" w:type="auto"/>
            <w:shd w:val="clear" w:color="auto" w:fill="D9E2F3" w:themeFill="accent1" w:themeFillTint="33"/>
          </w:tcPr>
          <w:p w14:paraId="6EC5EF61" w14:textId="77777777" w:rsidR="00D71D60" w:rsidRPr="007746B4" w:rsidRDefault="00D71D60" w:rsidP="00BC3CD1">
            <w:pPr>
              <w:pStyle w:val="TableHeader2"/>
            </w:pPr>
          </w:p>
        </w:tc>
        <w:tc>
          <w:tcPr>
            <w:tcW w:w="0" w:type="auto"/>
            <w:shd w:val="clear" w:color="auto" w:fill="D9E2F3" w:themeFill="accent1" w:themeFillTint="33"/>
          </w:tcPr>
          <w:p w14:paraId="3A7D55C6" w14:textId="77777777" w:rsidR="00D71D60" w:rsidRPr="007746B4" w:rsidRDefault="00D71D60" w:rsidP="00BC3CD1">
            <w:pPr>
              <w:pStyle w:val="TableHeader2"/>
            </w:pPr>
          </w:p>
        </w:tc>
        <w:tc>
          <w:tcPr>
            <w:tcW w:w="0" w:type="auto"/>
            <w:shd w:val="clear" w:color="auto" w:fill="D9E2F3" w:themeFill="accent1" w:themeFillTint="33"/>
          </w:tcPr>
          <w:p w14:paraId="75505861" w14:textId="77777777" w:rsidR="00D71D60" w:rsidRPr="007746B4" w:rsidRDefault="00D71D60" w:rsidP="00BC3CD1">
            <w:pPr>
              <w:pStyle w:val="TableHeader2"/>
            </w:pPr>
          </w:p>
        </w:tc>
        <w:tc>
          <w:tcPr>
            <w:tcW w:w="0" w:type="auto"/>
            <w:shd w:val="clear" w:color="auto" w:fill="D9E2F3" w:themeFill="accent1" w:themeFillTint="33"/>
          </w:tcPr>
          <w:p w14:paraId="265B7E12" w14:textId="77777777" w:rsidR="00D71D60" w:rsidRPr="007746B4" w:rsidRDefault="00D71D60" w:rsidP="00BC3CD1">
            <w:pPr>
              <w:pStyle w:val="TableHeader2"/>
            </w:pPr>
          </w:p>
        </w:tc>
      </w:tr>
      <w:tr w:rsidR="00D71D60" w:rsidRPr="007746B4" w14:paraId="228B52B3" w14:textId="77777777" w:rsidTr="005265DE">
        <w:trPr>
          <w:jc w:val="center"/>
        </w:trPr>
        <w:tc>
          <w:tcPr>
            <w:tcW w:w="0" w:type="auto"/>
          </w:tcPr>
          <w:p w14:paraId="1D1037C1" w14:textId="7D0AA507" w:rsidR="00D71D60" w:rsidRPr="007746B4" w:rsidRDefault="00D71D60" w:rsidP="00BC3CD1">
            <w:pPr>
              <w:pStyle w:val="TableRowIndent"/>
            </w:pPr>
            <w:r w:rsidRPr="007746B4">
              <w:t>No</w:t>
            </w:r>
            <w:r w:rsidR="002C607D">
              <w:t>t-DV</w:t>
            </w:r>
          </w:p>
        </w:tc>
        <w:tc>
          <w:tcPr>
            <w:tcW w:w="0" w:type="auto"/>
          </w:tcPr>
          <w:p w14:paraId="1237B292" w14:textId="77777777" w:rsidR="00D71D60" w:rsidRPr="007746B4" w:rsidRDefault="00D71D60" w:rsidP="00BC3CD1">
            <w:pPr>
              <w:pStyle w:val="TableBody"/>
            </w:pPr>
          </w:p>
        </w:tc>
        <w:tc>
          <w:tcPr>
            <w:tcW w:w="0" w:type="auto"/>
          </w:tcPr>
          <w:p w14:paraId="7DCA3B24" w14:textId="40AE8907" w:rsidR="00D71D60" w:rsidRPr="007746B4" w:rsidRDefault="00163D45" w:rsidP="00BC3CD1">
            <w:pPr>
              <w:pStyle w:val="TableBody"/>
            </w:pPr>
            <w:r w:rsidRPr="007746B4">
              <w:t>R</w:t>
            </w:r>
            <w:r w:rsidR="00D71D60" w:rsidRPr="007746B4">
              <w:t>ef</w:t>
            </w:r>
          </w:p>
        </w:tc>
        <w:tc>
          <w:tcPr>
            <w:tcW w:w="0" w:type="auto"/>
          </w:tcPr>
          <w:p w14:paraId="524BC572" w14:textId="77777777" w:rsidR="00D71D60" w:rsidRPr="007746B4" w:rsidRDefault="00D71D60" w:rsidP="00BC3CD1">
            <w:pPr>
              <w:pStyle w:val="TableBody"/>
            </w:pPr>
          </w:p>
        </w:tc>
        <w:tc>
          <w:tcPr>
            <w:tcW w:w="0" w:type="auto"/>
          </w:tcPr>
          <w:p w14:paraId="3FE27983" w14:textId="77777777" w:rsidR="00D71D60" w:rsidRPr="007746B4" w:rsidRDefault="00D71D60" w:rsidP="00BC3CD1">
            <w:pPr>
              <w:pStyle w:val="TableBody"/>
            </w:pPr>
          </w:p>
        </w:tc>
      </w:tr>
      <w:tr w:rsidR="00D71D60" w:rsidRPr="007746B4" w14:paraId="6861EEFD" w14:textId="77777777" w:rsidTr="005265DE">
        <w:trPr>
          <w:jc w:val="center"/>
        </w:trPr>
        <w:tc>
          <w:tcPr>
            <w:tcW w:w="0" w:type="auto"/>
          </w:tcPr>
          <w:p w14:paraId="55F0536D" w14:textId="65A4FB42" w:rsidR="00D71D60" w:rsidRPr="007746B4" w:rsidRDefault="002C607D" w:rsidP="00BC3CD1">
            <w:pPr>
              <w:pStyle w:val="TableRowIndent"/>
            </w:pPr>
            <w:r>
              <w:t>DV</w:t>
            </w:r>
          </w:p>
        </w:tc>
        <w:tc>
          <w:tcPr>
            <w:tcW w:w="0" w:type="auto"/>
          </w:tcPr>
          <w:p w14:paraId="7FBD517D" w14:textId="77777777" w:rsidR="00D71D60" w:rsidRPr="007746B4" w:rsidRDefault="00D71D60" w:rsidP="00BC3CD1">
            <w:pPr>
              <w:pStyle w:val="TableBody"/>
            </w:pPr>
          </w:p>
        </w:tc>
        <w:tc>
          <w:tcPr>
            <w:tcW w:w="0" w:type="auto"/>
          </w:tcPr>
          <w:p w14:paraId="1CEC20E6" w14:textId="77777777" w:rsidR="00D71D60" w:rsidRPr="007746B4" w:rsidRDefault="00D71D60" w:rsidP="00BC3CD1">
            <w:pPr>
              <w:pStyle w:val="TableBody"/>
            </w:pPr>
            <w:r w:rsidRPr="007746B4">
              <w:t>1.56</w:t>
            </w:r>
          </w:p>
        </w:tc>
        <w:tc>
          <w:tcPr>
            <w:tcW w:w="0" w:type="auto"/>
          </w:tcPr>
          <w:p w14:paraId="29B6CE07" w14:textId="77777777" w:rsidR="00D71D60" w:rsidRPr="007746B4" w:rsidRDefault="00D71D60" w:rsidP="00BC3CD1">
            <w:pPr>
              <w:pStyle w:val="TableBody"/>
            </w:pPr>
          </w:p>
        </w:tc>
        <w:tc>
          <w:tcPr>
            <w:tcW w:w="0" w:type="auto"/>
          </w:tcPr>
          <w:p w14:paraId="650ABE67" w14:textId="77777777" w:rsidR="00D71D60" w:rsidRPr="007746B4" w:rsidRDefault="00D71D60" w:rsidP="00BC3CD1">
            <w:pPr>
              <w:pStyle w:val="TableBody"/>
            </w:pPr>
            <w:r w:rsidRPr="007746B4">
              <w:t>1.02 to 2.36</w:t>
            </w:r>
          </w:p>
        </w:tc>
      </w:tr>
      <w:tr w:rsidR="00D71D60" w:rsidRPr="007746B4" w14:paraId="0DC266F4" w14:textId="77777777" w:rsidTr="0098004D">
        <w:trPr>
          <w:jc w:val="center"/>
        </w:trPr>
        <w:tc>
          <w:tcPr>
            <w:tcW w:w="0" w:type="auto"/>
            <w:shd w:val="clear" w:color="auto" w:fill="D9E2F3" w:themeFill="accent1" w:themeFillTint="33"/>
          </w:tcPr>
          <w:p w14:paraId="101A3FAC" w14:textId="77777777" w:rsidR="00D71D60" w:rsidRPr="007746B4" w:rsidRDefault="00D71D60" w:rsidP="00392D73">
            <w:pPr>
              <w:pStyle w:val="TableHeader2"/>
              <w:ind w:left="0"/>
            </w:pPr>
            <w:r w:rsidRPr="007746B4">
              <w:t>Year 5</w:t>
            </w:r>
          </w:p>
        </w:tc>
        <w:tc>
          <w:tcPr>
            <w:tcW w:w="0" w:type="auto"/>
            <w:shd w:val="clear" w:color="auto" w:fill="D9E2F3" w:themeFill="accent1" w:themeFillTint="33"/>
          </w:tcPr>
          <w:p w14:paraId="5A096234" w14:textId="77777777" w:rsidR="00D71D60" w:rsidRPr="007746B4" w:rsidRDefault="00D71D60" w:rsidP="00BC3CD1">
            <w:pPr>
              <w:pStyle w:val="TableHeader2"/>
            </w:pPr>
          </w:p>
        </w:tc>
        <w:tc>
          <w:tcPr>
            <w:tcW w:w="0" w:type="auto"/>
            <w:shd w:val="clear" w:color="auto" w:fill="D9E2F3" w:themeFill="accent1" w:themeFillTint="33"/>
          </w:tcPr>
          <w:p w14:paraId="350951FD" w14:textId="77777777" w:rsidR="00D71D60" w:rsidRPr="007746B4" w:rsidRDefault="00D71D60" w:rsidP="00BC3CD1">
            <w:pPr>
              <w:pStyle w:val="TableHeader2"/>
            </w:pPr>
          </w:p>
        </w:tc>
        <w:tc>
          <w:tcPr>
            <w:tcW w:w="0" w:type="auto"/>
            <w:shd w:val="clear" w:color="auto" w:fill="D9E2F3" w:themeFill="accent1" w:themeFillTint="33"/>
          </w:tcPr>
          <w:p w14:paraId="419B1C5E" w14:textId="77777777" w:rsidR="00D71D60" w:rsidRPr="007746B4" w:rsidRDefault="00D71D60" w:rsidP="00BC3CD1">
            <w:pPr>
              <w:pStyle w:val="TableHeader2"/>
            </w:pPr>
          </w:p>
        </w:tc>
        <w:tc>
          <w:tcPr>
            <w:tcW w:w="0" w:type="auto"/>
            <w:shd w:val="clear" w:color="auto" w:fill="D9E2F3" w:themeFill="accent1" w:themeFillTint="33"/>
          </w:tcPr>
          <w:p w14:paraId="769C2A98" w14:textId="77777777" w:rsidR="00D71D60" w:rsidRPr="007746B4" w:rsidRDefault="00D71D60" w:rsidP="00BC3CD1">
            <w:pPr>
              <w:pStyle w:val="TableHeader2"/>
            </w:pPr>
          </w:p>
        </w:tc>
      </w:tr>
      <w:tr w:rsidR="00D71D60" w:rsidRPr="007746B4" w14:paraId="2DB6F014" w14:textId="77777777" w:rsidTr="005265DE">
        <w:trPr>
          <w:jc w:val="center"/>
        </w:trPr>
        <w:tc>
          <w:tcPr>
            <w:tcW w:w="0" w:type="auto"/>
          </w:tcPr>
          <w:p w14:paraId="75F46A17" w14:textId="388D4386" w:rsidR="00D71D60" w:rsidRPr="007746B4" w:rsidRDefault="00D71D60" w:rsidP="00BC3CD1">
            <w:pPr>
              <w:pStyle w:val="TableRowIndent"/>
            </w:pPr>
            <w:r w:rsidRPr="007746B4">
              <w:t>No</w:t>
            </w:r>
            <w:r w:rsidR="002C607D">
              <w:t>t-DV</w:t>
            </w:r>
          </w:p>
        </w:tc>
        <w:tc>
          <w:tcPr>
            <w:tcW w:w="0" w:type="auto"/>
          </w:tcPr>
          <w:p w14:paraId="3C96F130" w14:textId="77777777" w:rsidR="00D71D60" w:rsidRPr="007746B4" w:rsidRDefault="00D71D60" w:rsidP="00BC3CD1">
            <w:pPr>
              <w:pStyle w:val="TableBody"/>
            </w:pPr>
          </w:p>
        </w:tc>
        <w:tc>
          <w:tcPr>
            <w:tcW w:w="0" w:type="auto"/>
          </w:tcPr>
          <w:p w14:paraId="05AF8998" w14:textId="58C5B3EE" w:rsidR="00D71D60" w:rsidRPr="007746B4" w:rsidRDefault="00163D45" w:rsidP="00BC3CD1">
            <w:pPr>
              <w:pStyle w:val="TableBody"/>
            </w:pPr>
            <w:r w:rsidRPr="007746B4">
              <w:t>R</w:t>
            </w:r>
            <w:r w:rsidR="00D71D60" w:rsidRPr="007746B4">
              <w:t>ef</w:t>
            </w:r>
          </w:p>
        </w:tc>
        <w:tc>
          <w:tcPr>
            <w:tcW w:w="0" w:type="auto"/>
          </w:tcPr>
          <w:p w14:paraId="3A3E46D0" w14:textId="77777777" w:rsidR="00D71D60" w:rsidRPr="007746B4" w:rsidRDefault="00D71D60" w:rsidP="00BC3CD1">
            <w:pPr>
              <w:pStyle w:val="TableBody"/>
            </w:pPr>
          </w:p>
        </w:tc>
        <w:tc>
          <w:tcPr>
            <w:tcW w:w="0" w:type="auto"/>
          </w:tcPr>
          <w:p w14:paraId="022F750E" w14:textId="77777777" w:rsidR="00D71D60" w:rsidRPr="007746B4" w:rsidRDefault="00D71D60" w:rsidP="00BC3CD1">
            <w:pPr>
              <w:pStyle w:val="TableBody"/>
            </w:pPr>
          </w:p>
        </w:tc>
      </w:tr>
      <w:tr w:rsidR="00D71D60" w:rsidRPr="007746B4" w14:paraId="40D6106C" w14:textId="77777777" w:rsidTr="005265DE">
        <w:trPr>
          <w:jc w:val="center"/>
        </w:trPr>
        <w:tc>
          <w:tcPr>
            <w:tcW w:w="0" w:type="auto"/>
          </w:tcPr>
          <w:p w14:paraId="5E24F133" w14:textId="0547EFF7" w:rsidR="00D71D60" w:rsidRPr="007746B4" w:rsidRDefault="002C607D" w:rsidP="00BC3CD1">
            <w:pPr>
              <w:pStyle w:val="TableRowIndent"/>
            </w:pPr>
            <w:r>
              <w:t>DV</w:t>
            </w:r>
          </w:p>
        </w:tc>
        <w:tc>
          <w:tcPr>
            <w:tcW w:w="0" w:type="auto"/>
          </w:tcPr>
          <w:p w14:paraId="4A462BBC" w14:textId="77777777" w:rsidR="00D71D60" w:rsidRPr="007746B4" w:rsidRDefault="00D71D60" w:rsidP="00BC3CD1">
            <w:pPr>
              <w:pStyle w:val="TableBody"/>
            </w:pPr>
          </w:p>
        </w:tc>
        <w:tc>
          <w:tcPr>
            <w:tcW w:w="0" w:type="auto"/>
          </w:tcPr>
          <w:p w14:paraId="0108AEF5" w14:textId="77777777" w:rsidR="00D71D60" w:rsidRPr="007746B4" w:rsidRDefault="00D71D60" w:rsidP="00BC3CD1">
            <w:pPr>
              <w:pStyle w:val="TableBody"/>
            </w:pPr>
            <w:r w:rsidRPr="007746B4">
              <w:t>2.22</w:t>
            </w:r>
          </w:p>
        </w:tc>
        <w:tc>
          <w:tcPr>
            <w:tcW w:w="0" w:type="auto"/>
          </w:tcPr>
          <w:p w14:paraId="452C9072" w14:textId="77777777" w:rsidR="00D71D60" w:rsidRPr="007746B4" w:rsidRDefault="00D71D60" w:rsidP="00BC3CD1">
            <w:pPr>
              <w:pStyle w:val="TableBody"/>
            </w:pPr>
          </w:p>
        </w:tc>
        <w:tc>
          <w:tcPr>
            <w:tcW w:w="0" w:type="auto"/>
          </w:tcPr>
          <w:p w14:paraId="59AE3C08" w14:textId="77777777" w:rsidR="00D71D60" w:rsidRPr="007746B4" w:rsidRDefault="00D71D60" w:rsidP="00BC3CD1">
            <w:pPr>
              <w:pStyle w:val="TableBody"/>
            </w:pPr>
            <w:r w:rsidRPr="007746B4">
              <w:t>1.51 to 3.25</w:t>
            </w:r>
          </w:p>
        </w:tc>
      </w:tr>
      <w:tr w:rsidR="00D71D60" w:rsidRPr="007746B4" w14:paraId="245BCDCE" w14:textId="77777777" w:rsidTr="0098004D">
        <w:trPr>
          <w:jc w:val="center"/>
        </w:trPr>
        <w:tc>
          <w:tcPr>
            <w:tcW w:w="0" w:type="auto"/>
            <w:shd w:val="clear" w:color="auto" w:fill="D9E2F3" w:themeFill="accent1" w:themeFillTint="33"/>
          </w:tcPr>
          <w:p w14:paraId="6F40DBEB" w14:textId="77777777" w:rsidR="00D71D60" w:rsidRPr="007746B4" w:rsidRDefault="00D71D60" w:rsidP="00392D73">
            <w:pPr>
              <w:pStyle w:val="TableHeader2"/>
              <w:ind w:left="0"/>
            </w:pPr>
            <w:r w:rsidRPr="007746B4">
              <w:t>Year 6</w:t>
            </w:r>
          </w:p>
        </w:tc>
        <w:tc>
          <w:tcPr>
            <w:tcW w:w="0" w:type="auto"/>
            <w:shd w:val="clear" w:color="auto" w:fill="D9E2F3" w:themeFill="accent1" w:themeFillTint="33"/>
          </w:tcPr>
          <w:p w14:paraId="2641BAA9" w14:textId="77777777" w:rsidR="00D71D60" w:rsidRPr="007746B4" w:rsidRDefault="00D71D60" w:rsidP="00BC3CD1">
            <w:pPr>
              <w:pStyle w:val="TableHeader2"/>
            </w:pPr>
          </w:p>
        </w:tc>
        <w:tc>
          <w:tcPr>
            <w:tcW w:w="0" w:type="auto"/>
            <w:shd w:val="clear" w:color="auto" w:fill="D9E2F3" w:themeFill="accent1" w:themeFillTint="33"/>
          </w:tcPr>
          <w:p w14:paraId="42A2BBA3" w14:textId="77777777" w:rsidR="00D71D60" w:rsidRPr="007746B4" w:rsidRDefault="00D71D60" w:rsidP="00BC3CD1">
            <w:pPr>
              <w:pStyle w:val="TableHeader2"/>
            </w:pPr>
          </w:p>
        </w:tc>
        <w:tc>
          <w:tcPr>
            <w:tcW w:w="0" w:type="auto"/>
            <w:shd w:val="clear" w:color="auto" w:fill="D9E2F3" w:themeFill="accent1" w:themeFillTint="33"/>
          </w:tcPr>
          <w:p w14:paraId="780538AC" w14:textId="77777777" w:rsidR="00D71D60" w:rsidRPr="007746B4" w:rsidRDefault="00D71D60" w:rsidP="00BC3CD1">
            <w:pPr>
              <w:pStyle w:val="TableHeader2"/>
            </w:pPr>
          </w:p>
        </w:tc>
        <w:tc>
          <w:tcPr>
            <w:tcW w:w="0" w:type="auto"/>
            <w:shd w:val="clear" w:color="auto" w:fill="D9E2F3" w:themeFill="accent1" w:themeFillTint="33"/>
          </w:tcPr>
          <w:p w14:paraId="7B5C243A" w14:textId="77777777" w:rsidR="00D71D60" w:rsidRPr="007746B4" w:rsidRDefault="00D71D60" w:rsidP="00BC3CD1">
            <w:pPr>
              <w:pStyle w:val="TableHeader2"/>
            </w:pPr>
          </w:p>
        </w:tc>
      </w:tr>
      <w:tr w:rsidR="00D71D60" w:rsidRPr="007746B4" w14:paraId="126EFF90" w14:textId="77777777" w:rsidTr="005265DE">
        <w:trPr>
          <w:jc w:val="center"/>
        </w:trPr>
        <w:tc>
          <w:tcPr>
            <w:tcW w:w="0" w:type="auto"/>
          </w:tcPr>
          <w:p w14:paraId="70F327C8" w14:textId="0872897E" w:rsidR="00D71D60" w:rsidRPr="007746B4" w:rsidRDefault="00D71D60" w:rsidP="00BC3CD1">
            <w:pPr>
              <w:pStyle w:val="TableRowIndent"/>
            </w:pPr>
            <w:r w:rsidRPr="007746B4">
              <w:t>No</w:t>
            </w:r>
            <w:r w:rsidR="002C607D">
              <w:t>t-DV</w:t>
            </w:r>
          </w:p>
        </w:tc>
        <w:tc>
          <w:tcPr>
            <w:tcW w:w="0" w:type="auto"/>
          </w:tcPr>
          <w:p w14:paraId="3B4A1C97" w14:textId="77777777" w:rsidR="00D71D60" w:rsidRPr="007746B4" w:rsidRDefault="00D71D60" w:rsidP="00BC3CD1">
            <w:pPr>
              <w:pStyle w:val="TableBody"/>
            </w:pPr>
          </w:p>
        </w:tc>
        <w:tc>
          <w:tcPr>
            <w:tcW w:w="0" w:type="auto"/>
          </w:tcPr>
          <w:p w14:paraId="2537AD4A" w14:textId="66829CB2" w:rsidR="00D71D60" w:rsidRPr="007746B4" w:rsidRDefault="00163D45" w:rsidP="00BC3CD1">
            <w:pPr>
              <w:pStyle w:val="TableBody"/>
            </w:pPr>
            <w:r w:rsidRPr="007746B4">
              <w:t>R</w:t>
            </w:r>
            <w:r w:rsidR="00D71D60" w:rsidRPr="007746B4">
              <w:t>ef</w:t>
            </w:r>
          </w:p>
        </w:tc>
        <w:tc>
          <w:tcPr>
            <w:tcW w:w="0" w:type="auto"/>
          </w:tcPr>
          <w:p w14:paraId="63FFC0F4" w14:textId="77777777" w:rsidR="00D71D60" w:rsidRPr="007746B4" w:rsidRDefault="00D71D60" w:rsidP="00BC3CD1">
            <w:pPr>
              <w:pStyle w:val="TableBody"/>
            </w:pPr>
          </w:p>
        </w:tc>
        <w:tc>
          <w:tcPr>
            <w:tcW w:w="0" w:type="auto"/>
          </w:tcPr>
          <w:p w14:paraId="659A3F02" w14:textId="77777777" w:rsidR="00D71D60" w:rsidRPr="007746B4" w:rsidRDefault="00D71D60" w:rsidP="00BC3CD1">
            <w:pPr>
              <w:pStyle w:val="TableBody"/>
            </w:pPr>
          </w:p>
        </w:tc>
      </w:tr>
      <w:tr w:rsidR="00D71D60" w:rsidRPr="007746B4" w14:paraId="6DEDF10F" w14:textId="77777777" w:rsidTr="005265DE">
        <w:trPr>
          <w:jc w:val="center"/>
        </w:trPr>
        <w:tc>
          <w:tcPr>
            <w:tcW w:w="0" w:type="auto"/>
          </w:tcPr>
          <w:p w14:paraId="474EFD38" w14:textId="33CD9A2B" w:rsidR="00D71D60" w:rsidRPr="007746B4" w:rsidRDefault="002C607D" w:rsidP="00BC3CD1">
            <w:pPr>
              <w:pStyle w:val="TableRowIndent"/>
            </w:pPr>
            <w:r>
              <w:t>DV</w:t>
            </w:r>
          </w:p>
        </w:tc>
        <w:tc>
          <w:tcPr>
            <w:tcW w:w="0" w:type="auto"/>
          </w:tcPr>
          <w:p w14:paraId="3C55393E" w14:textId="77777777" w:rsidR="00D71D60" w:rsidRPr="007746B4" w:rsidRDefault="00D71D60" w:rsidP="00BC3CD1">
            <w:pPr>
              <w:pStyle w:val="TableBody"/>
            </w:pPr>
          </w:p>
        </w:tc>
        <w:tc>
          <w:tcPr>
            <w:tcW w:w="0" w:type="auto"/>
          </w:tcPr>
          <w:p w14:paraId="2C81C894" w14:textId="77777777" w:rsidR="00D71D60" w:rsidRPr="007746B4" w:rsidRDefault="00D71D60" w:rsidP="00BC3CD1">
            <w:pPr>
              <w:pStyle w:val="TableBody"/>
            </w:pPr>
            <w:r w:rsidRPr="007746B4">
              <w:t>1.33</w:t>
            </w:r>
          </w:p>
        </w:tc>
        <w:tc>
          <w:tcPr>
            <w:tcW w:w="0" w:type="auto"/>
          </w:tcPr>
          <w:p w14:paraId="09F8B36E" w14:textId="77777777" w:rsidR="00D71D60" w:rsidRPr="007746B4" w:rsidRDefault="00D71D60" w:rsidP="00BC3CD1">
            <w:pPr>
              <w:pStyle w:val="TableBody"/>
            </w:pPr>
          </w:p>
        </w:tc>
        <w:tc>
          <w:tcPr>
            <w:tcW w:w="0" w:type="auto"/>
          </w:tcPr>
          <w:p w14:paraId="25083863" w14:textId="77777777" w:rsidR="00D71D60" w:rsidRPr="007746B4" w:rsidRDefault="00D71D60" w:rsidP="00BC3CD1">
            <w:pPr>
              <w:pStyle w:val="TableBody"/>
            </w:pPr>
            <w:r w:rsidRPr="007746B4">
              <w:t>0.84 to 2.10</w:t>
            </w:r>
          </w:p>
        </w:tc>
      </w:tr>
      <w:tr w:rsidR="00D71D60" w:rsidRPr="007746B4" w14:paraId="79248C86" w14:textId="77777777" w:rsidTr="0098004D">
        <w:trPr>
          <w:jc w:val="center"/>
        </w:trPr>
        <w:tc>
          <w:tcPr>
            <w:tcW w:w="0" w:type="auto"/>
            <w:shd w:val="clear" w:color="auto" w:fill="D9E2F3" w:themeFill="accent1" w:themeFillTint="33"/>
          </w:tcPr>
          <w:p w14:paraId="5C45AFE1" w14:textId="77777777" w:rsidR="00D71D60" w:rsidRPr="007746B4" w:rsidRDefault="00D71D60" w:rsidP="00392D73">
            <w:pPr>
              <w:pStyle w:val="TableHeader2"/>
              <w:ind w:left="0"/>
            </w:pPr>
            <w:r w:rsidRPr="007746B4">
              <w:t>Year 7</w:t>
            </w:r>
          </w:p>
        </w:tc>
        <w:tc>
          <w:tcPr>
            <w:tcW w:w="0" w:type="auto"/>
            <w:shd w:val="clear" w:color="auto" w:fill="D9E2F3" w:themeFill="accent1" w:themeFillTint="33"/>
          </w:tcPr>
          <w:p w14:paraId="78792613" w14:textId="77777777" w:rsidR="00D71D60" w:rsidRPr="007746B4" w:rsidRDefault="00D71D60" w:rsidP="00BC3CD1">
            <w:pPr>
              <w:pStyle w:val="TableHeader2"/>
            </w:pPr>
          </w:p>
        </w:tc>
        <w:tc>
          <w:tcPr>
            <w:tcW w:w="0" w:type="auto"/>
            <w:shd w:val="clear" w:color="auto" w:fill="D9E2F3" w:themeFill="accent1" w:themeFillTint="33"/>
          </w:tcPr>
          <w:p w14:paraId="5AB690DA" w14:textId="77777777" w:rsidR="00D71D60" w:rsidRPr="007746B4" w:rsidRDefault="00D71D60" w:rsidP="00BC3CD1">
            <w:pPr>
              <w:pStyle w:val="TableHeader2"/>
            </w:pPr>
          </w:p>
        </w:tc>
        <w:tc>
          <w:tcPr>
            <w:tcW w:w="0" w:type="auto"/>
            <w:shd w:val="clear" w:color="auto" w:fill="D9E2F3" w:themeFill="accent1" w:themeFillTint="33"/>
          </w:tcPr>
          <w:p w14:paraId="28DFCF0B" w14:textId="77777777" w:rsidR="00D71D60" w:rsidRPr="007746B4" w:rsidRDefault="00D71D60" w:rsidP="00BC3CD1">
            <w:pPr>
              <w:pStyle w:val="TableHeader2"/>
            </w:pPr>
          </w:p>
        </w:tc>
        <w:tc>
          <w:tcPr>
            <w:tcW w:w="0" w:type="auto"/>
            <w:shd w:val="clear" w:color="auto" w:fill="D9E2F3" w:themeFill="accent1" w:themeFillTint="33"/>
          </w:tcPr>
          <w:p w14:paraId="2D16964A" w14:textId="77777777" w:rsidR="00D71D60" w:rsidRPr="007746B4" w:rsidRDefault="00D71D60" w:rsidP="00BC3CD1">
            <w:pPr>
              <w:pStyle w:val="TableHeader2"/>
            </w:pPr>
          </w:p>
        </w:tc>
      </w:tr>
      <w:tr w:rsidR="00D71D60" w:rsidRPr="007746B4" w14:paraId="750A557A" w14:textId="77777777" w:rsidTr="005265DE">
        <w:trPr>
          <w:jc w:val="center"/>
        </w:trPr>
        <w:tc>
          <w:tcPr>
            <w:tcW w:w="0" w:type="auto"/>
          </w:tcPr>
          <w:p w14:paraId="0A2FE1E6" w14:textId="6F765B0C" w:rsidR="00D71D60" w:rsidRPr="007746B4" w:rsidRDefault="00D71D60" w:rsidP="00BC3CD1">
            <w:pPr>
              <w:pStyle w:val="TableRowIndent"/>
            </w:pPr>
            <w:r w:rsidRPr="007746B4">
              <w:t>No</w:t>
            </w:r>
            <w:r w:rsidR="002C607D">
              <w:t>t-DV</w:t>
            </w:r>
          </w:p>
        </w:tc>
        <w:tc>
          <w:tcPr>
            <w:tcW w:w="0" w:type="auto"/>
          </w:tcPr>
          <w:p w14:paraId="69F9F9B6" w14:textId="77777777" w:rsidR="00D71D60" w:rsidRPr="007746B4" w:rsidRDefault="00D71D60" w:rsidP="00BC3CD1">
            <w:pPr>
              <w:pStyle w:val="TableBody"/>
            </w:pPr>
          </w:p>
        </w:tc>
        <w:tc>
          <w:tcPr>
            <w:tcW w:w="0" w:type="auto"/>
          </w:tcPr>
          <w:p w14:paraId="35EDAE0F" w14:textId="261AD963" w:rsidR="00D71D60" w:rsidRPr="007746B4" w:rsidRDefault="00163D45" w:rsidP="00BC3CD1">
            <w:pPr>
              <w:pStyle w:val="TableBody"/>
            </w:pPr>
            <w:r w:rsidRPr="007746B4">
              <w:t>R</w:t>
            </w:r>
            <w:r w:rsidR="00D71D60" w:rsidRPr="007746B4">
              <w:t>ef</w:t>
            </w:r>
          </w:p>
        </w:tc>
        <w:tc>
          <w:tcPr>
            <w:tcW w:w="0" w:type="auto"/>
          </w:tcPr>
          <w:p w14:paraId="7A3B4159" w14:textId="77777777" w:rsidR="00D71D60" w:rsidRPr="007746B4" w:rsidRDefault="00D71D60" w:rsidP="00BC3CD1">
            <w:pPr>
              <w:pStyle w:val="TableBody"/>
            </w:pPr>
          </w:p>
        </w:tc>
        <w:tc>
          <w:tcPr>
            <w:tcW w:w="0" w:type="auto"/>
          </w:tcPr>
          <w:p w14:paraId="4E46F39C" w14:textId="77777777" w:rsidR="00D71D60" w:rsidRPr="007746B4" w:rsidRDefault="00D71D60" w:rsidP="00BC3CD1">
            <w:pPr>
              <w:pStyle w:val="TableBody"/>
            </w:pPr>
          </w:p>
        </w:tc>
      </w:tr>
      <w:tr w:rsidR="00D71D60" w:rsidRPr="007746B4" w14:paraId="32DA9F8C" w14:textId="77777777" w:rsidTr="005265DE">
        <w:trPr>
          <w:jc w:val="center"/>
        </w:trPr>
        <w:tc>
          <w:tcPr>
            <w:tcW w:w="0" w:type="auto"/>
          </w:tcPr>
          <w:p w14:paraId="287E17FE" w14:textId="71A02960" w:rsidR="00D71D60" w:rsidRPr="007746B4" w:rsidRDefault="002C607D" w:rsidP="00BC3CD1">
            <w:pPr>
              <w:pStyle w:val="TableRowIndent"/>
            </w:pPr>
            <w:r>
              <w:t>DV</w:t>
            </w:r>
          </w:p>
        </w:tc>
        <w:tc>
          <w:tcPr>
            <w:tcW w:w="0" w:type="auto"/>
          </w:tcPr>
          <w:p w14:paraId="086B29B1" w14:textId="77777777" w:rsidR="00D71D60" w:rsidRPr="007746B4" w:rsidRDefault="00D71D60" w:rsidP="00BC3CD1">
            <w:pPr>
              <w:pStyle w:val="TableBody"/>
            </w:pPr>
          </w:p>
        </w:tc>
        <w:tc>
          <w:tcPr>
            <w:tcW w:w="0" w:type="auto"/>
          </w:tcPr>
          <w:p w14:paraId="122B2A8B" w14:textId="77777777" w:rsidR="00D71D60" w:rsidRPr="007746B4" w:rsidRDefault="00D71D60" w:rsidP="00BC3CD1">
            <w:pPr>
              <w:pStyle w:val="TableBody"/>
            </w:pPr>
            <w:r w:rsidRPr="007746B4">
              <w:t>1.28</w:t>
            </w:r>
          </w:p>
        </w:tc>
        <w:tc>
          <w:tcPr>
            <w:tcW w:w="0" w:type="auto"/>
          </w:tcPr>
          <w:p w14:paraId="1D0BD5AA" w14:textId="77777777" w:rsidR="00D71D60" w:rsidRPr="007746B4" w:rsidRDefault="00D71D60" w:rsidP="00BC3CD1">
            <w:pPr>
              <w:pStyle w:val="TableBody"/>
            </w:pPr>
          </w:p>
        </w:tc>
        <w:tc>
          <w:tcPr>
            <w:tcW w:w="0" w:type="auto"/>
          </w:tcPr>
          <w:p w14:paraId="6A1092F4" w14:textId="77777777" w:rsidR="00D71D60" w:rsidRPr="007746B4" w:rsidRDefault="00D71D60" w:rsidP="00BC3CD1">
            <w:pPr>
              <w:pStyle w:val="TableBody"/>
            </w:pPr>
            <w:r w:rsidRPr="007746B4">
              <w:t>0.82 to 1.98</w:t>
            </w:r>
          </w:p>
        </w:tc>
      </w:tr>
    </w:tbl>
    <w:p w14:paraId="7A276BC1" w14:textId="77777777" w:rsidR="00F40603" w:rsidRPr="007746B4" w:rsidRDefault="005E6CF6" w:rsidP="00D71D60">
      <w:pPr>
        <w:pStyle w:val="Belowtablecaption"/>
        <w:ind w:left="2552"/>
      </w:pPr>
      <w:r w:rsidRPr="007746B4">
        <w:br w:type="textWrapping" w:clear="all"/>
      </w:r>
      <w:r w:rsidR="00F40603" w:rsidRPr="007746B4">
        <w:t>Analysis controlled for gender, SES and age</w:t>
      </w:r>
    </w:p>
    <w:p w14:paraId="537D2033" w14:textId="6071644E" w:rsidR="00796201" w:rsidRPr="007746B4" w:rsidRDefault="00796201" w:rsidP="00D71D60">
      <w:pPr>
        <w:pStyle w:val="Belowtablecaption"/>
        <w:ind w:left="2552"/>
      </w:pPr>
    </w:p>
    <w:p w14:paraId="082791EF" w14:textId="38F65C44" w:rsidR="005E6CF6" w:rsidRDefault="00D71D60" w:rsidP="007F76A2">
      <w:pPr>
        <w:pStyle w:val="Caption"/>
        <w:spacing w:before="0"/>
      </w:pPr>
      <w:bookmarkStart w:id="84" w:name="_Ref501114373"/>
      <w:bookmarkStart w:id="85" w:name="_Toc503780746"/>
      <w:r w:rsidRPr="007746B4">
        <w:t xml:space="preserve">Table </w:t>
      </w:r>
      <w:r w:rsidRPr="00057A30">
        <w:fldChar w:fldCharType="begin"/>
      </w:r>
      <w:r w:rsidRPr="007746B4">
        <w:instrText xml:space="preserve"> SEQ Table \* ARABIC </w:instrText>
      </w:r>
      <w:r w:rsidRPr="00057A30">
        <w:fldChar w:fldCharType="separate"/>
      </w:r>
      <w:r w:rsidR="004C27B3">
        <w:rPr>
          <w:noProof/>
        </w:rPr>
        <w:t>6</w:t>
      </w:r>
      <w:r w:rsidRPr="00057A30">
        <w:fldChar w:fldCharType="end"/>
      </w:r>
      <w:bookmarkEnd w:id="84"/>
      <w:r w:rsidRPr="007746B4">
        <w:t>. Likelihood of behaviour problems in Year 3, 4, 5, 6 and 7 associated with developmental vulnerability status.</w:t>
      </w:r>
      <w:bookmarkEnd w:id="85"/>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Caption w:val="Table 6. Likelihood of behaviour problems t in Year 3, 4, 5,6 and 7 associated with developmental vulnerability status"/>
      </w:tblPr>
      <w:tblGrid>
        <w:gridCol w:w="763"/>
        <w:gridCol w:w="236"/>
        <w:gridCol w:w="1117"/>
        <w:gridCol w:w="236"/>
        <w:gridCol w:w="2259"/>
      </w:tblGrid>
      <w:tr w:rsidR="00D71D60" w:rsidRPr="007D68B2" w14:paraId="01CA66F1" w14:textId="77777777" w:rsidTr="0096460E">
        <w:trPr>
          <w:jc w:val="center"/>
        </w:trPr>
        <w:tc>
          <w:tcPr>
            <w:tcW w:w="763" w:type="dxa"/>
            <w:shd w:val="clear" w:color="auto" w:fill="0070C0"/>
          </w:tcPr>
          <w:p w14:paraId="5C0BEA7B" w14:textId="77777777" w:rsidR="00D71D60" w:rsidRPr="007D68B2" w:rsidRDefault="00D71D60" w:rsidP="00785532">
            <w:pPr>
              <w:pStyle w:val="TableHeader1"/>
            </w:pPr>
          </w:p>
        </w:tc>
        <w:tc>
          <w:tcPr>
            <w:tcW w:w="236" w:type="dxa"/>
            <w:shd w:val="clear" w:color="auto" w:fill="0070C0"/>
          </w:tcPr>
          <w:p w14:paraId="502F657F" w14:textId="77777777" w:rsidR="00D71D60" w:rsidRPr="007D68B2" w:rsidRDefault="00D71D60" w:rsidP="00785532">
            <w:pPr>
              <w:pStyle w:val="TableHeader1"/>
            </w:pPr>
          </w:p>
        </w:tc>
        <w:tc>
          <w:tcPr>
            <w:tcW w:w="1117" w:type="dxa"/>
            <w:shd w:val="clear" w:color="auto" w:fill="0070C0"/>
          </w:tcPr>
          <w:p w14:paraId="455599CB" w14:textId="5CA18D7B" w:rsidR="00D71D60" w:rsidRPr="007746B4" w:rsidRDefault="00D71D60" w:rsidP="00785532">
            <w:pPr>
              <w:pStyle w:val="TableHeader1"/>
            </w:pPr>
            <w:r w:rsidRPr="007746B4">
              <w:t>O</w:t>
            </w:r>
            <w:r w:rsidR="00E52F52" w:rsidRPr="007746B4">
              <w:t xml:space="preserve">dds </w:t>
            </w:r>
            <w:r w:rsidRPr="007746B4">
              <w:t>R</w:t>
            </w:r>
            <w:r w:rsidR="00E52F52" w:rsidRPr="007746B4">
              <w:t>atio</w:t>
            </w:r>
          </w:p>
        </w:tc>
        <w:tc>
          <w:tcPr>
            <w:tcW w:w="236" w:type="dxa"/>
            <w:shd w:val="clear" w:color="auto" w:fill="0070C0"/>
          </w:tcPr>
          <w:p w14:paraId="7FF9E6B8" w14:textId="77777777" w:rsidR="00D71D60" w:rsidRPr="007746B4" w:rsidRDefault="00D71D60" w:rsidP="00785532">
            <w:pPr>
              <w:pStyle w:val="TableHeader1"/>
            </w:pPr>
          </w:p>
        </w:tc>
        <w:tc>
          <w:tcPr>
            <w:tcW w:w="2259" w:type="dxa"/>
            <w:shd w:val="clear" w:color="auto" w:fill="0070C0"/>
          </w:tcPr>
          <w:p w14:paraId="31152937" w14:textId="4E6C3459" w:rsidR="00D71D60" w:rsidRPr="007D68B2" w:rsidRDefault="00D71D60" w:rsidP="00785532">
            <w:pPr>
              <w:pStyle w:val="TableHeader1"/>
            </w:pPr>
            <w:r w:rsidRPr="007746B4">
              <w:t>95% C</w:t>
            </w:r>
            <w:r w:rsidR="00E52F52" w:rsidRPr="007746B4">
              <w:t xml:space="preserve">onfidence </w:t>
            </w:r>
            <w:r w:rsidRPr="007746B4">
              <w:t>I</w:t>
            </w:r>
            <w:r w:rsidR="00E52F52" w:rsidRPr="007746B4">
              <w:t>nterval</w:t>
            </w:r>
          </w:p>
        </w:tc>
      </w:tr>
      <w:tr w:rsidR="00D71D60" w:rsidRPr="007D68B2" w14:paraId="763CD9F1" w14:textId="77777777" w:rsidTr="0098004D">
        <w:trPr>
          <w:jc w:val="center"/>
        </w:trPr>
        <w:tc>
          <w:tcPr>
            <w:tcW w:w="763" w:type="dxa"/>
            <w:shd w:val="clear" w:color="auto" w:fill="D9E2F3" w:themeFill="accent1" w:themeFillTint="33"/>
          </w:tcPr>
          <w:p w14:paraId="4CDBD0B7" w14:textId="77777777" w:rsidR="00D71D60" w:rsidRPr="007D68B2" w:rsidRDefault="00D71D60" w:rsidP="00392D73">
            <w:pPr>
              <w:pStyle w:val="TableHeader2"/>
              <w:ind w:left="0"/>
            </w:pPr>
            <w:r w:rsidRPr="007D68B2">
              <w:t>Year 3</w:t>
            </w:r>
          </w:p>
        </w:tc>
        <w:tc>
          <w:tcPr>
            <w:tcW w:w="236" w:type="dxa"/>
            <w:shd w:val="clear" w:color="auto" w:fill="D9E2F3" w:themeFill="accent1" w:themeFillTint="33"/>
          </w:tcPr>
          <w:p w14:paraId="27E2D9EC" w14:textId="77777777" w:rsidR="00D71D60" w:rsidRPr="007D68B2" w:rsidRDefault="00D71D60" w:rsidP="00BC3CD1">
            <w:pPr>
              <w:pStyle w:val="TableHeader2"/>
            </w:pPr>
          </w:p>
        </w:tc>
        <w:tc>
          <w:tcPr>
            <w:tcW w:w="1117" w:type="dxa"/>
            <w:shd w:val="clear" w:color="auto" w:fill="D9E2F3" w:themeFill="accent1" w:themeFillTint="33"/>
          </w:tcPr>
          <w:p w14:paraId="44CEEA42" w14:textId="77777777" w:rsidR="00D71D60" w:rsidRPr="007D68B2" w:rsidRDefault="00D71D60" w:rsidP="00BC3CD1">
            <w:pPr>
              <w:pStyle w:val="TableHeader2"/>
            </w:pPr>
          </w:p>
        </w:tc>
        <w:tc>
          <w:tcPr>
            <w:tcW w:w="236" w:type="dxa"/>
            <w:shd w:val="clear" w:color="auto" w:fill="D9E2F3" w:themeFill="accent1" w:themeFillTint="33"/>
          </w:tcPr>
          <w:p w14:paraId="50FDB04E" w14:textId="77777777" w:rsidR="00D71D60" w:rsidRPr="007D68B2" w:rsidRDefault="00D71D60" w:rsidP="00BC3CD1">
            <w:pPr>
              <w:pStyle w:val="TableHeader2"/>
            </w:pPr>
          </w:p>
        </w:tc>
        <w:tc>
          <w:tcPr>
            <w:tcW w:w="2259" w:type="dxa"/>
            <w:shd w:val="clear" w:color="auto" w:fill="D9E2F3" w:themeFill="accent1" w:themeFillTint="33"/>
          </w:tcPr>
          <w:p w14:paraId="2F61815F" w14:textId="77777777" w:rsidR="00D71D60" w:rsidRPr="007D68B2" w:rsidRDefault="00D71D60" w:rsidP="00BC3CD1">
            <w:pPr>
              <w:pStyle w:val="TableHeader2"/>
            </w:pPr>
          </w:p>
        </w:tc>
      </w:tr>
      <w:tr w:rsidR="0096460E" w:rsidRPr="007D68B2" w14:paraId="3D03407C" w14:textId="77777777" w:rsidTr="0096460E">
        <w:trPr>
          <w:jc w:val="center"/>
        </w:trPr>
        <w:tc>
          <w:tcPr>
            <w:tcW w:w="999" w:type="dxa"/>
            <w:gridSpan w:val="2"/>
          </w:tcPr>
          <w:p w14:paraId="6E4233C1" w14:textId="73ADD6F5" w:rsidR="0096460E" w:rsidRPr="007D68B2" w:rsidRDefault="0096460E" w:rsidP="0096460E">
            <w:pPr>
              <w:pStyle w:val="TableBody"/>
              <w:jc w:val="left"/>
            </w:pPr>
            <w:r w:rsidRPr="007D68B2">
              <w:t>No</w:t>
            </w:r>
            <w:r>
              <w:t>t-DV</w:t>
            </w:r>
          </w:p>
        </w:tc>
        <w:tc>
          <w:tcPr>
            <w:tcW w:w="1117" w:type="dxa"/>
          </w:tcPr>
          <w:p w14:paraId="7CC87556" w14:textId="331C146A" w:rsidR="0096460E" w:rsidRPr="007D68B2" w:rsidRDefault="0096460E" w:rsidP="00BC3CD1">
            <w:pPr>
              <w:pStyle w:val="TableBody"/>
            </w:pPr>
            <w:r>
              <w:t>R</w:t>
            </w:r>
            <w:r w:rsidRPr="007D68B2">
              <w:t>ef</w:t>
            </w:r>
          </w:p>
        </w:tc>
        <w:tc>
          <w:tcPr>
            <w:tcW w:w="236" w:type="dxa"/>
          </w:tcPr>
          <w:p w14:paraId="314A58C2" w14:textId="77777777" w:rsidR="0096460E" w:rsidRPr="007D68B2" w:rsidRDefault="0096460E" w:rsidP="00BC3CD1">
            <w:pPr>
              <w:pStyle w:val="TableBody"/>
            </w:pPr>
          </w:p>
        </w:tc>
        <w:tc>
          <w:tcPr>
            <w:tcW w:w="2259" w:type="dxa"/>
          </w:tcPr>
          <w:p w14:paraId="0C3BCF57" w14:textId="77777777" w:rsidR="0096460E" w:rsidRPr="007D68B2" w:rsidRDefault="0096460E" w:rsidP="00BC3CD1">
            <w:pPr>
              <w:pStyle w:val="TableBody"/>
            </w:pPr>
          </w:p>
        </w:tc>
      </w:tr>
      <w:tr w:rsidR="00D71D60" w:rsidRPr="007D68B2" w14:paraId="4F377368" w14:textId="77777777" w:rsidTr="0096460E">
        <w:trPr>
          <w:jc w:val="center"/>
        </w:trPr>
        <w:tc>
          <w:tcPr>
            <w:tcW w:w="763" w:type="dxa"/>
          </w:tcPr>
          <w:p w14:paraId="40CD9C74" w14:textId="2AB68A66" w:rsidR="00D71D60" w:rsidRPr="007D68B2" w:rsidRDefault="002C607D" w:rsidP="00BC3CD1">
            <w:pPr>
              <w:pStyle w:val="TableRowIndent"/>
            </w:pPr>
            <w:r>
              <w:t>DV</w:t>
            </w:r>
          </w:p>
        </w:tc>
        <w:tc>
          <w:tcPr>
            <w:tcW w:w="236" w:type="dxa"/>
          </w:tcPr>
          <w:p w14:paraId="2AF7EBF4" w14:textId="77777777" w:rsidR="00D71D60" w:rsidRPr="007D68B2" w:rsidRDefault="00D71D60" w:rsidP="00BC3CD1">
            <w:pPr>
              <w:pStyle w:val="TableBody"/>
            </w:pPr>
          </w:p>
        </w:tc>
        <w:tc>
          <w:tcPr>
            <w:tcW w:w="1117" w:type="dxa"/>
          </w:tcPr>
          <w:p w14:paraId="0423B301" w14:textId="77777777" w:rsidR="00D71D60" w:rsidRPr="007D68B2" w:rsidRDefault="00D71D60" w:rsidP="00BC3CD1">
            <w:pPr>
              <w:pStyle w:val="TableBody"/>
            </w:pPr>
            <w:r>
              <w:t>3.00</w:t>
            </w:r>
          </w:p>
        </w:tc>
        <w:tc>
          <w:tcPr>
            <w:tcW w:w="236" w:type="dxa"/>
          </w:tcPr>
          <w:p w14:paraId="6896EC27" w14:textId="77777777" w:rsidR="00D71D60" w:rsidRPr="007D68B2" w:rsidRDefault="00D71D60" w:rsidP="00BC3CD1">
            <w:pPr>
              <w:pStyle w:val="TableBody"/>
            </w:pPr>
          </w:p>
        </w:tc>
        <w:tc>
          <w:tcPr>
            <w:tcW w:w="2259" w:type="dxa"/>
          </w:tcPr>
          <w:p w14:paraId="00EE7641" w14:textId="77777777" w:rsidR="00D71D60" w:rsidRPr="007D68B2" w:rsidRDefault="00D71D60" w:rsidP="00BC3CD1">
            <w:pPr>
              <w:pStyle w:val="TableBody"/>
            </w:pPr>
            <w:r>
              <w:t>2.05 to 4.38</w:t>
            </w:r>
          </w:p>
        </w:tc>
      </w:tr>
      <w:tr w:rsidR="00D71D60" w:rsidRPr="007D68B2" w14:paraId="2D58879C" w14:textId="77777777" w:rsidTr="0098004D">
        <w:trPr>
          <w:jc w:val="center"/>
        </w:trPr>
        <w:tc>
          <w:tcPr>
            <w:tcW w:w="763" w:type="dxa"/>
            <w:shd w:val="clear" w:color="auto" w:fill="D9E2F3" w:themeFill="accent1" w:themeFillTint="33"/>
          </w:tcPr>
          <w:p w14:paraId="1D534323" w14:textId="77777777" w:rsidR="00D71D60" w:rsidRPr="007D68B2" w:rsidRDefault="00D71D60" w:rsidP="00392D73">
            <w:pPr>
              <w:pStyle w:val="TableHeader2"/>
              <w:ind w:left="0"/>
            </w:pPr>
            <w:r w:rsidRPr="007D68B2">
              <w:t>Year</w:t>
            </w:r>
            <w:r>
              <w:t xml:space="preserve"> </w:t>
            </w:r>
            <w:r w:rsidRPr="007D68B2">
              <w:t>4</w:t>
            </w:r>
          </w:p>
        </w:tc>
        <w:tc>
          <w:tcPr>
            <w:tcW w:w="236" w:type="dxa"/>
            <w:shd w:val="clear" w:color="auto" w:fill="D9E2F3" w:themeFill="accent1" w:themeFillTint="33"/>
          </w:tcPr>
          <w:p w14:paraId="1E434DD7" w14:textId="77777777" w:rsidR="00D71D60" w:rsidRPr="007D68B2" w:rsidRDefault="00D71D60" w:rsidP="00BC3CD1">
            <w:pPr>
              <w:pStyle w:val="TableHeader2"/>
            </w:pPr>
          </w:p>
        </w:tc>
        <w:tc>
          <w:tcPr>
            <w:tcW w:w="1117" w:type="dxa"/>
            <w:shd w:val="clear" w:color="auto" w:fill="D9E2F3" w:themeFill="accent1" w:themeFillTint="33"/>
          </w:tcPr>
          <w:p w14:paraId="170DE675" w14:textId="77777777" w:rsidR="00D71D60" w:rsidRPr="007D68B2" w:rsidRDefault="00D71D60" w:rsidP="00BC3CD1">
            <w:pPr>
              <w:pStyle w:val="TableHeader2"/>
            </w:pPr>
          </w:p>
        </w:tc>
        <w:tc>
          <w:tcPr>
            <w:tcW w:w="236" w:type="dxa"/>
            <w:shd w:val="clear" w:color="auto" w:fill="D9E2F3" w:themeFill="accent1" w:themeFillTint="33"/>
          </w:tcPr>
          <w:p w14:paraId="0B4ED692" w14:textId="77777777" w:rsidR="00D71D60" w:rsidRPr="007D68B2" w:rsidRDefault="00D71D60" w:rsidP="00BC3CD1">
            <w:pPr>
              <w:pStyle w:val="TableHeader2"/>
            </w:pPr>
          </w:p>
        </w:tc>
        <w:tc>
          <w:tcPr>
            <w:tcW w:w="2259" w:type="dxa"/>
            <w:shd w:val="clear" w:color="auto" w:fill="D9E2F3" w:themeFill="accent1" w:themeFillTint="33"/>
          </w:tcPr>
          <w:p w14:paraId="6A8A5E20" w14:textId="77777777" w:rsidR="00D71D60" w:rsidRPr="007D68B2" w:rsidRDefault="00D71D60" w:rsidP="00BC3CD1">
            <w:pPr>
              <w:pStyle w:val="TableHeader2"/>
            </w:pPr>
          </w:p>
        </w:tc>
      </w:tr>
      <w:tr w:rsidR="0096460E" w:rsidRPr="007D68B2" w14:paraId="365F489B" w14:textId="77777777" w:rsidTr="0098004D">
        <w:trPr>
          <w:jc w:val="center"/>
        </w:trPr>
        <w:tc>
          <w:tcPr>
            <w:tcW w:w="999" w:type="dxa"/>
            <w:gridSpan w:val="2"/>
          </w:tcPr>
          <w:p w14:paraId="03A5CBB6" w14:textId="245A123E" w:rsidR="0096460E" w:rsidRPr="007D68B2" w:rsidRDefault="0096460E" w:rsidP="0096460E">
            <w:pPr>
              <w:pStyle w:val="TableBody"/>
              <w:jc w:val="left"/>
            </w:pPr>
            <w:r w:rsidRPr="007D68B2">
              <w:t>No</w:t>
            </w:r>
            <w:r>
              <w:t>t-DV</w:t>
            </w:r>
          </w:p>
        </w:tc>
        <w:tc>
          <w:tcPr>
            <w:tcW w:w="1117" w:type="dxa"/>
          </w:tcPr>
          <w:p w14:paraId="0A84AF15" w14:textId="016D1A8F" w:rsidR="0096460E" w:rsidRPr="007D68B2" w:rsidRDefault="0096460E" w:rsidP="00BC3CD1">
            <w:pPr>
              <w:pStyle w:val="TableBody"/>
            </w:pPr>
            <w:r>
              <w:t>R</w:t>
            </w:r>
            <w:r w:rsidRPr="007D68B2">
              <w:t>ef</w:t>
            </w:r>
          </w:p>
        </w:tc>
        <w:tc>
          <w:tcPr>
            <w:tcW w:w="236" w:type="dxa"/>
          </w:tcPr>
          <w:p w14:paraId="1F3D6151" w14:textId="77777777" w:rsidR="0096460E" w:rsidRPr="007D68B2" w:rsidRDefault="0096460E" w:rsidP="00BC3CD1">
            <w:pPr>
              <w:pStyle w:val="TableBody"/>
            </w:pPr>
          </w:p>
        </w:tc>
        <w:tc>
          <w:tcPr>
            <w:tcW w:w="2259" w:type="dxa"/>
          </w:tcPr>
          <w:p w14:paraId="10CB2C1B" w14:textId="77777777" w:rsidR="0096460E" w:rsidRPr="007D68B2" w:rsidRDefault="0096460E" w:rsidP="00BC3CD1">
            <w:pPr>
              <w:pStyle w:val="TableBody"/>
            </w:pPr>
          </w:p>
        </w:tc>
      </w:tr>
      <w:tr w:rsidR="00D71D60" w:rsidRPr="007D68B2" w14:paraId="6063C5D8" w14:textId="77777777" w:rsidTr="0096460E">
        <w:trPr>
          <w:jc w:val="center"/>
        </w:trPr>
        <w:tc>
          <w:tcPr>
            <w:tcW w:w="763" w:type="dxa"/>
          </w:tcPr>
          <w:p w14:paraId="00713B8D" w14:textId="37E83A54" w:rsidR="00D71D60" w:rsidRPr="007D68B2" w:rsidRDefault="002C607D" w:rsidP="00BC3CD1">
            <w:pPr>
              <w:pStyle w:val="TableRowIndent"/>
            </w:pPr>
            <w:r>
              <w:t>DV</w:t>
            </w:r>
          </w:p>
        </w:tc>
        <w:tc>
          <w:tcPr>
            <w:tcW w:w="236" w:type="dxa"/>
          </w:tcPr>
          <w:p w14:paraId="13065084" w14:textId="77777777" w:rsidR="00D71D60" w:rsidRPr="007D68B2" w:rsidRDefault="00D71D60" w:rsidP="00BC3CD1">
            <w:pPr>
              <w:pStyle w:val="TableBody"/>
            </w:pPr>
          </w:p>
        </w:tc>
        <w:tc>
          <w:tcPr>
            <w:tcW w:w="1117" w:type="dxa"/>
          </w:tcPr>
          <w:p w14:paraId="744B8595" w14:textId="77777777" w:rsidR="00D71D60" w:rsidRPr="007D68B2" w:rsidRDefault="00D71D60" w:rsidP="00BC3CD1">
            <w:pPr>
              <w:pStyle w:val="TableBody"/>
            </w:pPr>
            <w:r>
              <w:t>2.42</w:t>
            </w:r>
          </w:p>
        </w:tc>
        <w:tc>
          <w:tcPr>
            <w:tcW w:w="236" w:type="dxa"/>
          </w:tcPr>
          <w:p w14:paraId="1050A23A" w14:textId="77777777" w:rsidR="00D71D60" w:rsidRPr="007D68B2" w:rsidRDefault="00D71D60" w:rsidP="00BC3CD1">
            <w:pPr>
              <w:pStyle w:val="TableBody"/>
            </w:pPr>
          </w:p>
        </w:tc>
        <w:tc>
          <w:tcPr>
            <w:tcW w:w="2259" w:type="dxa"/>
          </w:tcPr>
          <w:p w14:paraId="006C34F6" w14:textId="77777777" w:rsidR="00D71D60" w:rsidRPr="007D68B2" w:rsidRDefault="00D71D60" w:rsidP="00BC3CD1">
            <w:pPr>
              <w:pStyle w:val="TableBody"/>
            </w:pPr>
            <w:r>
              <w:t>1.63 to 3.59</w:t>
            </w:r>
          </w:p>
        </w:tc>
      </w:tr>
      <w:tr w:rsidR="00D71D60" w:rsidRPr="007D68B2" w14:paraId="025672F4" w14:textId="77777777" w:rsidTr="0098004D">
        <w:trPr>
          <w:jc w:val="center"/>
        </w:trPr>
        <w:tc>
          <w:tcPr>
            <w:tcW w:w="763" w:type="dxa"/>
            <w:shd w:val="clear" w:color="auto" w:fill="D9E2F3" w:themeFill="accent1" w:themeFillTint="33"/>
          </w:tcPr>
          <w:p w14:paraId="6EA9CFF9" w14:textId="77777777" w:rsidR="00D71D60" w:rsidRPr="007D68B2" w:rsidRDefault="00D71D60" w:rsidP="00392D73">
            <w:pPr>
              <w:pStyle w:val="TableHeader2"/>
              <w:ind w:left="0"/>
            </w:pPr>
            <w:r w:rsidRPr="007D68B2">
              <w:t xml:space="preserve">Year </w:t>
            </w:r>
            <w:r>
              <w:t>5</w:t>
            </w:r>
          </w:p>
        </w:tc>
        <w:tc>
          <w:tcPr>
            <w:tcW w:w="236" w:type="dxa"/>
            <w:shd w:val="clear" w:color="auto" w:fill="D9E2F3" w:themeFill="accent1" w:themeFillTint="33"/>
          </w:tcPr>
          <w:p w14:paraId="039C81DD" w14:textId="77777777" w:rsidR="00D71D60" w:rsidRPr="007D68B2" w:rsidRDefault="00D71D60" w:rsidP="00BC3CD1">
            <w:pPr>
              <w:pStyle w:val="TableHeader2"/>
            </w:pPr>
          </w:p>
        </w:tc>
        <w:tc>
          <w:tcPr>
            <w:tcW w:w="1117" w:type="dxa"/>
            <w:shd w:val="clear" w:color="auto" w:fill="D9E2F3" w:themeFill="accent1" w:themeFillTint="33"/>
          </w:tcPr>
          <w:p w14:paraId="262EBF3F" w14:textId="77777777" w:rsidR="00D71D60" w:rsidRPr="007D68B2" w:rsidRDefault="00D71D60" w:rsidP="00BC3CD1">
            <w:pPr>
              <w:pStyle w:val="TableHeader2"/>
            </w:pPr>
          </w:p>
        </w:tc>
        <w:tc>
          <w:tcPr>
            <w:tcW w:w="236" w:type="dxa"/>
            <w:shd w:val="clear" w:color="auto" w:fill="D9E2F3" w:themeFill="accent1" w:themeFillTint="33"/>
          </w:tcPr>
          <w:p w14:paraId="6A6BA40F" w14:textId="77777777" w:rsidR="00D71D60" w:rsidRPr="007D68B2" w:rsidRDefault="00D71D60" w:rsidP="00BC3CD1">
            <w:pPr>
              <w:pStyle w:val="TableHeader2"/>
            </w:pPr>
          </w:p>
        </w:tc>
        <w:tc>
          <w:tcPr>
            <w:tcW w:w="2259" w:type="dxa"/>
            <w:shd w:val="clear" w:color="auto" w:fill="D9E2F3" w:themeFill="accent1" w:themeFillTint="33"/>
          </w:tcPr>
          <w:p w14:paraId="3E81BAED" w14:textId="77777777" w:rsidR="00D71D60" w:rsidRPr="007D68B2" w:rsidRDefault="00D71D60" w:rsidP="00BC3CD1">
            <w:pPr>
              <w:pStyle w:val="TableHeader2"/>
            </w:pPr>
          </w:p>
        </w:tc>
      </w:tr>
      <w:tr w:rsidR="0096460E" w:rsidRPr="007D68B2" w14:paraId="5366370E" w14:textId="77777777" w:rsidTr="0098004D">
        <w:trPr>
          <w:jc w:val="center"/>
        </w:trPr>
        <w:tc>
          <w:tcPr>
            <w:tcW w:w="999" w:type="dxa"/>
            <w:gridSpan w:val="2"/>
          </w:tcPr>
          <w:p w14:paraId="01AB4B7E" w14:textId="0A3CC91C" w:rsidR="0096460E" w:rsidRPr="007D68B2" w:rsidRDefault="0096460E" w:rsidP="0096460E">
            <w:pPr>
              <w:pStyle w:val="TableBody"/>
              <w:jc w:val="left"/>
            </w:pPr>
            <w:r w:rsidRPr="007D68B2">
              <w:t>No</w:t>
            </w:r>
            <w:r>
              <w:t>t-DV</w:t>
            </w:r>
          </w:p>
        </w:tc>
        <w:tc>
          <w:tcPr>
            <w:tcW w:w="1117" w:type="dxa"/>
          </w:tcPr>
          <w:p w14:paraId="237BC797" w14:textId="17365A6E" w:rsidR="0096460E" w:rsidRPr="007D68B2" w:rsidRDefault="0096460E" w:rsidP="00BC3CD1">
            <w:pPr>
              <w:pStyle w:val="TableBody"/>
            </w:pPr>
            <w:r>
              <w:t>R</w:t>
            </w:r>
            <w:r w:rsidRPr="007D68B2">
              <w:t>ef</w:t>
            </w:r>
          </w:p>
        </w:tc>
        <w:tc>
          <w:tcPr>
            <w:tcW w:w="236" w:type="dxa"/>
          </w:tcPr>
          <w:p w14:paraId="5EA4A2C7" w14:textId="77777777" w:rsidR="0096460E" w:rsidRPr="007D68B2" w:rsidRDefault="0096460E" w:rsidP="00BC3CD1">
            <w:pPr>
              <w:pStyle w:val="TableBody"/>
            </w:pPr>
          </w:p>
        </w:tc>
        <w:tc>
          <w:tcPr>
            <w:tcW w:w="2259" w:type="dxa"/>
          </w:tcPr>
          <w:p w14:paraId="6D05A29A" w14:textId="77777777" w:rsidR="0096460E" w:rsidRPr="007D68B2" w:rsidRDefault="0096460E" w:rsidP="00BC3CD1">
            <w:pPr>
              <w:pStyle w:val="TableBody"/>
            </w:pPr>
          </w:p>
        </w:tc>
      </w:tr>
      <w:tr w:rsidR="00D71D60" w:rsidRPr="007D68B2" w14:paraId="583843A0" w14:textId="77777777" w:rsidTr="0096460E">
        <w:trPr>
          <w:jc w:val="center"/>
        </w:trPr>
        <w:tc>
          <w:tcPr>
            <w:tcW w:w="763" w:type="dxa"/>
          </w:tcPr>
          <w:p w14:paraId="135B029C" w14:textId="63128919" w:rsidR="00D71D60" w:rsidRPr="007D68B2" w:rsidRDefault="002C607D" w:rsidP="00BC3CD1">
            <w:pPr>
              <w:pStyle w:val="TableRowIndent"/>
            </w:pPr>
            <w:r>
              <w:t>DV</w:t>
            </w:r>
          </w:p>
        </w:tc>
        <w:tc>
          <w:tcPr>
            <w:tcW w:w="236" w:type="dxa"/>
          </w:tcPr>
          <w:p w14:paraId="257FCB14" w14:textId="77777777" w:rsidR="00D71D60" w:rsidRPr="007D68B2" w:rsidRDefault="00D71D60" w:rsidP="00BC3CD1">
            <w:pPr>
              <w:pStyle w:val="TableBody"/>
            </w:pPr>
          </w:p>
        </w:tc>
        <w:tc>
          <w:tcPr>
            <w:tcW w:w="1117" w:type="dxa"/>
          </w:tcPr>
          <w:p w14:paraId="329E7EC8" w14:textId="77777777" w:rsidR="00D71D60" w:rsidRPr="007D68B2" w:rsidRDefault="00D71D60" w:rsidP="00BC3CD1">
            <w:pPr>
              <w:pStyle w:val="TableBody"/>
            </w:pPr>
            <w:r>
              <w:t>1.92</w:t>
            </w:r>
          </w:p>
        </w:tc>
        <w:tc>
          <w:tcPr>
            <w:tcW w:w="236" w:type="dxa"/>
          </w:tcPr>
          <w:p w14:paraId="05728132" w14:textId="77777777" w:rsidR="00D71D60" w:rsidRPr="007D68B2" w:rsidRDefault="00D71D60" w:rsidP="00BC3CD1">
            <w:pPr>
              <w:pStyle w:val="TableBody"/>
            </w:pPr>
          </w:p>
        </w:tc>
        <w:tc>
          <w:tcPr>
            <w:tcW w:w="2259" w:type="dxa"/>
          </w:tcPr>
          <w:p w14:paraId="14D31A08" w14:textId="77777777" w:rsidR="00D71D60" w:rsidRPr="007D68B2" w:rsidRDefault="00D71D60" w:rsidP="00BC3CD1">
            <w:pPr>
              <w:pStyle w:val="TableBody"/>
            </w:pPr>
            <w:r>
              <w:t>1.34 to 2.76</w:t>
            </w:r>
          </w:p>
        </w:tc>
      </w:tr>
      <w:tr w:rsidR="00D71D60" w:rsidRPr="007D68B2" w14:paraId="1A4F6C83" w14:textId="77777777" w:rsidTr="0098004D">
        <w:trPr>
          <w:jc w:val="center"/>
        </w:trPr>
        <w:tc>
          <w:tcPr>
            <w:tcW w:w="763" w:type="dxa"/>
            <w:shd w:val="clear" w:color="auto" w:fill="D9E2F3" w:themeFill="accent1" w:themeFillTint="33"/>
          </w:tcPr>
          <w:p w14:paraId="01872A2E" w14:textId="77777777" w:rsidR="00D71D60" w:rsidRPr="007D68B2" w:rsidRDefault="00D71D60" w:rsidP="00392D73">
            <w:pPr>
              <w:pStyle w:val="TableHeader2"/>
              <w:ind w:left="0"/>
            </w:pPr>
            <w:r w:rsidRPr="007D68B2">
              <w:t>Year 6</w:t>
            </w:r>
          </w:p>
        </w:tc>
        <w:tc>
          <w:tcPr>
            <w:tcW w:w="236" w:type="dxa"/>
            <w:shd w:val="clear" w:color="auto" w:fill="D9E2F3" w:themeFill="accent1" w:themeFillTint="33"/>
          </w:tcPr>
          <w:p w14:paraId="3969E8CC" w14:textId="77777777" w:rsidR="00D71D60" w:rsidRPr="007D68B2" w:rsidRDefault="00D71D60" w:rsidP="00BC3CD1">
            <w:pPr>
              <w:pStyle w:val="TableHeader2"/>
            </w:pPr>
          </w:p>
        </w:tc>
        <w:tc>
          <w:tcPr>
            <w:tcW w:w="1117" w:type="dxa"/>
            <w:shd w:val="clear" w:color="auto" w:fill="D9E2F3" w:themeFill="accent1" w:themeFillTint="33"/>
          </w:tcPr>
          <w:p w14:paraId="2F14BBE5" w14:textId="77777777" w:rsidR="00D71D60" w:rsidRPr="007D68B2" w:rsidRDefault="00D71D60" w:rsidP="00BC3CD1">
            <w:pPr>
              <w:pStyle w:val="TableHeader2"/>
            </w:pPr>
          </w:p>
        </w:tc>
        <w:tc>
          <w:tcPr>
            <w:tcW w:w="236" w:type="dxa"/>
            <w:shd w:val="clear" w:color="auto" w:fill="D9E2F3" w:themeFill="accent1" w:themeFillTint="33"/>
          </w:tcPr>
          <w:p w14:paraId="497900B4" w14:textId="77777777" w:rsidR="00D71D60" w:rsidRPr="007D68B2" w:rsidRDefault="00D71D60" w:rsidP="00BC3CD1">
            <w:pPr>
              <w:pStyle w:val="TableHeader2"/>
            </w:pPr>
          </w:p>
        </w:tc>
        <w:tc>
          <w:tcPr>
            <w:tcW w:w="2259" w:type="dxa"/>
            <w:shd w:val="clear" w:color="auto" w:fill="D9E2F3" w:themeFill="accent1" w:themeFillTint="33"/>
          </w:tcPr>
          <w:p w14:paraId="421CE24A" w14:textId="77777777" w:rsidR="00D71D60" w:rsidRPr="007D68B2" w:rsidRDefault="00D71D60" w:rsidP="00BC3CD1">
            <w:pPr>
              <w:pStyle w:val="TableHeader2"/>
            </w:pPr>
          </w:p>
        </w:tc>
      </w:tr>
      <w:tr w:rsidR="0096460E" w:rsidRPr="007D68B2" w14:paraId="7E20C7B3" w14:textId="77777777" w:rsidTr="0098004D">
        <w:trPr>
          <w:jc w:val="center"/>
        </w:trPr>
        <w:tc>
          <w:tcPr>
            <w:tcW w:w="999" w:type="dxa"/>
            <w:gridSpan w:val="2"/>
          </w:tcPr>
          <w:p w14:paraId="228F5ED3" w14:textId="05EE5539" w:rsidR="0096460E" w:rsidRPr="007D68B2" w:rsidRDefault="0096460E" w:rsidP="0096460E">
            <w:pPr>
              <w:pStyle w:val="TableBody"/>
              <w:jc w:val="left"/>
            </w:pPr>
            <w:r w:rsidRPr="007D68B2">
              <w:t>No</w:t>
            </w:r>
            <w:r>
              <w:t>t-DV</w:t>
            </w:r>
          </w:p>
        </w:tc>
        <w:tc>
          <w:tcPr>
            <w:tcW w:w="1117" w:type="dxa"/>
          </w:tcPr>
          <w:p w14:paraId="71357820" w14:textId="4C069DE2" w:rsidR="0096460E" w:rsidRPr="007D68B2" w:rsidRDefault="0096460E" w:rsidP="00BC3CD1">
            <w:pPr>
              <w:pStyle w:val="TableBody"/>
            </w:pPr>
            <w:r>
              <w:t>R</w:t>
            </w:r>
            <w:r w:rsidRPr="007D68B2">
              <w:t>ef</w:t>
            </w:r>
          </w:p>
        </w:tc>
        <w:tc>
          <w:tcPr>
            <w:tcW w:w="236" w:type="dxa"/>
          </w:tcPr>
          <w:p w14:paraId="2B4E5BA9" w14:textId="77777777" w:rsidR="0096460E" w:rsidRPr="007D68B2" w:rsidRDefault="0096460E" w:rsidP="00BC3CD1">
            <w:pPr>
              <w:pStyle w:val="TableBody"/>
            </w:pPr>
          </w:p>
        </w:tc>
        <w:tc>
          <w:tcPr>
            <w:tcW w:w="2259" w:type="dxa"/>
          </w:tcPr>
          <w:p w14:paraId="781F3BEE" w14:textId="77777777" w:rsidR="0096460E" w:rsidRPr="007D68B2" w:rsidRDefault="0096460E" w:rsidP="00BC3CD1">
            <w:pPr>
              <w:pStyle w:val="TableBody"/>
            </w:pPr>
          </w:p>
        </w:tc>
      </w:tr>
      <w:tr w:rsidR="00D71D60" w:rsidRPr="007D68B2" w14:paraId="52C14FDC" w14:textId="77777777" w:rsidTr="0096460E">
        <w:trPr>
          <w:jc w:val="center"/>
        </w:trPr>
        <w:tc>
          <w:tcPr>
            <w:tcW w:w="763" w:type="dxa"/>
          </w:tcPr>
          <w:p w14:paraId="4A9A15FD" w14:textId="59226317" w:rsidR="00D71D60" w:rsidRPr="007D68B2" w:rsidRDefault="002C607D" w:rsidP="00BC3CD1">
            <w:pPr>
              <w:pStyle w:val="TableRowIndent"/>
            </w:pPr>
            <w:r>
              <w:t>DV</w:t>
            </w:r>
          </w:p>
        </w:tc>
        <w:tc>
          <w:tcPr>
            <w:tcW w:w="236" w:type="dxa"/>
          </w:tcPr>
          <w:p w14:paraId="144A5D69" w14:textId="77777777" w:rsidR="00D71D60" w:rsidRPr="007D68B2" w:rsidRDefault="00D71D60" w:rsidP="00BC3CD1">
            <w:pPr>
              <w:pStyle w:val="TableBody"/>
            </w:pPr>
          </w:p>
        </w:tc>
        <w:tc>
          <w:tcPr>
            <w:tcW w:w="1117" w:type="dxa"/>
          </w:tcPr>
          <w:p w14:paraId="03EE381A" w14:textId="77777777" w:rsidR="00D71D60" w:rsidRPr="007D68B2" w:rsidRDefault="00D71D60" w:rsidP="00BC3CD1">
            <w:pPr>
              <w:pStyle w:val="TableBody"/>
            </w:pPr>
            <w:r>
              <w:t>2.15</w:t>
            </w:r>
          </w:p>
        </w:tc>
        <w:tc>
          <w:tcPr>
            <w:tcW w:w="236" w:type="dxa"/>
          </w:tcPr>
          <w:p w14:paraId="64EADE56" w14:textId="77777777" w:rsidR="00D71D60" w:rsidRPr="007D68B2" w:rsidRDefault="00D71D60" w:rsidP="00BC3CD1">
            <w:pPr>
              <w:pStyle w:val="TableBody"/>
            </w:pPr>
          </w:p>
        </w:tc>
        <w:tc>
          <w:tcPr>
            <w:tcW w:w="2259" w:type="dxa"/>
          </w:tcPr>
          <w:p w14:paraId="21607F7B" w14:textId="77777777" w:rsidR="00D71D60" w:rsidRPr="007D68B2" w:rsidRDefault="00D71D60" w:rsidP="00BC3CD1">
            <w:pPr>
              <w:pStyle w:val="TableBody"/>
            </w:pPr>
            <w:r>
              <w:t>1.42 to 3.24</w:t>
            </w:r>
          </w:p>
        </w:tc>
      </w:tr>
    </w:tbl>
    <w:p w14:paraId="064DD86A" w14:textId="7921E97C" w:rsidR="00F40603" w:rsidRDefault="00F40603" w:rsidP="00D71D60">
      <w:pPr>
        <w:pStyle w:val="Belowtablecaption"/>
        <w:ind w:left="2552"/>
      </w:pPr>
      <w:r w:rsidRPr="006B1BCD">
        <w:t>Analysis controlled for gender, SES and age</w:t>
      </w:r>
      <w:r w:rsidR="00D71D60">
        <w:br/>
      </w:r>
    </w:p>
    <w:p w14:paraId="45808153" w14:textId="77777777" w:rsidR="004F2E7B" w:rsidRDefault="004F2E7B">
      <w:pPr>
        <w:spacing w:after="0" w:line="240" w:lineRule="auto"/>
        <w:rPr>
          <w:rFonts w:eastAsiaTheme="minorEastAsia" w:cs="ArialMT"/>
          <w:b/>
          <w:bCs/>
          <w:color w:val="222A35" w:themeColor="text2" w:themeShade="80"/>
          <w:sz w:val="18"/>
          <w:szCs w:val="18"/>
        </w:rPr>
      </w:pPr>
      <w:r>
        <w:br w:type="page"/>
      </w:r>
    </w:p>
    <w:p w14:paraId="72A30EAE" w14:textId="7F329668" w:rsidR="00F40603" w:rsidRDefault="00D71D60" w:rsidP="007F76A2">
      <w:pPr>
        <w:pStyle w:val="Caption"/>
        <w:spacing w:before="0"/>
        <w:rPr>
          <w:lang w:eastAsia="en-AU"/>
        </w:rPr>
      </w:pPr>
      <w:bookmarkStart w:id="86" w:name="_Ref501114377"/>
      <w:bookmarkStart w:id="87" w:name="_Toc503780747"/>
      <w:r>
        <w:t xml:space="preserve">Table </w:t>
      </w:r>
      <w:r>
        <w:fldChar w:fldCharType="begin"/>
      </w:r>
      <w:r>
        <w:instrText xml:space="preserve"> SEQ Table \* ARABIC </w:instrText>
      </w:r>
      <w:r>
        <w:fldChar w:fldCharType="separate"/>
      </w:r>
      <w:r w:rsidR="004C27B3">
        <w:rPr>
          <w:noProof/>
        </w:rPr>
        <w:t>7</w:t>
      </w:r>
      <w:r>
        <w:fldChar w:fldCharType="end"/>
      </w:r>
      <w:bookmarkEnd w:id="86"/>
      <w:r>
        <w:t xml:space="preserve">. </w:t>
      </w:r>
      <w:r w:rsidRPr="00360BCA">
        <w:t xml:space="preserve">Likelihood of </w:t>
      </w:r>
      <w:r>
        <w:t>low subjective</w:t>
      </w:r>
      <w:r w:rsidRPr="00360BCA">
        <w:t xml:space="preserve"> wellbeing in Year 3, 4, 5, 6 and 7 associated with developmental vulnerability status.</w:t>
      </w:r>
      <w:bookmarkEnd w:id="87"/>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Caption w:val="Table 7. Likelihood of low subjective wellbeing in Year 3, 4, 5,6 and 7 associated with developmental vulnerability status"/>
      </w:tblPr>
      <w:tblGrid>
        <w:gridCol w:w="763"/>
        <w:gridCol w:w="236"/>
        <w:gridCol w:w="1117"/>
        <w:gridCol w:w="236"/>
        <w:gridCol w:w="2259"/>
      </w:tblGrid>
      <w:tr w:rsidR="00D71D60" w:rsidRPr="007D68B2" w14:paraId="48DEA526" w14:textId="77777777" w:rsidTr="0096460E">
        <w:trPr>
          <w:jc w:val="center"/>
        </w:trPr>
        <w:tc>
          <w:tcPr>
            <w:tcW w:w="763" w:type="dxa"/>
            <w:shd w:val="clear" w:color="auto" w:fill="0070C0"/>
          </w:tcPr>
          <w:p w14:paraId="55DB349B" w14:textId="77777777" w:rsidR="00D71D60" w:rsidRPr="007D68B2" w:rsidRDefault="00D71D60" w:rsidP="00785532">
            <w:pPr>
              <w:pStyle w:val="TableHeader1"/>
            </w:pPr>
          </w:p>
        </w:tc>
        <w:tc>
          <w:tcPr>
            <w:tcW w:w="236" w:type="dxa"/>
            <w:shd w:val="clear" w:color="auto" w:fill="0070C0"/>
          </w:tcPr>
          <w:p w14:paraId="557E0E2D" w14:textId="77777777" w:rsidR="00D71D60" w:rsidRPr="007D68B2" w:rsidRDefault="00D71D60" w:rsidP="00785532">
            <w:pPr>
              <w:pStyle w:val="TableHeader1"/>
            </w:pPr>
          </w:p>
        </w:tc>
        <w:tc>
          <w:tcPr>
            <w:tcW w:w="1117" w:type="dxa"/>
            <w:shd w:val="clear" w:color="auto" w:fill="0070C0"/>
          </w:tcPr>
          <w:p w14:paraId="5FF2B574" w14:textId="40C73C87" w:rsidR="00D71D60" w:rsidRPr="007746B4" w:rsidRDefault="00D71D60" w:rsidP="00785532">
            <w:pPr>
              <w:pStyle w:val="TableHeader1"/>
            </w:pPr>
            <w:r w:rsidRPr="007746B4">
              <w:t>O</w:t>
            </w:r>
            <w:r w:rsidR="00F2716D" w:rsidRPr="007746B4">
              <w:t xml:space="preserve">dds </w:t>
            </w:r>
            <w:r w:rsidRPr="007746B4">
              <w:t>R</w:t>
            </w:r>
            <w:r w:rsidR="00F2716D" w:rsidRPr="007746B4">
              <w:t>atio</w:t>
            </w:r>
          </w:p>
        </w:tc>
        <w:tc>
          <w:tcPr>
            <w:tcW w:w="236" w:type="dxa"/>
            <w:shd w:val="clear" w:color="auto" w:fill="0070C0"/>
          </w:tcPr>
          <w:p w14:paraId="7D280C90" w14:textId="77777777" w:rsidR="00D71D60" w:rsidRPr="007746B4" w:rsidRDefault="00D71D60" w:rsidP="00785532">
            <w:pPr>
              <w:pStyle w:val="TableHeader1"/>
            </w:pPr>
          </w:p>
        </w:tc>
        <w:tc>
          <w:tcPr>
            <w:tcW w:w="2259" w:type="dxa"/>
            <w:shd w:val="clear" w:color="auto" w:fill="0070C0"/>
          </w:tcPr>
          <w:p w14:paraId="0476DFF6" w14:textId="172CEC8B" w:rsidR="00D71D60" w:rsidRPr="007D68B2" w:rsidRDefault="00D71D60" w:rsidP="00785532">
            <w:pPr>
              <w:pStyle w:val="TableHeader1"/>
            </w:pPr>
            <w:r w:rsidRPr="007746B4">
              <w:t>95% C</w:t>
            </w:r>
            <w:r w:rsidR="00F2716D" w:rsidRPr="007746B4">
              <w:t xml:space="preserve">onfidence </w:t>
            </w:r>
            <w:r w:rsidRPr="007746B4">
              <w:t>I</w:t>
            </w:r>
            <w:r w:rsidR="00F2716D" w:rsidRPr="007746B4">
              <w:t>nterval</w:t>
            </w:r>
          </w:p>
        </w:tc>
      </w:tr>
      <w:tr w:rsidR="00D71D60" w:rsidRPr="007D68B2" w14:paraId="39BB7824" w14:textId="77777777" w:rsidTr="0098004D">
        <w:trPr>
          <w:jc w:val="center"/>
        </w:trPr>
        <w:tc>
          <w:tcPr>
            <w:tcW w:w="763" w:type="dxa"/>
            <w:shd w:val="clear" w:color="auto" w:fill="D9E2F3" w:themeFill="accent1" w:themeFillTint="33"/>
          </w:tcPr>
          <w:p w14:paraId="20727A66" w14:textId="77777777" w:rsidR="00D71D60" w:rsidRPr="007D68B2" w:rsidRDefault="00D71D60" w:rsidP="0096460E">
            <w:pPr>
              <w:pStyle w:val="TableHeader2"/>
              <w:ind w:left="0"/>
            </w:pPr>
            <w:r w:rsidRPr="007D68B2">
              <w:t xml:space="preserve">Year </w:t>
            </w:r>
            <w:r>
              <w:t>3</w:t>
            </w:r>
          </w:p>
        </w:tc>
        <w:tc>
          <w:tcPr>
            <w:tcW w:w="236" w:type="dxa"/>
            <w:shd w:val="clear" w:color="auto" w:fill="D9E2F3" w:themeFill="accent1" w:themeFillTint="33"/>
          </w:tcPr>
          <w:p w14:paraId="62CE5B7E" w14:textId="77777777" w:rsidR="00D71D60" w:rsidRPr="007D68B2" w:rsidRDefault="00D71D60" w:rsidP="00BC3CD1">
            <w:pPr>
              <w:pStyle w:val="TableHeader2"/>
            </w:pPr>
          </w:p>
        </w:tc>
        <w:tc>
          <w:tcPr>
            <w:tcW w:w="1117" w:type="dxa"/>
            <w:shd w:val="clear" w:color="auto" w:fill="D9E2F3" w:themeFill="accent1" w:themeFillTint="33"/>
          </w:tcPr>
          <w:p w14:paraId="2198D2B5" w14:textId="77777777" w:rsidR="00D71D60" w:rsidRPr="007D68B2" w:rsidRDefault="00D71D60" w:rsidP="00BC3CD1">
            <w:pPr>
              <w:pStyle w:val="TableHeader2"/>
            </w:pPr>
          </w:p>
        </w:tc>
        <w:tc>
          <w:tcPr>
            <w:tcW w:w="236" w:type="dxa"/>
            <w:shd w:val="clear" w:color="auto" w:fill="D9E2F3" w:themeFill="accent1" w:themeFillTint="33"/>
          </w:tcPr>
          <w:p w14:paraId="7ED82CBC" w14:textId="77777777" w:rsidR="00D71D60" w:rsidRPr="007D68B2" w:rsidRDefault="00D71D60" w:rsidP="00BC3CD1">
            <w:pPr>
              <w:pStyle w:val="TableHeader2"/>
            </w:pPr>
          </w:p>
        </w:tc>
        <w:tc>
          <w:tcPr>
            <w:tcW w:w="2259" w:type="dxa"/>
            <w:shd w:val="clear" w:color="auto" w:fill="D9E2F3" w:themeFill="accent1" w:themeFillTint="33"/>
          </w:tcPr>
          <w:p w14:paraId="46393756" w14:textId="77777777" w:rsidR="00D71D60" w:rsidRPr="007D68B2" w:rsidRDefault="00D71D60" w:rsidP="00BC3CD1">
            <w:pPr>
              <w:pStyle w:val="TableHeader2"/>
            </w:pPr>
          </w:p>
        </w:tc>
      </w:tr>
      <w:tr w:rsidR="0096460E" w:rsidRPr="007D68B2" w14:paraId="78153BE0" w14:textId="77777777" w:rsidTr="0096460E">
        <w:trPr>
          <w:jc w:val="center"/>
        </w:trPr>
        <w:tc>
          <w:tcPr>
            <w:tcW w:w="999" w:type="dxa"/>
            <w:gridSpan w:val="2"/>
          </w:tcPr>
          <w:p w14:paraId="66BD0A59" w14:textId="6CE9D997" w:rsidR="0096460E" w:rsidRPr="007D68B2" w:rsidRDefault="0096460E" w:rsidP="0096460E">
            <w:pPr>
              <w:pStyle w:val="TableBody"/>
              <w:jc w:val="left"/>
            </w:pPr>
            <w:r w:rsidRPr="007D68B2">
              <w:t>No</w:t>
            </w:r>
            <w:r>
              <w:t>t-DV</w:t>
            </w:r>
          </w:p>
        </w:tc>
        <w:tc>
          <w:tcPr>
            <w:tcW w:w="1117" w:type="dxa"/>
          </w:tcPr>
          <w:p w14:paraId="7D42DE3B" w14:textId="1F6DDABC" w:rsidR="0096460E" w:rsidRPr="007D68B2" w:rsidRDefault="0096460E" w:rsidP="00BC3CD1">
            <w:pPr>
              <w:pStyle w:val="TableBody"/>
            </w:pPr>
            <w:r>
              <w:t>R</w:t>
            </w:r>
            <w:r w:rsidRPr="007D68B2">
              <w:t>ef</w:t>
            </w:r>
          </w:p>
        </w:tc>
        <w:tc>
          <w:tcPr>
            <w:tcW w:w="236" w:type="dxa"/>
          </w:tcPr>
          <w:p w14:paraId="09547ED7" w14:textId="77777777" w:rsidR="0096460E" w:rsidRPr="007D68B2" w:rsidRDefault="0096460E" w:rsidP="00BC3CD1">
            <w:pPr>
              <w:pStyle w:val="TableBody"/>
            </w:pPr>
          </w:p>
        </w:tc>
        <w:tc>
          <w:tcPr>
            <w:tcW w:w="2259" w:type="dxa"/>
          </w:tcPr>
          <w:p w14:paraId="0992A5E5" w14:textId="77777777" w:rsidR="0096460E" w:rsidRPr="007D68B2" w:rsidRDefault="0096460E" w:rsidP="00BC3CD1">
            <w:pPr>
              <w:pStyle w:val="TableBody"/>
            </w:pPr>
          </w:p>
        </w:tc>
      </w:tr>
      <w:tr w:rsidR="00D71D60" w:rsidRPr="007D68B2" w14:paraId="556D6F8C" w14:textId="77777777" w:rsidTr="0096460E">
        <w:trPr>
          <w:jc w:val="center"/>
        </w:trPr>
        <w:tc>
          <w:tcPr>
            <w:tcW w:w="763" w:type="dxa"/>
          </w:tcPr>
          <w:p w14:paraId="61A6FEC7" w14:textId="41F75176" w:rsidR="00D71D60" w:rsidRPr="007D68B2" w:rsidRDefault="00883F1E" w:rsidP="0096460E">
            <w:pPr>
              <w:pStyle w:val="TableRowIndent"/>
            </w:pPr>
            <w:r>
              <w:t>DV</w:t>
            </w:r>
          </w:p>
        </w:tc>
        <w:tc>
          <w:tcPr>
            <w:tcW w:w="236" w:type="dxa"/>
          </w:tcPr>
          <w:p w14:paraId="5E89029D" w14:textId="77777777" w:rsidR="00D71D60" w:rsidRPr="007D68B2" w:rsidRDefault="00D71D60" w:rsidP="00BC3CD1">
            <w:pPr>
              <w:pStyle w:val="TableBody"/>
            </w:pPr>
          </w:p>
        </w:tc>
        <w:tc>
          <w:tcPr>
            <w:tcW w:w="1117" w:type="dxa"/>
          </w:tcPr>
          <w:p w14:paraId="49363792" w14:textId="77777777" w:rsidR="00D71D60" w:rsidRPr="007D68B2" w:rsidRDefault="00D71D60" w:rsidP="00BC3CD1">
            <w:pPr>
              <w:pStyle w:val="TableBody"/>
            </w:pPr>
            <w:r>
              <w:t>1.57</w:t>
            </w:r>
          </w:p>
        </w:tc>
        <w:tc>
          <w:tcPr>
            <w:tcW w:w="236" w:type="dxa"/>
          </w:tcPr>
          <w:p w14:paraId="3FFEC384" w14:textId="77777777" w:rsidR="00D71D60" w:rsidRPr="007D68B2" w:rsidRDefault="00D71D60" w:rsidP="00BC3CD1">
            <w:pPr>
              <w:pStyle w:val="TableBody"/>
            </w:pPr>
          </w:p>
        </w:tc>
        <w:tc>
          <w:tcPr>
            <w:tcW w:w="2259" w:type="dxa"/>
          </w:tcPr>
          <w:p w14:paraId="2B9F72E0" w14:textId="77777777" w:rsidR="00D71D60" w:rsidRPr="007D68B2" w:rsidRDefault="00D71D60" w:rsidP="00BC3CD1">
            <w:pPr>
              <w:pStyle w:val="TableBody"/>
            </w:pPr>
            <w:r>
              <w:t>1.04 to 2.37</w:t>
            </w:r>
          </w:p>
        </w:tc>
      </w:tr>
      <w:tr w:rsidR="00D71D60" w:rsidRPr="007D68B2" w14:paraId="62BAB17F" w14:textId="77777777" w:rsidTr="0098004D">
        <w:trPr>
          <w:jc w:val="center"/>
        </w:trPr>
        <w:tc>
          <w:tcPr>
            <w:tcW w:w="763" w:type="dxa"/>
            <w:shd w:val="clear" w:color="auto" w:fill="D9E2F3" w:themeFill="accent1" w:themeFillTint="33"/>
          </w:tcPr>
          <w:p w14:paraId="625D2347" w14:textId="77777777" w:rsidR="00D71D60" w:rsidRPr="007D68B2" w:rsidRDefault="00D71D60" w:rsidP="0096460E">
            <w:pPr>
              <w:pStyle w:val="TableHeader2"/>
              <w:ind w:left="0"/>
            </w:pPr>
            <w:r w:rsidRPr="007D68B2">
              <w:t>Year</w:t>
            </w:r>
            <w:r>
              <w:t xml:space="preserve"> 4</w:t>
            </w:r>
          </w:p>
        </w:tc>
        <w:tc>
          <w:tcPr>
            <w:tcW w:w="236" w:type="dxa"/>
            <w:shd w:val="clear" w:color="auto" w:fill="D9E2F3" w:themeFill="accent1" w:themeFillTint="33"/>
          </w:tcPr>
          <w:p w14:paraId="2A1F3755" w14:textId="77777777" w:rsidR="00D71D60" w:rsidRPr="007D68B2" w:rsidRDefault="00D71D60" w:rsidP="00BC3CD1">
            <w:pPr>
              <w:pStyle w:val="TableHeader2"/>
            </w:pPr>
          </w:p>
        </w:tc>
        <w:tc>
          <w:tcPr>
            <w:tcW w:w="1117" w:type="dxa"/>
            <w:shd w:val="clear" w:color="auto" w:fill="D9E2F3" w:themeFill="accent1" w:themeFillTint="33"/>
          </w:tcPr>
          <w:p w14:paraId="0A9A77DF" w14:textId="77777777" w:rsidR="00D71D60" w:rsidRPr="007D68B2" w:rsidRDefault="00D71D60" w:rsidP="00BC3CD1">
            <w:pPr>
              <w:pStyle w:val="TableHeader2"/>
            </w:pPr>
          </w:p>
        </w:tc>
        <w:tc>
          <w:tcPr>
            <w:tcW w:w="236" w:type="dxa"/>
            <w:shd w:val="clear" w:color="auto" w:fill="D9E2F3" w:themeFill="accent1" w:themeFillTint="33"/>
          </w:tcPr>
          <w:p w14:paraId="62F55E22" w14:textId="77777777" w:rsidR="00D71D60" w:rsidRPr="007D68B2" w:rsidRDefault="00D71D60" w:rsidP="00BC3CD1">
            <w:pPr>
              <w:pStyle w:val="TableHeader2"/>
            </w:pPr>
          </w:p>
        </w:tc>
        <w:tc>
          <w:tcPr>
            <w:tcW w:w="2259" w:type="dxa"/>
            <w:shd w:val="clear" w:color="auto" w:fill="D9E2F3" w:themeFill="accent1" w:themeFillTint="33"/>
          </w:tcPr>
          <w:p w14:paraId="7A291A10" w14:textId="77777777" w:rsidR="00D71D60" w:rsidRPr="007D68B2" w:rsidRDefault="00D71D60" w:rsidP="00BC3CD1">
            <w:pPr>
              <w:pStyle w:val="TableHeader2"/>
            </w:pPr>
          </w:p>
        </w:tc>
      </w:tr>
      <w:tr w:rsidR="0096460E" w:rsidRPr="007D68B2" w14:paraId="3044E2D7" w14:textId="77777777" w:rsidTr="0098004D">
        <w:trPr>
          <w:jc w:val="center"/>
        </w:trPr>
        <w:tc>
          <w:tcPr>
            <w:tcW w:w="999" w:type="dxa"/>
            <w:gridSpan w:val="2"/>
          </w:tcPr>
          <w:p w14:paraId="1AC22F3C" w14:textId="656D868C" w:rsidR="0096460E" w:rsidRPr="007D68B2" w:rsidRDefault="0096460E" w:rsidP="0096460E">
            <w:pPr>
              <w:pStyle w:val="TableBody"/>
              <w:jc w:val="left"/>
            </w:pPr>
            <w:r>
              <w:t>Not-DV</w:t>
            </w:r>
          </w:p>
        </w:tc>
        <w:tc>
          <w:tcPr>
            <w:tcW w:w="1117" w:type="dxa"/>
          </w:tcPr>
          <w:p w14:paraId="269AD043" w14:textId="7A776642" w:rsidR="0096460E" w:rsidRPr="007D68B2" w:rsidRDefault="0096460E" w:rsidP="00BC3CD1">
            <w:pPr>
              <w:pStyle w:val="TableBody"/>
            </w:pPr>
            <w:r>
              <w:t>Ref</w:t>
            </w:r>
          </w:p>
        </w:tc>
        <w:tc>
          <w:tcPr>
            <w:tcW w:w="236" w:type="dxa"/>
          </w:tcPr>
          <w:p w14:paraId="1C346E69" w14:textId="77777777" w:rsidR="0096460E" w:rsidRPr="007D68B2" w:rsidRDefault="0096460E" w:rsidP="00BC3CD1">
            <w:pPr>
              <w:pStyle w:val="TableBody"/>
            </w:pPr>
          </w:p>
        </w:tc>
        <w:tc>
          <w:tcPr>
            <w:tcW w:w="2259" w:type="dxa"/>
          </w:tcPr>
          <w:p w14:paraId="227C8458" w14:textId="77777777" w:rsidR="0096460E" w:rsidRPr="007D68B2" w:rsidRDefault="0096460E" w:rsidP="00BC3CD1">
            <w:pPr>
              <w:pStyle w:val="TableBody"/>
            </w:pPr>
          </w:p>
        </w:tc>
      </w:tr>
      <w:tr w:rsidR="00D71D60" w:rsidRPr="007D68B2" w14:paraId="2E0F1C6A" w14:textId="77777777" w:rsidTr="0096460E">
        <w:trPr>
          <w:jc w:val="center"/>
        </w:trPr>
        <w:tc>
          <w:tcPr>
            <w:tcW w:w="763" w:type="dxa"/>
          </w:tcPr>
          <w:p w14:paraId="5DBF2BCB" w14:textId="4C0C6DB7" w:rsidR="00D71D60" w:rsidRPr="007D68B2" w:rsidRDefault="00883F1E" w:rsidP="0096460E">
            <w:pPr>
              <w:pStyle w:val="TableRowIndent"/>
            </w:pPr>
            <w:r>
              <w:t>DV</w:t>
            </w:r>
          </w:p>
        </w:tc>
        <w:tc>
          <w:tcPr>
            <w:tcW w:w="236" w:type="dxa"/>
          </w:tcPr>
          <w:p w14:paraId="09FFF4D9" w14:textId="77777777" w:rsidR="00D71D60" w:rsidRPr="007D68B2" w:rsidRDefault="00D71D60" w:rsidP="00BC3CD1">
            <w:pPr>
              <w:pStyle w:val="TableBody"/>
            </w:pPr>
          </w:p>
        </w:tc>
        <w:tc>
          <w:tcPr>
            <w:tcW w:w="1117" w:type="dxa"/>
          </w:tcPr>
          <w:p w14:paraId="3B60E41A" w14:textId="77777777" w:rsidR="00D71D60" w:rsidRPr="007D68B2" w:rsidRDefault="00D71D60" w:rsidP="00BC3CD1">
            <w:pPr>
              <w:pStyle w:val="TableBody"/>
            </w:pPr>
            <w:r>
              <w:t>1.74</w:t>
            </w:r>
          </w:p>
        </w:tc>
        <w:tc>
          <w:tcPr>
            <w:tcW w:w="236" w:type="dxa"/>
          </w:tcPr>
          <w:p w14:paraId="0F1B86ED" w14:textId="77777777" w:rsidR="00D71D60" w:rsidRPr="007D68B2" w:rsidRDefault="00D71D60" w:rsidP="00BC3CD1">
            <w:pPr>
              <w:pStyle w:val="TableBody"/>
            </w:pPr>
          </w:p>
        </w:tc>
        <w:tc>
          <w:tcPr>
            <w:tcW w:w="2259" w:type="dxa"/>
          </w:tcPr>
          <w:p w14:paraId="2E13DE88" w14:textId="77777777" w:rsidR="00D71D60" w:rsidRPr="007D68B2" w:rsidRDefault="00D71D60" w:rsidP="00BC3CD1">
            <w:pPr>
              <w:pStyle w:val="TableBody"/>
            </w:pPr>
            <w:r>
              <w:t>1.05 to 2.90</w:t>
            </w:r>
          </w:p>
        </w:tc>
      </w:tr>
      <w:tr w:rsidR="00D71D60" w:rsidRPr="007D68B2" w14:paraId="7CE65EC5" w14:textId="77777777" w:rsidTr="0098004D">
        <w:trPr>
          <w:jc w:val="center"/>
        </w:trPr>
        <w:tc>
          <w:tcPr>
            <w:tcW w:w="763" w:type="dxa"/>
            <w:shd w:val="clear" w:color="auto" w:fill="D9E2F3" w:themeFill="accent1" w:themeFillTint="33"/>
          </w:tcPr>
          <w:p w14:paraId="14C1CC07" w14:textId="77777777" w:rsidR="00D71D60" w:rsidRPr="007D68B2" w:rsidRDefault="00D71D60" w:rsidP="0096460E">
            <w:pPr>
              <w:pStyle w:val="TableHeader2"/>
              <w:ind w:left="0"/>
            </w:pPr>
            <w:r>
              <w:t>Year 5</w:t>
            </w:r>
          </w:p>
        </w:tc>
        <w:tc>
          <w:tcPr>
            <w:tcW w:w="236" w:type="dxa"/>
            <w:shd w:val="clear" w:color="auto" w:fill="D9E2F3" w:themeFill="accent1" w:themeFillTint="33"/>
          </w:tcPr>
          <w:p w14:paraId="69BCE0E3" w14:textId="77777777" w:rsidR="00D71D60" w:rsidRPr="007D68B2" w:rsidRDefault="00D71D60" w:rsidP="00BC3CD1">
            <w:pPr>
              <w:pStyle w:val="TableHeader2"/>
            </w:pPr>
          </w:p>
        </w:tc>
        <w:tc>
          <w:tcPr>
            <w:tcW w:w="1117" w:type="dxa"/>
            <w:shd w:val="clear" w:color="auto" w:fill="D9E2F3" w:themeFill="accent1" w:themeFillTint="33"/>
          </w:tcPr>
          <w:p w14:paraId="0E0C5516" w14:textId="77777777" w:rsidR="00D71D60" w:rsidRPr="007D68B2" w:rsidRDefault="00D71D60" w:rsidP="00BC3CD1">
            <w:pPr>
              <w:pStyle w:val="TableHeader2"/>
            </w:pPr>
          </w:p>
        </w:tc>
        <w:tc>
          <w:tcPr>
            <w:tcW w:w="236" w:type="dxa"/>
            <w:shd w:val="clear" w:color="auto" w:fill="D9E2F3" w:themeFill="accent1" w:themeFillTint="33"/>
          </w:tcPr>
          <w:p w14:paraId="0A28E0B2" w14:textId="77777777" w:rsidR="00D71D60" w:rsidRPr="007D68B2" w:rsidRDefault="00D71D60" w:rsidP="00BC3CD1">
            <w:pPr>
              <w:pStyle w:val="TableHeader2"/>
            </w:pPr>
          </w:p>
        </w:tc>
        <w:tc>
          <w:tcPr>
            <w:tcW w:w="2259" w:type="dxa"/>
            <w:shd w:val="clear" w:color="auto" w:fill="D9E2F3" w:themeFill="accent1" w:themeFillTint="33"/>
          </w:tcPr>
          <w:p w14:paraId="5D40CCE0" w14:textId="77777777" w:rsidR="00D71D60" w:rsidRPr="007D68B2" w:rsidRDefault="00D71D60" w:rsidP="00BC3CD1">
            <w:pPr>
              <w:pStyle w:val="TableHeader2"/>
            </w:pPr>
          </w:p>
        </w:tc>
      </w:tr>
      <w:tr w:rsidR="0096460E" w:rsidRPr="007D68B2" w14:paraId="535644A5" w14:textId="77777777" w:rsidTr="0098004D">
        <w:trPr>
          <w:jc w:val="center"/>
        </w:trPr>
        <w:tc>
          <w:tcPr>
            <w:tcW w:w="999" w:type="dxa"/>
            <w:gridSpan w:val="2"/>
          </w:tcPr>
          <w:p w14:paraId="0FC8B482" w14:textId="31DF2995" w:rsidR="0096460E" w:rsidRPr="007D68B2" w:rsidRDefault="0096460E" w:rsidP="0096460E">
            <w:pPr>
              <w:pStyle w:val="TableBody"/>
              <w:jc w:val="left"/>
            </w:pPr>
            <w:r w:rsidRPr="007D68B2">
              <w:t>No</w:t>
            </w:r>
            <w:r>
              <w:t>t-DV</w:t>
            </w:r>
          </w:p>
        </w:tc>
        <w:tc>
          <w:tcPr>
            <w:tcW w:w="1117" w:type="dxa"/>
          </w:tcPr>
          <w:p w14:paraId="21C185E4" w14:textId="3F274D98" w:rsidR="0096460E" w:rsidRPr="007D68B2" w:rsidRDefault="0096460E" w:rsidP="00BC3CD1">
            <w:pPr>
              <w:pStyle w:val="TableBody"/>
            </w:pPr>
            <w:r>
              <w:t>R</w:t>
            </w:r>
            <w:r w:rsidRPr="007D68B2">
              <w:t>ef</w:t>
            </w:r>
          </w:p>
        </w:tc>
        <w:tc>
          <w:tcPr>
            <w:tcW w:w="236" w:type="dxa"/>
          </w:tcPr>
          <w:p w14:paraId="183A4B2E" w14:textId="77777777" w:rsidR="0096460E" w:rsidRPr="007D68B2" w:rsidRDefault="0096460E" w:rsidP="00BC3CD1">
            <w:pPr>
              <w:pStyle w:val="TableBody"/>
            </w:pPr>
          </w:p>
        </w:tc>
        <w:tc>
          <w:tcPr>
            <w:tcW w:w="2259" w:type="dxa"/>
          </w:tcPr>
          <w:p w14:paraId="0F62E4E7" w14:textId="77777777" w:rsidR="0096460E" w:rsidRPr="007D68B2" w:rsidRDefault="0096460E" w:rsidP="00BC3CD1">
            <w:pPr>
              <w:pStyle w:val="TableBody"/>
            </w:pPr>
          </w:p>
        </w:tc>
      </w:tr>
      <w:tr w:rsidR="00D71D60" w:rsidRPr="007D68B2" w14:paraId="417D5AC8" w14:textId="77777777" w:rsidTr="0096460E">
        <w:trPr>
          <w:jc w:val="center"/>
        </w:trPr>
        <w:tc>
          <w:tcPr>
            <w:tcW w:w="763" w:type="dxa"/>
          </w:tcPr>
          <w:p w14:paraId="2F94416A" w14:textId="13D9D20F" w:rsidR="00D71D60" w:rsidRPr="007D68B2" w:rsidRDefault="00883F1E" w:rsidP="0096460E">
            <w:pPr>
              <w:pStyle w:val="TableRowIndent"/>
            </w:pPr>
            <w:r>
              <w:t>DV</w:t>
            </w:r>
          </w:p>
        </w:tc>
        <w:tc>
          <w:tcPr>
            <w:tcW w:w="236" w:type="dxa"/>
          </w:tcPr>
          <w:p w14:paraId="659E4052" w14:textId="77777777" w:rsidR="00D71D60" w:rsidRPr="007D68B2" w:rsidRDefault="00D71D60" w:rsidP="00BC3CD1">
            <w:pPr>
              <w:pStyle w:val="TableBody"/>
            </w:pPr>
          </w:p>
        </w:tc>
        <w:tc>
          <w:tcPr>
            <w:tcW w:w="1117" w:type="dxa"/>
          </w:tcPr>
          <w:p w14:paraId="03166834" w14:textId="77777777" w:rsidR="00D71D60" w:rsidRPr="007D68B2" w:rsidRDefault="00D71D60" w:rsidP="00BC3CD1">
            <w:pPr>
              <w:pStyle w:val="TableBody"/>
            </w:pPr>
            <w:r>
              <w:t>1.66</w:t>
            </w:r>
          </w:p>
        </w:tc>
        <w:tc>
          <w:tcPr>
            <w:tcW w:w="236" w:type="dxa"/>
          </w:tcPr>
          <w:p w14:paraId="0DA84146" w14:textId="77777777" w:rsidR="00D71D60" w:rsidRPr="007D68B2" w:rsidRDefault="00D71D60" w:rsidP="00BC3CD1">
            <w:pPr>
              <w:pStyle w:val="TableBody"/>
            </w:pPr>
          </w:p>
        </w:tc>
        <w:tc>
          <w:tcPr>
            <w:tcW w:w="2259" w:type="dxa"/>
          </w:tcPr>
          <w:p w14:paraId="0ADCDE9F" w14:textId="77777777" w:rsidR="00D71D60" w:rsidRPr="007D68B2" w:rsidRDefault="00D71D60" w:rsidP="00BC3CD1">
            <w:pPr>
              <w:pStyle w:val="TableBody"/>
            </w:pPr>
            <w:r>
              <w:t>1.12 to 2.48</w:t>
            </w:r>
          </w:p>
        </w:tc>
      </w:tr>
      <w:tr w:rsidR="00D71D60" w:rsidRPr="007D68B2" w14:paraId="2E18E696" w14:textId="77777777" w:rsidTr="0098004D">
        <w:trPr>
          <w:jc w:val="center"/>
        </w:trPr>
        <w:tc>
          <w:tcPr>
            <w:tcW w:w="763" w:type="dxa"/>
            <w:shd w:val="clear" w:color="auto" w:fill="D9E2F3" w:themeFill="accent1" w:themeFillTint="33"/>
          </w:tcPr>
          <w:p w14:paraId="01108AA5" w14:textId="77777777" w:rsidR="00D71D60" w:rsidRPr="007D68B2" w:rsidRDefault="00D71D60" w:rsidP="0096460E">
            <w:pPr>
              <w:pStyle w:val="TableHeader2"/>
              <w:ind w:left="0"/>
            </w:pPr>
            <w:r w:rsidRPr="007D68B2">
              <w:t xml:space="preserve">Year </w:t>
            </w:r>
            <w:r>
              <w:t>6</w:t>
            </w:r>
          </w:p>
        </w:tc>
        <w:tc>
          <w:tcPr>
            <w:tcW w:w="236" w:type="dxa"/>
            <w:shd w:val="clear" w:color="auto" w:fill="D9E2F3" w:themeFill="accent1" w:themeFillTint="33"/>
          </w:tcPr>
          <w:p w14:paraId="72A38333" w14:textId="77777777" w:rsidR="00D71D60" w:rsidRPr="007D68B2" w:rsidRDefault="00D71D60" w:rsidP="00BC3CD1">
            <w:pPr>
              <w:pStyle w:val="TableHeader2"/>
            </w:pPr>
          </w:p>
        </w:tc>
        <w:tc>
          <w:tcPr>
            <w:tcW w:w="1117" w:type="dxa"/>
            <w:shd w:val="clear" w:color="auto" w:fill="D9E2F3" w:themeFill="accent1" w:themeFillTint="33"/>
          </w:tcPr>
          <w:p w14:paraId="05ED42A1" w14:textId="77777777" w:rsidR="00D71D60" w:rsidRPr="007D68B2" w:rsidRDefault="00D71D60" w:rsidP="00BC3CD1">
            <w:pPr>
              <w:pStyle w:val="TableHeader2"/>
            </w:pPr>
          </w:p>
        </w:tc>
        <w:tc>
          <w:tcPr>
            <w:tcW w:w="236" w:type="dxa"/>
            <w:shd w:val="clear" w:color="auto" w:fill="D9E2F3" w:themeFill="accent1" w:themeFillTint="33"/>
          </w:tcPr>
          <w:p w14:paraId="7A21C651" w14:textId="77777777" w:rsidR="00D71D60" w:rsidRPr="007D68B2" w:rsidRDefault="00D71D60" w:rsidP="00BC3CD1">
            <w:pPr>
              <w:pStyle w:val="TableHeader2"/>
            </w:pPr>
          </w:p>
        </w:tc>
        <w:tc>
          <w:tcPr>
            <w:tcW w:w="2259" w:type="dxa"/>
            <w:shd w:val="clear" w:color="auto" w:fill="D9E2F3" w:themeFill="accent1" w:themeFillTint="33"/>
          </w:tcPr>
          <w:p w14:paraId="7CC21B97" w14:textId="77777777" w:rsidR="00D71D60" w:rsidRPr="007D68B2" w:rsidRDefault="00D71D60" w:rsidP="00BC3CD1">
            <w:pPr>
              <w:pStyle w:val="TableHeader2"/>
            </w:pPr>
          </w:p>
        </w:tc>
      </w:tr>
      <w:tr w:rsidR="0096460E" w:rsidRPr="007D68B2" w14:paraId="1F3F2EB3" w14:textId="77777777" w:rsidTr="0098004D">
        <w:trPr>
          <w:jc w:val="center"/>
        </w:trPr>
        <w:tc>
          <w:tcPr>
            <w:tcW w:w="999" w:type="dxa"/>
            <w:gridSpan w:val="2"/>
          </w:tcPr>
          <w:p w14:paraId="5ED395D0" w14:textId="702F304B" w:rsidR="0096460E" w:rsidRPr="007D68B2" w:rsidRDefault="0096460E" w:rsidP="0096460E">
            <w:pPr>
              <w:pStyle w:val="TableBody"/>
              <w:jc w:val="left"/>
            </w:pPr>
            <w:r w:rsidRPr="007D68B2">
              <w:t>No</w:t>
            </w:r>
            <w:r>
              <w:t>t-DV</w:t>
            </w:r>
          </w:p>
        </w:tc>
        <w:tc>
          <w:tcPr>
            <w:tcW w:w="1117" w:type="dxa"/>
          </w:tcPr>
          <w:p w14:paraId="76273CE1" w14:textId="4EC315CD" w:rsidR="0096460E" w:rsidRPr="007D68B2" w:rsidRDefault="0096460E" w:rsidP="00BC3CD1">
            <w:pPr>
              <w:pStyle w:val="TableBody"/>
            </w:pPr>
            <w:r>
              <w:t>R</w:t>
            </w:r>
            <w:r w:rsidRPr="007D68B2">
              <w:t>ef</w:t>
            </w:r>
          </w:p>
        </w:tc>
        <w:tc>
          <w:tcPr>
            <w:tcW w:w="236" w:type="dxa"/>
          </w:tcPr>
          <w:p w14:paraId="5A57684A" w14:textId="77777777" w:rsidR="0096460E" w:rsidRPr="007D68B2" w:rsidRDefault="0096460E" w:rsidP="00BC3CD1">
            <w:pPr>
              <w:pStyle w:val="TableBody"/>
            </w:pPr>
          </w:p>
        </w:tc>
        <w:tc>
          <w:tcPr>
            <w:tcW w:w="2259" w:type="dxa"/>
          </w:tcPr>
          <w:p w14:paraId="6648D617" w14:textId="77777777" w:rsidR="0096460E" w:rsidRPr="007D68B2" w:rsidRDefault="0096460E" w:rsidP="00BC3CD1">
            <w:pPr>
              <w:pStyle w:val="TableBody"/>
            </w:pPr>
          </w:p>
        </w:tc>
      </w:tr>
      <w:tr w:rsidR="00D71D60" w:rsidRPr="007D68B2" w14:paraId="7C103574" w14:textId="77777777" w:rsidTr="0096460E">
        <w:trPr>
          <w:jc w:val="center"/>
        </w:trPr>
        <w:tc>
          <w:tcPr>
            <w:tcW w:w="763" w:type="dxa"/>
          </w:tcPr>
          <w:p w14:paraId="55EF5561" w14:textId="265C555A" w:rsidR="00D71D60" w:rsidRPr="007D68B2" w:rsidRDefault="00883F1E" w:rsidP="0096460E">
            <w:pPr>
              <w:pStyle w:val="TableRowIndent"/>
            </w:pPr>
            <w:r>
              <w:t>DV</w:t>
            </w:r>
          </w:p>
        </w:tc>
        <w:tc>
          <w:tcPr>
            <w:tcW w:w="236" w:type="dxa"/>
          </w:tcPr>
          <w:p w14:paraId="59AB4799" w14:textId="77777777" w:rsidR="00D71D60" w:rsidRPr="007D68B2" w:rsidRDefault="00D71D60" w:rsidP="00BC3CD1">
            <w:pPr>
              <w:pStyle w:val="TableBody"/>
            </w:pPr>
          </w:p>
        </w:tc>
        <w:tc>
          <w:tcPr>
            <w:tcW w:w="1117" w:type="dxa"/>
          </w:tcPr>
          <w:p w14:paraId="1AE69EDD" w14:textId="77777777" w:rsidR="00D71D60" w:rsidRPr="007D68B2" w:rsidRDefault="00D71D60" w:rsidP="00BC3CD1">
            <w:pPr>
              <w:pStyle w:val="TableBody"/>
            </w:pPr>
            <w:r>
              <w:t>1.77</w:t>
            </w:r>
          </w:p>
        </w:tc>
        <w:tc>
          <w:tcPr>
            <w:tcW w:w="236" w:type="dxa"/>
          </w:tcPr>
          <w:p w14:paraId="1C693571" w14:textId="77777777" w:rsidR="00D71D60" w:rsidRPr="007D68B2" w:rsidRDefault="00D71D60" w:rsidP="00BC3CD1">
            <w:pPr>
              <w:pStyle w:val="TableBody"/>
            </w:pPr>
          </w:p>
        </w:tc>
        <w:tc>
          <w:tcPr>
            <w:tcW w:w="2259" w:type="dxa"/>
          </w:tcPr>
          <w:p w14:paraId="0B33E986" w14:textId="77777777" w:rsidR="00D71D60" w:rsidRPr="007D68B2" w:rsidRDefault="00D71D60" w:rsidP="00BC3CD1">
            <w:pPr>
              <w:pStyle w:val="TableBody"/>
            </w:pPr>
            <w:r>
              <w:t>1.14 to 2.75</w:t>
            </w:r>
          </w:p>
        </w:tc>
      </w:tr>
      <w:tr w:rsidR="00D71D60" w:rsidRPr="007D68B2" w14:paraId="37D57466" w14:textId="77777777" w:rsidTr="0098004D">
        <w:trPr>
          <w:jc w:val="center"/>
        </w:trPr>
        <w:tc>
          <w:tcPr>
            <w:tcW w:w="763" w:type="dxa"/>
            <w:shd w:val="clear" w:color="auto" w:fill="D9E2F3" w:themeFill="accent1" w:themeFillTint="33"/>
          </w:tcPr>
          <w:p w14:paraId="14DFAE6F" w14:textId="77777777" w:rsidR="00D71D60" w:rsidRPr="007D68B2" w:rsidRDefault="00D71D60" w:rsidP="0096460E">
            <w:pPr>
              <w:pStyle w:val="TableHeader2"/>
              <w:ind w:left="0"/>
            </w:pPr>
            <w:r w:rsidRPr="007D68B2">
              <w:t xml:space="preserve">Year </w:t>
            </w:r>
            <w:r>
              <w:t>7</w:t>
            </w:r>
          </w:p>
        </w:tc>
        <w:tc>
          <w:tcPr>
            <w:tcW w:w="236" w:type="dxa"/>
            <w:shd w:val="clear" w:color="auto" w:fill="D9E2F3" w:themeFill="accent1" w:themeFillTint="33"/>
          </w:tcPr>
          <w:p w14:paraId="6433A593" w14:textId="77777777" w:rsidR="00D71D60" w:rsidRPr="007D68B2" w:rsidRDefault="00D71D60" w:rsidP="00BC3CD1">
            <w:pPr>
              <w:pStyle w:val="TableHeader2"/>
            </w:pPr>
          </w:p>
        </w:tc>
        <w:tc>
          <w:tcPr>
            <w:tcW w:w="1117" w:type="dxa"/>
            <w:shd w:val="clear" w:color="auto" w:fill="D9E2F3" w:themeFill="accent1" w:themeFillTint="33"/>
          </w:tcPr>
          <w:p w14:paraId="2C63DCA8" w14:textId="77777777" w:rsidR="00D71D60" w:rsidRPr="007D68B2" w:rsidRDefault="00D71D60" w:rsidP="00BC3CD1">
            <w:pPr>
              <w:pStyle w:val="TableHeader2"/>
            </w:pPr>
          </w:p>
        </w:tc>
        <w:tc>
          <w:tcPr>
            <w:tcW w:w="236" w:type="dxa"/>
            <w:shd w:val="clear" w:color="auto" w:fill="D9E2F3" w:themeFill="accent1" w:themeFillTint="33"/>
          </w:tcPr>
          <w:p w14:paraId="0E14F439" w14:textId="77777777" w:rsidR="00D71D60" w:rsidRPr="007D68B2" w:rsidRDefault="00D71D60" w:rsidP="00BC3CD1">
            <w:pPr>
              <w:pStyle w:val="TableHeader2"/>
            </w:pPr>
          </w:p>
        </w:tc>
        <w:tc>
          <w:tcPr>
            <w:tcW w:w="2259" w:type="dxa"/>
            <w:shd w:val="clear" w:color="auto" w:fill="D9E2F3" w:themeFill="accent1" w:themeFillTint="33"/>
          </w:tcPr>
          <w:p w14:paraId="54E9E45B" w14:textId="77777777" w:rsidR="00D71D60" w:rsidRPr="007D68B2" w:rsidRDefault="00D71D60" w:rsidP="00BC3CD1">
            <w:pPr>
              <w:pStyle w:val="TableHeader2"/>
            </w:pPr>
          </w:p>
        </w:tc>
      </w:tr>
      <w:tr w:rsidR="0096460E" w:rsidRPr="007D68B2" w14:paraId="06B68759" w14:textId="77777777" w:rsidTr="0098004D">
        <w:trPr>
          <w:trHeight w:val="87"/>
          <w:jc w:val="center"/>
        </w:trPr>
        <w:tc>
          <w:tcPr>
            <w:tcW w:w="999" w:type="dxa"/>
            <w:gridSpan w:val="2"/>
          </w:tcPr>
          <w:p w14:paraId="1A8472CE" w14:textId="0D6D2A1B" w:rsidR="0096460E" w:rsidRPr="007D68B2" w:rsidRDefault="0096460E" w:rsidP="0096460E">
            <w:pPr>
              <w:pStyle w:val="TableBody"/>
              <w:jc w:val="left"/>
            </w:pPr>
            <w:r w:rsidRPr="007D68B2">
              <w:t>No</w:t>
            </w:r>
            <w:r>
              <w:t>t-DV</w:t>
            </w:r>
          </w:p>
        </w:tc>
        <w:tc>
          <w:tcPr>
            <w:tcW w:w="1117" w:type="dxa"/>
          </w:tcPr>
          <w:p w14:paraId="66351350" w14:textId="2A5C8468" w:rsidR="0096460E" w:rsidRPr="007D68B2" w:rsidRDefault="0096460E" w:rsidP="00BC3CD1">
            <w:pPr>
              <w:pStyle w:val="TableBody"/>
            </w:pPr>
            <w:r>
              <w:t>R</w:t>
            </w:r>
            <w:r w:rsidRPr="007D68B2">
              <w:t>ef</w:t>
            </w:r>
          </w:p>
        </w:tc>
        <w:tc>
          <w:tcPr>
            <w:tcW w:w="236" w:type="dxa"/>
          </w:tcPr>
          <w:p w14:paraId="1D32D309" w14:textId="77777777" w:rsidR="0096460E" w:rsidRPr="007D68B2" w:rsidRDefault="0096460E" w:rsidP="00BC3CD1">
            <w:pPr>
              <w:pStyle w:val="TableBody"/>
            </w:pPr>
          </w:p>
        </w:tc>
        <w:tc>
          <w:tcPr>
            <w:tcW w:w="2259" w:type="dxa"/>
          </w:tcPr>
          <w:p w14:paraId="41D6B41F" w14:textId="77777777" w:rsidR="0096460E" w:rsidRPr="007D68B2" w:rsidRDefault="0096460E" w:rsidP="00BC3CD1">
            <w:pPr>
              <w:pStyle w:val="TableBody"/>
            </w:pPr>
          </w:p>
        </w:tc>
      </w:tr>
      <w:tr w:rsidR="00D71D60" w:rsidRPr="007D68B2" w14:paraId="6CBFE18A" w14:textId="77777777" w:rsidTr="0096460E">
        <w:trPr>
          <w:jc w:val="center"/>
        </w:trPr>
        <w:tc>
          <w:tcPr>
            <w:tcW w:w="763" w:type="dxa"/>
          </w:tcPr>
          <w:p w14:paraId="23731B7A" w14:textId="3F43379C" w:rsidR="00D71D60" w:rsidRPr="007D68B2" w:rsidRDefault="00883F1E" w:rsidP="0096460E">
            <w:pPr>
              <w:pStyle w:val="TableRowIndent"/>
            </w:pPr>
            <w:r>
              <w:t>DV</w:t>
            </w:r>
          </w:p>
        </w:tc>
        <w:tc>
          <w:tcPr>
            <w:tcW w:w="236" w:type="dxa"/>
          </w:tcPr>
          <w:p w14:paraId="11F1EF5D" w14:textId="77777777" w:rsidR="00D71D60" w:rsidRPr="007D68B2" w:rsidRDefault="00D71D60" w:rsidP="00BC3CD1">
            <w:pPr>
              <w:pStyle w:val="TableBody"/>
            </w:pPr>
          </w:p>
        </w:tc>
        <w:tc>
          <w:tcPr>
            <w:tcW w:w="1117" w:type="dxa"/>
          </w:tcPr>
          <w:p w14:paraId="097886AD" w14:textId="77777777" w:rsidR="00D71D60" w:rsidRPr="007D68B2" w:rsidRDefault="00D71D60" w:rsidP="00BC3CD1">
            <w:pPr>
              <w:pStyle w:val="TableBody"/>
            </w:pPr>
            <w:r>
              <w:t>1.90</w:t>
            </w:r>
          </w:p>
        </w:tc>
        <w:tc>
          <w:tcPr>
            <w:tcW w:w="236" w:type="dxa"/>
          </w:tcPr>
          <w:p w14:paraId="6FD33DB0" w14:textId="77777777" w:rsidR="00D71D60" w:rsidRPr="007D68B2" w:rsidRDefault="00D71D60" w:rsidP="00BC3CD1">
            <w:pPr>
              <w:pStyle w:val="TableBody"/>
            </w:pPr>
          </w:p>
        </w:tc>
        <w:tc>
          <w:tcPr>
            <w:tcW w:w="2259" w:type="dxa"/>
          </w:tcPr>
          <w:p w14:paraId="15F2748A" w14:textId="77777777" w:rsidR="00D71D60" w:rsidRPr="007D68B2" w:rsidRDefault="00D71D60" w:rsidP="00BC3CD1">
            <w:pPr>
              <w:pStyle w:val="TableBody"/>
            </w:pPr>
            <w:r>
              <w:t>1.15 to 3.14</w:t>
            </w:r>
          </w:p>
        </w:tc>
      </w:tr>
    </w:tbl>
    <w:p w14:paraId="555DBC54" w14:textId="228EACC6" w:rsidR="00F40603" w:rsidRDefault="00F40603" w:rsidP="00D71D60">
      <w:pPr>
        <w:pStyle w:val="Belowtablecaption"/>
        <w:ind w:left="2410"/>
      </w:pPr>
      <w:r w:rsidRPr="006B1BCD">
        <w:t>Analysis controlled for gender, SES and age</w:t>
      </w:r>
      <w:r w:rsidR="00D71D60">
        <w:br/>
      </w:r>
    </w:p>
    <w:p w14:paraId="0E5DB501" w14:textId="47FFF78F" w:rsidR="00330CAF" w:rsidRDefault="00330CAF" w:rsidP="00330CAF">
      <w:pPr>
        <w:spacing w:after="120" w:line="240" w:lineRule="auto"/>
      </w:pPr>
    </w:p>
    <w:p w14:paraId="295038D6" w14:textId="563FA9AC" w:rsidR="00300948" w:rsidRDefault="00300948" w:rsidP="00F40603">
      <w:pPr>
        <w:spacing w:after="120" w:line="240" w:lineRule="auto"/>
      </w:pPr>
    </w:p>
    <w:p w14:paraId="46D4C899" w14:textId="77777777" w:rsidR="00F40603" w:rsidRDefault="00F40603">
      <w:pPr>
        <w:spacing w:after="0" w:line="240" w:lineRule="auto"/>
        <w:rPr>
          <w:rFonts w:eastAsiaTheme="majorEastAsia" w:cstheme="majorBidi"/>
          <w:color w:val="2F5496" w:themeColor="accent1" w:themeShade="BF"/>
          <w:sz w:val="32"/>
          <w:szCs w:val="32"/>
          <w:lang w:val="en-US"/>
        </w:rPr>
      </w:pPr>
      <w:r>
        <w:br w:type="page"/>
      </w:r>
    </w:p>
    <w:p w14:paraId="63D8D656" w14:textId="6FE827B1" w:rsidR="00300948" w:rsidRPr="007746B4" w:rsidRDefault="00821162" w:rsidP="007F76A2">
      <w:pPr>
        <w:pStyle w:val="Heading1"/>
        <w:spacing w:before="0"/>
      </w:pPr>
      <w:bookmarkStart w:id="88" w:name="_Toc501120747"/>
      <w:r w:rsidRPr="007746B4">
        <w:t>Results C</w:t>
      </w:r>
      <w:r w:rsidR="00300948" w:rsidRPr="007746B4">
        <w:t>hapter 4 – Peer relationships</w:t>
      </w:r>
      <w:bookmarkEnd w:id="88"/>
    </w:p>
    <w:tbl>
      <w:tblPr>
        <w:tblStyle w:val="GridTable4"/>
        <w:tblpPr w:leftFromText="180" w:rightFromText="180" w:vertAnchor="text" w:horzAnchor="margin" w:tblpY="3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8F8F8"/>
        <w:tblLook w:val="04A0" w:firstRow="1" w:lastRow="0" w:firstColumn="1" w:lastColumn="0" w:noHBand="0" w:noVBand="1"/>
        <w:tblCaption w:val="Text Box - Chapter 4 - Peer relationships"/>
        <w:tblDescription w:val="Text box for Chapter 4 - Peer relationships, covering Key Analysis Questions and Key Findings."/>
      </w:tblPr>
      <w:tblGrid>
        <w:gridCol w:w="9010"/>
      </w:tblGrid>
      <w:tr w:rsidR="00196E19" w:rsidRPr="0096460E" w14:paraId="4E612806" w14:textId="77777777" w:rsidTr="00545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shd w:val="clear" w:color="auto" w:fill="F8F8F8"/>
          </w:tcPr>
          <w:p w14:paraId="69887B7C" w14:textId="77777777" w:rsidR="005829AD" w:rsidRPr="0096460E" w:rsidRDefault="005829AD" w:rsidP="005265DE">
            <w:pPr>
              <w:spacing w:before="120" w:after="120"/>
              <w:rPr>
                <w:color w:val="auto"/>
              </w:rPr>
            </w:pPr>
            <w:r w:rsidRPr="0096460E">
              <w:rPr>
                <w:color w:val="auto"/>
              </w:rPr>
              <w:t>Key Analysis Questions</w:t>
            </w:r>
          </w:p>
          <w:p w14:paraId="33F63078" w14:textId="77777777" w:rsidR="005829AD" w:rsidRPr="0096460E" w:rsidRDefault="005829AD" w:rsidP="005265DE">
            <w:pPr>
              <w:pStyle w:val="ListParagraph"/>
              <w:numPr>
                <w:ilvl w:val="0"/>
                <w:numId w:val="28"/>
              </w:numPr>
              <w:spacing w:before="120" w:after="120"/>
              <w:rPr>
                <w:b w:val="0"/>
                <w:color w:val="auto"/>
              </w:rPr>
            </w:pPr>
            <w:r w:rsidRPr="0096460E">
              <w:rPr>
                <w:b w:val="0"/>
                <w:color w:val="auto"/>
              </w:rPr>
              <w:t xml:space="preserve">Are students with early vulnerabilities more likely to be bullied in the middle years? </w:t>
            </w:r>
          </w:p>
          <w:p w14:paraId="06AE3F11" w14:textId="77777777" w:rsidR="005829AD" w:rsidRPr="0096460E" w:rsidRDefault="005829AD" w:rsidP="005265DE">
            <w:pPr>
              <w:pStyle w:val="ListParagraph"/>
              <w:numPr>
                <w:ilvl w:val="0"/>
                <w:numId w:val="28"/>
              </w:numPr>
              <w:spacing w:before="120" w:after="120"/>
              <w:rPr>
                <w:b w:val="0"/>
                <w:color w:val="auto"/>
              </w:rPr>
            </w:pPr>
            <w:r w:rsidRPr="0096460E">
              <w:rPr>
                <w:b w:val="0"/>
                <w:color w:val="auto"/>
              </w:rPr>
              <w:t>Are these same students less likely to form friendship groups and receive peer support?</w:t>
            </w:r>
          </w:p>
          <w:p w14:paraId="65B62FFD" w14:textId="77777777" w:rsidR="005829AD" w:rsidRPr="0096460E" w:rsidRDefault="005829AD" w:rsidP="005265DE">
            <w:pPr>
              <w:spacing w:before="120" w:after="120"/>
              <w:rPr>
                <w:color w:val="auto"/>
              </w:rPr>
            </w:pPr>
            <w:r w:rsidRPr="0096460E">
              <w:rPr>
                <w:color w:val="auto"/>
              </w:rPr>
              <w:t>Key Findings</w:t>
            </w:r>
          </w:p>
          <w:p w14:paraId="65697570" w14:textId="77777777" w:rsidR="002C0F80" w:rsidRPr="0096460E" w:rsidRDefault="002C0F80" w:rsidP="005265DE">
            <w:pPr>
              <w:pStyle w:val="ListParagraph"/>
              <w:numPr>
                <w:ilvl w:val="0"/>
                <w:numId w:val="28"/>
              </w:numPr>
              <w:spacing w:before="120" w:after="120"/>
              <w:rPr>
                <w:b w:val="0"/>
                <w:color w:val="auto"/>
              </w:rPr>
            </w:pPr>
            <w:r w:rsidRPr="0096460E">
              <w:rPr>
                <w:b w:val="0"/>
                <w:color w:val="auto"/>
              </w:rPr>
              <w:t>At Year 3 a lower proportion of DV students had support from peers when compared to not-DV (58.3% compared to 66.5%).</w:t>
            </w:r>
          </w:p>
          <w:p w14:paraId="195BDB53" w14:textId="19CB44CC" w:rsidR="005829AD" w:rsidRPr="0096460E" w:rsidRDefault="005829AD" w:rsidP="005265DE">
            <w:pPr>
              <w:pStyle w:val="ListParagraph"/>
              <w:numPr>
                <w:ilvl w:val="0"/>
                <w:numId w:val="28"/>
              </w:numPr>
              <w:spacing w:before="120" w:after="120"/>
              <w:rPr>
                <w:b w:val="0"/>
                <w:color w:val="auto"/>
              </w:rPr>
            </w:pPr>
            <w:r w:rsidRPr="0096460E">
              <w:rPr>
                <w:b w:val="0"/>
                <w:color w:val="auto"/>
              </w:rPr>
              <w:t>Rates of bullying in both groups declined between Years 3 and 6 yet a greater proportion of DV students consistently reported recent bullying.</w:t>
            </w:r>
          </w:p>
          <w:p w14:paraId="6C1DCD7D" w14:textId="07530A00" w:rsidR="00F93616" w:rsidRPr="0096460E" w:rsidRDefault="005829AD" w:rsidP="005265DE">
            <w:pPr>
              <w:pStyle w:val="ListParagraph"/>
              <w:numPr>
                <w:ilvl w:val="0"/>
                <w:numId w:val="28"/>
              </w:numPr>
              <w:spacing w:before="120" w:after="120"/>
              <w:rPr>
                <w:b w:val="0"/>
                <w:color w:val="auto"/>
              </w:rPr>
            </w:pPr>
            <w:r w:rsidRPr="0096460E">
              <w:rPr>
                <w:b w:val="0"/>
                <w:color w:val="auto"/>
              </w:rPr>
              <w:t>DV students at Year 5 were 52% more likely to report experiencing recent bullying compared to their not-DV peers.</w:t>
            </w:r>
            <w:r w:rsidRPr="0096460E">
              <w:rPr>
                <w:color w:val="auto"/>
              </w:rPr>
              <w:t xml:space="preserve"> </w:t>
            </w:r>
          </w:p>
        </w:tc>
      </w:tr>
    </w:tbl>
    <w:p w14:paraId="515636BB" w14:textId="77777777" w:rsidR="0004749E" w:rsidRPr="007746B4" w:rsidRDefault="0004749E" w:rsidP="005265DE">
      <w:pPr>
        <w:spacing w:after="0"/>
      </w:pPr>
    </w:p>
    <w:p w14:paraId="1D8E224A" w14:textId="7E38DA23" w:rsidR="00D71D60" w:rsidRDefault="00D71D60" w:rsidP="007F76A2">
      <w:pPr>
        <w:spacing w:after="0"/>
      </w:pPr>
      <w:r w:rsidRPr="007746B4">
        <w:t>In this chapter we investigate the relationship between early DV and positive and negative aspects of peer relationships. Schools are places of academic learning and are also fundamentally</w:t>
      </w:r>
      <w:r>
        <w:t xml:space="preserve"> important settings for the formation and development of peer relationships. Lack of peer support is a risk factor for school disengagement </w:t>
      </w:r>
      <w:r w:rsidR="00B22107">
        <w:fldChar w:fldCharType="begin"/>
      </w:r>
      <w:r w:rsidR="000C02DE">
        <w:instrText xml:space="preserve"> ADDIN EN.CITE &lt;EndNote&gt;&lt;Cite&gt;&lt;Author&gt;Hancock&lt;/Author&gt;&lt;Year&gt;2015&lt;/Year&gt;&lt;RecNum&gt;1283&lt;/RecNum&gt;&lt;DisplayText&gt;[39]&lt;/DisplayText&gt;&lt;record&gt;&lt;rec-number&gt;1283&lt;/rec-number&gt;&lt;foreign-keys&gt;&lt;key app="EN" db-id="fztfxtw2kew9raetd235rfx625vrvpf9e0df" timestamp="1513905715"&gt;1283&lt;/key&gt;&lt;key app="ENWeb" db-id=""&gt;0&lt;/key&gt;&lt;/foreign-keys&gt;&lt;ref-type name="Report"&gt;27&lt;/ref-type&gt;&lt;contributors&gt;&lt;authors&gt;&lt;author&gt;Hancock, Kirsten J.&lt;/author&gt;&lt;author&gt;Zubrick, Stephen R.&lt;/author&gt;&lt;/authors&gt;&lt;/contributors&gt;&lt;titles&gt;&lt;title&gt;Children and young people at risk of disengagement from school&lt;/title&gt;&lt;/titles&gt;&lt;dates&gt;&lt;year&gt;2015&lt;/year&gt;&lt;pub-dates&gt;&lt;date&gt;June 2015&lt;/date&gt;&lt;/pub-dates&gt;&lt;/dates&gt;&lt;publisher&gt;Telethon Kids Institute, University of Western Australia&lt;/publisher&gt;&lt;urls&gt;&lt;/urls&gt;&lt;/record&gt;&lt;/Cite&gt;&lt;/EndNote&gt;</w:instrText>
      </w:r>
      <w:r w:rsidR="00B22107">
        <w:fldChar w:fldCharType="separate"/>
      </w:r>
      <w:r w:rsidR="000C02DE">
        <w:rPr>
          <w:noProof/>
        </w:rPr>
        <w:t>[39]</w:t>
      </w:r>
      <w:r w:rsidR="00B22107">
        <w:fldChar w:fldCharType="end"/>
      </w:r>
      <w:r>
        <w:t xml:space="preserve"> and bullying has known negative effects on student wellbeing and learning </w:t>
      </w:r>
      <w:r w:rsidR="0004749E">
        <w:fldChar w:fldCharType="begin">
          <w:fldData xml:space="preserve">PEVuZE5vdGU+PENpdGU+PEF1dGhvcj5PRUNEPC9BdXRob3I+PFllYXI+MjAxNzwvWWVhcj48UmVj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</w:fldData>
        </w:fldChar>
      </w:r>
      <w:r w:rsidR="0004749E">
        <w:instrText xml:space="preserve"> ADDIN EN.CITE </w:instrText>
      </w:r>
      <w:r w:rsidR="0004749E">
        <w:fldChar w:fldCharType="begin">
          <w:fldData xml:space="preserve">PEVuZE5vdGU+PENpdGU+PEF1dGhvcj5PRUNEPC9BdXRob3I+PFllYXI+MjAxNzwvWWVhcj48UmVj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</w:fldData>
        </w:fldChar>
      </w:r>
      <w:r w:rsidR="0004749E">
        <w:instrText xml:space="preserve"> ADDIN EN.CITE.DATA </w:instrText>
      </w:r>
      <w:r w:rsidR="0004749E">
        <w:fldChar w:fldCharType="end"/>
      </w:r>
      <w:r w:rsidR="0004749E">
        <w:fldChar w:fldCharType="separate"/>
      </w:r>
      <w:r w:rsidR="0004749E">
        <w:rPr>
          <w:noProof/>
        </w:rPr>
        <w:t>[40-42]</w:t>
      </w:r>
      <w:r w:rsidR="0004749E">
        <w:fldChar w:fldCharType="end"/>
      </w:r>
      <w:r>
        <w:t xml:space="preserve">. Students with poorer quality peer relationships are also more likely to experience bullying </w:t>
      </w:r>
      <w:r w:rsidR="00B22107">
        <w:fldChar w:fldCharType="begin"/>
      </w:r>
      <w:r w:rsidR="00B22107">
        <w:instrText xml:space="preserve"> ADDIN EN.CITE &lt;EndNote&gt;&lt;Cite&gt;&lt;Author&gt;Cook&lt;/Author&gt;&lt;Year&gt;2010&lt;/Year&gt;&lt;RecNum&gt;1303&lt;/RecNum&gt;&lt;DisplayText&gt;[43]&lt;/DisplayText&gt;&lt;record&gt;&lt;rec-number&gt;1303&lt;/rec-number&gt;&lt;foreign-keys&gt;&lt;key app="EN" db-id="fztfxtw2kew9raetd235rfx625vrvpf9e0df" timestamp="1513905807"&gt;1303&lt;/key&gt;&lt;key app="ENWeb" db-id=""&gt;0&lt;/key&gt;&lt;/foreign-keys&gt;&lt;ref-type name="Journal Article"&gt;17&lt;/ref-type&gt;&lt;contributors&gt;&lt;authors&gt;&lt;author&gt;Cook, Clayton R.&lt;/author&gt;&lt;author&gt;Williams, Kirk R.&lt;/author&gt;&lt;author&gt;Guerra, Nancy G.&lt;/author&gt;&lt;author&gt;Kim, Tia E.&lt;/author&gt;&lt;author&gt;Sadek, Shelly&lt;/author&gt;&lt;/authors&gt;&lt;/contributors&gt;&lt;auth-address&gt;Cook, Clayton R.: College of Education, University of Washington, Box 353600, Seattle, WA, US, 98195-3600, cook2142@u.washington.edu&lt;/auth-address&gt;&lt;titles&gt;&lt;title&gt;Predictors of bullying and victimization in childhood and adolescence: A meta-analytic investigation&lt;/title&gt;&lt;secondary-title&gt;School Psychology Quarterly&lt;/secondary-title&gt;&lt;/titles&gt;&lt;periodical&gt;&lt;full-title&gt;School Psychology Quarterly&lt;/full-title&gt;&lt;/periodical&gt;&lt;pages&gt;65-83&lt;/pages&gt;&lt;volume&gt;25&lt;/volume&gt;&lt;number&gt;2&lt;/number&gt;&lt;keywords&gt;&lt;keyword&gt;*Schools&lt;/keyword&gt;&lt;keyword&gt;*Victimization&lt;/keyword&gt;&lt;keyword&gt;Bullying&lt;/keyword&gt;&lt;/keywords&gt;&lt;dates&gt;&lt;year&gt;2010&lt;/year&gt;&lt;/dates&gt;&lt;pub-location&gt;US&lt;/pub-location&gt;&lt;publisher&gt;Educational Publishing Foundation&lt;/publisher&gt;&lt;isbn&gt;1939-1560(Electronic),1045-3830(Print)&lt;/isbn&gt;&lt;urls&gt;&lt;/urls&gt;&lt;electronic-resource-num&gt;10.1037/a0020149&lt;/electronic-resource-num&gt;&lt;/record&gt;&lt;/Cite&gt;&lt;/EndNote&gt;</w:instrText>
      </w:r>
      <w:r w:rsidR="00B22107">
        <w:fldChar w:fldCharType="separate"/>
      </w:r>
      <w:r w:rsidR="00B22107">
        <w:rPr>
          <w:noProof/>
        </w:rPr>
        <w:t>[43]</w:t>
      </w:r>
      <w:r w:rsidR="00B22107">
        <w:fldChar w:fldCharType="end"/>
      </w:r>
      <w:r>
        <w:t xml:space="preserve">, while having more supportive friendships may reduce the negative impact of bullying on learning </w:t>
      </w:r>
      <w:r w:rsidR="00B22107">
        <w:fldChar w:fldCharType="begin"/>
      </w:r>
      <w:r w:rsidR="00B22107">
        <w:instrText xml:space="preserve"> ADDIN EN.CITE &lt;EndNote&gt;&lt;Cite&gt;&lt;Author&gt;Espelage&lt;/Author&gt;&lt;Year&gt;2013&lt;/Year&gt;&lt;RecNum&gt;1158&lt;/RecNum&gt;&lt;DisplayText&gt;[42]&lt;/DisplayText&gt;&lt;record&gt;&lt;rec-number&gt;1158&lt;/rec-number&gt;&lt;foreign-keys&gt;&lt;key app="EN" db-id="fztfxtw2kew9raetd235rfx625vrvpf9e0df" timestamp="1513905459"&gt;1158&lt;/key&gt;&lt;/foreign-keys&gt;&lt;ref-type name="Journal Article"&gt;17&lt;/ref-type&gt;&lt;contributors&gt;&lt;authors&gt;&lt;author&gt;Espelage, Dorothy L&lt;/author&gt;&lt;author&gt;Hong, Jun Sung&lt;/author&gt;&lt;author&gt;Rao, Mrinalini A&lt;/author&gt;&lt;author&gt;Low, Sabina&lt;/author&gt;&lt;/authors&gt;&lt;/contributors&gt;&lt;titles&gt;&lt;title&gt;Associations between peer victimization and academic performance&lt;/title&gt;&lt;secondary-title&gt;Theory Into Practice&lt;/secondary-title&gt;&lt;/titles&gt;&lt;periodical&gt;&lt;full-title&gt;Theory Into Practice&lt;/full-title&gt;&lt;/periodical&gt;&lt;pages&gt;233-240&lt;/pages&gt;&lt;volume&gt;52&lt;/volume&gt;&lt;number&gt;4&lt;/number&gt;&lt;dates&gt;&lt;year&gt;2013&lt;/year&gt;&lt;/dates&gt;&lt;isbn&gt;0040-5841&lt;/isbn&gt;&lt;urls&gt;&lt;/urls&gt;&lt;/record&gt;&lt;/Cite&gt;&lt;/EndNote&gt;</w:instrText>
      </w:r>
      <w:r w:rsidR="00B22107">
        <w:fldChar w:fldCharType="separate"/>
      </w:r>
      <w:r w:rsidR="00B22107">
        <w:rPr>
          <w:noProof/>
        </w:rPr>
        <w:t>[42]</w:t>
      </w:r>
      <w:r w:rsidR="00B22107">
        <w:fldChar w:fldCharType="end"/>
      </w:r>
      <w:r>
        <w:t xml:space="preserve">. The effects of bullying and peer support on learning were observed in a recent report from the CATS study on Australian middle school students which showed that students without peer support were twice as likely to be disengaged in Year 7 and students who were persistently bullied in Years 3 to 5 were almost a year behind in numeracy by Year 7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t>.</w:t>
      </w:r>
    </w:p>
    <w:p w14:paraId="4740C22E" w14:textId="10B93451" w:rsidR="00BF5A98" w:rsidRDefault="00BF5A98" w:rsidP="005265DE">
      <w:pPr>
        <w:spacing w:after="0"/>
      </w:pPr>
    </w:p>
    <w:p w14:paraId="0B464E0D" w14:textId="77777777" w:rsidR="00300948" w:rsidRDefault="00300948" w:rsidP="007F76A2">
      <w:pPr>
        <w:pStyle w:val="Heading2"/>
        <w:spacing w:before="0"/>
      </w:pPr>
      <w:bookmarkStart w:id="89" w:name="_Toc501120748"/>
      <w:r>
        <w:t>Summary of Peer relationships at Years 3 to 7</w:t>
      </w:r>
      <w:bookmarkEnd w:id="89"/>
    </w:p>
    <w:p w14:paraId="12D702C5" w14:textId="014456AD" w:rsidR="00D71D60" w:rsidRPr="006463CC" w:rsidRDefault="00D71D60" w:rsidP="00D71D60">
      <w:r w:rsidRPr="006463CC">
        <w:t xml:space="preserve">The proportions of students </w:t>
      </w:r>
      <w:r w:rsidR="00F2716D">
        <w:t>with good</w:t>
      </w:r>
      <w:r w:rsidR="00F2716D" w:rsidRPr="006463CC">
        <w:t xml:space="preserve"> </w:t>
      </w:r>
      <w:r>
        <w:t>peer support and</w:t>
      </w:r>
      <w:r w:rsidR="00F2716D">
        <w:t xml:space="preserve"> experiencing</w:t>
      </w:r>
      <w:r>
        <w:t xml:space="preserve"> bullying</w:t>
      </w:r>
      <w:r w:rsidRPr="006463CC">
        <w:t xml:space="preserve"> </w:t>
      </w:r>
      <w:r>
        <w:t>(peer victimization) were estimated in the DV and not-DV groups at each year level. See Appendix 2</w:t>
      </w:r>
      <w:r w:rsidR="00BD5178">
        <w:t xml:space="preserve">: </w:t>
      </w:r>
      <w:r>
        <w:t>Regression analyses - part one</w:t>
      </w:r>
      <w:r w:rsidR="00BD5178">
        <w:t>,</w:t>
      </w:r>
      <w:r>
        <w:t xml:space="preserve"> for further information on how these estimates were calculated</w:t>
      </w:r>
      <w:r w:rsidR="00BD5178">
        <w:t xml:space="preserve"> and Table 25 in Appendix 4: Supplementary results, for the associated odds ratio estimates</w:t>
      </w:r>
      <w:r>
        <w:t xml:space="preserve">. </w:t>
      </w:r>
    </w:p>
    <w:p w14:paraId="0F35F1E1" w14:textId="77777777" w:rsidR="00436E19" w:rsidRDefault="00436E19" w:rsidP="00CB02EA">
      <w:pPr>
        <w:jc w:val="center"/>
      </w:pPr>
    </w:p>
    <w:p w14:paraId="4208F921" w14:textId="46503CB6" w:rsidR="00300948" w:rsidRDefault="00436E19" w:rsidP="00CB02EA">
      <w:pPr>
        <w:jc w:val="center"/>
      </w:pPr>
      <w:r>
        <w:rPr>
          <w:noProof/>
          <w:lang w:eastAsia="en-AU"/>
        </w:rPr>
        <w:drawing>
          <wp:inline distT="0" distB="0" distL="0" distR="0" wp14:anchorId="5B613357" wp14:editId="64F1E625">
            <wp:extent cx="3332699" cy="2044700"/>
            <wp:effectExtent l="0" t="0" r="1270" b="0"/>
            <wp:docPr id="22" name="Picture 22" descr="Column charts showing the proportions of students reporting a) peer support and b) bullying in Years 4, 5, 6 and 7 according to whether or not they were assessed as developmentally vulnerable in their first year of primary school.&#10;&#10;The commentary below chart b)describes the results." title="Figure 9. Proportion of students reporting a) peer support and b) bullying by developmental vulnerability status in Years 3, 4, 5,6 and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9a.JPG"/>
                    <pic:cNvPicPr/>
                  </pic:nvPicPr>
                  <pic:blipFill>
                    <a:blip r:embed="rId29">
                      <a:extLst>
                        <a:ext uri="{28A0092B-C50C-407E-A947-70E740481C1C}">
                          <a14:useLocalDpi xmlns:a14="http://schemas.microsoft.com/office/drawing/2010/main" val="0"/>
                        </a:ext>
                      </a:extLst>
                    </a:blip>
                    <a:stretch>
                      <a:fillRect/>
                    </a:stretch>
                  </pic:blipFill>
                  <pic:spPr>
                    <a:xfrm>
                      <a:off x="0" y="0"/>
                      <a:ext cx="3343171" cy="2051125"/>
                    </a:xfrm>
                    <a:prstGeom prst="rect">
                      <a:avLst/>
                    </a:prstGeom>
                  </pic:spPr>
                </pic:pic>
              </a:graphicData>
            </a:graphic>
          </wp:inline>
        </w:drawing>
      </w:r>
    </w:p>
    <w:p w14:paraId="4C997531" w14:textId="77777777" w:rsidR="00436E19" w:rsidRDefault="00436E19" w:rsidP="00436E19">
      <w:pPr>
        <w:pStyle w:val="Caption"/>
        <w:spacing w:after="0"/>
        <w:jc w:val="center"/>
      </w:pPr>
      <w:bookmarkStart w:id="90" w:name="_Ref501029269"/>
      <w:bookmarkStart w:id="91" w:name="_Toc500946774"/>
      <w:bookmarkStart w:id="92" w:name="_Toc501014908"/>
      <w:bookmarkStart w:id="93" w:name="_Toc501014926"/>
      <w:bookmarkStart w:id="94" w:name="_Toc502153729"/>
      <w:r>
        <w:rPr>
          <w:noProof/>
          <w:lang w:eastAsia="en-AU"/>
        </w:rPr>
        <w:drawing>
          <wp:inline distT="0" distB="0" distL="0" distR="0" wp14:anchorId="05A730C5" wp14:editId="0542915C">
            <wp:extent cx="3749040" cy="2111025"/>
            <wp:effectExtent l="0" t="0" r="3810" b="3810"/>
            <wp:docPr id="24" name="Picture 24" descr="Column charts showing the proportions of students reporting a) peer support and b) bullying in Years 4, 5, 6 and 7 according to whether or not they were assessed as developmentally vulnerable in their first year of primary school.&#10;&#10;The commentary below chart b)describes the results." title="Figure 9. Proportion of students reporting a) peer support and b) bullying by developmental vulnerability status in Years 3,4,5, 6 a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9b.JPG"/>
                    <pic:cNvPicPr/>
                  </pic:nvPicPr>
                  <pic:blipFill>
                    <a:blip r:embed="rId30">
                      <a:extLst>
                        <a:ext uri="{28A0092B-C50C-407E-A947-70E740481C1C}">
                          <a14:useLocalDpi xmlns:a14="http://schemas.microsoft.com/office/drawing/2010/main" val="0"/>
                        </a:ext>
                      </a:extLst>
                    </a:blip>
                    <a:stretch>
                      <a:fillRect/>
                    </a:stretch>
                  </pic:blipFill>
                  <pic:spPr>
                    <a:xfrm>
                      <a:off x="0" y="0"/>
                      <a:ext cx="3757043" cy="2115532"/>
                    </a:xfrm>
                    <a:prstGeom prst="rect">
                      <a:avLst/>
                    </a:prstGeom>
                  </pic:spPr>
                </pic:pic>
              </a:graphicData>
            </a:graphic>
          </wp:inline>
        </w:drawing>
      </w:r>
    </w:p>
    <w:p w14:paraId="538383C0" w14:textId="76524121" w:rsidR="00300948" w:rsidRDefault="00296B7A" w:rsidP="00436E19">
      <w:pPr>
        <w:pStyle w:val="Caption"/>
        <w:spacing w:after="0"/>
      </w:pPr>
      <w:r>
        <w:t xml:space="preserve">Figure </w:t>
      </w:r>
      <w:r>
        <w:fldChar w:fldCharType="begin"/>
      </w:r>
      <w:r>
        <w:instrText xml:space="preserve"> SEQ Figure \* ARABIC </w:instrText>
      </w:r>
      <w:r>
        <w:fldChar w:fldCharType="separate"/>
      </w:r>
      <w:r w:rsidR="004C27B3">
        <w:rPr>
          <w:noProof/>
        </w:rPr>
        <w:t>9</w:t>
      </w:r>
      <w:r>
        <w:fldChar w:fldCharType="end"/>
      </w:r>
      <w:bookmarkEnd w:id="90"/>
      <w:r>
        <w:t xml:space="preserve">. </w:t>
      </w:r>
      <w:r w:rsidRPr="00C013B2">
        <w:t>Proportion of students reporting a) peer support and b) bullying by developmental vulnerability s</w:t>
      </w:r>
      <w:r>
        <w:t>tatus in Years 3, 4, 5, 6 and 7.</w:t>
      </w:r>
      <w:bookmarkEnd w:id="91"/>
      <w:bookmarkEnd w:id="92"/>
      <w:bookmarkEnd w:id="93"/>
      <w:bookmarkEnd w:id="94"/>
    </w:p>
    <w:p w14:paraId="6768EE5D" w14:textId="77777777" w:rsidR="00DF5A21" w:rsidRPr="00DF5A21" w:rsidRDefault="00DF5A21" w:rsidP="005265DE">
      <w:pPr>
        <w:spacing w:after="0"/>
      </w:pPr>
    </w:p>
    <w:p w14:paraId="3112FAD9" w14:textId="1D5F8C4C" w:rsidR="00D71D60" w:rsidRPr="007746B4" w:rsidRDefault="00300948" w:rsidP="006A36B8">
      <w:pPr>
        <w:spacing w:after="0"/>
      </w:pPr>
      <w:r w:rsidRPr="007746B4">
        <w:t xml:space="preserve">In </w:t>
      </w:r>
      <w:r w:rsidR="005C4382" w:rsidRPr="00057A30">
        <w:fldChar w:fldCharType="begin"/>
      </w:r>
      <w:r w:rsidR="005C4382" w:rsidRPr="007746B4">
        <w:instrText xml:space="preserve"> REF _Ref501029269 \h </w:instrText>
      </w:r>
      <w:r w:rsidR="007746B4">
        <w:instrText xml:space="preserve"> \* MERGEFORMAT </w:instrText>
      </w:r>
      <w:r w:rsidR="005C4382" w:rsidRPr="00057A30">
        <w:fldChar w:fldCharType="separate"/>
      </w:r>
      <w:r w:rsidR="004C27B3">
        <w:t xml:space="preserve">Figure </w:t>
      </w:r>
      <w:r w:rsidR="004C27B3">
        <w:rPr>
          <w:noProof/>
        </w:rPr>
        <w:t>9</w:t>
      </w:r>
      <w:r w:rsidR="005C4382" w:rsidRPr="00057A30">
        <w:fldChar w:fldCharType="end"/>
      </w:r>
      <w:r w:rsidR="005C4382" w:rsidRPr="007746B4">
        <w:t xml:space="preserve"> </w:t>
      </w:r>
      <w:r w:rsidR="00D71D60" w:rsidRPr="007746B4">
        <w:t>it can be seen that at Year 3 a higher proportion of DV students e</w:t>
      </w:r>
      <w:r w:rsidR="000C02DE" w:rsidRPr="007746B4">
        <w:t>xperienced bullying (DV 38.1%, n</w:t>
      </w:r>
      <w:r w:rsidR="00D71D60" w:rsidRPr="007746B4">
        <w:t>ot-DV 29.0%), whereas a lower proportion had support from peers (DV 58.3%, not-DV 66.5%), although the 95% confidence intervals for these estimates overlap slightly.</w:t>
      </w:r>
    </w:p>
    <w:p w14:paraId="720E3DE4" w14:textId="77777777" w:rsidR="006A36B8" w:rsidRPr="007746B4" w:rsidRDefault="006A36B8" w:rsidP="006A36B8">
      <w:pPr>
        <w:spacing w:after="0"/>
      </w:pPr>
    </w:p>
    <w:p w14:paraId="69C193EC" w14:textId="75960464" w:rsidR="00300948" w:rsidRPr="007746B4" w:rsidRDefault="00D71D60" w:rsidP="006A36B8">
      <w:pPr>
        <w:spacing w:after="0"/>
      </w:pPr>
      <w:r w:rsidRPr="007746B4">
        <w:t xml:space="preserve">After Year 3 the proportion of students reporting peer support was relatively stable and did not appear to differ between the DV and not-DV groups </w:t>
      </w:r>
      <w:r w:rsidR="00300948" w:rsidRPr="007746B4">
        <w:t>(</w:t>
      </w:r>
      <w:r w:rsidR="005C4382" w:rsidRPr="00057A30">
        <w:fldChar w:fldCharType="begin"/>
      </w:r>
      <w:r w:rsidR="005C4382" w:rsidRPr="007746B4">
        <w:instrText xml:space="preserve"> REF _Ref501029269 \h </w:instrText>
      </w:r>
      <w:r w:rsidR="007746B4">
        <w:instrText xml:space="preserve"> \* MERGEFORMAT </w:instrText>
      </w:r>
      <w:r w:rsidR="005C4382" w:rsidRPr="00057A30">
        <w:fldChar w:fldCharType="separate"/>
      </w:r>
      <w:r w:rsidR="004C27B3">
        <w:t xml:space="preserve">Figure </w:t>
      </w:r>
      <w:r w:rsidR="004C27B3">
        <w:rPr>
          <w:noProof/>
        </w:rPr>
        <w:t>9</w:t>
      </w:r>
      <w:r w:rsidR="005C4382" w:rsidRPr="00057A30">
        <w:fldChar w:fldCharType="end"/>
      </w:r>
      <w:r w:rsidR="005C4382" w:rsidRPr="007746B4">
        <w:t>a</w:t>
      </w:r>
      <w:r w:rsidR="00300948" w:rsidRPr="007746B4">
        <w:t>).</w:t>
      </w:r>
    </w:p>
    <w:p w14:paraId="237C9FC2" w14:textId="77777777" w:rsidR="006A36B8" w:rsidRPr="007746B4" w:rsidRDefault="006A36B8" w:rsidP="006A36B8">
      <w:pPr>
        <w:spacing w:after="0"/>
      </w:pPr>
    </w:p>
    <w:p w14:paraId="4254A4DE" w14:textId="173366CB" w:rsidR="00300948" w:rsidRPr="007746B4" w:rsidRDefault="00300948" w:rsidP="007D7FE9">
      <w:pPr>
        <w:spacing w:after="0"/>
      </w:pPr>
      <w:r w:rsidRPr="007746B4">
        <w:t xml:space="preserve">As </w:t>
      </w:r>
      <w:proofErr w:type="gramStart"/>
      <w:r w:rsidRPr="007746B4">
        <w:t>can be seen</w:t>
      </w:r>
      <w:proofErr w:type="gramEnd"/>
      <w:r w:rsidRPr="007746B4">
        <w:t xml:space="preserve"> in </w:t>
      </w:r>
      <w:r w:rsidR="005C4382" w:rsidRPr="00057A30">
        <w:fldChar w:fldCharType="begin"/>
      </w:r>
      <w:r w:rsidR="005C4382" w:rsidRPr="007746B4">
        <w:instrText xml:space="preserve"> REF _Ref501029269 \h </w:instrText>
      </w:r>
      <w:r w:rsidR="007746B4">
        <w:instrText xml:space="preserve"> \* MERGEFORMAT </w:instrText>
      </w:r>
      <w:r w:rsidR="005C4382" w:rsidRPr="00057A30">
        <w:fldChar w:fldCharType="separate"/>
      </w:r>
      <w:r w:rsidR="004C27B3">
        <w:t xml:space="preserve">Figure </w:t>
      </w:r>
      <w:r w:rsidR="004C27B3">
        <w:rPr>
          <w:noProof/>
        </w:rPr>
        <w:t>9</w:t>
      </w:r>
      <w:r w:rsidR="005C4382" w:rsidRPr="00057A30">
        <w:fldChar w:fldCharType="end"/>
      </w:r>
      <w:r w:rsidR="005C4382" w:rsidRPr="007746B4">
        <w:t>b</w:t>
      </w:r>
      <w:r w:rsidRPr="007746B4">
        <w:t xml:space="preserve">, </w:t>
      </w:r>
      <w:r w:rsidR="00D71D60" w:rsidRPr="007746B4">
        <w:t>there was a trend for higher proportions of DV students reporting a recent experience of being bullied compared to not-DV students. The proportion of students bullied reduced each year between Years 3 and 6 for both the DV and not-DV groups (DV from 38.1% to 16.7%, not-DV from 29.0% to 14.9%).</w:t>
      </w:r>
    </w:p>
    <w:p w14:paraId="41291EB8" w14:textId="77777777" w:rsidR="00BF5A98" w:rsidRPr="007746B4" w:rsidRDefault="00BF5A98" w:rsidP="005265DE">
      <w:pPr>
        <w:spacing w:after="0"/>
      </w:pPr>
    </w:p>
    <w:p w14:paraId="69EA7D80" w14:textId="28C9DBB2" w:rsidR="00300948" w:rsidRPr="007746B4" w:rsidRDefault="00300948" w:rsidP="007F76A2">
      <w:pPr>
        <w:pStyle w:val="Heading2"/>
        <w:spacing w:before="0" w:after="120"/>
      </w:pPr>
      <w:bookmarkStart w:id="95" w:name="_Toc501120749"/>
      <w:r w:rsidRPr="007746B4">
        <w:t>Likelihood of</w:t>
      </w:r>
      <w:r w:rsidR="00F65CF8" w:rsidRPr="007746B4">
        <w:t xml:space="preserve"> peer relationship outcomes by developmental v</w:t>
      </w:r>
      <w:r w:rsidRPr="007746B4">
        <w:t>ulnerability status</w:t>
      </w:r>
      <w:bookmarkEnd w:id="95"/>
    </w:p>
    <w:p w14:paraId="63DD94B4" w14:textId="250569BE" w:rsidR="00300948" w:rsidRDefault="00D71D60" w:rsidP="007F76A2">
      <w:pPr>
        <w:spacing w:after="0"/>
      </w:pPr>
      <w:r w:rsidRPr="007746B4">
        <w:t xml:space="preserve">The association between DV status and student reports of peer support and bullying was investigated in logistic regression analyses. </w:t>
      </w:r>
      <w:r w:rsidRPr="007746B4">
        <w:rPr>
          <w:rFonts w:eastAsia="TimesNewRoman" w:cs="Times New Roman"/>
        </w:rPr>
        <w:t>These analyses also took the gender, age, and SES of each participant into account (s</w:t>
      </w:r>
      <w:r w:rsidRPr="007746B4">
        <w:t xml:space="preserve">ee Appendix 2: Regression analyses - part one). </w:t>
      </w:r>
      <w:r w:rsidR="0043740D" w:rsidRPr="00057A30">
        <w:fldChar w:fldCharType="begin"/>
      </w:r>
      <w:r w:rsidR="0043740D" w:rsidRPr="007746B4">
        <w:instrText xml:space="preserve"> REF _Ref501114400 \h </w:instrText>
      </w:r>
      <w:r w:rsidR="007746B4">
        <w:instrText xml:space="preserve"> \* MERGEFORMAT </w:instrText>
      </w:r>
      <w:r w:rsidR="0043740D" w:rsidRPr="00057A30">
        <w:fldChar w:fldCharType="separate"/>
      </w:r>
      <w:r w:rsidR="004C27B3">
        <w:t xml:space="preserve">Table </w:t>
      </w:r>
      <w:r w:rsidR="004C27B3">
        <w:rPr>
          <w:noProof/>
        </w:rPr>
        <w:t>8</w:t>
      </w:r>
      <w:r w:rsidR="0043740D" w:rsidRPr="00057A30">
        <w:fldChar w:fldCharType="end"/>
      </w:r>
      <w:r w:rsidR="0043740D" w:rsidRPr="007746B4">
        <w:t xml:space="preserve"> and </w:t>
      </w:r>
      <w:r w:rsidR="0043740D" w:rsidRPr="00057A30">
        <w:fldChar w:fldCharType="begin"/>
      </w:r>
      <w:r w:rsidR="0043740D" w:rsidRPr="007746B4">
        <w:instrText xml:space="preserve"> REF _Ref501114403 \h </w:instrText>
      </w:r>
      <w:r w:rsidR="007746B4">
        <w:instrText xml:space="preserve"> \* MERGEFORMAT </w:instrText>
      </w:r>
      <w:r w:rsidR="0043740D" w:rsidRPr="00057A30">
        <w:fldChar w:fldCharType="separate"/>
      </w:r>
      <w:r w:rsidR="004C27B3">
        <w:t xml:space="preserve">Table </w:t>
      </w:r>
      <w:r w:rsidR="004C27B3">
        <w:rPr>
          <w:noProof/>
        </w:rPr>
        <w:t>9</w:t>
      </w:r>
      <w:r w:rsidR="0043740D" w:rsidRPr="00057A30">
        <w:fldChar w:fldCharType="end"/>
      </w:r>
      <w:r w:rsidR="0043740D" w:rsidRPr="007746B4">
        <w:t xml:space="preserve"> </w:t>
      </w:r>
      <w:r w:rsidRPr="007746B4">
        <w:t>show the odds ratios (ORs) for peer support and bullying in the DV group versus the not-DV group at each year level. There was no evidence for an association between DV status and peer support, at any of the five year levels. For bullying, DV students were 1.52 times as likely (</w:t>
      </w:r>
      <w:r w:rsidRPr="005265DE">
        <w:t>52% more likely</w:t>
      </w:r>
      <w:r w:rsidRPr="007746B4">
        <w:t>) to experience bullying in Year 5</w:t>
      </w:r>
      <w:r w:rsidR="00F93616" w:rsidRPr="007746B4">
        <w:t xml:space="preserve"> compared to the not-DV group</w:t>
      </w:r>
      <w:r w:rsidRPr="007746B4">
        <w:t>.</w:t>
      </w:r>
      <w:r w:rsidR="00F2716D" w:rsidRPr="007746B4">
        <w:t xml:space="preserve"> Results for other year levels were not statistically significant.</w:t>
      </w:r>
    </w:p>
    <w:p w14:paraId="276190E9" w14:textId="310C97C1" w:rsidR="006A36B8" w:rsidRDefault="006A36B8">
      <w:pPr>
        <w:spacing w:after="0" w:line="240" w:lineRule="auto"/>
      </w:pPr>
      <w:r>
        <w:br w:type="page"/>
      </w:r>
    </w:p>
    <w:p w14:paraId="3A0D9127" w14:textId="3DE551D6" w:rsidR="00F40603" w:rsidRDefault="00F40603" w:rsidP="007F76A2">
      <w:pPr>
        <w:pStyle w:val="Caption"/>
        <w:spacing w:before="0"/>
      </w:pPr>
      <w:bookmarkStart w:id="96" w:name="_Ref501027779"/>
      <w:bookmarkStart w:id="97" w:name="_Ref501114400"/>
      <w:bookmarkStart w:id="98" w:name="_Toc501014927"/>
      <w:bookmarkStart w:id="99" w:name="_Toc503780748"/>
      <w:r>
        <w:t xml:space="preserve">Table </w:t>
      </w:r>
      <w:r>
        <w:fldChar w:fldCharType="begin"/>
      </w:r>
      <w:r>
        <w:instrText xml:space="preserve"> SEQ Table \* ARABIC </w:instrText>
      </w:r>
      <w:r>
        <w:fldChar w:fldCharType="separate"/>
      </w:r>
      <w:r w:rsidR="004C27B3">
        <w:rPr>
          <w:noProof/>
        </w:rPr>
        <w:t>8</w:t>
      </w:r>
      <w:r>
        <w:fldChar w:fldCharType="end"/>
      </w:r>
      <w:bookmarkEnd w:id="96"/>
      <w:bookmarkEnd w:id="97"/>
      <w:r>
        <w:t xml:space="preserve">. </w:t>
      </w:r>
      <w:r w:rsidRPr="00B265AB">
        <w:t xml:space="preserve">Estimated </w:t>
      </w:r>
      <w:r w:rsidR="00D71D60">
        <w:t>l</w:t>
      </w:r>
      <w:r w:rsidRPr="00B265AB">
        <w:t xml:space="preserve">ikelihood of peer </w:t>
      </w:r>
      <w:r w:rsidR="00D71D60">
        <w:t>support</w:t>
      </w:r>
      <w:r w:rsidRPr="00B265AB">
        <w:t xml:space="preserve"> in Year 3, 4, 5, 6 and 7 associated with developmental vulnerability status</w:t>
      </w:r>
      <w:r>
        <w:t>.</w:t>
      </w:r>
      <w:bookmarkEnd w:id="98"/>
      <w:bookmarkEnd w:id="99"/>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Table 8. Estimated likelihood of peer support in Year 3, 4, 5, 6 and 7 associated with developmental vulnerability status"/>
      </w:tblPr>
      <w:tblGrid>
        <w:gridCol w:w="839"/>
        <w:gridCol w:w="222"/>
        <w:gridCol w:w="1117"/>
        <w:gridCol w:w="229"/>
        <w:gridCol w:w="2124"/>
      </w:tblGrid>
      <w:tr w:rsidR="0025203E" w:rsidRPr="007D68B2" w14:paraId="4F374DE5" w14:textId="77777777" w:rsidTr="0025203E">
        <w:trPr>
          <w:jc w:val="center"/>
        </w:trPr>
        <w:tc>
          <w:tcPr>
            <w:tcW w:w="0" w:type="auto"/>
            <w:shd w:val="clear" w:color="auto" w:fill="0070C0"/>
          </w:tcPr>
          <w:p w14:paraId="77A4EDE3" w14:textId="77777777" w:rsidR="0025203E" w:rsidRPr="007D68B2" w:rsidRDefault="0025203E" w:rsidP="00785532">
            <w:pPr>
              <w:pStyle w:val="TableHeader1"/>
            </w:pPr>
          </w:p>
        </w:tc>
        <w:tc>
          <w:tcPr>
            <w:tcW w:w="0" w:type="auto"/>
            <w:shd w:val="clear" w:color="auto" w:fill="0070C0"/>
          </w:tcPr>
          <w:p w14:paraId="0D472264" w14:textId="77777777" w:rsidR="0025203E" w:rsidRPr="007D68B2" w:rsidRDefault="0025203E" w:rsidP="00785532">
            <w:pPr>
              <w:pStyle w:val="TableHeader1"/>
            </w:pPr>
          </w:p>
        </w:tc>
        <w:tc>
          <w:tcPr>
            <w:tcW w:w="0" w:type="auto"/>
            <w:shd w:val="clear" w:color="auto" w:fill="0070C0"/>
            <w:vAlign w:val="bottom"/>
          </w:tcPr>
          <w:p w14:paraId="7CFF12CB" w14:textId="62A90515" w:rsidR="0025203E" w:rsidRPr="007746B4" w:rsidRDefault="0025203E" w:rsidP="00785532">
            <w:pPr>
              <w:pStyle w:val="TableHeader1"/>
            </w:pPr>
            <w:r w:rsidRPr="007746B4">
              <w:t>Odds Ratio</w:t>
            </w:r>
          </w:p>
        </w:tc>
        <w:tc>
          <w:tcPr>
            <w:tcW w:w="2353" w:type="dxa"/>
            <w:gridSpan w:val="2"/>
            <w:shd w:val="clear" w:color="auto" w:fill="0070C0"/>
          </w:tcPr>
          <w:p w14:paraId="4C03F8A5" w14:textId="18CD8FC6" w:rsidR="0025203E" w:rsidRPr="007D68B2" w:rsidRDefault="0025203E" w:rsidP="0025203E">
            <w:pPr>
              <w:pStyle w:val="TableHeader1"/>
            </w:pPr>
            <w:r w:rsidRPr="007746B4">
              <w:t>95% Confidence Interval</w:t>
            </w:r>
          </w:p>
        </w:tc>
      </w:tr>
      <w:tr w:rsidR="00D71D60" w:rsidRPr="007D68B2" w14:paraId="1C5A1F2C" w14:textId="77777777" w:rsidTr="0098004D">
        <w:trPr>
          <w:jc w:val="center"/>
        </w:trPr>
        <w:tc>
          <w:tcPr>
            <w:tcW w:w="0" w:type="auto"/>
            <w:shd w:val="clear" w:color="auto" w:fill="D9E2F3" w:themeFill="accent1" w:themeFillTint="33"/>
          </w:tcPr>
          <w:p w14:paraId="17B41EA3" w14:textId="77777777" w:rsidR="00D71D60" w:rsidRPr="007D68B2" w:rsidRDefault="00D71D60" w:rsidP="0097278B">
            <w:pPr>
              <w:pStyle w:val="TableHeader2"/>
              <w:ind w:left="0"/>
            </w:pPr>
            <w:r w:rsidRPr="007D68B2">
              <w:t xml:space="preserve">Year </w:t>
            </w:r>
            <w:r>
              <w:t>3</w:t>
            </w:r>
          </w:p>
        </w:tc>
        <w:tc>
          <w:tcPr>
            <w:tcW w:w="0" w:type="auto"/>
            <w:shd w:val="clear" w:color="auto" w:fill="D9E2F3" w:themeFill="accent1" w:themeFillTint="33"/>
          </w:tcPr>
          <w:p w14:paraId="740821E3" w14:textId="77777777" w:rsidR="00D71D60" w:rsidRPr="007D68B2" w:rsidRDefault="00D71D60" w:rsidP="00BC3CD1">
            <w:pPr>
              <w:pStyle w:val="TableHeader2"/>
            </w:pPr>
          </w:p>
        </w:tc>
        <w:tc>
          <w:tcPr>
            <w:tcW w:w="0" w:type="auto"/>
            <w:shd w:val="clear" w:color="auto" w:fill="D9E2F3" w:themeFill="accent1" w:themeFillTint="33"/>
          </w:tcPr>
          <w:p w14:paraId="7708F706" w14:textId="77777777" w:rsidR="00D71D60" w:rsidRPr="007D68B2" w:rsidRDefault="00D71D60" w:rsidP="00BC3CD1">
            <w:pPr>
              <w:pStyle w:val="TableHeader2"/>
            </w:pPr>
          </w:p>
        </w:tc>
        <w:tc>
          <w:tcPr>
            <w:tcW w:w="0" w:type="auto"/>
            <w:shd w:val="clear" w:color="auto" w:fill="D9E2F3" w:themeFill="accent1" w:themeFillTint="33"/>
          </w:tcPr>
          <w:p w14:paraId="2DF9A13C" w14:textId="77777777" w:rsidR="00D71D60" w:rsidRPr="007D68B2" w:rsidRDefault="00D71D60" w:rsidP="00BC3CD1">
            <w:pPr>
              <w:pStyle w:val="TableHeader2"/>
            </w:pPr>
          </w:p>
        </w:tc>
        <w:tc>
          <w:tcPr>
            <w:tcW w:w="2059" w:type="dxa"/>
            <w:shd w:val="clear" w:color="auto" w:fill="D9E2F3" w:themeFill="accent1" w:themeFillTint="33"/>
          </w:tcPr>
          <w:p w14:paraId="5CAB3E9B" w14:textId="77777777" w:rsidR="00D71D60" w:rsidRPr="007D68B2" w:rsidRDefault="00D71D60" w:rsidP="005265DE">
            <w:pPr>
              <w:pStyle w:val="TableHeader2"/>
              <w:jc w:val="center"/>
            </w:pPr>
          </w:p>
        </w:tc>
      </w:tr>
      <w:tr w:rsidR="0096460E" w:rsidRPr="007D68B2" w14:paraId="11BB74C8" w14:textId="77777777" w:rsidTr="0025203E">
        <w:trPr>
          <w:jc w:val="center"/>
        </w:trPr>
        <w:tc>
          <w:tcPr>
            <w:tcW w:w="0" w:type="auto"/>
            <w:gridSpan w:val="2"/>
          </w:tcPr>
          <w:p w14:paraId="3E7A2D6A" w14:textId="4D396F75" w:rsidR="0096460E" w:rsidRPr="007D68B2" w:rsidRDefault="0096460E" w:rsidP="0096460E">
            <w:pPr>
              <w:pStyle w:val="TableBody"/>
              <w:jc w:val="left"/>
            </w:pPr>
            <w:r w:rsidRPr="007D68B2">
              <w:t>No</w:t>
            </w:r>
            <w:r>
              <w:t>t-DV</w:t>
            </w:r>
          </w:p>
        </w:tc>
        <w:tc>
          <w:tcPr>
            <w:tcW w:w="0" w:type="auto"/>
          </w:tcPr>
          <w:p w14:paraId="702D0EC0" w14:textId="369AD880" w:rsidR="0096460E" w:rsidRPr="007D68B2" w:rsidRDefault="0096460E" w:rsidP="00BC3CD1">
            <w:pPr>
              <w:pStyle w:val="TableBody"/>
            </w:pPr>
            <w:r>
              <w:t>R</w:t>
            </w:r>
            <w:r w:rsidRPr="007D68B2">
              <w:t>ef</w:t>
            </w:r>
          </w:p>
        </w:tc>
        <w:tc>
          <w:tcPr>
            <w:tcW w:w="0" w:type="auto"/>
          </w:tcPr>
          <w:p w14:paraId="0B9BD463" w14:textId="77777777" w:rsidR="0096460E" w:rsidRPr="007D68B2" w:rsidRDefault="0096460E" w:rsidP="00BC3CD1">
            <w:pPr>
              <w:pStyle w:val="TableBody"/>
            </w:pPr>
          </w:p>
        </w:tc>
        <w:tc>
          <w:tcPr>
            <w:tcW w:w="2059" w:type="dxa"/>
          </w:tcPr>
          <w:p w14:paraId="742F9E85" w14:textId="77777777" w:rsidR="0096460E" w:rsidRPr="007D68B2" w:rsidRDefault="0096460E" w:rsidP="00F93616">
            <w:pPr>
              <w:pStyle w:val="TableBody"/>
            </w:pPr>
          </w:p>
        </w:tc>
      </w:tr>
      <w:tr w:rsidR="00D71D60" w:rsidRPr="007D68B2" w14:paraId="34A19D0C" w14:textId="77777777" w:rsidTr="0025203E">
        <w:trPr>
          <w:jc w:val="center"/>
        </w:trPr>
        <w:tc>
          <w:tcPr>
            <w:tcW w:w="0" w:type="auto"/>
          </w:tcPr>
          <w:p w14:paraId="5F7BE2DD" w14:textId="015F2DB3" w:rsidR="00D71D60" w:rsidRPr="007D68B2" w:rsidRDefault="00D71D60" w:rsidP="00BC3CD1">
            <w:pPr>
              <w:pStyle w:val="TableRowIndent"/>
            </w:pPr>
            <w:r>
              <w:t>DV</w:t>
            </w:r>
          </w:p>
        </w:tc>
        <w:tc>
          <w:tcPr>
            <w:tcW w:w="0" w:type="auto"/>
          </w:tcPr>
          <w:p w14:paraId="2EBB19B1" w14:textId="77777777" w:rsidR="00D71D60" w:rsidRPr="007D68B2" w:rsidRDefault="00D71D60" w:rsidP="00BC3CD1">
            <w:pPr>
              <w:pStyle w:val="TableBody"/>
            </w:pPr>
          </w:p>
        </w:tc>
        <w:tc>
          <w:tcPr>
            <w:tcW w:w="0" w:type="auto"/>
          </w:tcPr>
          <w:p w14:paraId="5AD57A3C" w14:textId="77777777" w:rsidR="00D71D60" w:rsidRPr="007D68B2" w:rsidRDefault="00D71D60" w:rsidP="00BC3CD1">
            <w:pPr>
              <w:pStyle w:val="TableBody"/>
            </w:pPr>
            <w:r>
              <w:t>0.73</w:t>
            </w:r>
          </w:p>
        </w:tc>
        <w:tc>
          <w:tcPr>
            <w:tcW w:w="0" w:type="auto"/>
          </w:tcPr>
          <w:p w14:paraId="4ABF2EF5" w14:textId="77777777" w:rsidR="00D71D60" w:rsidRPr="007D68B2" w:rsidRDefault="00D71D60" w:rsidP="00BC3CD1">
            <w:pPr>
              <w:pStyle w:val="TableBody"/>
            </w:pPr>
          </w:p>
        </w:tc>
        <w:tc>
          <w:tcPr>
            <w:tcW w:w="2059" w:type="dxa"/>
          </w:tcPr>
          <w:p w14:paraId="23793AB5" w14:textId="77777777" w:rsidR="00D71D60" w:rsidRPr="007D68B2" w:rsidRDefault="00D71D60" w:rsidP="00F93616">
            <w:pPr>
              <w:pStyle w:val="TableBody"/>
            </w:pPr>
            <w:r>
              <w:t>0.52 to 1.04</w:t>
            </w:r>
          </w:p>
        </w:tc>
      </w:tr>
      <w:tr w:rsidR="00D71D60" w:rsidRPr="007D68B2" w14:paraId="322D88F9" w14:textId="77777777" w:rsidTr="0098004D">
        <w:trPr>
          <w:jc w:val="center"/>
        </w:trPr>
        <w:tc>
          <w:tcPr>
            <w:tcW w:w="0" w:type="auto"/>
            <w:shd w:val="clear" w:color="auto" w:fill="D9E2F3" w:themeFill="accent1" w:themeFillTint="33"/>
          </w:tcPr>
          <w:p w14:paraId="3712A323" w14:textId="77777777" w:rsidR="00D71D60" w:rsidRPr="007D68B2" w:rsidRDefault="00D71D60" w:rsidP="0097278B">
            <w:pPr>
              <w:pStyle w:val="TableHeader2"/>
              <w:ind w:left="0"/>
            </w:pPr>
            <w:r w:rsidRPr="007D68B2">
              <w:t>Year</w:t>
            </w:r>
            <w:r>
              <w:t xml:space="preserve"> 4</w:t>
            </w:r>
          </w:p>
        </w:tc>
        <w:tc>
          <w:tcPr>
            <w:tcW w:w="0" w:type="auto"/>
            <w:shd w:val="clear" w:color="auto" w:fill="D9E2F3" w:themeFill="accent1" w:themeFillTint="33"/>
          </w:tcPr>
          <w:p w14:paraId="61093E05" w14:textId="77777777" w:rsidR="00D71D60" w:rsidRPr="007D68B2" w:rsidRDefault="00D71D60" w:rsidP="00BC3CD1">
            <w:pPr>
              <w:pStyle w:val="TableHeader2"/>
            </w:pPr>
          </w:p>
        </w:tc>
        <w:tc>
          <w:tcPr>
            <w:tcW w:w="0" w:type="auto"/>
            <w:shd w:val="clear" w:color="auto" w:fill="D9E2F3" w:themeFill="accent1" w:themeFillTint="33"/>
          </w:tcPr>
          <w:p w14:paraId="3A9D2A85" w14:textId="77777777" w:rsidR="00D71D60" w:rsidRPr="007D68B2" w:rsidRDefault="00D71D60" w:rsidP="00BC3CD1">
            <w:pPr>
              <w:pStyle w:val="TableHeader2"/>
            </w:pPr>
          </w:p>
        </w:tc>
        <w:tc>
          <w:tcPr>
            <w:tcW w:w="0" w:type="auto"/>
            <w:shd w:val="clear" w:color="auto" w:fill="D9E2F3" w:themeFill="accent1" w:themeFillTint="33"/>
          </w:tcPr>
          <w:p w14:paraId="3A750EF4" w14:textId="77777777" w:rsidR="00D71D60" w:rsidRPr="007D68B2" w:rsidRDefault="00D71D60" w:rsidP="00BC3CD1">
            <w:pPr>
              <w:pStyle w:val="TableHeader2"/>
            </w:pPr>
          </w:p>
        </w:tc>
        <w:tc>
          <w:tcPr>
            <w:tcW w:w="2059" w:type="dxa"/>
            <w:shd w:val="clear" w:color="auto" w:fill="D9E2F3" w:themeFill="accent1" w:themeFillTint="33"/>
          </w:tcPr>
          <w:p w14:paraId="37CB69ED" w14:textId="77777777" w:rsidR="00D71D60" w:rsidRPr="007D68B2" w:rsidRDefault="00D71D60" w:rsidP="005265DE">
            <w:pPr>
              <w:pStyle w:val="TableHeader2"/>
              <w:jc w:val="center"/>
            </w:pPr>
          </w:p>
        </w:tc>
      </w:tr>
      <w:tr w:rsidR="0096460E" w:rsidRPr="007D68B2" w14:paraId="52BE1071" w14:textId="77777777" w:rsidTr="0025203E">
        <w:trPr>
          <w:jc w:val="center"/>
        </w:trPr>
        <w:tc>
          <w:tcPr>
            <w:tcW w:w="0" w:type="auto"/>
            <w:gridSpan w:val="2"/>
          </w:tcPr>
          <w:p w14:paraId="657C6FE8" w14:textId="0FAA8E74" w:rsidR="0096460E" w:rsidRPr="007D68B2" w:rsidRDefault="0096460E" w:rsidP="0096460E">
            <w:pPr>
              <w:pStyle w:val="TableBody"/>
              <w:jc w:val="left"/>
            </w:pPr>
            <w:r w:rsidRPr="007D68B2">
              <w:t>No</w:t>
            </w:r>
            <w:r>
              <w:t>t-DV</w:t>
            </w:r>
          </w:p>
        </w:tc>
        <w:tc>
          <w:tcPr>
            <w:tcW w:w="0" w:type="auto"/>
          </w:tcPr>
          <w:p w14:paraId="71DDFFA7" w14:textId="19571C61" w:rsidR="0096460E" w:rsidRPr="007D68B2" w:rsidRDefault="0096460E" w:rsidP="00BC3CD1">
            <w:pPr>
              <w:pStyle w:val="TableBody"/>
            </w:pPr>
            <w:r>
              <w:t>Ref</w:t>
            </w:r>
          </w:p>
        </w:tc>
        <w:tc>
          <w:tcPr>
            <w:tcW w:w="0" w:type="auto"/>
          </w:tcPr>
          <w:p w14:paraId="6CA5AAD8" w14:textId="77777777" w:rsidR="0096460E" w:rsidRPr="007D68B2" w:rsidRDefault="0096460E" w:rsidP="00BC3CD1">
            <w:pPr>
              <w:pStyle w:val="TableBody"/>
            </w:pPr>
          </w:p>
        </w:tc>
        <w:tc>
          <w:tcPr>
            <w:tcW w:w="2059" w:type="dxa"/>
          </w:tcPr>
          <w:p w14:paraId="2A980001" w14:textId="77777777" w:rsidR="0096460E" w:rsidRPr="007D68B2" w:rsidRDefault="0096460E" w:rsidP="00F93616">
            <w:pPr>
              <w:pStyle w:val="TableBody"/>
            </w:pPr>
          </w:p>
        </w:tc>
      </w:tr>
      <w:tr w:rsidR="00D71D60" w:rsidRPr="007D68B2" w14:paraId="2D496AE3" w14:textId="77777777" w:rsidTr="0025203E">
        <w:trPr>
          <w:jc w:val="center"/>
        </w:trPr>
        <w:tc>
          <w:tcPr>
            <w:tcW w:w="0" w:type="auto"/>
          </w:tcPr>
          <w:p w14:paraId="6089B270" w14:textId="466D7E98" w:rsidR="00D71D60" w:rsidRPr="007D68B2" w:rsidRDefault="00D71D60" w:rsidP="00BC3CD1">
            <w:pPr>
              <w:pStyle w:val="TableRowIndent"/>
            </w:pPr>
            <w:r>
              <w:t>DV</w:t>
            </w:r>
          </w:p>
        </w:tc>
        <w:tc>
          <w:tcPr>
            <w:tcW w:w="0" w:type="auto"/>
          </w:tcPr>
          <w:p w14:paraId="1D8F6867" w14:textId="77777777" w:rsidR="00D71D60" w:rsidRPr="007D68B2" w:rsidRDefault="00D71D60" w:rsidP="00BC3CD1">
            <w:pPr>
              <w:pStyle w:val="TableBody"/>
            </w:pPr>
          </w:p>
        </w:tc>
        <w:tc>
          <w:tcPr>
            <w:tcW w:w="0" w:type="auto"/>
          </w:tcPr>
          <w:p w14:paraId="21A4F89C" w14:textId="77777777" w:rsidR="00D71D60" w:rsidRPr="007D68B2" w:rsidRDefault="00D71D60" w:rsidP="00BC3CD1">
            <w:pPr>
              <w:pStyle w:val="TableBody"/>
            </w:pPr>
            <w:r>
              <w:t>0.74</w:t>
            </w:r>
          </w:p>
        </w:tc>
        <w:tc>
          <w:tcPr>
            <w:tcW w:w="0" w:type="auto"/>
          </w:tcPr>
          <w:p w14:paraId="50E22D32" w14:textId="77777777" w:rsidR="00D71D60" w:rsidRPr="007D68B2" w:rsidRDefault="00D71D60" w:rsidP="00BC3CD1">
            <w:pPr>
              <w:pStyle w:val="TableBody"/>
            </w:pPr>
          </w:p>
        </w:tc>
        <w:tc>
          <w:tcPr>
            <w:tcW w:w="2059" w:type="dxa"/>
          </w:tcPr>
          <w:p w14:paraId="0FECBDAB" w14:textId="77777777" w:rsidR="00D71D60" w:rsidRPr="007D68B2" w:rsidRDefault="00D71D60" w:rsidP="00F93616">
            <w:pPr>
              <w:pStyle w:val="TableBody"/>
            </w:pPr>
            <w:r>
              <w:t>0.50 to 1.09</w:t>
            </w:r>
          </w:p>
        </w:tc>
      </w:tr>
      <w:tr w:rsidR="00D71D60" w:rsidRPr="007D68B2" w14:paraId="19ABF135" w14:textId="77777777" w:rsidTr="0098004D">
        <w:trPr>
          <w:jc w:val="center"/>
        </w:trPr>
        <w:tc>
          <w:tcPr>
            <w:tcW w:w="0" w:type="auto"/>
            <w:shd w:val="clear" w:color="auto" w:fill="D9E2F3" w:themeFill="accent1" w:themeFillTint="33"/>
          </w:tcPr>
          <w:p w14:paraId="749664F2" w14:textId="77777777" w:rsidR="00D71D60" w:rsidRPr="007D68B2" w:rsidRDefault="00D71D60" w:rsidP="0097278B">
            <w:pPr>
              <w:pStyle w:val="TableHeader2"/>
              <w:ind w:left="0"/>
            </w:pPr>
            <w:r>
              <w:t>Year 5</w:t>
            </w:r>
          </w:p>
        </w:tc>
        <w:tc>
          <w:tcPr>
            <w:tcW w:w="0" w:type="auto"/>
            <w:shd w:val="clear" w:color="auto" w:fill="D9E2F3" w:themeFill="accent1" w:themeFillTint="33"/>
          </w:tcPr>
          <w:p w14:paraId="48AB99FD" w14:textId="77777777" w:rsidR="00D71D60" w:rsidRPr="007D68B2" w:rsidRDefault="00D71D60" w:rsidP="00BC3CD1">
            <w:pPr>
              <w:pStyle w:val="TableHeader2"/>
            </w:pPr>
          </w:p>
        </w:tc>
        <w:tc>
          <w:tcPr>
            <w:tcW w:w="0" w:type="auto"/>
            <w:shd w:val="clear" w:color="auto" w:fill="D9E2F3" w:themeFill="accent1" w:themeFillTint="33"/>
          </w:tcPr>
          <w:p w14:paraId="7A3F6555" w14:textId="77777777" w:rsidR="00D71D60" w:rsidRPr="007D68B2" w:rsidRDefault="00D71D60" w:rsidP="00BC3CD1">
            <w:pPr>
              <w:pStyle w:val="TableHeader2"/>
            </w:pPr>
          </w:p>
        </w:tc>
        <w:tc>
          <w:tcPr>
            <w:tcW w:w="0" w:type="auto"/>
            <w:shd w:val="clear" w:color="auto" w:fill="D9E2F3" w:themeFill="accent1" w:themeFillTint="33"/>
          </w:tcPr>
          <w:p w14:paraId="6D1F79B1" w14:textId="77777777" w:rsidR="00D71D60" w:rsidRPr="007D68B2" w:rsidRDefault="00D71D60" w:rsidP="00BC3CD1">
            <w:pPr>
              <w:pStyle w:val="TableHeader2"/>
            </w:pPr>
          </w:p>
        </w:tc>
        <w:tc>
          <w:tcPr>
            <w:tcW w:w="2059" w:type="dxa"/>
            <w:shd w:val="clear" w:color="auto" w:fill="D9E2F3" w:themeFill="accent1" w:themeFillTint="33"/>
          </w:tcPr>
          <w:p w14:paraId="6B8C7967" w14:textId="77777777" w:rsidR="00D71D60" w:rsidRPr="007D68B2" w:rsidRDefault="00D71D60" w:rsidP="005265DE">
            <w:pPr>
              <w:pStyle w:val="TableHeader2"/>
              <w:jc w:val="center"/>
            </w:pPr>
          </w:p>
        </w:tc>
      </w:tr>
      <w:tr w:rsidR="00D71D60" w:rsidRPr="007D68B2" w14:paraId="0706DA7D" w14:textId="77777777" w:rsidTr="0025203E">
        <w:trPr>
          <w:trHeight w:val="87"/>
          <w:jc w:val="center"/>
        </w:trPr>
        <w:tc>
          <w:tcPr>
            <w:tcW w:w="0" w:type="auto"/>
          </w:tcPr>
          <w:p w14:paraId="745135C6" w14:textId="766D4B2C" w:rsidR="00D71D60" w:rsidRPr="007D68B2" w:rsidRDefault="00D71D60" w:rsidP="00BC3CD1">
            <w:pPr>
              <w:pStyle w:val="TableRowIndent"/>
            </w:pPr>
            <w:r w:rsidRPr="007D68B2">
              <w:t>No</w:t>
            </w:r>
            <w:r>
              <w:t>t-DV</w:t>
            </w:r>
          </w:p>
        </w:tc>
        <w:tc>
          <w:tcPr>
            <w:tcW w:w="0" w:type="auto"/>
          </w:tcPr>
          <w:p w14:paraId="6A88DD9F" w14:textId="77777777" w:rsidR="00D71D60" w:rsidRPr="007D68B2" w:rsidRDefault="00D71D60" w:rsidP="00BC3CD1">
            <w:pPr>
              <w:pStyle w:val="TableBody"/>
            </w:pPr>
          </w:p>
        </w:tc>
        <w:tc>
          <w:tcPr>
            <w:tcW w:w="0" w:type="auto"/>
          </w:tcPr>
          <w:p w14:paraId="1FAAFDCC" w14:textId="2BB0510E" w:rsidR="00D71D60" w:rsidRPr="007D68B2" w:rsidRDefault="00163D45" w:rsidP="00BC3CD1">
            <w:pPr>
              <w:pStyle w:val="TableBody"/>
            </w:pPr>
            <w:r>
              <w:t>R</w:t>
            </w:r>
            <w:r w:rsidR="00D71D60" w:rsidRPr="007D68B2">
              <w:t>ef</w:t>
            </w:r>
          </w:p>
        </w:tc>
        <w:tc>
          <w:tcPr>
            <w:tcW w:w="0" w:type="auto"/>
          </w:tcPr>
          <w:p w14:paraId="7DD73733" w14:textId="77777777" w:rsidR="00D71D60" w:rsidRPr="007D68B2" w:rsidRDefault="00D71D60" w:rsidP="00BC3CD1">
            <w:pPr>
              <w:pStyle w:val="TableBody"/>
            </w:pPr>
          </w:p>
        </w:tc>
        <w:tc>
          <w:tcPr>
            <w:tcW w:w="2059" w:type="dxa"/>
          </w:tcPr>
          <w:p w14:paraId="446D934B" w14:textId="77777777" w:rsidR="00D71D60" w:rsidRPr="007D68B2" w:rsidRDefault="00D71D60" w:rsidP="00F93616">
            <w:pPr>
              <w:pStyle w:val="TableBody"/>
            </w:pPr>
          </w:p>
        </w:tc>
      </w:tr>
      <w:tr w:rsidR="00D71D60" w:rsidRPr="007D68B2" w14:paraId="2DBF38B8" w14:textId="77777777" w:rsidTr="0025203E">
        <w:trPr>
          <w:jc w:val="center"/>
        </w:trPr>
        <w:tc>
          <w:tcPr>
            <w:tcW w:w="0" w:type="auto"/>
          </w:tcPr>
          <w:p w14:paraId="2CF89C51" w14:textId="136A0DFE" w:rsidR="00D71D60" w:rsidRPr="007D68B2" w:rsidRDefault="00D71D60" w:rsidP="00BC3CD1">
            <w:pPr>
              <w:pStyle w:val="TableRowIndent"/>
            </w:pPr>
            <w:r>
              <w:t>DV</w:t>
            </w:r>
          </w:p>
        </w:tc>
        <w:tc>
          <w:tcPr>
            <w:tcW w:w="0" w:type="auto"/>
          </w:tcPr>
          <w:p w14:paraId="58919E06" w14:textId="77777777" w:rsidR="00D71D60" w:rsidRPr="007D68B2" w:rsidRDefault="00D71D60" w:rsidP="00BC3CD1">
            <w:pPr>
              <w:pStyle w:val="TableBody"/>
            </w:pPr>
          </w:p>
        </w:tc>
        <w:tc>
          <w:tcPr>
            <w:tcW w:w="0" w:type="auto"/>
          </w:tcPr>
          <w:p w14:paraId="65683AC6" w14:textId="77777777" w:rsidR="00D71D60" w:rsidRPr="007D68B2" w:rsidRDefault="00D71D60" w:rsidP="00BC3CD1">
            <w:pPr>
              <w:pStyle w:val="TableBody"/>
            </w:pPr>
            <w:r>
              <w:t>0.79</w:t>
            </w:r>
          </w:p>
        </w:tc>
        <w:tc>
          <w:tcPr>
            <w:tcW w:w="0" w:type="auto"/>
          </w:tcPr>
          <w:p w14:paraId="6AA39BAA" w14:textId="77777777" w:rsidR="00D71D60" w:rsidRPr="007D68B2" w:rsidRDefault="00D71D60" w:rsidP="00BC3CD1">
            <w:pPr>
              <w:pStyle w:val="TableBody"/>
            </w:pPr>
          </w:p>
        </w:tc>
        <w:tc>
          <w:tcPr>
            <w:tcW w:w="2059" w:type="dxa"/>
          </w:tcPr>
          <w:p w14:paraId="2197AB84" w14:textId="77777777" w:rsidR="00D71D60" w:rsidRPr="007D68B2" w:rsidRDefault="00D71D60" w:rsidP="00F93616">
            <w:pPr>
              <w:pStyle w:val="TableBody"/>
            </w:pPr>
            <w:r>
              <w:t>0.56 to 1.11</w:t>
            </w:r>
          </w:p>
        </w:tc>
      </w:tr>
      <w:tr w:rsidR="00D71D60" w:rsidRPr="007D68B2" w14:paraId="50ADAB38" w14:textId="77777777" w:rsidTr="0098004D">
        <w:trPr>
          <w:jc w:val="center"/>
        </w:trPr>
        <w:tc>
          <w:tcPr>
            <w:tcW w:w="0" w:type="auto"/>
            <w:shd w:val="clear" w:color="auto" w:fill="D9E2F3" w:themeFill="accent1" w:themeFillTint="33"/>
          </w:tcPr>
          <w:p w14:paraId="1BEFB985" w14:textId="77777777" w:rsidR="00D71D60" w:rsidRPr="007D68B2" w:rsidRDefault="00D71D60" w:rsidP="0097278B">
            <w:pPr>
              <w:pStyle w:val="TableHeader2"/>
              <w:ind w:left="0"/>
            </w:pPr>
            <w:r w:rsidRPr="007D68B2">
              <w:t xml:space="preserve">Year </w:t>
            </w:r>
            <w:r>
              <w:t>6</w:t>
            </w:r>
          </w:p>
        </w:tc>
        <w:tc>
          <w:tcPr>
            <w:tcW w:w="0" w:type="auto"/>
            <w:shd w:val="clear" w:color="auto" w:fill="D9E2F3" w:themeFill="accent1" w:themeFillTint="33"/>
          </w:tcPr>
          <w:p w14:paraId="56ACF284" w14:textId="77777777" w:rsidR="00D71D60" w:rsidRPr="007D68B2" w:rsidRDefault="00D71D60" w:rsidP="00BC3CD1">
            <w:pPr>
              <w:pStyle w:val="TableHeader2"/>
            </w:pPr>
          </w:p>
        </w:tc>
        <w:tc>
          <w:tcPr>
            <w:tcW w:w="0" w:type="auto"/>
            <w:shd w:val="clear" w:color="auto" w:fill="D9E2F3" w:themeFill="accent1" w:themeFillTint="33"/>
          </w:tcPr>
          <w:p w14:paraId="43E08B91" w14:textId="77777777" w:rsidR="00D71D60" w:rsidRPr="007D68B2" w:rsidRDefault="00D71D60" w:rsidP="00BC3CD1">
            <w:pPr>
              <w:pStyle w:val="TableHeader2"/>
            </w:pPr>
          </w:p>
        </w:tc>
        <w:tc>
          <w:tcPr>
            <w:tcW w:w="0" w:type="auto"/>
            <w:shd w:val="clear" w:color="auto" w:fill="D9E2F3" w:themeFill="accent1" w:themeFillTint="33"/>
          </w:tcPr>
          <w:p w14:paraId="18571CCF" w14:textId="77777777" w:rsidR="00D71D60" w:rsidRPr="007D68B2" w:rsidRDefault="00D71D60" w:rsidP="00BC3CD1">
            <w:pPr>
              <w:pStyle w:val="TableHeader2"/>
            </w:pPr>
          </w:p>
        </w:tc>
        <w:tc>
          <w:tcPr>
            <w:tcW w:w="2059" w:type="dxa"/>
            <w:shd w:val="clear" w:color="auto" w:fill="D9E2F3" w:themeFill="accent1" w:themeFillTint="33"/>
          </w:tcPr>
          <w:p w14:paraId="60F8F096" w14:textId="77777777" w:rsidR="00D71D60" w:rsidRPr="007D68B2" w:rsidRDefault="00D71D60" w:rsidP="005265DE">
            <w:pPr>
              <w:pStyle w:val="TableHeader2"/>
              <w:jc w:val="center"/>
            </w:pPr>
          </w:p>
        </w:tc>
      </w:tr>
      <w:tr w:rsidR="00D71D60" w:rsidRPr="007D68B2" w14:paraId="0D558778" w14:textId="77777777" w:rsidTr="0025203E">
        <w:trPr>
          <w:jc w:val="center"/>
        </w:trPr>
        <w:tc>
          <w:tcPr>
            <w:tcW w:w="0" w:type="auto"/>
          </w:tcPr>
          <w:p w14:paraId="318E5E9C" w14:textId="7F93F52E" w:rsidR="00D71D60" w:rsidRPr="007D68B2" w:rsidRDefault="00D71D60" w:rsidP="00BC3CD1">
            <w:pPr>
              <w:pStyle w:val="TableRowIndent"/>
            </w:pPr>
            <w:r w:rsidRPr="007D68B2">
              <w:t>No</w:t>
            </w:r>
            <w:r>
              <w:t>t-DV</w:t>
            </w:r>
          </w:p>
        </w:tc>
        <w:tc>
          <w:tcPr>
            <w:tcW w:w="0" w:type="auto"/>
          </w:tcPr>
          <w:p w14:paraId="3DD0434A" w14:textId="77777777" w:rsidR="00D71D60" w:rsidRPr="007D68B2" w:rsidRDefault="00D71D60" w:rsidP="00BC3CD1">
            <w:pPr>
              <w:pStyle w:val="TableBody"/>
            </w:pPr>
          </w:p>
        </w:tc>
        <w:tc>
          <w:tcPr>
            <w:tcW w:w="0" w:type="auto"/>
          </w:tcPr>
          <w:p w14:paraId="79B245B2" w14:textId="10119569" w:rsidR="00D71D60" w:rsidRPr="007D68B2" w:rsidRDefault="00163D45" w:rsidP="00BC3CD1">
            <w:pPr>
              <w:pStyle w:val="TableBody"/>
            </w:pPr>
            <w:r>
              <w:t>R</w:t>
            </w:r>
            <w:r w:rsidR="00D71D60" w:rsidRPr="007D68B2">
              <w:t>ef</w:t>
            </w:r>
          </w:p>
        </w:tc>
        <w:tc>
          <w:tcPr>
            <w:tcW w:w="0" w:type="auto"/>
          </w:tcPr>
          <w:p w14:paraId="4728B95F" w14:textId="77777777" w:rsidR="00D71D60" w:rsidRPr="007D68B2" w:rsidRDefault="00D71D60" w:rsidP="00BC3CD1">
            <w:pPr>
              <w:pStyle w:val="TableBody"/>
            </w:pPr>
          </w:p>
        </w:tc>
        <w:tc>
          <w:tcPr>
            <w:tcW w:w="2059" w:type="dxa"/>
          </w:tcPr>
          <w:p w14:paraId="005C4729" w14:textId="77777777" w:rsidR="00D71D60" w:rsidRPr="007D68B2" w:rsidRDefault="00D71D60" w:rsidP="00F93616">
            <w:pPr>
              <w:pStyle w:val="TableBody"/>
            </w:pPr>
          </w:p>
        </w:tc>
      </w:tr>
      <w:tr w:rsidR="00D71D60" w:rsidRPr="007D68B2" w14:paraId="6FD93A92" w14:textId="77777777" w:rsidTr="0025203E">
        <w:trPr>
          <w:jc w:val="center"/>
        </w:trPr>
        <w:tc>
          <w:tcPr>
            <w:tcW w:w="0" w:type="auto"/>
          </w:tcPr>
          <w:p w14:paraId="253AB38D" w14:textId="5EFF0A5B" w:rsidR="00D71D60" w:rsidRPr="007D68B2" w:rsidRDefault="00D71D60" w:rsidP="00BC3CD1">
            <w:pPr>
              <w:pStyle w:val="TableRowIndent"/>
            </w:pPr>
            <w:r>
              <w:t>DV</w:t>
            </w:r>
          </w:p>
        </w:tc>
        <w:tc>
          <w:tcPr>
            <w:tcW w:w="0" w:type="auto"/>
          </w:tcPr>
          <w:p w14:paraId="58070176" w14:textId="77777777" w:rsidR="00D71D60" w:rsidRPr="007D68B2" w:rsidRDefault="00D71D60" w:rsidP="00BC3CD1">
            <w:pPr>
              <w:pStyle w:val="TableBody"/>
            </w:pPr>
          </w:p>
        </w:tc>
        <w:tc>
          <w:tcPr>
            <w:tcW w:w="0" w:type="auto"/>
          </w:tcPr>
          <w:p w14:paraId="1FCFF285" w14:textId="77777777" w:rsidR="00D71D60" w:rsidRPr="007D68B2" w:rsidRDefault="00D71D60" w:rsidP="00BC3CD1">
            <w:pPr>
              <w:pStyle w:val="TableBody"/>
            </w:pPr>
            <w:r>
              <w:t>0.80</w:t>
            </w:r>
          </w:p>
        </w:tc>
        <w:tc>
          <w:tcPr>
            <w:tcW w:w="0" w:type="auto"/>
          </w:tcPr>
          <w:p w14:paraId="0797AC51" w14:textId="77777777" w:rsidR="00D71D60" w:rsidRPr="007D68B2" w:rsidRDefault="00D71D60" w:rsidP="00BC3CD1">
            <w:pPr>
              <w:pStyle w:val="TableBody"/>
            </w:pPr>
          </w:p>
        </w:tc>
        <w:tc>
          <w:tcPr>
            <w:tcW w:w="2059" w:type="dxa"/>
          </w:tcPr>
          <w:p w14:paraId="60BA444A" w14:textId="77777777" w:rsidR="00D71D60" w:rsidRPr="007D68B2" w:rsidRDefault="00D71D60" w:rsidP="00F93616">
            <w:pPr>
              <w:pStyle w:val="TableBody"/>
            </w:pPr>
            <w:r>
              <w:t>0.56 to 1.14</w:t>
            </w:r>
          </w:p>
        </w:tc>
      </w:tr>
      <w:tr w:rsidR="00D71D60" w:rsidRPr="007D68B2" w14:paraId="63A015C6" w14:textId="77777777" w:rsidTr="0098004D">
        <w:trPr>
          <w:jc w:val="center"/>
        </w:trPr>
        <w:tc>
          <w:tcPr>
            <w:tcW w:w="0" w:type="auto"/>
            <w:shd w:val="clear" w:color="auto" w:fill="D9E2F3" w:themeFill="accent1" w:themeFillTint="33"/>
          </w:tcPr>
          <w:p w14:paraId="7BA8E155" w14:textId="77777777" w:rsidR="00D71D60" w:rsidRPr="007D68B2" w:rsidRDefault="00D71D60" w:rsidP="0097278B">
            <w:pPr>
              <w:pStyle w:val="TableHeader2"/>
              <w:ind w:left="0"/>
            </w:pPr>
            <w:r w:rsidRPr="007D68B2">
              <w:t xml:space="preserve">Year </w:t>
            </w:r>
            <w:r>
              <w:t>7</w:t>
            </w:r>
          </w:p>
        </w:tc>
        <w:tc>
          <w:tcPr>
            <w:tcW w:w="0" w:type="auto"/>
            <w:shd w:val="clear" w:color="auto" w:fill="D9E2F3" w:themeFill="accent1" w:themeFillTint="33"/>
          </w:tcPr>
          <w:p w14:paraId="18D9621B" w14:textId="77777777" w:rsidR="00D71D60" w:rsidRPr="007D68B2" w:rsidRDefault="00D71D60" w:rsidP="00BC3CD1">
            <w:pPr>
              <w:pStyle w:val="TableHeader2"/>
            </w:pPr>
          </w:p>
        </w:tc>
        <w:tc>
          <w:tcPr>
            <w:tcW w:w="0" w:type="auto"/>
            <w:shd w:val="clear" w:color="auto" w:fill="D9E2F3" w:themeFill="accent1" w:themeFillTint="33"/>
          </w:tcPr>
          <w:p w14:paraId="669572C2" w14:textId="77777777" w:rsidR="00D71D60" w:rsidRPr="007D68B2" w:rsidRDefault="00D71D60" w:rsidP="00BC3CD1">
            <w:pPr>
              <w:pStyle w:val="TableHeader2"/>
            </w:pPr>
          </w:p>
        </w:tc>
        <w:tc>
          <w:tcPr>
            <w:tcW w:w="0" w:type="auto"/>
            <w:shd w:val="clear" w:color="auto" w:fill="D9E2F3" w:themeFill="accent1" w:themeFillTint="33"/>
          </w:tcPr>
          <w:p w14:paraId="0E606B39" w14:textId="77777777" w:rsidR="00D71D60" w:rsidRPr="007D68B2" w:rsidRDefault="00D71D60" w:rsidP="00BC3CD1">
            <w:pPr>
              <w:pStyle w:val="TableHeader2"/>
            </w:pPr>
          </w:p>
        </w:tc>
        <w:tc>
          <w:tcPr>
            <w:tcW w:w="2059" w:type="dxa"/>
            <w:shd w:val="clear" w:color="auto" w:fill="D9E2F3" w:themeFill="accent1" w:themeFillTint="33"/>
          </w:tcPr>
          <w:p w14:paraId="23FE2F05" w14:textId="77777777" w:rsidR="00D71D60" w:rsidRPr="007D68B2" w:rsidRDefault="00D71D60" w:rsidP="005265DE">
            <w:pPr>
              <w:pStyle w:val="TableHeader2"/>
              <w:jc w:val="center"/>
            </w:pPr>
          </w:p>
        </w:tc>
      </w:tr>
      <w:tr w:rsidR="00D71D60" w:rsidRPr="007D68B2" w14:paraId="0837B1A8" w14:textId="77777777" w:rsidTr="0025203E">
        <w:trPr>
          <w:trHeight w:val="87"/>
          <w:jc w:val="center"/>
        </w:trPr>
        <w:tc>
          <w:tcPr>
            <w:tcW w:w="0" w:type="auto"/>
          </w:tcPr>
          <w:p w14:paraId="0F7044E5" w14:textId="2062EA3F" w:rsidR="00D71D60" w:rsidRPr="007D68B2" w:rsidRDefault="00D71D60" w:rsidP="00BC3CD1">
            <w:pPr>
              <w:pStyle w:val="TableRowIndent"/>
            </w:pPr>
            <w:r w:rsidRPr="007D68B2">
              <w:t>No</w:t>
            </w:r>
            <w:r>
              <w:t>t-DV</w:t>
            </w:r>
          </w:p>
        </w:tc>
        <w:tc>
          <w:tcPr>
            <w:tcW w:w="0" w:type="auto"/>
          </w:tcPr>
          <w:p w14:paraId="610FB13F" w14:textId="77777777" w:rsidR="00D71D60" w:rsidRPr="007D68B2" w:rsidRDefault="00D71D60" w:rsidP="00BC3CD1">
            <w:pPr>
              <w:pStyle w:val="TableBody"/>
            </w:pPr>
          </w:p>
        </w:tc>
        <w:tc>
          <w:tcPr>
            <w:tcW w:w="0" w:type="auto"/>
          </w:tcPr>
          <w:p w14:paraId="320FB699" w14:textId="71E16880" w:rsidR="00D71D60" w:rsidRPr="007D68B2" w:rsidRDefault="00163D45" w:rsidP="00BC3CD1">
            <w:pPr>
              <w:pStyle w:val="TableBody"/>
            </w:pPr>
            <w:r>
              <w:t>R</w:t>
            </w:r>
            <w:r w:rsidR="00D71D60" w:rsidRPr="007D68B2">
              <w:t>ef</w:t>
            </w:r>
          </w:p>
        </w:tc>
        <w:tc>
          <w:tcPr>
            <w:tcW w:w="0" w:type="auto"/>
          </w:tcPr>
          <w:p w14:paraId="1FDCD6F6" w14:textId="77777777" w:rsidR="00D71D60" w:rsidRPr="007D68B2" w:rsidRDefault="00D71D60" w:rsidP="00BC3CD1">
            <w:pPr>
              <w:pStyle w:val="TableBody"/>
            </w:pPr>
          </w:p>
        </w:tc>
        <w:tc>
          <w:tcPr>
            <w:tcW w:w="2059" w:type="dxa"/>
          </w:tcPr>
          <w:p w14:paraId="762F6ADD" w14:textId="77777777" w:rsidR="00D71D60" w:rsidRPr="007D68B2" w:rsidRDefault="00D71D60" w:rsidP="00F93616">
            <w:pPr>
              <w:pStyle w:val="TableBody"/>
            </w:pPr>
          </w:p>
        </w:tc>
      </w:tr>
      <w:tr w:rsidR="00D71D60" w:rsidRPr="007D68B2" w14:paraId="30200D4E" w14:textId="77777777" w:rsidTr="0025203E">
        <w:trPr>
          <w:jc w:val="center"/>
        </w:trPr>
        <w:tc>
          <w:tcPr>
            <w:tcW w:w="0" w:type="auto"/>
          </w:tcPr>
          <w:p w14:paraId="5BA7390B" w14:textId="0E53B7C3" w:rsidR="00D71D60" w:rsidRPr="007D68B2" w:rsidRDefault="00D71D60" w:rsidP="00BC3CD1">
            <w:pPr>
              <w:pStyle w:val="TableRowIndent"/>
            </w:pPr>
            <w:r>
              <w:t>DV</w:t>
            </w:r>
          </w:p>
        </w:tc>
        <w:tc>
          <w:tcPr>
            <w:tcW w:w="0" w:type="auto"/>
          </w:tcPr>
          <w:p w14:paraId="394451FC" w14:textId="77777777" w:rsidR="00D71D60" w:rsidRPr="007D68B2" w:rsidRDefault="00D71D60" w:rsidP="00BC3CD1">
            <w:pPr>
              <w:pStyle w:val="TableBody"/>
            </w:pPr>
          </w:p>
        </w:tc>
        <w:tc>
          <w:tcPr>
            <w:tcW w:w="0" w:type="auto"/>
          </w:tcPr>
          <w:p w14:paraId="0D09F51C" w14:textId="77777777" w:rsidR="00D71D60" w:rsidRPr="007D68B2" w:rsidRDefault="00D71D60" w:rsidP="00BC3CD1">
            <w:pPr>
              <w:pStyle w:val="TableBody"/>
            </w:pPr>
            <w:r>
              <w:t>0.75</w:t>
            </w:r>
          </w:p>
        </w:tc>
        <w:tc>
          <w:tcPr>
            <w:tcW w:w="0" w:type="auto"/>
          </w:tcPr>
          <w:p w14:paraId="520CEE5D" w14:textId="77777777" w:rsidR="00D71D60" w:rsidRPr="007D68B2" w:rsidRDefault="00D71D60" w:rsidP="00BC3CD1">
            <w:pPr>
              <w:pStyle w:val="TableBody"/>
            </w:pPr>
          </w:p>
        </w:tc>
        <w:tc>
          <w:tcPr>
            <w:tcW w:w="2059" w:type="dxa"/>
          </w:tcPr>
          <w:p w14:paraId="552152A8" w14:textId="77777777" w:rsidR="00D71D60" w:rsidRPr="007D68B2" w:rsidRDefault="00D71D60" w:rsidP="00F93616">
            <w:pPr>
              <w:pStyle w:val="TableBody"/>
            </w:pPr>
            <w:r>
              <w:t>0.52 to 1.09</w:t>
            </w:r>
          </w:p>
        </w:tc>
      </w:tr>
    </w:tbl>
    <w:p w14:paraId="298C39E7" w14:textId="77777777" w:rsidR="004F2E7B" w:rsidRDefault="003F7DA2" w:rsidP="004F2E7B">
      <w:pPr>
        <w:pStyle w:val="Belowtablecaption"/>
        <w:ind w:left="2552"/>
      </w:pPr>
      <w:r w:rsidRPr="006B1BCD">
        <w:t>Analysis controlled for gender, SES and age</w:t>
      </w:r>
      <w:r w:rsidR="004F2E7B">
        <w:t xml:space="preserve">. </w:t>
      </w:r>
    </w:p>
    <w:p w14:paraId="7AE01199" w14:textId="77777777" w:rsidR="0004749E" w:rsidRPr="00401D57" w:rsidRDefault="0004749E" w:rsidP="004F2E7B">
      <w:pPr>
        <w:pStyle w:val="Belowtablecaption"/>
        <w:ind w:left="2552"/>
        <w:rPr>
          <w:sz w:val="20"/>
        </w:rPr>
      </w:pPr>
    </w:p>
    <w:p w14:paraId="741F0EBD" w14:textId="3EAC6913" w:rsidR="00D71D60" w:rsidRDefault="00D71D60" w:rsidP="007F76A2">
      <w:pPr>
        <w:pStyle w:val="Caption"/>
        <w:spacing w:before="0"/>
      </w:pPr>
      <w:bookmarkStart w:id="100" w:name="_Ref501114403"/>
      <w:bookmarkStart w:id="101" w:name="_Toc503780749"/>
      <w:r>
        <w:t xml:space="preserve">Table </w:t>
      </w:r>
      <w:r>
        <w:fldChar w:fldCharType="begin"/>
      </w:r>
      <w:r>
        <w:instrText xml:space="preserve"> SEQ Table \* ARABIC </w:instrText>
      </w:r>
      <w:r>
        <w:fldChar w:fldCharType="separate"/>
      </w:r>
      <w:r w:rsidR="004C27B3">
        <w:rPr>
          <w:noProof/>
        </w:rPr>
        <w:t>9</w:t>
      </w:r>
      <w:r>
        <w:fldChar w:fldCharType="end"/>
      </w:r>
      <w:bookmarkEnd w:id="100"/>
      <w:r>
        <w:t xml:space="preserve">. </w:t>
      </w:r>
      <w:r w:rsidRPr="000C68CC">
        <w:t xml:space="preserve">Estimated </w:t>
      </w:r>
      <w:r>
        <w:t>l</w:t>
      </w:r>
      <w:r w:rsidRPr="000C68CC">
        <w:t xml:space="preserve">ikelihood of </w:t>
      </w:r>
      <w:r>
        <w:t>bullying</w:t>
      </w:r>
      <w:r w:rsidRPr="000C68CC">
        <w:t xml:space="preserve"> in Year 3, 4, 5, 6 and 7 associated with developmental vulnerability status.</w:t>
      </w:r>
      <w:bookmarkEnd w:id="101"/>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Caption w:val="Table 9. Estimated likelihood of bullying in Year 3, 4, 5, 6 and 7 associated with developmental vulnerability status"/>
      </w:tblPr>
      <w:tblGrid>
        <w:gridCol w:w="763"/>
        <w:gridCol w:w="236"/>
        <w:gridCol w:w="1117"/>
        <w:gridCol w:w="236"/>
        <w:gridCol w:w="2038"/>
      </w:tblGrid>
      <w:tr w:rsidR="0096460E" w:rsidRPr="007D68B2" w14:paraId="05720C3D" w14:textId="77777777" w:rsidTr="0025203E">
        <w:trPr>
          <w:jc w:val="center"/>
        </w:trPr>
        <w:tc>
          <w:tcPr>
            <w:tcW w:w="763" w:type="dxa"/>
            <w:shd w:val="clear" w:color="auto" w:fill="0070C0"/>
          </w:tcPr>
          <w:p w14:paraId="087B2F5F" w14:textId="77777777" w:rsidR="0096460E" w:rsidRPr="007D68B2" w:rsidRDefault="0096460E" w:rsidP="00785532">
            <w:pPr>
              <w:pStyle w:val="TableHeader1"/>
            </w:pPr>
          </w:p>
        </w:tc>
        <w:tc>
          <w:tcPr>
            <w:tcW w:w="236" w:type="dxa"/>
            <w:shd w:val="clear" w:color="auto" w:fill="0070C0"/>
          </w:tcPr>
          <w:p w14:paraId="78D50B9A" w14:textId="77777777" w:rsidR="0096460E" w:rsidRPr="007D68B2" w:rsidRDefault="0096460E" w:rsidP="00785532">
            <w:pPr>
              <w:pStyle w:val="TableHeader1"/>
            </w:pPr>
          </w:p>
        </w:tc>
        <w:tc>
          <w:tcPr>
            <w:tcW w:w="1117" w:type="dxa"/>
            <w:shd w:val="clear" w:color="auto" w:fill="0070C0"/>
            <w:vAlign w:val="bottom"/>
          </w:tcPr>
          <w:p w14:paraId="202B06B6" w14:textId="1A67A7CB" w:rsidR="0096460E" w:rsidRPr="007746B4" w:rsidRDefault="0096460E" w:rsidP="00D71D60">
            <w:pPr>
              <w:pStyle w:val="TableHeader1"/>
            </w:pPr>
            <w:r w:rsidRPr="007746B4">
              <w:t>Odds Ratio</w:t>
            </w:r>
          </w:p>
        </w:tc>
        <w:tc>
          <w:tcPr>
            <w:tcW w:w="2274" w:type="dxa"/>
            <w:gridSpan w:val="2"/>
            <w:shd w:val="clear" w:color="auto" w:fill="0070C0"/>
          </w:tcPr>
          <w:p w14:paraId="6A7DD9BA" w14:textId="3B2B7556" w:rsidR="0096460E" w:rsidRPr="007D68B2" w:rsidRDefault="0096460E" w:rsidP="0025203E">
            <w:pPr>
              <w:pStyle w:val="TableHeader1"/>
              <w:jc w:val="left"/>
            </w:pPr>
            <w:r w:rsidRPr="007746B4">
              <w:t>95% Confidence Interval</w:t>
            </w:r>
          </w:p>
        </w:tc>
      </w:tr>
      <w:tr w:rsidR="00D71D60" w:rsidRPr="007D68B2" w14:paraId="6F9190BF" w14:textId="77777777" w:rsidTr="000D4819">
        <w:trPr>
          <w:jc w:val="center"/>
        </w:trPr>
        <w:tc>
          <w:tcPr>
            <w:tcW w:w="763" w:type="dxa"/>
            <w:shd w:val="clear" w:color="auto" w:fill="D9E2F3" w:themeFill="accent1" w:themeFillTint="33"/>
          </w:tcPr>
          <w:p w14:paraId="034C300B" w14:textId="1DE18723" w:rsidR="00D71D60" w:rsidRPr="007D68B2" w:rsidRDefault="00D71D60" w:rsidP="0097278B">
            <w:pPr>
              <w:pStyle w:val="TableHeader2"/>
              <w:ind w:left="0"/>
            </w:pPr>
            <w:r w:rsidRPr="007D68B2">
              <w:t xml:space="preserve">Year </w:t>
            </w:r>
            <w:r>
              <w:t>3</w:t>
            </w:r>
          </w:p>
        </w:tc>
        <w:tc>
          <w:tcPr>
            <w:tcW w:w="236" w:type="dxa"/>
            <w:shd w:val="clear" w:color="auto" w:fill="D9E2F3" w:themeFill="accent1" w:themeFillTint="33"/>
          </w:tcPr>
          <w:p w14:paraId="1CDBCC19" w14:textId="77777777" w:rsidR="00D71D60" w:rsidRPr="007D68B2" w:rsidRDefault="00D71D60" w:rsidP="00BC3CD1">
            <w:pPr>
              <w:pStyle w:val="TableHeader2"/>
            </w:pPr>
          </w:p>
        </w:tc>
        <w:tc>
          <w:tcPr>
            <w:tcW w:w="1117" w:type="dxa"/>
            <w:shd w:val="clear" w:color="auto" w:fill="D9E2F3" w:themeFill="accent1" w:themeFillTint="33"/>
          </w:tcPr>
          <w:p w14:paraId="3731941B" w14:textId="77777777" w:rsidR="00D71D60" w:rsidRPr="007D68B2" w:rsidRDefault="00D71D60" w:rsidP="00BC3CD1">
            <w:pPr>
              <w:pStyle w:val="TableHeader2"/>
            </w:pPr>
          </w:p>
        </w:tc>
        <w:tc>
          <w:tcPr>
            <w:tcW w:w="236" w:type="dxa"/>
            <w:shd w:val="clear" w:color="auto" w:fill="D9E2F3" w:themeFill="accent1" w:themeFillTint="33"/>
          </w:tcPr>
          <w:p w14:paraId="040BA30F" w14:textId="77777777" w:rsidR="00D71D60" w:rsidRPr="007D68B2" w:rsidRDefault="00D71D60" w:rsidP="00BC3CD1">
            <w:pPr>
              <w:pStyle w:val="TableHeader2"/>
            </w:pPr>
          </w:p>
        </w:tc>
        <w:tc>
          <w:tcPr>
            <w:tcW w:w="2038" w:type="dxa"/>
            <w:shd w:val="clear" w:color="auto" w:fill="D9E2F3" w:themeFill="accent1" w:themeFillTint="33"/>
          </w:tcPr>
          <w:p w14:paraId="4D7B225B" w14:textId="77777777" w:rsidR="00D71D60" w:rsidRPr="007D68B2" w:rsidRDefault="00D71D60" w:rsidP="00BC3CD1">
            <w:pPr>
              <w:pStyle w:val="TableHeader2"/>
            </w:pPr>
          </w:p>
        </w:tc>
      </w:tr>
      <w:tr w:rsidR="0096460E" w:rsidRPr="007D68B2" w14:paraId="1FA0EC80" w14:textId="77777777" w:rsidTr="0025203E">
        <w:trPr>
          <w:jc w:val="center"/>
        </w:trPr>
        <w:tc>
          <w:tcPr>
            <w:tcW w:w="999" w:type="dxa"/>
            <w:gridSpan w:val="2"/>
          </w:tcPr>
          <w:p w14:paraId="26E97768" w14:textId="50421FBD" w:rsidR="0096460E" w:rsidRPr="007D68B2" w:rsidRDefault="0096460E" w:rsidP="0096460E">
            <w:pPr>
              <w:pStyle w:val="TableBody"/>
              <w:jc w:val="left"/>
            </w:pPr>
            <w:r w:rsidRPr="007D68B2">
              <w:t>No</w:t>
            </w:r>
            <w:r>
              <w:t>t-DV</w:t>
            </w:r>
          </w:p>
        </w:tc>
        <w:tc>
          <w:tcPr>
            <w:tcW w:w="1117" w:type="dxa"/>
          </w:tcPr>
          <w:p w14:paraId="65968CDF" w14:textId="24199B0F" w:rsidR="0096460E" w:rsidRPr="007D68B2" w:rsidRDefault="0096460E" w:rsidP="00BC3CD1">
            <w:pPr>
              <w:pStyle w:val="TableBody"/>
            </w:pPr>
            <w:r>
              <w:t>R</w:t>
            </w:r>
            <w:r w:rsidRPr="007D68B2">
              <w:t>ef</w:t>
            </w:r>
          </w:p>
        </w:tc>
        <w:tc>
          <w:tcPr>
            <w:tcW w:w="236" w:type="dxa"/>
          </w:tcPr>
          <w:p w14:paraId="5BA73AC6" w14:textId="77777777" w:rsidR="0096460E" w:rsidRPr="007D68B2" w:rsidRDefault="0096460E" w:rsidP="00BC3CD1">
            <w:pPr>
              <w:pStyle w:val="TableBody"/>
            </w:pPr>
          </w:p>
        </w:tc>
        <w:tc>
          <w:tcPr>
            <w:tcW w:w="2038" w:type="dxa"/>
          </w:tcPr>
          <w:p w14:paraId="3986B01F" w14:textId="77777777" w:rsidR="0096460E" w:rsidRPr="007D68B2" w:rsidRDefault="0096460E" w:rsidP="00BC3CD1">
            <w:pPr>
              <w:pStyle w:val="TableBody"/>
            </w:pPr>
          </w:p>
        </w:tc>
      </w:tr>
      <w:tr w:rsidR="00D71D60" w:rsidRPr="007D68B2" w14:paraId="5A8F8C44" w14:textId="77777777" w:rsidTr="0025203E">
        <w:trPr>
          <w:jc w:val="center"/>
        </w:trPr>
        <w:tc>
          <w:tcPr>
            <w:tcW w:w="763" w:type="dxa"/>
          </w:tcPr>
          <w:p w14:paraId="7B9DA444" w14:textId="67C1B883" w:rsidR="00D71D60" w:rsidRPr="007D68B2" w:rsidRDefault="00BD5178" w:rsidP="00BC3CD1">
            <w:pPr>
              <w:pStyle w:val="TableRowIndent"/>
            </w:pPr>
            <w:r>
              <w:t>DV</w:t>
            </w:r>
          </w:p>
        </w:tc>
        <w:tc>
          <w:tcPr>
            <w:tcW w:w="236" w:type="dxa"/>
          </w:tcPr>
          <w:p w14:paraId="69B3C6A0" w14:textId="77777777" w:rsidR="00D71D60" w:rsidRPr="007D68B2" w:rsidRDefault="00D71D60" w:rsidP="00BC3CD1">
            <w:pPr>
              <w:pStyle w:val="TableBody"/>
            </w:pPr>
          </w:p>
        </w:tc>
        <w:tc>
          <w:tcPr>
            <w:tcW w:w="1117" w:type="dxa"/>
          </w:tcPr>
          <w:p w14:paraId="30D7E721" w14:textId="77777777" w:rsidR="00D71D60" w:rsidRPr="007D68B2" w:rsidRDefault="00D71D60" w:rsidP="00BC3CD1">
            <w:pPr>
              <w:pStyle w:val="TableBody"/>
            </w:pPr>
            <w:r>
              <w:t>1.39</w:t>
            </w:r>
          </w:p>
        </w:tc>
        <w:tc>
          <w:tcPr>
            <w:tcW w:w="236" w:type="dxa"/>
          </w:tcPr>
          <w:p w14:paraId="65CAB241" w14:textId="77777777" w:rsidR="00D71D60" w:rsidRPr="007D68B2" w:rsidRDefault="00D71D60" w:rsidP="00BC3CD1">
            <w:pPr>
              <w:pStyle w:val="TableBody"/>
            </w:pPr>
          </w:p>
        </w:tc>
        <w:tc>
          <w:tcPr>
            <w:tcW w:w="2038" w:type="dxa"/>
          </w:tcPr>
          <w:p w14:paraId="2C255C94" w14:textId="77777777" w:rsidR="00D71D60" w:rsidRPr="007D68B2" w:rsidRDefault="00D71D60" w:rsidP="00BC3CD1">
            <w:pPr>
              <w:pStyle w:val="TableBody"/>
            </w:pPr>
            <w:r>
              <w:t>0.99 to 1.96</w:t>
            </w:r>
          </w:p>
        </w:tc>
      </w:tr>
      <w:tr w:rsidR="00D71D60" w:rsidRPr="007D68B2" w14:paraId="5C9921F7" w14:textId="77777777" w:rsidTr="000D4819">
        <w:trPr>
          <w:jc w:val="center"/>
        </w:trPr>
        <w:tc>
          <w:tcPr>
            <w:tcW w:w="763" w:type="dxa"/>
            <w:shd w:val="clear" w:color="auto" w:fill="D9E2F3" w:themeFill="accent1" w:themeFillTint="33"/>
          </w:tcPr>
          <w:p w14:paraId="5004F5FA" w14:textId="77777777" w:rsidR="00D71D60" w:rsidRPr="007D68B2" w:rsidRDefault="00D71D60" w:rsidP="0097278B">
            <w:pPr>
              <w:pStyle w:val="TableHeader2"/>
              <w:ind w:left="0"/>
            </w:pPr>
            <w:r w:rsidRPr="007D68B2">
              <w:t>Year</w:t>
            </w:r>
            <w:r>
              <w:t xml:space="preserve"> 4</w:t>
            </w:r>
          </w:p>
        </w:tc>
        <w:tc>
          <w:tcPr>
            <w:tcW w:w="236" w:type="dxa"/>
            <w:shd w:val="clear" w:color="auto" w:fill="D9E2F3" w:themeFill="accent1" w:themeFillTint="33"/>
          </w:tcPr>
          <w:p w14:paraId="695D5986" w14:textId="77777777" w:rsidR="00D71D60" w:rsidRPr="007D68B2" w:rsidRDefault="00D71D60" w:rsidP="00BC3CD1">
            <w:pPr>
              <w:pStyle w:val="TableHeader2"/>
            </w:pPr>
          </w:p>
        </w:tc>
        <w:tc>
          <w:tcPr>
            <w:tcW w:w="1117" w:type="dxa"/>
            <w:shd w:val="clear" w:color="auto" w:fill="D9E2F3" w:themeFill="accent1" w:themeFillTint="33"/>
          </w:tcPr>
          <w:p w14:paraId="3D40647D" w14:textId="77777777" w:rsidR="00D71D60" w:rsidRPr="007D68B2" w:rsidRDefault="00D71D60" w:rsidP="00BC3CD1">
            <w:pPr>
              <w:pStyle w:val="TableHeader2"/>
            </w:pPr>
          </w:p>
        </w:tc>
        <w:tc>
          <w:tcPr>
            <w:tcW w:w="236" w:type="dxa"/>
            <w:shd w:val="clear" w:color="auto" w:fill="D9E2F3" w:themeFill="accent1" w:themeFillTint="33"/>
          </w:tcPr>
          <w:p w14:paraId="6A5BDE15" w14:textId="77777777" w:rsidR="00D71D60" w:rsidRPr="007D68B2" w:rsidRDefault="00D71D60" w:rsidP="00BC3CD1">
            <w:pPr>
              <w:pStyle w:val="TableHeader2"/>
            </w:pPr>
          </w:p>
        </w:tc>
        <w:tc>
          <w:tcPr>
            <w:tcW w:w="2038" w:type="dxa"/>
            <w:shd w:val="clear" w:color="auto" w:fill="D9E2F3" w:themeFill="accent1" w:themeFillTint="33"/>
          </w:tcPr>
          <w:p w14:paraId="6163C131" w14:textId="77777777" w:rsidR="00D71D60" w:rsidRPr="007D68B2" w:rsidRDefault="00D71D60" w:rsidP="00BC3CD1">
            <w:pPr>
              <w:pStyle w:val="TableHeader2"/>
            </w:pPr>
          </w:p>
        </w:tc>
      </w:tr>
      <w:tr w:rsidR="0096460E" w:rsidRPr="007D68B2" w14:paraId="537E2D15" w14:textId="77777777" w:rsidTr="0025203E">
        <w:trPr>
          <w:jc w:val="center"/>
        </w:trPr>
        <w:tc>
          <w:tcPr>
            <w:tcW w:w="999" w:type="dxa"/>
            <w:gridSpan w:val="2"/>
          </w:tcPr>
          <w:p w14:paraId="477CF87B" w14:textId="5E8D0B4A" w:rsidR="0096460E" w:rsidRPr="007D68B2" w:rsidRDefault="0096460E" w:rsidP="0096460E">
            <w:pPr>
              <w:pStyle w:val="TableBody"/>
              <w:jc w:val="left"/>
            </w:pPr>
            <w:r w:rsidRPr="007D68B2">
              <w:t>No</w:t>
            </w:r>
            <w:r>
              <w:t>t-DV</w:t>
            </w:r>
          </w:p>
        </w:tc>
        <w:tc>
          <w:tcPr>
            <w:tcW w:w="1117" w:type="dxa"/>
          </w:tcPr>
          <w:p w14:paraId="20556A1E" w14:textId="0FBD089D" w:rsidR="0096460E" w:rsidRPr="007D68B2" w:rsidRDefault="0096460E" w:rsidP="00BC3CD1">
            <w:pPr>
              <w:pStyle w:val="TableBody"/>
            </w:pPr>
            <w:r>
              <w:t>Ref</w:t>
            </w:r>
          </w:p>
        </w:tc>
        <w:tc>
          <w:tcPr>
            <w:tcW w:w="236" w:type="dxa"/>
          </w:tcPr>
          <w:p w14:paraId="07D4B5CD" w14:textId="77777777" w:rsidR="0096460E" w:rsidRPr="007D68B2" w:rsidRDefault="0096460E" w:rsidP="00BC3CD1">
            <w:pPr>
              <w:pStyle w:val="TableBody"/>
            </w:pPr>
          </w:p>
        </w:tc>
        <w:tc>
          <w:tcPr>
            <w:tcW w:w="2038" w:type="dxa"/>
          </w:tcPr>
          <w:p w14:paraId="064F3618" w14:textId="77777777" w:rsidR="0096460E" w:rsidRPr="007D68B2" w:rsidRDefault="0096460E" w:rsidP="00BC3CD1">
            <w:pPr>
              <w:pStyle w:val="TableBody"/>
            </w:pPr>
          </w:p>
        </w:tc>
      </w:tr>
      <w:tr w:rsidR="00D71D60" w:rsidRPr="007D68B2" w14:paraId="1946D612" w14:textId="77777777" w:rsidTr="0025203E">
        <w:trPr>
          <w:jc w:val="center"/>
        </w:trPr>
        <w:tc>
          <w:tcPr>
            <w:tcW w:w="763" w:type="dxa"/>
          </w:tcPr>
          <w:p w14:paraId="2A94691B" w14:textId="0FA40C07" w:rsidR="00D71D60" w:rsidRPr="007D68B2" w:rsidRDefault="00BD5178" w:rsidP="00BC3CD1">
            <w:pPr>
              <w:pStyle w:val="TableRowIndent"/>
            </w:pPr>
            <w:r>
              <w:t>DV</w:t>
            </w:r>
          </w:p>
        </w:tc>
        <w:tc>
          <w:tcPr>
            <w:tcW w:w="236" w:type="dxa"/>
          </w:tcPr>
          <w:p w14:paraId="1A90E88F" w14:textId="77777777" w:rsidR="00D71D60" w:rsidRPr="007D68B2" w:rsidRDefault="00D71D60" w:rsidP="00BC3CD1">
            <w:pPr>
              <w:pStyle w:val="TableBody"/>
            </w:pPr>
          </w:p>
        </w:tc>
        <w:tc>
          <w:tcPr>
            <w:tcW w:w="1117" w:type="dxa"/>
          </w:tcPr>
          <w:p w14:paraId="44366ED2" w14:textId="77777777" w:rsidR="00D71D60" w:rsidRPr="007D68B2" w:rsidRDefault="00D71D60" w:rsidP="00BC3CD1">
            <w:pPr>
              <w:pStyle w:val="TableBody"/>
            </w:pPr>
            <w:r>
              <w:t>1.23</w:t>
            </w:r>
          </w:p>
        </w:tc>
        <w:tc>
          <w:tcPr>
            <w:tcW w:w="236" w:type="dxa"/>
          </w:tcPr>
          <w:p w14:paraId="774642F4" w14:textId="77777777" w:rsidR="00D71D60" w:rsidRPr="007D68B2" w:rsidRDefault="00D71D60" w:rsidP="00BC3CD1">
            <w:pPr>
              <w:pStyle w:val="TableBody"/>
            </w:pPr>
          </w:p>
        </w:tc>
        <w:tc>
          <w:tcPr>
            <w:tcW w:w="2038" w:type="dxa"/>
          </w:tcPr>
          <w:p w14:paraId="5D839495" w14:textId="77777777" w:rsidR="00D71D60" w:rsidRPr="007D68B2" w:rsidRDefault="00D71D60" w:rsidP="00BC3CD1">
            <w:pPr>
              <w:pStyle w:val="TableBody"/>
            </w:pPr>
            <w:r>
              <w:t>0.86 to 1.75</w:t>
            </w:r>
          </w:p>
        </w:tc>
      </w:tr>
      <w:tr w:rsidR="00D71D60" w:rsidRPr="007D68B2" w14:paraId="780590D1" w14:textId="77777777" w:rsidTr="000D4819">
        <w:trPr>
          <w:jc w:val="center"/>
        </w:trPr>
        <w:tc>
          <w:tcPr>
            <w:tcW w:w="763" w:type="dxa"/>
            <w:shd w:val="clear" w:color="auto" w:fill="D9E2F3" w:themeFill="accent1" w:themeFillTint="33"/>
          </w:tcPr>
          <w:p w14:paraId="4D8F3F37" w14:textId="77777777" w:rsidR="00D71D60" w:rsidRPr="007D68B2" w:rsidRDefault="00D71D60" w:rsidP="0097278B">
            <w:pPr>
              <w:pStyle w:val="TableHeader2"/>
              <w:ind w:left="0"/>
            </w:pPr>
            <w:r>
              <w:t>Year 5</w:t>
            </w:r>
          </w:p>
        </w:tc>
        <w:tc>
          <w:tcPr>
            <w:tcW w:w="236" w:type="dxa"/>
            <w:shd w:val="clear" w:color="auto" w:fill="D9E2F3" w:themeFill="accent1" w:themeFillTint="33"/>
          </w:tcPr>
          <w:p w14:paraId="0B78F02F" w14:textId="77777777" w:rsidR="00D71D60" w:rsidRPr="007D68B2" w:rsidRDefault="00D71D60" w:rsidP="00BC3CD1">
            <w:pPr>
              <w:pStyle w:val="TableHeader2"/>
            </w:pPr>
          </w:p>
        </w:tc>
        <w:tc>
          <w:tcPr>
            <w:tcW w:w="1117" w:type="dxa"/>
            <w:shd w:val="clear" w:color="auto" w:fill="D9E2F3" w:themeFill="accent1" w:themeFillTint="33"/>
          </w:tcPr>
          <w:p w14:paraId="39A2EE53" w14:textId="77777777" w:rsidR="00D71D60" w:rsidRPr="007D68B2" w:rsidRDefault="00D71D60" w:rsidP="00BC3CD1">
            <w:pPr>
              <w:pStyle w:val="TableHeader2"/>
            </w:pPr>
          </w:p>
        </w:tc>
        <w:tc>
          <w:tcPr>
            <w:tcW w:w="236" w:type="dxa"/>
            <w:shd w:val="clear" w:color="auto" w:fill="D9E2F3" w:themeFill="accent1" w:themeFillTint="33"/>
          </w:tcPr>
          <w:p w14:paraId="3A9DC948" w14:textId="77777777" w:rsidR="00D71D60" w:rsidRPr="007D68B2" w:rsidRDefault="00D71D60" w:rsidP="00BC3CD1">
            <w:pPr>
              <w:pStyle w:val="TableHeader2"/>
            </w:pPr>
          </w:p>
        </w:tc>
        <w:tc>
          <w:tcPr>
            <w:tcW w:w="2038" w:type="dxa"/>
            <w:shd w:val="clear" w:color="auto" w:fill="D9E2F3" w:themeFill="accent1" w:themeFillTint="33"/>
          </w:tcPr>
          <w:p w14:paraId="523FB4E8" w14:textId="77777777" w:rsidR="00D71D60" w:rsidRPr="007D68B2" w:rsidRDefault="00D71D60" w:rsidP="00BC3CD1">
            <w:pPr>
              <w:pStyle w:val="TableHeader2"/>
            </w:pPr>
          </w:p>
        </w:tc>
      </w:tr>
      <w:tr w:rsidR="0096460E" w:rsidRPr="007D68B2" w14:paraId="30B8EBBB" w14:textId="77777777" w:rsidTr="0025203E">
        <w:trPr>
          <w:jc w:val="center"/>
        </w:trPr>
        <w:tc>
          <w:tcPr>
            <w:tcW w:w="999" w:type="dxa"/>
            <w:gridSpan w:val="2"/>
          </w:tcPr>
          <w:p w14:paraId="563F1B26" w14:textId="4A131681" w:rsidR="0096460E" w:rsidRPr="007D68B2" w:rsidRDefault="0096460E" w:rsidP="0096460E">
            <w:pPr>
              <w:pStyle w:val="TableBody"/>
              <w:jc w:val="left"/>
            </w:pPr>
            <w:r w:rsidRPr="007D68B2">
              <w:t>No</w:t>
            </w:r>
            <w:r>
              <w:t>t-DV</w:t>
            </w:r>
          </w:p>
        </w:tc>
        <w:tc>
          <w:tcPr>
            <w:tcW w:w="1117" w:type="dxa"/>
          </w:tcPr>
          <w:p w14:paraId="4E015B78" w14:textId="3A0ACF55" w:rsidR="0096460E" w:rsidRPr="007D68B2" w:rsidRDefault="0096460E" w:rsidP="00BC3CD1">
            <w:pPr>
              <w:pStyle w:val="TableBody"/>
            </w:pPr>
            <w:r>
              <w:t>R</w:t>
            </w:r>
            <w:r w:rsidRPr="007D68B2">
              <w:t>ef</w:t>
            </w:r>
          </w:p>
        </w:tc>
        <w:tc>
          <w:tcPr>
            <w:tcW w:w="236" w:type="dxa"/>
          </w:tcPr>
          <w:p w14:paraId="251EDC31" w14:textId="77777777" w:rsidR="0096460E" w:rsidRPr="007D68B2" w:rsidRDefault="0096460E" w:rsidP="00BC3CD1">
            <w:pPr>
              <w:pStyle w:val="TableBody"/>
            </w:pPr>
          </w:p>
        </w:tc>
        <w:tc>
          <w:tcPr>
            <w:tcW w:w="2038" w:type="dxa"/>
          </w:tcPr>
          <w:p w14:paraId="2BF21639" w14:textId="77777777" w:rsidR="0096460E" w:rsidRPr="007D68B2" w:rsidRDefault="0096460E" w:rsidP="00BC3CD1">
            <w:pPr>
              <w:pStyle w:val="TableBody"/>
            </w:pPr>
          </w:p>
        </w:tc>
      </w:tr>
      <w:tr w:rsidR="00D71D60" w:rsidRPr="007D68B2" w14:paraId="16892EE2" w14:textId="77777777" w:rsidTr="0025203E">
        <w:trPr>
          <w:jc w:val="center"/>
        </w:trPr>
        <w:tc>
          <w:tcPr>
            <w:tcW w:w="763" w:type="dxa"/>
          </w:tcPr>
          <w:p w14:paraId="41383F86" w14:textId="236E25E9" w:rsidR="00D71D60" w:rsidRPr="007D68B2" w:rsidRDefault="00BD5178" w:rsidP="00BC3CD1">
            <w:pPr>
              <w:pStyle w:val="TableRowIndent"/>
            </w:pPr>
            <w:r>
              <w:t>DV</w:t>
            </w:r>
          </w:p>
        </w:tc>
        <w:tc>
          <w:tcPr>
            <w:tcW w:w="236" w:type="dxa"/>
          </w:tcPr>
          <w:p w14:paraId="25E9C24F" w14:textId="77777777" w:rsidR="00D71D60" w:rsidRPr="007D68B2" w:rsidRDefault="00D71D60" w:rsidP="00BC3CD1">
            <w:pPr>
              <w:pStyle w:val="TableBody"/>
            </w:pPr>
          </w:p>
        </w:tc>
        <w:tc>
          <w:tcPr>
            <w:tcW w:w="1117" w:type="dxa"/>
          </w:tcPr>
          <w:p w14:paraId="13D0273F" w14:textId="77777777" w:rsidR="00D71D60" w:rsidRPr="007D68B2" w:rsidRDefault="00D71D60" w:rsidP="00BC3CD1">
            <w:pPr>
              <w:pStyle w:val="TableBody"/>
            </w:pPr>
            <w:r>
              <w:t>1.52</w:t>
            </w:r>
          </w:p>
        </w:tc>
        <w:tc>
          <w:tcPr>
            <w:tcW w:w="236" w:type="dxa"/>
          </w:tcPr>
          <w:p w14:paraId="337E477F" w14:textId="77777777" w:rsidR="00D71D60" w:rsidRPr="007D68B2" w:rsidRDefault="00D71D60" w:rsidP="00BC3CD1">
            <w:pPr>
              <w:pStyle w:val="TableBody"/>
            </w:pPr>
          </w:p>
        </w:tc>
        <w:tc>
          <w:tcPr>
            <w:tcW w:w="2038" w:type="dxa"/>
          </w:tcPr>
          <w:p w14:paraId="0E89A20A" w14:textId="77777777" w:rsidR="00D71D60" w:rsidRPr="007D68B2" w:rsidRDefault="00D71D60" w:rsidP="00BC3CD1">
            <w:pPr>
              <w:pStyle w:val="TableBody"/>
            </w:pPr>
            <w:r>
              <w:t>1.01 to 2.29</w:t>
            </w:r>
          </w:p>
        </w:tc>
      </w:tr>
      <w:tr w:rsidR="00D71D60" w:rsidRPr="007D68B2" w14:paraId="37FE3B16" w14:textId="77777777" w:rsidTr="000D4819">
        <w:trPr>
          <w:jc w:val="center"/>
        </w:trPr>
        <w:tc>
          <w:tcPr>
            <w:tcW w:w="763" w:type="dxa"/>
            <w:shd w:val="clear" w:color="auto" w:fill="D9E2F3" w:themeFill="accent1" w:themeFillTint="33"/>
          </w:tcPr>
          <w:p w14:paraId="27D84914" w14:textId="77777777" w:rsidR="00D71D60" w:rsidRPr="007D68B2" w:rsidRDefault="00D71D60" w:rsidP="0097278B">
            <w:pPr>
              <w:pStyle w:val="TableHeader2"/>
              <w:ind w:left="0"/>
            </w:pPr>
            <w:r w:rsidRPr="007D68B2">
              <w:t xml:space="preserve">Year </w:t>
            </w:r>
            <w:r>
              <w:t>6</w:t>
            </w:r>
          </w:p>
        </w:tc>
        <w:tc>
          <w:tcPr>
            <w:tcW w:w="236" w:type="dxa"/>
            <w:shd w:val="clear" w:color="auto" w:fill="D9E2F3" w:themeFill="accent1" w:themeFillTint="33"/>
          </w:tcPr>
          <w:p w14:paraId="2F7847DA" w14:textId="77777777" w:rsidR="00D71D60" w:rsidRPr="007D68B2" w:rsidRDefault="00D71D60" w:rsidP="00BC3CD1">
            <w:pPr>
              <w:pStyle w:val="TableHeader2"/>
            </w:pPr>
          </w:p>
        </w:tc>
        <w:tc>
          <w:tcPr>
            <w:tcW w:w="1117" w:type="dxa"/>
            <w:shd w:val="clear" w:color="auto" w:fill="D9E2F3" w:themeFill="accent1" w:themeFillTint="33"/>
          </w:tcPr>
          <w:p w14:paraId="346949E4" w14:textId="77777777" w:rsidR="00D71D60" w:rsidRPr="007D68B2" w:rsidRDefault="00D71D60" w:rsidP="00BC3CD1">
            <w:pPr>
              <w:pStyle w:val="TableHeader2"/>
            </w:pPr>
          </w:p>
        </w:tc>
        <w:tc>
          <w:tcPr>
            <w:tcW w:w="236" w:type="dxa"/>
            <w:shd w:val="clear" w:color="auto" w:fill="D9E2F3" w:themeFill="accent1" w:themeFillTint="33"/>
          </w:tcPr>
          <w:p w14:paraId="4644858C" w14:textId="77777777" w:rsidR="00D71D60" w:rsidRPr="007D68B2" w:rsidRDefault="00D71D60" w:rsidP="00BC3CD1">
            <w:pPr>
              <w:pStyle w:val="TableHeader2"/>
            </w:pPr>
          </w:p>
        </w:tc>
        <w:tc>
          <w:tcPr>
            <w:tcW w:w="2038" w:type="dxa"/>
            <w:shd w:val="clear" w:color="auto" w:fill="D9E2F3" w:themeFill="accent1" w:themeFillTint="33"/>
          </w:tcPr>
          <w:p w14:paraId="4DC41DE8" w14:textId="77777777" w:rsidR="00D71D60" w:rsidRPr="007D68B2" w:rsidRDefault="00D71D60" w:rsidP="00BC3CD1">
            <w:pPr>
              <w:pStyle w:val="TableHeader2"/>
            </w:pPr>
          </w:p>
        </w:tc>
      </w:tr>
      <w:tr w:rsidR="0096460E" w:rsidRPr="007D68B2" w14:paraId="7D56F642" w14:textId="77777777" w:rsidTr="0025203E">
        <w:trPr>
          <w:jc w:val="center"/>
        </w:trPr>
        <w:tc>
          <w:tcPr>
            <w:tcW w:w="999" w:type="dxa"/>
            <w:gridSpan w:val="2"/>
          </w:tcPr>
          <w:p w14:paraId="7F078B56" w14:textId="28625A0F" w:rsidR="0096460E" w:rsidRPr="007D68B2" w:rsidRDefault="0096460E" w:rsidP="0096460E">
            <w:pPr>
              <w:pStyle w:val="TableBody"/>
              <w:jc w:val="left"/>
            </w:pPr>
            <w:r w:rsidRPr="007D68B2">
              <w:t>No</w:t>
            </w:r>
            <w:r>
              <w:t>t-DV</w:t>
            </w:r>
          </w:p>
        </w:tc>
        <w:tc>
          <w:tcPr>
            <w:tcW w:w="1117" w:type="dxa"/>
          </w:tcPr>
          <w:p w14:paraId="5F7966DD" w14:textId="3C583CEA" w:rsidR="0096460E" w:rsidRPr="007D68B2" w:rsidRDefault="0096460E" w:rsidP="00BC3CD1">
            <w:pPr>
              <w:pStyle w:val="TableBody"/>
            </w:pPr>
            <w:r>
              <w:t>R</w:t>
            </w:r>
            <w:r w:rsidRPr="007D68B2">
              <w:t>ef</w:t>
            </w:r>
          </w:p>
        </w:tc>
        <w:tc>
          <w:tcPr>
            <w:tcW w:w="236" w:type="dxa"/>
          </w:tcPr>
          <w:p w14:paraId="4F6C199B" w14:textId="77777777" w:rsidR="0096460E" w:rsidRPr="007D68B2" w:rsidRDefault="0096460E" w:rsidP="00BC3CD1">
            <w:pPr>
              <w:pStyle w:val="TableBody"/>
            </w:pPr>
          </w:p>
        </w:tc>
        <w:tc>
          <w:tcPr>
            <w:tcW w:w="2038" w:type="dxa"/>
          </w:tcPr>
          <w:p w14:paraId="011F29AD" w14:textId="77777777" w:rsidR="0096460E" w:rsidRPr="007D68B2" w:rsidRDefault="0096460E" w:rsidP="00BC3CD1">
            <w:pPr>
              <w:pStyle w:val="TableBody"/>
            </w:pPr>
          </w:p>
        </w:tc>
      </w:tr>
      <w:tr w:rsidR="00D71D60" w:rsidRPr="007D68B2" w14:paraId="1112B406" w14:textId="77777777" w:rsidTr="0025203E">
        <w:trPr>
          <w:jc w:val="center"/>
        </w:trPr>
        <w:tc>
          <w:tcPr>
            <w:tcW w:w="763" w:type="dxa"/>
          </w:tcPr>
          <w:p w14:paraId="0C325075" w14:textId="53B12C6B" w:rsidR="00D71D60" w:rsidRPr="007D68B2" w:rsidRDefault="00BD5178" w:rsidP="00BC3CD1">
            <w:pPr>
              <w:pStyle w:val="TableRowIndent"/>
            </w:pPr>
            <w:r>
              <w:t>DV</w:t>
            </w:r>
          </w:p>
        </w:tc>
        <w:tc>
          <w:tcPr>
            <w:tcW w:w="236" w:type="dxa"/>
          </w:tcPr>
          <w:p w14:paraId="014547CA" w14:textId="77777777" w:rsidR="00D71D60" w:rsidRPr="007D68B2" w:rsidRDefault="00D71D60" w:rsidP="00BC3CD1">
            <w:pPr>
              <w:pStyle w:val="TableBody"/>
            </w:pPr>
          </w:p>
        </w:tc>
        <w:tc>
          <w:tcPr>
            <w:tcW w:w="1117" w:type="dxa"/>
          </w:tcPr>
          <w:p w14:paraId="59DFB519" w14:textId="77777777" w:rsidR="00D71D60" w:rsidRPr="007D68B2" w:rsidRDefault="00D71D60" w:rsidP="00BC3CD1">
            <w:pPr>
              <w:pStyle w:val="TableBody"/>
            </w:pPr>
            <w:r>
              <w:t>1.16</w:t>
            </w:r>
          </w:p>
        </w:tc>
        <w:tc>
          <w:tcPr>
            <w:tcW w:w="236" w:type="dxa"/>
          </w:tcPr>
          <w:p w14:paraId="76335A12" w14:textId="77777777" w:rsidR="00D71D60" w:rsidRPr="007D68B2" w:rsidRDefault="00D71D60" w:rsidP="00BC3CD1">
            <w:pPr>
              <w:pStyle w:val="TableBody"/>
            </w:pPr>
          </w:p>
        </w:tc>
        <w:tc>
          <w:tcPr>
            <w:tcW w:w="2038" w:type="dxa"/>
          </w:tcPr>
          <w:p w14:paraId="2B134F9D" w14:textId="77777777" w:rsidR="00D71D60" w:rsidRPr="007D68B2" w:rsidRDefault="00D71D60" w:rsidP="00BC3CD1">
            <w:pPr>
              <w:pStyle w:val="TableBody"/>
            </w:pPr>
            <w:r>
              <w:t>0.68 to 1.98</w:t>
            </w:r>
          </w:p>
        </w:tc>
      </w:tr>
      <w:tr w:rsidR="00D71D60" w:rsidRPr="007D68B2" w14:paraId="6B40B621" w14:textId="77777777" w:rsidTr="000D4819">
        <w:trPr>
          <w:jc w:val="center"/>
        </w:trPr>
        <w:tc>
          <w:tcPr>
            <w:tcW w:w="763" w:type="dxa"/>
            <w:shd w:val="clear" w:color="auto" w:fill="D9E2F3" w:themeFill="accent1" w:themeFillTint="33"/>
          </w:tcPr>
          <w:p w14:paraId="159111F7" w14:textId="77777777" w:rsidR="00D71D60" w:rsidRPr="007D68B2" w:rsidRDefault="00D71D60" w:rsidP="0097278B">
            <w:pPr>
              <w:pStyle w:val="TableHeader2"/>
              <w:ind w:left="0"/>
            </w:pPr>
            <w:r w:rsidRPr="007D68B2">
              <w:t xml:space="preserve">Year </w:t>
            </w:r>
            <w:r>
              <w:t>7</w:t>
            </w:r>
          </w:p>
        </w:tc>
        <w:tc>
          <w:tcPr>
            <w:tcW w:w="236" w:type="dxa"/>
            <w:shd w:val="clear" w:color="auto" w:fill="D9E2F3" w:themeFill="accent1" w:themeFillTint="33"/>
          </w:tcPr>
          <w:p w14:paraId="796AE4A7" w14:textId="77777777" w:rsidR="00D71D60" w:rsidRPr="007D68B2" w:rsidRDefault="00D71D60" w:rsidP="00BC3CD1">
            <w:pPr>
              <w:pStyle w:val="TableHeader2"/>
            </w:pPr>
          </w:p>
        </w:tc>
        <w:tc>
          <w:tcPr>
            <w:tcW w:w="1117" w:type="dxa"/>
            <w:shd w:val="clear" w:color="auto" w:fill="D9E2F3" w:themeFill="accent1" w:themeFillTint="33"/>
          </w:tcPr>
          <w:p w14:paraId="14D2D627" w14:textId="77777777" w:rsidR="00D71D60" w:rsidRPr="007D68B2" w:rsidRDefault="00D71D60" w:rsidP="00BC3CD1">
            <w:pPr>
              <w:pStyle w:val="TableHeader2"/>
            </w:pPr>
          </w:p>
        </w:tc>
        <w:tc>
          <w:tcPr>
            <w:tcW w:w="236" w:type="dxa"/>
            <w:shd w:val="clear" w:color="auto" w:fill="D9E2F3" w:themeFill="accent1" w:themeFillTint="33"/>
          </w:tcPr>
          <w:p w14:paraId="776E56D4" w14:textId="77777777" w:rsidR="00D71D60" w:rsidRPr="007D68B2" w:rsidRDefault="00D71D60" w:rsidP="00BC3CD1">
            <w:pPr>
              <w:pStyle w:val="TableHeader2"/>
            </w:pPr>
          </w:p>
        </w:tc>
        <w:tc>
          <w:tcPr>
            <w:tcW w:w="2038" w:type="dxa"/>
            <w:shd w:val="clear" w:color="auto" w:fill="D9E2F3" w:themeFill="accent1" w:themeFillTint="33"/>
          </w:tcPr>
          <w:p w14:paraId="5F05F9DA" w14:textId="77777777" w:rsidR="00D71D60" w:rsidRPr="007D68B2" w:rsidRDefault="00D71D60" w:rsidP="00BC3CD1">
            <w:pPr>
              <w:pStyle w:val="TableHeader2"/>
            </w:pPr>
          </w:p>
        </w:tc>
      </w:tr>
      <w:tr w:rsidR="0096460E" w:rsidRPr="007D68B2" w14:paraId="67E3F18A" w14:textId="77777777" w:rsidTr="0025203E">
        <w:trPr>
          <w:jc w:val="center"/>
        </w:trPr>
        <w:tc>
          <w:tcPr>
            <w:tcW w:w="999" w:type="dxa"/>
            <w:gridSpan w:val="2"/>
          </w:tcPr>
          <w:p w14:paraId="5F1F2FA4" w14:textId="05337275" w:rsidR="0096460E" w:rsidRPr="007D68B2" w:rsidRDefault="0096460E" w:rsidP="0096460E">
            <w:pPr>
              <w:pStyle w:val="TableBody"/>
              <w:jc w:val="left"/>
            </w:pPr>
            <w:r w:rsidRPr="007D68B2">
              <w:t>No</w:t>
            </w:r>
            <w:r>
              <w:t>t-DV</w:t>
            </w:r>
          </w:p>
        </w:tc>
        <w:tc>
          <w:tcPr>
            <w:tcW w:w="1117" w:type="dxa"/>
          </w:tcPr>
          <w:p w14:paraId="4A738656" w14:textId="6279EDC7" w:rsidR="0096460E" w:rsidRPr="007D68B2" w:rsidRDefault="0096460E" w:rsidP="00BC3CD1">
            <w:pPr>
              <w:pStyle w:val="TableBody"/>
            </w:pPr>
            <w:r>
              <w:t>R</w:t>
            </w:r>
            <w:r w:rsidRPr="007D68B2">
              <w:t>ef</w:t>
            </w:r>
          </w:p>
        </w:tc>
        <w:tc>
          <w:tcPr>
            <w:tcW w:w="236" w:type="dxa"/>
          </w:tcPr>
          <w:p w14:paraId="4CF57053" w14:textId="77777777" w:rsidR="0096460E" w:rsidRPr="007D68B2" w:rsidRDefault="0096460E" w:rsidP="00BC3CD1">
            <w:pPr>
              <w:pStyle w:val="TableBody"/>
            </w:pPr>
          </w:p>
        </w:tc>
        <w:tc>
          <w:tcPr>
            <w:tcW w:w="2038" w:type="dxa"/>
          </w:tcPr>
          <w:p w14:paraId="7EE30D3F" w14:textId="77777777" w:rsidR="0096460E" w:rsidRPr="007D68B2" w:rsidRDefault="0096460E" w:rsidP="00BC3CD1">
            <w:pPr>
              <w:pStyle w:val="TableBody"/>
            </w:pPr>
          </w:p>
        </w:tc>
      </w:tr>
      <w:tr w:rsidR="00D71D60" w:rsidRPr="007D68B2" w14:paraId="641D9E26" w14:textId="77777777" w:rsidTr="0025203E">
        <w:trPr>
          <w:jc w:val="center"/>
        </w:trPr>
        <w:tc>
          <w:tcPr>
            <w:tcW w:w="763" w:type="dxa"/>
          </w:tcPr>
          <w:p w14:paraId="2EB638CA" w14:textId="4F01D75E" w:rsidR="00D71D60" w:rsidRPr="007D68B2" w:rsidRDefault="00BD5178" w:rsidP="00BC3CD1">
            <w:pPr>
              <w:pStyle w:val="TableRowIndent"/>
            </w:pPr>
            <w:r>
              <w:t>DV</w:t>
            </w:r>
          </w:p>
        </w:tc>
        <w:tc>
          <w:tcPr>
            <w:tcW w:w="236" w:type="dxa"/>
          </w:tcPr>
          <w:p w14:paraId="1FAD6850" w14:textId="77777777" w:rsidR="00D71D60" w:rsidRPr="007D68B2" w:rsidRDefault="00D71D60" w:rsidP="00BC3CD1">
            <w:pPr>
              <w:pStyle w:val="TableBody"/>
            </w:pPr>
          </w:p>
        </w:tc>
        <w:tc>
          <w:tcPr>
            <w:tcW w:w="1117" w:type="dxa"/>
          </w:tcPr>
          <w:p w14:paraId="5A87911D" w14:textId="77777777" w:rsidR="00D71D60" w:rsidRPr="007D68B2" w:rsidRDefault="00D71D60" w:rsidP="00BC3CD1">
            <w:pPr>
              <w:pStyle w:val="TableBody"/>
            </w:pPr>
            <w:r>
              <w:t>1.44</w:t>
            </w:r>
          </w:p>
        </w:tc>
        <w:tc>
          <w:tcPr>
            <w:tcW w:w="236" w:type="dxa"/>
          </w:tcPr>
          <w:p w14:paraId="1DD6ED63" w14:textId="77777777" w:rsidR="00D71D60" w:rsidRPr="007D68B2" w:rsidRDefault="00D71D60" w:rsidP="00BC3CD1">
            <w:pPr>
              <w:pStyle w:val="TableBody"/>
            </w:pPr>
          </w:p>
        </w:tc>
        <w:tc>
          <w:tcPr>
            <w:tcW w:w="2038" w:type="dxa"/>
          </w:tcPr>
          <w:p w14:paraId="595DBF5D" w14:textId="77777777" w:rsidR="00D71D60" w:rsidRPr="007D68B2" w:rsidRDefault="00D71D60" w:rsidP="00BC3CD1">
            <w:pPr>
              <w:pStyle w:val="TableBody"/>
            </w:pPr>
            <w:r>
              <w:t>0.86 to 2.39</w:t>
            </w:r>
          </w:p>
        </w:tc>
      </w:tr>
    </w:tbl>
    <w:p w14:paraId="5F490041" w14:textId="018B8960" w:rsidR="0004749E" w:rsidRDefault="00300948" w:rsidP="00D71D60">
      <w:pPr>
        <w:pStyle w:val="Belowtablecaption"/>
        <w:ind w:left="2552"/>
      </w:pPr>
      <w:r w:rsidRPr="006B1BCD">
        <w:t>Analysis controlled for gender, SES and age</w:t>
      </w:r>
    </w:p>
    <w:p w14:paraId="6121DF78" w14:textId="77777777" w:rsidR="0004749E" w:rsidRDefault="0004749E">
      <w:pPr>
        <w:spacing w:after="0" w:line="240" w:lineRule="auto"/>
        <w:rPr>
          <w:sz w:val="18"/>
          <w:lang w:eastAsia="en-GB"/>
        </w:rPr>
      </w:pPr>
      <w:r>
        <w:br w:type="page"/>
      </w:r>
    </w:p>
    <w:p w14:paraId="3073CAF6" w14:textId="77777777" w:rsidR="00CB17AD" w:rsidRDefault="00CB17AD" w:rsidP="00CB17AD">
      <w:pPr>
        <w:pStyle w:val="Heading1"/>
      </w:pPr>
      <w:bookmarkStart w:id="102" w:name="_Toc500943503"/>
      <w:bookmarkStart w:id="103" w:name="_Toc501120750"/>
      <w:bookmarkStart w:id="104" w:name="_Toc498613227"/>
      <w:r>
        <w:t>Chapter 5 – Relationships between DV, middle years indicators and Year 7 learning</w:t>
      </w:r>
      <w:bookmarkEnd w:id="102"/>
      <w:bookmarkEnd w:id="103"/>
    </w:p>
    <w:tbl>
      <w:tblPr>
        <w:tblStyle w:val="GridTable4"/>
        <w:tblpPr w:leftFromText="180" w:rightFromText="180" w:vertAnchor="text" w:horzAnchor="margin" w:tblpY="3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8F8F8"/>
        <w:tblLook w:val="04A0" w:firstRow="1" w:lastRow="0" w:firstColumn="1" w:lastColumn="0" w:noHBand="0" w:noVBand="1"/>
        <w:tblCaption w:val="Text Box - Chapter 5 - Relationships between DV, middle years indicators and Year 7 learning"/>
        <w:tblDescription w:val="Text box for Chapter 5 - Relationships between DV, middle years indicators and Year 7 learning, covering Key Analysis Questions and Key Findings."/>
      </w:tblPr>
      <w:tblGrid>
        <w:gridCol w:w="9010"/>
      </w:tblGrid>
      <w:tr w:rsidR="00196E19" w:rsidRPr="00932892" w14:paraId="4CC6B27E" w14:textId="77777777" w:rsidTr="00545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shd w:val="clear" w:color="auto" w:fill="F8F8F8"/>
          </w:tcPr>
          <w:p w14:paraId="7BC2F23B" w14:textId="74FAD966" w:rsidR="006B17CE" w:rsidRDefault="006B17CE" w:rsidP="006B17CE">
            <w:pPr>
              <w:spacing w:before="120" w:after="120"/>
              <w:rPr>
                <w:color w:val="auto"/>
              </w:rPr>
            </w:pPr>
            <w:r w:rsidRPr="006B17CE">
              <w:rPr>
                <w:color w:val="auto"/>
              </w:rPr>
              <w:t>Key Analysis Questions</w:t>
            </w:r>
          </w:p>
          <w:p w14:paraId="08650026" w14:textId="77777777" w:rsidR="006B17CE" w:rsidRPr="006B17CE" w:rsidRDefault="006B17CE" w:rsidP="006B17CE">
            <w:pPr>
              <w:pStyle w:val="ListParagraph"/>
              <w:numPr>
                <w:ilvl w:val="0"/>
                <w:numId w:val="52"/>
              </w:numPr>
              <w:spacing w:before="120" w:after="120"/>
              <w:rPr>
                <w:b w:val="0"/>
                <w:color w:val="auto"/>
              </w:rPr>
            </w:pPr>
            <w:r w:rsidRPr="006B17CE">
              <w:rPr>
                <w:b w:val="0"/>
                <w:color w:val="auto"/>
              </w:rPr>
              <w:t xml:space="preserve">Given early DV and the middle years indicators are each predictive of learning outcomes the question then arises as to how they are mechanistically related. </w:t>
            </w:r>
          </w:p>
          <w:p w14:paraId="0B767B55" w14:textId="77777777" w:rsidR="006B17CE" w:rsidRPr="006B17CE" w:rsidRDefault="006B17CE" w:rsidP="006B17CE">
            <w:pPr>
              <w:pStyle w:val="ListParagraph"/>
              <w:numPr>
                <w:ilvl w:val="0"/>
                <w:numId w:val="52"/>
              </w:numPr>
              <w:spacing w:before="120" w:after="120"/>
              <w:rPr>
                <w:b w:val="0"/>
                <w:color w:val="auto"/>
              </w:rPr>
            </w:pPr>
            <w:r w:rsidRPr="006B17CE">
              <w:rPr>
                <w:b w:val="0"/>
                <w:color w:val="auto"/>
              </w:rPr>
              <w:t xml:space="preserve">Are education outcomes mostly determined early (by the time a student starts primary school) with their negative effects accounted for by an increased risk of problems in the middle years? </w:t>
            </w:r>
          </w:p>
          <w:p w14:paraId="4523138E" w14:textId="5B66116B" w:rsidR="006B17CE" w:rsidRPr="006B17CE" w:rsidRDefault="006B17CE" w:rsidP="006B17CE">
            <w:pPr>
              <w:pStyle w:val="ListParagraph"/>
              <w:numPr>
                <w:ilvl w:val="0"/>
                <w:numId w:val="52"/>
              </w:numPr>
              <w:spacing w:before="120" w:after="120"/>
              <w:rPr>
                <w:b w:val="0"/>
                <w:color w:val="auto"/>
              </w:rPr>
            </w:pPr>
            <w:r w:rsidRPr="006B17CE">
              <w:rPr>
                <w:b w:val="0"/>
                <w:color w:val="auto"/>
              </w:rPr>
              <w:t>Or do problems emerge in the middle years regardless of early DV, which independently lead to poorer learning outcomes?</w:t>
            </w:r>
          </w:p>
          <w:p w14:paraId="6DB21370" w14:textId="77777777" w:rsidR="006B17CE" w:rsidRPr="006B17CE" w:rsidRDefault="006B17CE" w:rsidP="006B17CE">
            <w:pPr>
              <w:spacing w:before="120" w:after="120"/>
              <w:rPr>
                <w:color w:val="auto"/>
              </w:rPr>
            </w:pPr>
            <w:r w:rsidRPr="006B17CE">
              <w:rPr>
                <w:color w:val="auto"/>
              </w:rPr>
              <w:t>Key Findings</w:t>
            </w:r>
          </w:p>
          <w:p w14:paraId="54343A95" w14:textId="4BFF3680" w:rsidR="00B60AE5" w:rsidRDefault="006B17CE" w:rsidP="00B60AE5">
            <w:pPr>
              <w:pStyle w:val="ListParagraph"/>
              <w:numPr>
                <w:ilvl w:val="0"/>
                <w:numId w:val="53"/>
              </w:numPr>
              <w:spacing w:before="120" w:after="120"/>
              <w:rPr>
                <w:b w:val="0"/>
                <w:color w:val="auto"/>
              </w:rPr>
            </w:pPr>
            <w:r w:rsidRPr="00B60AE5">
              <w:rPr>
                <w:b w:val="0"/>
                <w:color w:val="auto"/>
              </w:rPr>
              <w:t>Students with DV were 1.73 times as likely as not-DV students to have had a single episode and 2.42 times as likely to have experienced persistent emotional problems.</w:t>
            </w:r>
            <w:r w:rsidR="00B60AE5" w:rsidRPr="00B60AE5">
              <w:rPr>
                <w:b w:val="0"/>
                <w:color w:val="auto"/>
              </w:rPr>
              <w:t xml:space="preserve"> </w:t>
            </w:r>
          </w:p>
          <w:p w14:paraId="3A1A2B1F" w14:textId="77777777" w:rsidR="00B60AE5" w:rsidRPr="00B60AE5" w:rsidRDefault="006B17CE" w:rsidP="007D6820">
            <w:pPr>
              <w:pStyle w:val="ListParagraph"/>
              <w:numPr>
                <w:ilvl w:val="0"/>
                <w:numId w:val="53"/>
              </w:numPr>
              <w:spacing w:before="120" w:after="120"/>
              <w:rPr>
                <w:b w:val="0"/>
                <w:color w:val="auto"/>
              </w:rPr>
            </w:pPr>
            <w:r w:rsidRPr="00B60AE5">
              <w:rPr>
                <w:b w:val="0"/>
                <w:color w:val="auto"/>
              </w:rPr>
              <w:t>For numeracy, the DV group were 4.53 times as likely to not attain the Year 7 academic threshold, after cont</w:t>
            </w:r>
            <w:r w:rsidR="00B60AE5" w:rsidRPr="00B60AE5">
              <w:rPr>
                <w:b w:val="0"/>
                <w:color w:val="auto"/>
              </w:rPr>
              <w:t xml:space="preserve">rolling for gender, age and SES. </w:t>
            </w:r>
          </w:p>
          <w:p w14:paraId="12283664" w14:textId="77777777" w:rsidR="00B60AE5" w:rsidRPr="00B60AE5" w:rsidRDefault="006B17CE" w:rsidP="007D6820">
            <w:pPr>
              <w:pStyle w:val="ListParagraph"/>
              <w:numPr>
                <w:ilvl w:val="0"/>
                <w:numId w:val="53"/>
              </w:numPr>
              <w:spacing w:before="120" w:after="120"/>
              <w:rPr>
                <w:b w:val="0"/>
                <w:color w:val="auto"/>
              </w:rPr>
            </w:pPr>
            <w:r w:rsidRPr="00B60AE5">
              <w:rPr>
                <w:b w:val="0"/>
                <w:color w:val="auto"/>
              </w:rPr>
              <w:t xml:space="preserve">Suggesting DV status at school entry is strongly associated with later academic performance. </w:t>
            </w:r>
          </w:p>
          <w:p w14:paraId="44E4761E" w14:textId="77777777" w:rsidR="00B60AE5" w:rsidRPr="00B60AE5" w:rsidRDefault="006B17CE" w:rsidP="007D6820">
            <w:pPr>
              <w:pStyle w:val="ListParagraph"/>
              <w:numPr>
                <w:ilvl w:val="0"/>
                <w:numId w:val="53"/>
              </w:numPr>
              <w:spacing w:before="120" w:after="120"/>
              <w:rPr>
                <w:b w:val="0"/>
                <w:color w:val="auto"/>
              </w:rPr>
            </w:pPr>
            <w:r w:rsidRPr="00B60AE5">
              <w:rPr>
                <w:b w:val="0"/>
                <w:color w:val="auto"/>
              </w:rPr>
              <w:t xml:space="preserve">Students with persistent emotional problems were almost 3 times as likely to not attain the Year 7 academic threshold compared to their peers without emotional problems (odds ratio = 2.67). </w:t>
            </w:r>
          </w:p>
          <w:p w14:paraId="5DB135E8" w14:textId="77777777" w:rsidR="00B60AE5" w:rsidRPr="00B60AE5" w:rsidRDefault="006B17CE" w:rsidP="006B17CE">
            <w:pPr>
              <w:pStyle w:val="ListParagraph"/>
              <w:numPr>
                <w:ilvl w:val="0"/>
                <w:numId w:val="53"/>
              </w:numPr>
              <w:spacing w:before="120" w:after="120"/>
              <w:rPr>
                <w:b w:val="0"/>
                <w:color w:val="auto"/>
              </w:rPr>
            </w:pPr>
            <w:r w:rsidRPr="00B60AE5">
              <w:rPr>
                <w:b w:val="0"/>
                <w:color w:val="auto"/>
              </w:rPr>
              <w:t>The results for non-attainment of the reading Year 7 learning threshold followed the same pattern as for the numeracy.</w:t>
            </w:r>
          </w:p>
          <w:p w14:paraId="5119DE94" w14:textId="17B34465" w:rsidR="00B60AE5" w:rsidRPr="00B60AE5" w:rsidRDefault="006B17CE" w:rsidP="005265DE">
            <w:pPr>
              <w:pStyle w:val="ListParagraph"/>
              <w:numPr>
                <w:ilvl w:val="0"/>
                <w:numId w:val="53"/>
              </w:numPr>
              <w:spacing w:before="120" w:after="120"/>
              <w:rPr>
                <w:b w:val="0"/>
                <w:color w:val="auto"/>
              </w:rPr>
            </w:pPr>
            <w:r w:rsidRPr="00B60AE5">
              <w:rPr>
                <w:b w:val="0"/>
                <w:color w:val="auto"/>
              </w:rPr>
              <w:t>DV students</w:t>
            </w:r>
            <w:r w:rsidR="002C0F80">
              <w:rPr>
                <w:b w:val="0"/>
                <w:color w:val="auto"/>
              </w:rPr>
              <w:t xml:space="preserve"> were</w:t>
            </w:r>
            <w:r w:rsidRPr="00B60AE5">
              <w:rPr>
                <w:b w:val="0"/>
                <w:color w:val="auto"/>
              </w:rPr>
              <w:t xml:space="preserve"> 3.45 times as likely to not reach the reading threshold</w:t>
            </w:r>
            <w:r w:rsidR="00B60AE5" w:rsidRPr="00B60AE5">
              <w:rPr>
                <w:b w:val="0"/>
                <w:color w:val="auto"/>
              </w:rPr>
              <w:t xml:space="preserve">. </w:t>
            </w:r>
          </w:p>
          <w:p w14:paraId="3BE901E7" w14:textId="77777777" w:rsidR="00B60AE5" w:rsidRPr="00B60AE5" w:rsidRDefault="006B17CE" w:rsidP="00B60AE5">
            <w:pPr>
              <w:pStyle w:val="ListParagraph"/>
              <w:numPr>
                <w:ilvl w:val="0"/>
                <w:numId w:val="53"/>
              </w:numPr>
              <w:spacing w:before="120" w:after="120"/>
            </w:pPr>
            <w:r w:rsidRPr="00B60AE5">
              <w:rPr>
                <w:b w:val="0"/>
                <w:color w:val="auto"/>
              </w:rPr>
              <w:t>Disengagement, emotional problems, persistent behaviour problems, poor subjective wellbeing and persistent bullying were each associated with higher likelihood of not attaining the reading threshold.</w:t>
            </w:r>
            <w:r w:rsidR="00B60AE5">
              <w:rPr>
                <w:b w:val="0"/>
                <w:color w:val="auto"/>
              </w:rPr>
              <w:t xml:space="preserve"> </w:t>
            </w:r>
          </w:p>
          <w:p w14:paraId="17EF2763" w14:textId="645C16F1" w:rsidR="0004749E" w:rsidRPr="00B60AE5" w:rsidRDefault="006B17CE" w:rsidP="00B60AE5">
            <w:pPr>
              <w:pStyle w:val="ListParagraph"/>
              <w:numPr>
                <w:ilvl w:val="0"/>
                <w:numId w:val="53"/>
              </w:numPr>
              <w:spacing w:before="120" w:after="120"/>
            </w:pPr>
            <w:r w:rsidRPr="00B60AE5">
              <w:rPr>
                <w:b w:val="0"/>
                <w:color w:val="auto"/>
              </w:rPr>
              <w:t>Our findings suggest that the strong relationship between middle years indicators and learning outcomes is largely independent of DV status at school entry suggesting that problems in the middle years, whether emergent or not, are important risk factors for poor learning outcomes.</w:t>
            </w:r>
          </w:p>
        </w:tc>
      </w:tr>
    </w:tbl>
    <w:p w14:paraId="208CC9C2" w14:textId="77777777" w:rsidR="006A36B8" w:rsidRDefault="006A36B8" w:rsidP="006A36B8">
      <w:pPr>
        <w:spacing w:after="0"/>
      </w:pPr>
    </w:p>
    <w:p w14:paraId="653E06C6" w14:textId="14B00A77" w:rsidR="00CB17AD" w:rsidRDefault="00CB17AD" w:rsidP="006A36B8">
      <w:pPr>
        <w:spacing w:after="0"/>
      </w:pPr>
      <w:r>
        <w:t xml:space="preserve">In this chapter we consider the important preceding influences on learning success as a student moves into secondary education. We investigate the combined influence of early developmental vulnerabilities and middle </w:t>
      </w:r>
      <w:proofErr w:type="gramStart"/>
      <w:r>
        <w:t>years</w:t>
      </w:r>
      <w:proofErr w:type="gramEnd"/>
      <w:r>
        <w:t xml:space="preserve"> indicators of wellbeing, peer relationships and engagement on Year 7 learning (non-attainment of the Year 7 learning </w:t>
      </w:r>
      <w:r w:rsidR="0095595F">
        <w:t>threshold</w:t>
      </w:r>
      <w:r>
        <w:t xml:space="preserve"> </w:t>
      </w:r>
      <w:r w:rsidRPr="00821162">
        <w:t>described in Chapter 1). In</w:t>
      </w:r>
      <w:r>
        <w:t xml:space="preserve"> an earlier report from CATS, we demonstrated a strong relationship between the middle years indicators and learning outcomes highlighting the importance of social and emotional factors for optimal learning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t>. Chapter 1 of the current report highlighted the relationship between DV and learning outcomes demonstrating the predictive validity of the AEDC for learning success.</w:t>
      </w:r>
    </w:p>
    <w:p w14:paraId="187F4A5C" w14:textId="77777777" w:rsidR="006A36B8" w:rsidRDefault="006A36B8" w:rsidP="006A36B8">
      <w:pPr>
        <w:spacing w:after="0"/>
      </w:pPr>
    </w:p>
    <w:p w14:paraId="0DCCF380" w14:textId="042A5A68" w:rsidR="00CB17AD" w:rsidRDefault="00CB17AD" w:rsidP="007D7FE9">
      <w:pPr>
        <w:spacing w:after="0"/>
      </w:pPr>
      <w:r>
        <w:t xml:space="preserve">Chapters 2, 3 and 4 of this report show that indicators of DV apparent in the first year of school are highly predictive of school disengagement (Chapter 2), poor wellbeing (Chapter 3), and, to a lesser extent, poorer peer relationships (Chapter 4). In these chapters the relationship was examined at each year level separately enabling us to determine the changing strength of the relationship across time. In the current chapter, we draw on the indicators used in a previous CATS report </w:t>
      </w:r>
      <w:r w:rsidR="00B22107">
        <w:fldChar w:fldCharType="begin"/>
      </w:r>
      <w:r w:rsidR="00B22107">
        <w:instrText xml:space="preserve"> ADDIN EN.CITE &lt;EndNote&gt;&lt;Cite&gt;&lt;Author&gt;Evans-Whipp&lt;/Author&gt;&lt;Year&gt;2017&lt;/Year&gt;&lt;RecNum&gt;1281&lt;/RecNum&gt;&lt;DisplayText&gt;[5]&lt;/DisplayText&gt;&lt;record&gt;&lt;rec-number&gt;1281&lt;/rec-number&gt;&lt;foreign-keys&gt;&lt;key app="EN" db-id="fztfxtw2kew9raetd235rfx625vrvpf9e0df" timestamp="1513905694"&gt;1281&lt;/key&gt;&lt;key app="ENWeb" db-id=""&gt;0&lt;/key&gt;&lt;/foreign-keys&gt;&lt;ref-type name="Report"&gt;27&lt;/ref-type&gt;&lt;contributors&gt;&lt;authors&gt;&lt;author&gt;Evans-Whipp, Tracy.&lt;/author&gt;&lt;author&gt;Mundy, Lisa.&lt;/author&gt;&lt;author&gt;Canterford, Louise&lt;/author&gt;&lt;author&gt;Patton, George&lt;/author&gt;&lt;/authors&gt;&lt;/contributors&gt;&lt;titles&gt;&lt;title&gt;Student wellbeing, engagement and learning across the middle years&lt;/title&gt;&lt;/titles&gt;&lt;dates&gt;&lt;year&gt;2017&lt;/year&gt;&lt;/dates&gt;&lt;publisher&gt;Centre for Adolescent Health, MCRI&lt;/publisher&gt;&lt;urls&gt;&lt;/urls&gt;&lt;/record&gt;&lt;/Cite&gt;&lt;/EndNote&gt;</w:instrText>
      </w:r>
      <w:r w:rsidR="00B22107">
        <w:fldChar w:fldCharType="separate"/>
      </w:r>
      <w:r w:rsidR="00B22107">
        <w:rPr>
          <w:noProof/>
        </w:rPr>
        <w:t>[5]</w:t>
      </w:r>
      <w:r w:rsidR="00B22107">
        <w:fldChar w:fldCharType="end"/>
      </w:r>
      <w:r>
        <w:t xml:space="preserve"> which distinguish between single episodes and persistent problems (the problem is present on two or three years at Year 3, 4 or 5).  To summarise the relationship between DV and these indicators, multinomial regressions </w:t>
      </w:r>
      <w:proofErr w:type="gramStart"/>
      <w:r>
        <w:t>were used</w:t>
      </w:r>
      <w:proofErr w:type="gramEnd"/>
      <w:r>
        <w:t xml:space="preserve"> to produce the risk ratios shown in </w:t>
      </w:r>
      <w:r w:rsidR="00D71D60">
        <w:fldChar w:fldCharType="begin"/>
      </w:r>
      <w:r w:rsidR="00D71D60">
        <w:instrText xml:space="preserve"> REF _Ref501100737 \h </w:instrText>
      </w:r>
      <w:r w:rsidR="00D71D60">
        <w:fldChar w:fldCharType="separate"/>
      </w:r>
      <w:r w:rsidR="004C27B3">
        <w:t xml:space="preserve">Table </w:t>
      </w:r>
      <w:r w:rsidR="004C27B3">
        <w:rPr>
          <w:noProof/>
        </w:rPr>
        <w:t>10</w:t>
      </w:r>
      <w:r w:rsidR="00D71D60">
        <w:fldChar w:fldCharType="end"/>
      </w:r>
      <w:r w:rsidR="00235296">
        <w:t xml:space="preserve"> </w:t>
      </w:r>
      <w:r>
        <w:t>(further details are provided in Appendix 2: Regression analyses – part two). These show the increase in risk of persistent or single episodes of problems relative to no problems for the DV group compared to the not-DV group.</w:t>
      </w:r>
    </w:p>
    <w:p w14:paraId="21DB2360" w14:textId="40332EAA" w:rsidR="00CB17AD" w:rsidRDefault="00CB17AD" w:rsidP="005265DE">
      <w:pPr>
        <w:spacing w:after="0"/>
        <w:rPr>
          <w:rFonts w:eastAsiaTheme="minorEastAsia"/>
          <w:color w:val="5A5A5A" w:themeColor="text1" w:themeTint="A5"/>
          <w:spacing w:val="15"/>
          <w:sz w:val="22"/>
          <w:szCs w:val="22"/>
        </w:rPr>
      </w:pPr>
    </w:p>
    <w:p w14:paraId="6EE8E720" w14:textId="77777777" w:rsidR="00CB17AD" w:rsidRPr="007746B4" w:rsidRDefault="00CB17AD" w:rsidP="006A36B8">
      <w:pPr>
        <w:pStyle w:val="Caption"/>
        <w:spacing w:before="0"/>
      </w:pPr>
      <w:bookmarkStart w:id="105" w:name="_Ref501100737"/>
      <w:bookmarkStart w:id="106" w:name="_Toc501014928"/>
      <w:bookmarkStart w:id="107" w:name="_Toc501023504"/>
      <w:bookmarkStart w:id="108" w:name="_Toc503780750"/>
      <w:r>
        <w:t xml:space="preserve">Table </w:t>
      </w:r>
      <w:r>
        <w:fldChar w:fldCharType="begin"/>
      </w:r>
      <w:r>
        <w:instrText xml:space="preserve"> SEQ Table \* ARABIC </w:instrText>
      </w:r>
      <w:r>
        <w:fldChar w:fldCharType="separate"/>
      </w:r>
      <w:r w:rsidR="004C27B3">
        <w:rPr>
          <w:noProof/>
        </w:rPr>
        <w:t>10</w:t>
      </w:r>
      <w:r>
        <w:rPr>
          <w:noProof/>
        </w:rPr>
        <w:fldChar w:fldCharType="end"/>
      </w:r>
      <w:bookmarkEnd w:id="105"/>
      <w:r>
        <w:t xml:space="preserve">. </w:t>
      </w:r>
      <w:r w:rsidRPr="00356C1D">
        <w:t xml:space="preserve">Effect of developmental vulnerabilities at school entry on middle years indicators of wellbeing, </w:t>
      </w:r>
      <w:r w:rsidRPr="007746B4">
        <w:t>engagement and peer relationships.</w:t>
      </w:r>
      <w:bookmarkEnd w:id="106"/>
      <w:bookmarkEnd w:id="107"/>
      <w:bookmarkEnd w:id="108"/>
    </w:p>
    <w:tbl>
      <w:tblPr>
        <w:tblStyle w:val="TableGrid"/>
        <w:tblW w:w="7935" w:type="dxa"/>
        <w:jc w:val="center"/>
        <w:tblBorders>
          <w:insideH w:val="none" w:sz="0" w:space="0" w:color="auto"/>
          <w:insideV w:val="none" w:sz="0" w:space="0" w:color="auto"/>
        </w:tblBorders>
        <w:tblLook w:val="04A0" w:firstRow="1" w:lastRow="0" w:firstColumn="1" w:lastColumn="0" w:noHBand="0" w:noVBand="1"/>
        <w:tblCaption w:val="Table 10. Effect of developmental vulnerabilities at school entry on middle years indicators of wellbeing, engagement and peer relationships."/>
      </w:tblPr>
      <w:tblGrid>
        <w:gridCol w:w="2835"/>
        <w:gridCol w:w="283"/>
        <w:gridCol w:w="1417"/>
        <w:gridCol w:w="283"/>
        <w:gridCol w:w="1417"/>
        <w:gridCol w:w="283"/>
        <w:gridCol w:w="1417"/>
      </w:tblGrid>
      <w:tr w:rsidR="00CB17AD" w:rsidRPr="00CC1571" w14:paraId="68073F10" w14:textId="77777777" w:rsidTr="00CB17AD">
        <w:trPr>
          <w:jc w:val="center"/>
        </w:trPr>
        <w:tc>
          <w:tcPr>
            <w:tcW w:w="2835" w:type="dxa"/>
            <w:shd w:val="clear" w:color="auto" w:fill="0070C0"/>
          </w:tcPr>
          <w:p w14:paraId="77F79AE0" w14:textId="77777777" w:rsidR="00CB17AD" w:rsidRPr="007746B4" w:rsidRDefault="00CB17AD" w:rsidP="00CB17AD">
            <w:pPr>
              <w:pStyle w:val="TableHeader1"/>
            </w:pPr>
          </w:p>
        </w:tc>
        <w:tc>
          <w:tcPr>
            <w:tcW w:w="283" w:type="dxa"/>
            <w:shd w:val="clear" w:color="auto" w:fill="0070C0"/>
          </w:tcPr>
          <w:p w14:paraId="70FD8513" w14:textId="77777777" w:rsidR="00CB17AD" w:rsidRPr="007746B4" w:rsidRDefault="00CB17AD" w:rsidP="00CB17AD">
            <w:pPr>
              <w:pStyle w:val="TableHeader1"/>
            </w:pPr>
          </w:p>
        </w:tc>
        <w:tc>
          <w:tcPr>
            <w:tcW w:w="1417" w:type="dxa"/>
            <w:shd w:val="clear" w:color="auto" w:fill="0070C0"/>
          </w:tcPr>
          <w:p w14:paraId="48E713ED" w14:textId="77777777" w:rsidR="00CB17AD" w:rsidRPr="007746B4" w:rsidRDefault="00CB17AD" w:rsidP="00CB17AD">
            <w:pPr>
              <w:pStyle w:val="TableHeader1"/>
            </w:pPr>
            <w:r w:rsidRPr="007746B4">
              <w:t>Estimated proportion (%)</w:t>
            </w:r>
          </w:p>
        </w:tc>
        <w:tc>
          <w:tcPr>
            <w:tcW w:w="283" w:type="dxa"/>
            <w:shd w:val="clear" w:color="auto" w:fill="0070C0"/>
          </w:tcPr>
          <w:p w14:paraId="63F445D5" w14:textId="77777777" w:rsidR="00CB17AD" w:rsidRPr="007746B4" w:rsidRDefault="00CB17AD" w:rsidP="00CB17AD">
            <w:pPr>
              <w:pStyle w:val="TableHeader1"/>
            </w:pPr>
          </w:p>
        </w:tc>
        <w:tc>
          <w:tcPr>
            <w:tcW w:w="1417" w:type="dxa"/>
            <w:shd w:val="clear" w:color="auto" w:fill="0070C0"/>
          </w:tcPr>
          <w:p w14:paraId="2D27FB4F" w14:textId="5B9FFA03" w:rsidR="00CB17AD" w:rsidRPr="007746B4" w:rsidRDefault="00CB17AD" w:rsidP="00CB17AD">
            <w:pPr>
              <w:pStyle w:val="TableHeader1"/>
            </w:pPr>
            <w:r w:rsidRPr="007746B4">
              <w:t>R</w:t>
            </w:r>
            <w:r w:rsidR="00F2716D" w:rsidRPr="007746B4">
              <w:t xml:space="preserve">isk </w:t>
            </w:r>
            <w:proofErr w:type="spellStart"/>
            <w:r w:rsidRPr="007746B4">
              <w:t>R</w:t>
            </w:r>
            <w:r w:rsidR="00F2716D" w:rsidRPr="007746B4">
              <w:t>atios</w:t>
            </w:r>
            <w:r w:rsidRPr="007746B4">
              <w:rPr>
                <w:vertAlign w:val="superscript"/>
              </w:rPr>
              <w:t>a</w:t>
            </w:r>
            <w:proofErr w:type="spellEnd"/>
          </w:p>
        </w:tc>
        <w:tc>
          <w:tcPr>
            <w:tcW w:w="283" w:type="dxa"/>
            <w:shd w:val="clear" w:color="auto" w:fill="0070C0"/>
          </w:tcPr>
          <w:p w14:paraId="71E0D3FF" w14:textId="77777777" w:rsidR="00CB17AD" w:rsidRPr="007746B4" w:rsidRDefault="00CB17AD" w:rsidP="00CB17AD">
            <w:pPr>
              <w:pStyle w:val="TableHeader1"/>
            </w:pPr>
          </w:p>
        </w:tc>
        <w:tc>
          <w:tcPr>
            <w:tcW w:w="1417" w:type="dxa"/>
            <w:shd w:val="clear" w:color="auto" w:fill="0070C0"/>
          </w:tcPr>
          <w:p w14:paraId="5931D6B8" w14:textId="7CD3271A" w:rsidR="00CB17AD" w:rsidRPr="00BC3CD1" w:rsidRDefault="00CB17AD" w:rsidP="00CB17AD">
            <w:pPr>
              <w:pStyle w:val="TableHeader1"/>
            </w:pPr>
            <w:r w:rsidRPr="007746B4">
              <w:t>95% C</w:t>
            </w:r>
            <w:r w:rsidR="00F2716D" w:rsidRPr="007746B4">
              <w:t xml:space="preserve">onfidence </w:t>
            </w:r>
            <w:r w:rsidRPr="007746B4">
              <w:t>I</w:t>
            </w:r>
            <w:r w:rsidR="00F2716D" w:rsidRPr="007746B4">
              <w:t>nterval</w:t>
            </w:r>
          </w:p>
        </w:tc>
      </w:tr>
      <w:tr w:rsidR="00CB17AD" w:rsidRPr="00CC1571" w14:paraId="1981B067" w14:textId="77777777" w:rsidTr="000D4819">
        <w:trPr>
          <w:jc w:val="center"/>
        </w:trPr>
        <w:tc>
          <w:tcPr>
            <w:tcW w:w="2835" w:type="dxa"/>
            <w:shd w:val="clear" w:color="auto" w:fill="D9E2F3" w:themeFill="accent1" w:themeFillTint="33"/>
          </w:tcPr>
          <w:p w14:paraId="790B2A11" w14:textId="77777777" w:rsidR="00CB17AD" w:rsidRPr="00E84DE0" w:rsidRDefault="00CB17AD" w:rsidP="00CB17AD">
            <w:pPr>
              <w:pStyle w:val="TableHeader2"/>
            </w:pPr>
            <w:r w:rsidRPr="00E84DE0">
              <w:t>Emotional problems</w:t>
            </w:r>
          </w:p>
        </w:tc>
        <w:tc>
          <w:tcPr>
            <w:tcW w:w="283" w:type="dxa"/>
            <w:shd w:val="clear" w:color="auto" w:fill="D9E2F3" w:themeFill="accent1" w:themeFillTint="33"/>
          </w:tcPr>
          <w:p w14:paraId="3C59C589" w14:textId="77777777" w:rsidR="00CB17AD" w:rsidRPr="00E84DE0" w:rsidRDefault="00CB17AD" w:rsidP="00CB17AD">
            <w:pPr>
              <w:pStyle w:val="TableHeader2"/>
            </w:pPr>
          </w:p>
        </w:tc>
        <w:tc>
          <w:tcPr>
            <w:tcW w:w="1417" w:type="dxa"/>
            <w:shd w:val="clear" w:color="auto" w:fill="D9E2F3" w:themeFill="accent1" w:themeFillTint="33"/>
          </w:tcPr>
          <w:p w14:paraId="5AFC003F" w14:textId="77777777" w:rsidR="00CB17AD" w:rsidRPr="00E84DE0" w:rsidRDefault="00CB17AD" w:rsidP="00CB17AD">
            <w:pPr>
              <w:pStyle w:val="TableHeader2"/>
            </w:pPr>
          </w:p>
        </w:tc>
        <w:tc>
          <w:tcPr>
            <w:tcW w:w="283" w:type="dxa"/>
            <w:shd w:val="clear" w:color="auto" w:fill="D9E2F3" w:themeFill="accent1" w:themeFillTint="33"/>
          </w:tcPr>
          <w:p w14:paraId="10A244CF" w14:textId="77777777" w:rsidR="00CB17AD" w:rsidRPr="00E84DE0" w:rsidRDefault="00CB17AD" w:rsidP="00CB17AD">
            <w:pPr>
              <w:pStyle w:val="TableHeader2"/>
            </w:pPr>
          </w:p>
        </w:tc>
        <w:tc>
          <w:tcPr>
            <w:tcW w:w="1417" w:type="dxa"/>
            <w:shd w:val="clear" w:color="auto" w:fill="D9E2F3" w:themeFill="accent1" w:themeFillTint="33"/>
          </w:tcPr>
          <w:p w14:paraId="3C367D76" w14:textId="77777777" w:rsidR="00CB17AD" w:rsidRPr="00E84DE0" w:rsidRDefault="00CB17AD" w:rsidP="00CB17AD">
            <w:pPr>
              <w:pStyle w:val="TableHeader2"/>
            </w:pPr>
          </w:p>
        </w:tc>
        <w:tc>
          <w:tcPr>
            <w:tcW w:w="283" w:type="dxa"/>
            <w:shd w:val="clear" w:color="auto" w:fill="D9E2F3" w:themeFill="accent1" w:themeFillTint="33"/>
          </w:tcPr>
          <w:p w14:paraId="1177DD8E" w14:textId="77777777" w:rsidR="00CB17AD" w:rsidRPr="00E84DE0" w:rsidRDefault="00CB17AD" w:rsidP="00CB17AD">
            <w:pPr>
              <w:pStyle w:val="TableHeader2"/>
            </w:pPr>
          </w:p>
        </w:tc>
        <w:tc>
          <w:tcPr>
            <w:tcW w:w="1417" w:type="dxa"/>
            <w:shd w:val="clear" w:color="auto" w:fill="D9E2F3" w:themeFill="accent1" w:themeFillTint="33"/>
          </w:tcPr>
          <w:p w14:paraId="3E7B4137" w14:textId="77777777" w:rsidR="00CB17AD" w:rsidRPr="00E84DE0" w:rsidRDefault="00CB17AD" w:rsidP="00CB17AD">
            <w:pPr>
              <w:pStyle w:val="TableHeader2"/>
            </w:pPr>
          </w:p>
        </w:tc>
      </w:tr>
      <w:tr w:rsidR="00CB17AD" w:rsidRPr="00CC1571" w14:paraId="16C7B680" w14:textId="77777777" w:rsidTr="00CB17AD">
        <w:trPr>
          <w:jc w:val="center"/>
        </w:trPr>
        <w:tc>
          <w:tcPr>
            <w:tcW w:w="2835" w:type="dxa"/>
          </w:tcPr>
          <w:p w14:paraId="1F591598" w14:textId="77777777" w:rsidR="00CB17AD" w:rsidRPr="00E84DE0" w:rsidRDefault="00CB17AD" w:rsidP="00CB17AD">
            <w:pPr>
              <w:pStyle w:val="TableRowIndent"/>
            </w:pPr>
            <w:r w:rsidRPr="00E84DE0">
              <w:t xml:space="preserve">   None</w:t>
            </w:r>
          </w:p>
        </w:tc>
        <w:tc>
          <w:tcPr>
            <w:tcW w:w="283" w:type="dxa"/>
          </w:tcPr>
          <w:p w14:paraId="379E2835" w14:textId="77777777" w:rsidR="00CB17AD" w:rsidRPr="00E84DE0" w:rsidRDefault="00CB17AD" w:rsidP="00CB17AD">
            <w:pPr>
              <w:pStyle w:val="TableBody"/>
            </w:pPr>
          </w:p>
        </w:tc>
        <w:tc>
          <w:tcPr>
            <w:tcW w:w="1417" w:type="dxa"/>
          </w:tcPr>
          <w:p w14:paraId="497957BD" w14:textId="77777777" w:rsidR="00CB17AD" w:rsidRPr="00E84DE0" w:rsidRDefault="00CB17AD" w:rsidP="00CB17AD">
            <w:pPr>
              <w:pStyle w:val="TableBody"/>
            </w:pPr>
            <w:r w:rsidRPr="003D7609">
              <w:t>47.8</w:t>
            </w:r>
          </w:p>
        </w:tc>
        <w:tc>
          <w:tcPr>
            <w:tcW w:w="283" w:type="dxa"/>
          </w:tcPr>
          <w:p w14:paraId="4F27C95F" w14:textId="77777777" w:rsidR="00CB17AD" w:rsidRPr="00E84DE0" w:rsidRDefault="00CB17AD" w:rsidP="00CB17AD">
            <w:pPr>
              <w:pStyle w:val="TableBody"/>
            </w:pPr>
          </w:p>
        </w:tc>
        <w:tc>
          <w:tcPr>
            <w:tcW w:w="1417" w:type="dxa"/>
          </w:tcPr>
          <w:p w14:paraId="446527F0" w14:textId="77777777" w:rsidR="00CB17AD" w:rsidRPr="00E84DE0" w:rsidRDefault="00CB17AD" w:rsidP="00CB17AD">
            <w:pPr>
              <w:pStyle w:val="TableBody"/>
            </w:pPr>
            <w:r w:rsidRPr="003D7609">
              <w:t xml:space="preserve">Ref </w:t>
            </w:r>
          </w:p>
        </w:tc>
        <w:tc>
          <w:tcPr>
            <w:tcW w:w="283" w:type="dxa"/>
          </w:tcPr>
          <w:p w14:paraId="77BA07A3" w14:textId="77777777" w:rsidR="00CB17AD" w:rsidRPr="00E84DE0" w:rsidRDefault="00CB17AD" w:rsidP="00CB17AD">
            <w:pPr>
              <w:pStyle w:val="TableBody"/>
            </w:pPr>
          </w:p>
        </w:tc>
        <w:tc>
          <w:tcPr>
            <w:tcW w:w="1417" w:type="dxa"/>
          </w:tcPr>
          <w:p w14:paraId="36C3F62C" w14:textId="77777777" w:rsidR="00CB17AD" w:rsidRPr="00E84DE0" w:rsidRDefault="00CB17AD" w:rsidP="00CB17AD">
            <w:pPr>
              <w:pStyle w:val="TableBody"/>
            </w:pPr>
          </w:p>
        </w:tc>
      </w:tr>
      <w:tr w:rsidR="00CB17AD" w:rsidRPr="00CC1571" w14:paraId="7BC4F853" w14:textId="77777777" w:rsidTr="00CB17AD">
        <w:trPr>
          <w:jc w:val="center"/>
        </w:trPr>
        <w:tc>
          <w:tcPr>
            <w:tcW w:w="2835" w:type="dxa"/>
          </w:tcPr>
          <w:p w14:paraId="06B10F0A" w14:textId="77777777" w:rsidR="00CB17AD" w:rsidRPr="00E84DE0" w:rsidRDefault="00CB17AD" w:rsidP="00CB17AD">
            <w:pPr>
              <w:pStyle w:val="TableRowIndent"/>
            </w:pPr>
            <w:r w:rsidRPr="00E84DE0">
              <w:t xml:space="preserve">   Single episode</w:t>
            </w:r>
          </w:p>
        </w:tc>
        <w:tc>
          <w:tcPr>
            <w:tcW w:w="283" w:type="dxa"/>
          </w:tcPr>
          <w:p w14:paraId="519AB17F" w14:textId="77777777" w:rsidR="00CB17AD" w:rsidRPr="00E84DE0" w:rsidRDefault="00CB17AD" w:rsidP="00CB17AD">
            <w:pPr>
              <w:pStyle w:val="TableBody"/>
            </w:pPr>
          </w:p>
        </w:tc>
        <w:tc>
          <w:tcPr>
            <w:tcW w:w="1417" w:type="dxa"/>
          </w:tcPr>
          <w:p w14:paraId="36983E30" w14:textId="77777777" w:rsidR="00CB17AD" w:rsidRPr="00E84DE0" w:rsidRDefault="00CB17AD" w:rsidP="00CB17AD">
            <w:pPr>
              <w:pStyle w:val="TableBody"/>
            </w:pPr>
            <w:r w:rsidRPr="003D7609">
              <w:t xml:space="preserve">31.0 </w:t>
            </w:r>
          </w:p>
        </w:tc>
        <w:tc>
          <w:tcPr>
            <w:tcW w:w="283" w:type="dxa"/>
          </w:tcPr>
          <w:p w14:paraId="0996843E" w14:textId="77777777" w:rsidR="00CB17AD" w:rsidRPr="00E84DE0" w:rsidRDefault="00CB17AD" w:rsidP="00CB17AD">
            <w:pPr>
              <w:pStyle w:val="TableBody"/>
            </w:pPr>
          </w:p>
        </w:tc>
        <w:tc>
          <w:tcPr>
            <w:tcW w:w="1417" w:type="dxa"/>
          </w:tcPr>
          <w:p w14:paraId="6E5BF8F7" w14:textId="77777777" w:rsidR="00CB17AD" w:rsidRPr="00E84DE0" w:rsidRDefault="00CB17AD" w:rsidP="00CB17AD">
            <w:pPr>
              <w:pStyle w:val="TableBody"/>
            </w:pPr>
            <w:r w:rsidRPr="003D7609">
              <w:t>1.73</w:t>
            </w:r>
          </w:p>
        </w:tc>
        <w:tc>
          <w:tcPr>
            <w:tcW w:w="283" w:type="dxa"/>
          </w:tcPr>
          <w:p w14:paraId="596B0FA5" w14:textId="77777777" w:rsidR="00CB17AD" w:rsidRPr="00E84DE0" w:rsidRDefault="00CB17AD" w:rsidP="00CB17AD">
            <w:pPr>
              <w:pStyle w:val="TableBody"/>
            </w:pPr>
          </w:p>
        </w:tc>
        <w:tc>
          <w:tcPr>
            <w:tcW w:w="1417" w:type="dxa"/>
          </w:tcPr>
          <w:p w14:paraId="7B4406C7" w14:textId="77777777" w:rsidR="00CB17AD" w:rsidRPr="00E84DE0" w:rsidRDefault="00CB17AD" w:rsidP="00CB17AD">
            <w:pPr>
              <w:pStyle w:val="TableBody"/>
            </w:pPr>
            <w:r w:rsidRPr="003D7609">
              <w:t>1.17 to 2.57</w:t>
            </w:r>
          </w:p>
        </w:tc>
      </w:tr>
      <w:tr w:rsidR="00CB17AD" w:rsidRPr="00CC1571" w14:paraId="3F74CE9C" w14:textId="77777777" w:rsidTr="00CB17AD">
        <w:trPr>
          <w:jc w:val="center"/>
        </w:trPr>
        <w:tc>
          <w:tcPr>
            <w:tcW w:w="2835" w:type="dxa"/>
          </w:tcPr>
          <w:p w14:paraId="4E77880E" w14:textId="77777777" w:rsidR="00CB17AD" w:rsidRPr="00E84DE0" w:rsidRDefault="00CB17AD" w:rsidP="00CB17AD">
            <w:pPr>
              <w:pStyle w:val="TableRowIndent"/>
            </w:pPr>
            <w:r w:rsidRPr="00E84DE0">
              <w:t xml:space="preserve">   Persistent </w:t>
            </w:r>
          </w:p>
        </w:tc>
        <w:tc>
          <w:tcPr>
            <w:tcW w:w="283" w:type="dxa"/>
          </w:tcPr>
          <w:p w14:paraId="5AAB5D52" w14:textId="77777777" w:rsidR="00CB17AD" w:rsidRPr="00E84DE0" w:rsidRDefault="00CB17AD" w:rsidP="00CB17AD">
            <w:pPr>
              <w:pStyle w:val="TableBody"/>
            </w:pPr>
          </w:p>
        </w:tc>
        <w:tc>
          <w:tcPr>
            <w:tcW w:w="1417" w:type="dxa"/>
          </w:tcPr>
          <w:p w14:paraId="7B2803A1" w14:textId="77777777" w:rsidR="00CB17AD" w:rsidRPr="00E84DE0" w:rsidRDefault="00CB17AD" w:rsidP="00CB17AD">
            <w:pPr>
              <w:pStyle w:val="TableBody"/>
            </w:pPr>
            <w:r w:rsidRPr="003D7609">
              <w:t xml:space="preserve">21.2  </w:t>
            </w:r>
          </w:p>
        </w:tc>
        <w:tc>
          <w:tcPr>
            <w:tcW w:w="283" w:type="dxa"/>
          </w:tcPr>
          <w:p w14:paraId="49202675" w14:textId="77777777" w:rsidR="00CB17AD" w:rsidRPr="00E84DE0" w:rsidRDefault="00CB17AD" w:rsidP="00CB17AD">
            <w:pPr>
              <w:pStyle w:val="TableBody"/>
            </w:pPr>
          </w:p>
        </w:tc>
        <w:tc>
          <w:tcPr>
            <w:tcW w:w="1417" w:type="dxa"/>
          </w:tcPr>
          <w:p w14:paraId="717030CA" w14:textId="77777777" w:rsidR="00CB17AD" w:rsidRPr="00E84DE0" w:rsidRDefault="00CB17AD" w:rsidP="00CB17AD">
            <w:pPr>
              <w:pStyle w:val="TableBody"/>
            </w:pPr>
            <w:r w:rsidRPr="003D7609">
              <w:t>2.42</w:t>
            </w:r>
          </w:p>
        </w:tc>
        <w:tc>
          <w:tcPr>
            <w:tcW w:w="283" w:type="dxa"/>
          </w:tcPr>
          <w:p w14:paraId="780CB0DD" w14:textId="77777777" w:rsidR="00CB17AD" w:rsidRPr="00E84DE0" w:rsidRDefault="00CB17AD" w:rsidP="00CB17AD">
            <w:pPr>
              <w:pStyle w:val="TableBody"/>
            </w:pPr>
          </w:p>
        </w:tc>
        <w:tc>
          <w:tcPr>
            <w:tcW w:w="1417" w:type="dxa"/>
          </w:tcPr>
          <w:p w14:paraId="19E9F550" w14:textId="77777777" w:rsidR="00CB17AD" w:rsidRPr="00E84DE0" w:rsidRDefault="00CB17AD" w:rsidP="00CB17AD">
            <w:pPr>
              <w:pStyle w:val="TableBody"/>
            </w:pPr>
            <w:r w:rsidRPr="003D7609">
              <w:t>1.59 to 3.68</w:t>
            </w:r>
          </w:p>
        </w:tc>
      </w:tr>
      <w:tr w:rsidR="00CB17AD" w:rsidRPr="00CC1571" w14:paraId="706768C0" w14:textId="77777777" w:rsidTr="000D4819">
        <w:trPr>
          <w:jc w:val="center"/>
        </w:trPr>
        <w:tc>
          <w:tcPr>
            <w:tcW w:w="2835" w:type="dxa"/>
            <w:shd w:val="clear" w:color="auto" w:fill="D9E2F3" w:themeFill="accent1" w:themeFillTint="33"/>
          </w:tcPr>
          <w:p w14:paraId="7F271A9F" w14:textId="77777777" w:rsidR="00CB17AD" w:rsidRPr="00E84DE0" w:rsidRDefault="00CB17AD" w:rsidP="00CB17AD">
            <w:pPr>
              <w:pStyle w:val="TableHeader2"/>
            </w:pPr>
            <w:r w:rsidRPr="00E84DE0">
              <w:t>Behaviour problems</w:t>
            </w:r>
          </w:p>
        </w:tc>
        <w:tc>
          <w:tcPr>
            <w:tcW w:w="283" w:type="dxa"/>
            <w:shd w:val="clear" w:color="auto" w:fill="D9E2F3" w:themeFill="accent1" w:themeFillTint="33"/>
          </w:tcPr>
          <w:p w14:paraId="1A3551CE" w14:textId="77777777" w:rsidR="00CB17AD" w:rsidRPr="00E84DE0" w:rsidRDefault="00CB17AD" w:rsidP="00CB17AD">
            <w:pPr>
              <w:pStyle w:val="TableHeader2"/>
            </w:pPr>
          </w:p>
        </w:tc>
        <w:tc>
          <w:tcPr>
            <w:tcW w:w="1417" w:type="dxa"/>
            <w:shd w:val="clear" w:color="auto" w:fill="D9E2F3" w:themeFill="accent1" w:themeFillTint="33"/>
          </w:tcPr>
          <w:p w14:paraId="0A90120C" w14:textId="77777777" w:rsidR="00CB17AD" w:rsidRPr="00E84DE0" w:rsidRDefault="00CB17AD" w:rsidP="00CB17AD">
            <w:pPr>
              <w:pStyle w:val="TableBody"/>
            </w:pPr>
          </w:p>
        </w:tc>
        <w:tc>
          <w:tcPr>
            <w:tcW w:w="283" w:type="dxa"/>
            <w:shd w:val="clear" w:color="auto" w:fill="D9E2F3" w:themeFill="accent1" w:themeFillTint="33"/>
          </w:tcPr>
          <w:p w14:paraId="54111167" w14:textId="77777777" w:rsidR="00CB17AD" w:rsidRPr="00E84DE0" w:rsidRDefault="00CB17AD" w:rsidP="00CB17AD">
            <w:pPr>
              <w:pStyle w:val="TableBody"/>
            </w:pPr>
          </w:p>
        </w:tc>
        <w:tc>
          <w:tcPr>
            <w:tcW w:w="1417" w:type="dxa"/>
            <w:shd w:val="clear" w:color="auto" w:fill="D9E2F3" w:themeFill="accent1" w:themeFillTint="33"/>
          </w:tcPr>
          <w:p w14:paraId="2DD57B5B" w14:textId="77777777" w:rsidR="00CB17AD" w:rsidRPr="00E84DE0" w:rsidRDefault="00CB17AD" w:rsidP="00CB17AD">
            <w:pPr>
              <w:pStyle w:val="TableBody"/>
            </w:pPr>
          </w:p>
        </w:tc>
        <w:tc>
          <w:tcPr>
            <w:tcW w:w="283" w:type="dxa"/>
            <w:shd w:val="clear" w:color="auto" w:fill="D9E2F3" w:themeFill="accent1" w:themeFillTint="33"/>
          </w:tcPr>
          <w:p w14:paraId="71EA0ADA" w14:textId="77777777" w:rsidR="00CB17AD" w:rsidRPr="00E84DE0" w:rsidRDefault="00CB17AD" w:rsidP="00CB17AD">
            <w:pPr>
              <w:pStyle w:val="TableBody"/>
            </w:pPr>
          </w:p>
        </w:tc>
        <w:tc>
          <w:tcPr>
            <w:tcW w:w="1417" w:type="dxa"/>
            <w:shd w:val="clear" w:color="auto" w:fill="D9E2F3" w:themeFill="accent1" w:themeFillTint="33"/>
          </w:tcPr>
          <w:p w14:paraId="3AAF4143" w14:textId="77777777" w:rsidR="00CB17AD" w:rsidRPr="00E84DE0" w:rsidRDefault="00CB17AD" w:rsidP="00CB17AD">
            <w:pPr>
              <w:pStyle w:val="TableBody"/>
            </w:pPr>
          </w:p>
        </w:tc>
      </w:tr>
      <w:tr w:rsidR="00CB17AD" w:rsidRPr="00CC1571" w14:paraId="68D33042" w14:textId="77777777" w:rsidTr="00CB17AD">
        <w:trPr>
          <w:jc w:val="center"/>
        </w:trPr>
        <w:tc>
          <w:tcPr>
            <w:tcW w:w="2835" w:type="dxa"/>
          </w:tcPr>
          <w:p w14:paraId="4A2A7D8B" w14:textId="77777777" w:rsidR="00CB17AD" w:rsidRPr="00E84DE0" w:rsidRDefault="00CB17AD" w:rsidP="00CB17AD">
            <w:pPr>
              <w:pStyle w:val="TableRowIndent"/>
            </w:pPr>
            <w:r w:rsidRPr="00E84DE0">
              <w:t xml:space="preserve">   None</w:t>
            </w:r>
          </w:p>
        </w:tc>
        <w:tc>
          <w:tcPr>
            <w:tcW w:w="283" w:type="dxa"/>
          </w:tcPr>
          <w:p w14:paraId="5B1F17A2" w14:textId="77777777" w:rsidR="00CB17AD" w:rsidRPr="00E84DE0" w:rsidRDefault="00CB17AD" w:rsidP="00CB17AD">
            <w:pPr>
              <w:pStyle w:val="TableBody"/>
            </w:pPr>
          </w:p>
        </w:tc>
        <w:tc>
          <w:tcPr>
            <w:tcW w:w="1417" w:type="dxa"/>
          </w:tcPr>
          <w:p w14:paraId="52DA8F65" w14:textId="77777777" w:rsidR="00CB17AD" w:rsidRPr="00E84DE0" w:rsidRDefault="00CB17AD" w:rsidP="00CB17AD">
            <w:pPr>
              <w:pStyle w:val="TableBody"/>
            </w:pPr>
            <w:r w:rsidRPr="003D7609">
              <w:t>59.7</w:t>
            </w:r>
          </w:p>
        </w:tc>
        <w:tc>
          <w:tcPr>
            <w:tcW w:w="283" w:type="dxa"/>
          </w:tcPr>
          <w:p w14:paraId="25BC04F6" w14:textId="77777777" w:rsidR="00CB17AD" w:rsidRPr="00E84DE0" w:rsidRDefault="00CB17AD" w:rsidP="00CB17AD">
            <w:pPr>
              <w:pStyle w:val="TableBody"/>
            </w:pPr>
          </w:p>
        </w:tc>
        <w:tc>
          <w:tcPr>
            <w:tcW w:w="1417" w:type="dxa"/>
          </w:tcPr>
          <w:p w14:paraId="39172117" w14:textId="77777777" w:rsidR="00CB17AD" w:rsidRPr="00E84DE0" w:rsidRDefault="00CB17AD" w:rsidP="00CB17AD">
            <w:pPr>
              <w:pStyle w:val="TableBody"/>
            </w:pPr>
            <w:r w:rsidRPr="003D7609">
              <w:t>Ref</w:t>
            </w:r>
          </w:p>
        </w:tc>
        <w:tc>
          <w:tcPr>
            <w:tcW w:w="283" w:type="dxa"/>
          </w:tcPr>
          <w:p w14:paraId="475D5362" w14:textId="77777777" w:rsidR="00CB17AD" w:rsidRPr="00E84DE0" w:rsidRDefault="00CB17AD" w:rsidP="00CB17AD">
            <w:pPr>
              <w:pStyle w:val="TableBody"/>
            </w:pPr>
          </w:p>
        </w:tc>
        <w:tc>
          <w:tcPr>
            <w:tcW w:w="1417" w:type="dxa"/>
          </w:tcPr>
          <w:p w14:paraId="6254C33F" w14:textId="77777777" w:rsidR="00CB17AD" w:rsidRPr="00E84DE0" w:rsidRDefault="00CB17AD" w:rsidP="00CB17AD">
            <w:pPr>
              <w:pStyle w:val="TableBody"/>
            </w:pPr>
          </w:p>
        </w:tc>
      </w:tr>
      <w:tr w:rsidR="00CB17AD" w:rsidRPr="00CC1571" w14:paraId="355AEF20" w14:textId="77777777" w:rsidTr="00CB17AD">
        <w:trPr>
          <w:jc w:val="center"/>
        </w:trPr>
        <w:tc>
          <w:tcPr>
            <w:tcW w:w="2835" w:type="dxa"/>
          </w:tcPr>
          <w:p w14:paraId="08EF5528" w14:textId="77777777" w:rsidR="00CB17AD" w:rsidRPr="00E84DE0" w:rsidRDefault="00CB17AD" w:rsidP="00CB17AD">
            <w:pPr>
              <w:pStyle w:val="TableRowIndent"/>
            </w:pPr>
            <w:r w:rsidRPr="00E84DE0">
              <w:t xml:space="preserve">   Single episode</w:t>
            </w:r>
          </w:p>
        </w:tc>
        <w:tc>
          <w:tcPr>
            <w:tcW w:w="283" w:type="dxa"/>
          </w:tcPr>
          <w:p w14:paraId="60A298B3" w14:textId="77777777" w:rsidR="00CB17AD" w:rsidRPr="00E84DE0" w:rsidRDefault="00CB17AD" w:rsidP="00CB17AD">
            <w:pPr>
              <w:pStyle w:val="TableBody"/>
            </w:pPr>
          </w:p>
        </w:tc>
        <w:tc>
          <w:tcPr>
            <w:tcW w:w="1417" w:type="dxa"/>
          </w:tcPr>
          <w:p w14:paraId="58C8FB92" w14:textId="77777777" w:rsidR="00CB17AD" w:rsidRPr="00E84DE0" w:rsidRDefault="00CB17AD" w:rsidP="00CB17AD">
            <w:pPr>
              <w:pStyle w:val="TableBody"/>
            </w:pPr>
            <w:r w:rsidRPr="003D7609">
              <w:t>19.7</w:t>
            </w:r>
          </w:p>
        </w:tc>
        <w:tc>
          <w:tcPr>
            <w:tcW w:w="283" w:type="dxa"/>
          </w:tcPr>
          <w:p w14:paraId="3167E323" w14:textId="77777777" w:rsidR="00CB17AD" w:rsidRPr="00E84DE0" w:rsidRDefault="00CB17AD" w:rsidP="00CB17AD">
            <w:pPr>
              <w:pStyle w:val="TableBody"/>
            </w:pPr>
          </w:p>
        </w:tc>
        <w:tc>
          <w:tcPr>
            <w:tcW w:w="1417" w:type="dxa"/>
          </w:tcPr>
          <w:p w14:paraId="79817A0C" w14:textId="77777777" w:rsidR="00CB17AD" w:rsidRPr="00E84DE0" w:rsidRDefault="00CB17AD" w:rsidP="00CB17AD">
            <w:pPr>
              <w:pStyle w:val="TableBody"/>
            </w:pPr>
            <w:r w:rsidRPr="003D7609">
              <w:t>1.38</w:t>
            </w:r>
          </w:p>
        </w:tc>
        <w:tc>
          <w:tcPr>
            <w:tcW w:w="283" w:type="dxa"/>
          </w:tcPr>
          <w:p w14:paraId="7734115F" w14:textId="77777777" w:rsidR="00CB17AD" w:rsidRPr="00E84DE0" w:rsidRDefault="00CB17AD" w:rsidP="00CB17AD">
            <w:pPr>
              <w:pStyle w:val="TableBody"/>
            </w:pPr>
          </w:p>
        </w:tc>
        <w:tc>
          <w:tcPr>
            <w:tcW w:w="1417" w:type="dxa"/>
          </w:tcPr>
          <w:p w14:paraId="238B62D3" w14:textId="77777777" w:rsidR="00CB17AD" w:rsidRPr="00E84DE0" w:rsidRDefault="00CB17AD" w:rsidP="00CB17AD">
            <w:pPr>
              <w:pStyle w:val="TableBody"/>
            </w:pPr>
            <w:r w:rsidRPr="003D7609">
              <w:t>0.87 to 2.19</w:t>
            </w:r>
          </w:p>
        </w:tc>
      </w:tr>
      <w:tr w:rsidR="00CB17AD" w:rsidRPr="00CC1571" w14:paraId="4F1EB20A" w14:textId="77777777" w:rsidTr="00CB17AD">
        <w:trPr>
          <w:jc w:val="center"/>
        </w:trPr>
        <w:tc>
          <w:tcPr>
            <w:tcW w:w="2835" w:type="dxa"/>
          </w:tcPr>
          <w:p w14:paraId="7C947A7C" w14:textId="77777777" w:rsidR="00CB17AD" w:rsidRPr="00E84DE0" w:rsidRDefault="00CB17AD" w:rsidP="00CB17AD">
            <w:pPr>
              <w:pStyle w:val="TableRowIndent"/>
            </w:pPr>
            <w:r w:rsidRPr="00E84DE0">
              <w:t xml:space="preserve">   Persistent </w:t>
            </w:r>
          </w:p>
        </w:tc>
        <w:tc>
          <w:tcPr>
            <w:tcW w:w="283" w:type="dxa"/>
          </w:tcPr>
          <w:p w14:paraId="672BDB69" w14:textId="77777777" w:rsidR="00CB17AD" w:rsidRPr="00E84DE0" w:rsidRDefault="00CB17AD" w:rsidP="00CB17AD">
            <w:pPr>
              <w:pStyle w:val="TableBody"/>
            </w:pPr>
          </w:p>
        </w:tc>
        <w:tc>
          <w:tcPr>
            <w:tcW w:w="1417" w:type="dxa"/>
          </w:tcPr>
          <w:p w14:paraId="188D286F" w14:textId="77777777" w:rsidR="00CB17AD" w:rsidRPr="00E84DE0" w:rsidRDefault="00CB17AD" w:rsidP="00CB17AD">
            <w:pPr>
              <w:pStyle w:val="TableBody"/>
            </w:pPr>
            <w:r w:rsidRPr="003D7609">
              <w:t>20.5</w:t>
            </w:r>
          </w:p>
        </w:tc>
        <w:tc>
          <w:tcPr>
            <w:tcW w:w="283" w:type="dxa"/>
          </w:tcPr>
          <w:p w14:paraId="7A54E344" w14:textId="77777777" w:rsidR="00CB17AD" w:rsidRPr="00E84DE0" w:rsidRDefault="00CB17AD" w:rsidP="00CB17AD">
            <w:pPr>
              <w:pStyle w:val="TableBody"/>
            </w:pPr>
          </w:p>
        </w:tc>
        <w:tc>
          <w:tcPr>
            <w:tcW w:w="1417" w:type="dxa"/>
          </w:tcPr>
          <w:p w14:paraId="259FA9B5" w14:textId="77777777" w:rsidR="00CB17AD" w:rsidRPr="00E84DE0" w:rsidRDefault="00CB17AD" w:rsidP="00CB17AD">
            <w:pPr>
              <w:pStyle w:val="TableBody"/>
            </w:pPr>
            <w:r w:rsidRPr="003D7609">
              <w:t>3.18</w:t>
            </w:r>
          </w:p>
        </w:tc>
        <w:tc>
          <w:tcPr>
            <w:tcW w:w="283" w:type="dxa"/>
          </w:tcPr>
          <w:p w14:paraId="793E3DEC" w14:textId="77777777" w:rsidR="00CB17AD" w:rsidRPr="00E84DE0" w:rsidRDefault="00CB17AD" w:rsidP="00CB17AD">
            <w:pPr>
              <w:pStyle w:val="TableBody"/>
            </w:pPr>
          </w:p>
        </w:tc>
        <w:tc>
          <w:tcPr>
            <w:tcW w:w="1417" w:type="dxa"/>
          </w:tcPr>
          <w:p w14:paraId="63DA7746" w14:textId="77777777" w:rsidR="00CB17AD" w:rsidRPr="00E84DE0" w:rsidRDefault="00CB17AD" w:rsidP="00CB17AD">
            <w:pPr>
              <w:pStyle w:val="TableBody"/>
            </w:pPr>
            <w:r w:rsidRPr="003D7609">
              <w:t>2.10 to 4.81</w:t>
            </w:r>
          </w:p>
        </w:tc>
      </w:tr>
      <w:tr w:rsidR="00CB17AD" w:rsidRPr="00CC1571" w14:paraId="0A88941A" w14:textId="77777777" w:rsidTr="000D4819">
        <w:trPr>
          <w:jc w:val="center"/>
        </w:trPr>
        <w:tc>
          <w:tcPr>
            <w:tcW w:w="2835" w:type="dxa"/>
            <w:shd w:val="clear" w:color="auto" w:fill="D9E2F3" w:themeFill="accent1" w:themeFillTint="33"/>
          </w:tcPr>
          <w:p w14:paraId="67A0FBE7" w14:textId="77777777" w:rsidR="00CB17AD" w:rsidRPr="00E84DE0" w:rsidRDefault="00CB17AD" w:rsidP="00CB17AD">
            <w:pPr>
              <w:pStyle w:val="TableHeader2"/>
            </w:pPr>
            <w:r w:rsidRPr="006F76CA">
              <w:t>Poor subjective wellbeing</w:t>
            </w:r>
          </w:p>
        </w:tc>
        <w:tc>
          <w:tcPr>
            <w:tcW w:w="283" w:type="dxa"/>
            <w:shd w:val="clear" w:color="auto" w:fill="D9E2F3" w:themeFill="accent1" w:themeFillTint="33"/>
          </w:tcPr>
          <w:p w14:paraId="25ECB7B1" w14:textId="77777777" w:rsidR="00CB17AD" w:rsidRPr="00E84DE0" w:rsidRDefault="00CB17AD" w:rsidP="00CB17AD">
            <w:pPr>
              <w:pStyle w:val="TableHeader2"/>
            </w:pPr>
          </w:p>
        </w:tc>
        <w:tc>
          <w:tcPr>
            <w:tcW w:w="1417" w:type="dxa"/>
            <w:shd w:val="clear" w:color="auto" w:fill="D9E2F3" w:themeFill="accent1" w:themeFillTint="33"/>
          </w:tcPr>
          <w:p w14:paraId="054FD4ED" w14:textId="77777777" w:rsidR="00CB17AD" w:rsidRPr="00E84DE0" w:rsidRDefault="00CB17AD" w:rsidP="00CB17AD">
            <w:pPr>
              <w:pStyle w:val="TableBody"/>
            </w:pPr>
          </w:p>
        </w:tc>
        <w:tc>
          <w:tcPr>
            <w:tcW w:w="283" w:type="dxa"/>
            <w:shd w:val="clear" w:color="auto" w:fill="D9E2F3" w:themeFill="accent1" w:themeFillTint="33"/>
          </w:tcPr>
          <w:p w14:paraId="62A8307B" w14:textId="77777777" w:rsidR="00CB17AD" w:rsidRPr="00E84DE0" w:rsidRDefault="00CB17AD" w:rsidP="00CB17AD">
            <w:pPr>
              <w:pStyle w:val="TableBody"/>
            </w:pPr>
          </w:p>
        </w:tc>
        <w:tc>
          <w:tcPr>
            <w:tcW w:w="1417" w:type="dxa"/>
            <w:shd w:val="clear" w:color="auto" w:fill="D9E2F3" w:themeFill="accent1" w:themeFillTint="33"/>
          </w:tcPr>
          <w:p w14:paraId="6958DB36" w14:textId="77777777" w:rsidR="00CB17AD" w:rsidRPr="00E84DE0" w:rsidRDefault="00CB17AD" w:rsidP="00CB17AD">
            <w:pPr>
              <w:pStyle w:val="TableBody"/>
            </w:pPr>
          </w:p>
        </w:tc>
        <w:tc>
          <w:tcPr>
            <w:tcW w:w="283" w:type="dxa"/>
            <w:shd w:val="clear" w:color="auto" w:fill="D9E2F3" w:themeFill="accent1" w:themeFillTint="33"/>
          </w:tcPr>
          <w:p w14:paraId="10DEA27A" w14:textId="77777777" w:rsidR="00CB17AD" w:rsidRPr="00E84DE0" w:rsidRDefault="00CB17AD" w:rsidP="00CB17AD">
            <w:pPr>
              <w:pStyle w:val="TableBody"/>
            </w:pPr>
          </w:p>
        </w:tc>
        <w:tc>
          <w:tcPr>
            <w:tcW w:w="1417" w:type="dxa"/>
            <w:shd w:val="clear" w:color="auto" w:fill="D9E2F3" w:themeFill="accent1" w:themeFillTint="33"/>
          </w:tcPr>
          <w:p w14:paraId="480BDF76" w14:textId="77777777" w:rsidR="00CB17AD" w:rsidRPr="00E84DE0" w:rsidRDefault="00CB17AD" w:rsidP="00CB17AD">
            <w:pPr>
              <w:pStyle w:val="TableBody"/>
            </w:pPr>
          </w:p>
        </w:tc>
      </w:tr>
      <w:tr w:rsidR="00CB17AD" w:rsidRPr="00CC1571" w14:paraId="695FC27B" w14:textId="77777777" w:rsidTr="00CB17AD">
        <w:trPr>
          <w:jc w:val="center"/>
        </w:trPr>
        <w:tc>
          <w:tcPr>
            <w:tcW w:w="2835" w:type="dxa"/>
          </w:tcPr>
          <w:p w14:paraId="34A661F1" w14:textId="77777777" w:rsidR="00CB17AD" w:rsidRPr="00E84DE0" w:rsidRDefault="00CB17AD" w:rsidP="00CB17AD">
            <w:pPr>
              <w:pStyle w:val="TableRowIndent"/>
              <w:rPr>
                <w:i/>
              </w:rPr>
            </w:pPr>
            <w:r w:rsidRPr="00E84DE0">
              <w:t xml:space="preserve">   None</w:t>
            </w:r>
          </w:p>
        </w:tc>
        <w:tc>
          <w:tcPr>
            <w:tcW w:w="283" w:type="dxa"/>
          </w:tcPr>
          <w:p w14:paraId="6E0832BD" w14:textId="77777777" w:rsidR="00CB17AD" w:rsidRPr="00E84DE0" w:rsidRDefault="00CB17AD" w:rsidP="00CB17AD">
            <w:pPr>
              <w:pStyle w:val="TableBody"/>
            </w:pPr>
          </w:p>
        </w:tc>
        <w:tc>
          <w:tcPr>
            <w:tcW w:w="1417" w:type="dxa"/>
          </w:tcPr>
          <w:p w14:paraId="4B8F74D8" w14:textId="77777777" w:rsidR="00CB17AD" w:rsidRPr="00E84DE0" w:rsidRDefault="00CB17AD" w:rsidP="00CB17AD">
            <w:pPr>
              <w:pStyle w:val="TableBody"/>
            </w:pPr>
            <w:r w:rsidRPr="003D7609">
              <w:t>62.9</w:t>
            </w:r>
          </w:p>
        </w:tc>
        <w:tc>
          <w:tcPr>
            <w:tcW w:w="283" w:type="dxa"/>
          </w:tcPr>
          <w:p w14:paraId="598269CB" w14:textId="77777777" w:rsidR="00CB17AD" w:rsidRPr="00E84DE0" w:rsidRDefault="00CB17AD" w:rsidP="00CB17AD">
            <w:pPr>
              <w:pStyle w:val="TableBody"/>
            </w:pPr>
          </w:p>
        </w:tc>
        <w:tc>
          <w:tcPr>
            <w:tcW w:w="1417" w:type="dxa"/>
          </w:tcPr>
          <w:p w14:paraId="7B217D17" w14:textId="77777777" w:rsidR="00CB17AD" w:rsidRPr="00E84DE0" w:rsidRDefault="00CB17AD" w:rsidP="00CB17AD">
            <w:pPr>
              <w:pStyle w:val="TableBody"/>
            </w:pPr>
            <w:r w:rsidRPr="003D7609">
              <w:t>Ref</w:t>
            </w:r>
          </w:p>
        </w:tc>
        <w:tc>
          <w:tcPr>
            <w:tcW w:w="283" w:type="dxa"/>
          </w:tcPr>
          <w:p w14:paraId="4EC8CE38" w14:textId="77777777" w:rsidR="00CB17AD" w:rsidRPr="00E84DE0" w:rsidRDefault="00CB17AD" w:rsidP="00CB17AD">
            <w:pPr>
              <w:pStyle w:val="TableBody"/>
            </w:pPr>
          </w:p>
        </w:tc>
        <w:tc>
          <w:tcPr>
            <w:tcW w:w="1417" w:type="dxa"/>
          </w:tcPr>
          <w:p w14:paraId="089C25B8" w14:textId="77777777" w:rsidR="00CB17AD" w:rsidRPr="00E84DE0" w:rsidRDefault="00CB17AD" w:rsidP="00CB17AD">
            <w:pPr>
              <w:pStyle w:val="TableBody"/>
            </w:pPr>
          </w:p>
        </w:tc>
      </w:tr>
      <w:tr w:rsidR="00CB17AD" w:rsidRPr="00CC1571" w14:paraId="4D7DFEF2" w14:textId="77777777" w:rsidTr="00CB17AD">
        <w:trPr>
          <w:jc w:val="center"/>
        </w:trPr>
        <w:tc>
          <w:tcPr>
            <w:tcW w:w="2835" w:type="dxa"/>
          </w:tcPr>
          <w:p w14:paraId="19B4E332" w14:textId="77777777" w:rsidR="00CB17AD" w:rsidRPr="00E84DE0" w:rsidRDefault="00CB17AD" w:rsidP="00CB17AD">
            <w:pPr>
              <w:pStyle w:val="TableRowIndent"/>
              <w:rPr>
                <w:i/>
              </w:rPr>
            </w:pPr>
            <w:r w:rsidRPr="00E84DE0">
              <w:t xml:space="preserve">   Single episode</w:t>
            </w:r>
          </w:p>
        </w:tc>
        <w:tc>
          <w:tcPr>
            <w:tcW w:w="283" w:type="dxa"/>
          </w:tcPr>
          <w:p w14:paraId="4B7CA7F7" w14:textId="77777777" w:rsidR="00CB17AD" w:rsidRPr="00E84DE0" w:rsidRDefault="00CB17AD" w:rsidP="00CB17AD">
            <w:pPr>
              <w:pStyle w:val="TableBody"/>
            </w:pPr>
          </w:p>
        </w:tc>
        <w:tc>
          <w:tcPr>
            <w:tcW w:w="1417" w:type="dxa"/>
          </w:tcPr>
          <w:p w14:paraId="08448E6B" w14:textId="77777777" w:rsidR="00CB17AD" w:rsidRPr="00E84DE0" w:rsidRDefault="00CB17AD" w:rsidP="00CB17AD">
            <w:pPr>
              <w:pStyle w:val="TableBody"/>
            </w:pPr>
            <w:r w:rsidRPr="003D7609">
              <w:t>25.0</w:t>
            </w:r>
          </w:p>
        </w:tc>
        <w:tc>
          <w:tcPr>
            <w:tcW w:w="283" w:type="dxa"/>
          </w:tcPr>
          <w:p w14:paraId="491850A0" w14:textId="77777777" w:rsidR="00CB17AD" w:rsidRPr="00E84DE0" w:rsidRDefault="00CB17AD" w:rsidP="00CB17AD">
            <w:pPr>
              <w:pStyle w:val="TableBody"/>
            </w:pPr>
          </w:p>
        </w:tc>
        <w:tc>
          <w:tcPr>
            <w:tcW w:w="1417" w:type="dxa"/>
          </w:tcPr>
          <w:p w14:paraId="44D9D4FA" w14:textId="77777777" w:rsidR="00CB17AD" w:rsidRPr="00E84DE0" w:rsidRDefault="00CB17AD" w:rsidP="00CB17AD">
            <w:pPr>
              <w:pStyle w:val="TableBody"/>
            </w:pPr>
            <w:r w:rsidRPr="003D7609">
              <w:t>1.76</w:t>
            </w:r>
          </w:p>
        </w:tc>
        <w:tc>
          <w:tcPr>
            <w:tcW w:w="283" w:type="dxa"/>
          </w:tcPr>
          <w:p w14:paraId="73CC6644" w14:textId="77777777" w:rsidR="00CB17AD" w:rsidRPr="00E84DE0" w:rsidRDefault="00CB17AD" w:rsidP="00CB17AD">
            <w:pPr>
              <w:pStyle w:val="TableBody"/>
            </w:pPr>
          </w:p>
        </w:tc>
        <w:tc>
          <w:tcPr>
            <w:tcW w:w="1417" w:type="dxa"/>
          </w:tcPr>
          <w:p w14:paraId="037C2AAE" w14:textId="77777777" w:rsidR="00CB17AD" w:rsidRPr="00E84DE0" w:rsidRDefault="00CB17AD" w:rsidP="00CB17AD">
            <w:pPr>
              <w:pStyle w:val="TableBody"/>
            </w:pPr>
            <w:r w:rsidRPr="003D7609">
              <w:t>1.12 to 2.77</w:t>
            </w:r>
          </w:p>
        </w:tc>
      </w:tr>
      <w:tr w:rsidR="00CB17AD" w:rsidRPr="00CC1571" w14:paraId="400C4C4D" w14:textId="77777777" w:rsidTr="00CB17AD">
        <w:trPr>
          <w:jc w:val="center"/>
        </w:trPr>
        <w:tc>
          <w:tcPr>
            <w:tcW w:w="2835" w:type="dxa"/>
          </w:tcPr>
          <w:p w14:paraId="75AA6A6B" w14:textId="77777777" w:rsidR="00CB17AD" w:rsidRPr="00E84DE0" w:rsidRDefault="00CB17AD" w:rsidP="00CB17AD">
            <w:pPr>
              <w:pStyle w:val="TableRowIndent"/>
              <w:rPr>
                <w:i/>
              </w:rPr>
            </w:pPr>
            <w:r w:rsidRPr="00E84DE0">
              <w:t xml:space="preserve">   Persistent </w:t>
            </w:r>
          </w:p>
        </w:tc>
        <w:tc>
          <w:tcPr>
            <w:tcW w:w="283" w:type="dxa"/>
          </w:tcPr>
          <w:p w14:paraId="25C18947" w14:textId="77777777" w:rsidR="00CB17AD" w:rsidRPr="00E84DE0" w:rsidRDefault="00CB17AD" w:rsidP="00CB17AD">
            <w:pPr>
              <w:pStyle w:val="TableBody"/>
            </w:pPr>
          </w:p>
        </w:tc>
        <w:tc>
          <w:tcPr>
            <w:tcW w:w="1417" w:type="dxa"/>
          </w:tcPr>
          <w:p w14:paraId="0CBC2CC2" w14:textId="77777777" w:rsidR="00CB17AD" w:rsidRPr="00E84DE0" w:rsidRDefault="00CB17AD" w:rsidP="00CB17AD">
            <w:pPr>
              <w:pStyle w:val="TableBody"/>
            </w:pPr>
            <w:r w:rsidRPr="003D7609">
              <w:t>12.0</w:t>
            </w:r>
          </w:p>
        </w:tc>
        <w:tc>
          <w:tcPr>
            <w:tcW w:w="283" w:type="dxa"/>
          </w:tcPr>
          <w:p w14:paraId="2A0DB84A" w14:textId="77777777" w:rsidR="00CB17AD" w:rsidRPr="00E84DE0" w:rsidRDefault="00CB17AD" w:rsidP="00CB17AD">
            <w:pPr>
              <w:pStyle w:val="TableBody"/>
            </w:pPr>
          </w:p>
        </w:tc>
        <w:tc>
          <w:tcPr>
            <w:tcW w:w="1417" w:type="dxa"/>
          </w:tcPr>
          <w:p w14:paraId="6B63AFFE" w14:textId="77777777" w:rsidR="00CB17AD" w:rsidRPr="00E84DE0" w:rsidRDefault="00CB17AD" w:rsidP="00CB17AD">
            <w:pPr>
              <w:pStyle w:val="TableBody"/>
            </w:pPr>
            <w:r w:rsidRPr="003D7609">
              <w:t>2.06</w:t>
            </w:r>
          </w:p>
        </w:tc>
        <w:tc>
          <w:tcPr>
            <w:tcW w:w="283" w:type="dxa"/>
          </w:tcPr>
          <w:p w14:paraId="6A639D8E" w14:textId="77777777" w:rsidR="00CB17AD" w:rsidRPr="00E84DE0" w:rsidRDefault="00CB17AD" w:rsidP="00CB17AD">
            <w:pPr>
              <w:pStyle w:val="TableBody"/>
            </w:pPr>
          </w:p>
        </w:tc>
        <w:tc>
          <w:tcPr>
            <w:tcW w:w="1417" w:type="dxa"/>
          </w:tcPr>
          <w:p w14:paraId="0AA03B36" w14:textId="77777777" w:rsidR="00CB17AD" w:rsidRPr="00E84DE0" w:rsidRDefault="00CB17AD" w:rsidP="00CB17AD">
            <w:pPr>
              <w:pStyle w:val="TableBody"/>
            </w:pPr>
            <w:r w:rsidRPr="003D7609">
              <w:t>1.22 to 3.48</w:t>
            </w:r>
          </w:p>
        </w:tc>
      </w:tr>
      <w:tr w:rsidR="00CB17AD" w:rsidRPr="00CC1571" w14:paraId="4145AE77" w14:textId="77777777" w:rsidTr="000D4819">
        <w:trPr>
          <w:jc w:val="center"/>
        </w:trPr>
        <w:tc>
          <w:tcPr>
            <w:tcW w:w="2835" w:type="dxa"/>
            <w:shd w:val="clear" w:color="auto" w:fill="D9E2F3" w:themeFill="accent1" w:themeFillTint="33"/>
          </w:tcPr>
          <w:p w14:paraId="32D7FCF7" w14:textId="77777777" w:rsidR="00CB17AD" w:rsidRPr="00716B14" w:rsidRDefault="00CB17AD" w:rsidP="00CB17AD">
            <w:pPr>
              <w:pStyle w:val="TableHeader2"/>
            </w:pPr>
            <w:r w:rsidRPr="00716B14">
              <w:t>Disengagement</w:t>
            </w:r>
            <w:r w:rsidRPr="00E84DE0">
              <w:rPr>
                <w:vertAlign w:val="superscript"/>
              </w:rPr>
              <w:t xml:space="preserve"> a</w:t>
            </w:r>
          </w:p>
        </w:tc>
        <w:tc>
          <w:tcPr>
            <w:tcW w:w="283" w:type="dxa"/>
            <w:shd w:val="clear" w:color="auto" w:fill="D9E2F3" w:themeFill="accent1" w:themeFillTint="33"/>
          </w:tcPr>
          <w:p w14:paraId="23106527" w14:textId="77777777" w:rsidR="00CB17AD" w:rsidRPr="00E84DE0" w:rsidRDefault="00CB17AD" w:rsidP="00CB17AD">
            <w:pPr>
              <w:pStyle w:val="TableHeader2"/>
            </w:pPr>
          </w:p>
        </w:tc>
        <w:tc>
          <w:tcPr>
            <w:tcW w:w="1417" w:type="dxa"/>
            <w:shd w:val="clear" w:color="auto" w:fill="D9E2F3" w:themeFill="accent1" w:themeFillTint="33"/>
          </w:tcPr>
          <w:p w14:paraId="47053F57" w14:textId="77777777" w:rsidR="00CB17AD" w:rsidRPr="00E84DE0" w:rsidRDefault="00CB17AD" w:rsidP="00CB17AD">
            <w:pPr>
              <w:pStyle w:val="TableBody"/>
            </w:pPr>
          </w:p>
        </w:tc>
        <w:tc>
          <w:tcPr>
            <w:tcW w:w="283" w:type="dxa"/>
            <w:shd w:val="clear" w:color="auto" w:fill="D9E2F3" w:themeFill="accent1" w:themeFillTint="33"/>
          </w:tcPr>
          <w:p w14:paraId="2F5BD2F5" w14:textId="77777777" w:rsidR="00CB17AD" w:rsidRPr="00E84DE0" w:rsidRDefault="00CB17AD" w:rsidP="00CB17AD">
            <w:pPr>
              <w:pStyle w:val="TableBody"/>
            </w:pPr>
          </w:p>
        </w:tc>
        <w:tc>
          <w:tcPr>
            <w:tcW w:w="1417" w:type="dxa"/>
            <w:shd w:val="clear" w:color="auto" w:fill="D9E2F3" w:themeFill="accent1" w:themeFillTint="33"/>
          </w:tcPr>
          <w:p w14:paraId="70B8DF7C" w14:textId="77777777" w:rsidR="00CB17AD" w:rsidRPr="00E84DE0" w:rsidRDefault="00CB17AD" w:rsidP="00CB17AD">
            <w:pPr>
              <w:pStyle w:val="TableBody"/>
            </w:pPr>
          </w:p>
        </w:tc>
        <w:tc>
          <w:tcPr>
            <w:tcW w:w="283" w:type="dxa"/>
            <w:shd w:val="clear" w:color="auto" w:fill="D9E2F3" w:themeFill="accent1" w:themeFillTint="33"/>
          </w:tcPr>
          <w:p w14:paraId="7F629A1E" w14:textId="77777777" w:rsidR="00CB17AD" w:rsidRPr="00E84DE0" w:rsidRDefault="00CB17AD" w:rsidP="00CB17AD">
            <w:pPr>
              <w:pStyle w:val="TableBody"/>
            </w:pPr>
          </w:p>
        </w:tc>
        <w:tc>
          <w:tcPr>
            <w:tcW w:w="1417" w:type="dxa"/>
            <w:shd w:val="clear" w:color="auto" w:fill="D9E2F3" w:themeFill="accent1" w:themeFillTint="33"/>
          </w:tcPr>
          <w:p w14:paraId="04BF7DB1" w14:textId="77777777" w:rsidR="00CB17AD" w:rsidRPr="00E84DE0" w:rsidRDefault="00CB17AD" w:rsidP="00CB17AD">
            <w:pPr>
              <w:pStyle w:val="TableBody"/>
            </w:pPr>
          </w:p>
        </w:tc>
      </w:tr>
      <w:tr w:rsidR="00CB17AD" w:rsidRPr="00CC1571" w14:paraId="44F9140A" w14:textId="77777777" w:rsidTr="00CB17AD">
        <w:trPr>
          <w:jc w:val="center"/>
        </w:trPr>
        <w:tc>
          <w:tcPr>
            <w:tcW w:w="2835" w:type="dxa"/>
          </w:tcPr>
          <w:p w14:paraId="2942E9CB" w14:textId="77777777" w:rsidR="00CB17AD" w:rsidRPr="00E84DE0" w:rsidRDefault="00CB17AD" w:rsidP="00CB17AD">
            <w:pPr>
              <w:pStyle w:val="TableRowIndent"/>
            </w:pPr>
            <w:r w:rsidRPr="00E84DE0">
              <w:t xml:space="preserve">   None</w:t>
            </w:r>
          </w:p>
        </w:tc>
        <w:tc>
          <w:tcPr>
            <w:tcW w:w="283" w:type="dxa"/>
          </w:tcPr>
          <w:p w14:paraId="070FCD11" w14:textId="77777777" w:rsidR="00CB17AD" w:rsidRPr="00E84DE0" w:rsidRDefault="00CB17AD" w:rsidP="00CB17AD">
            <w:pPr>
              <w:pStyle w:val="TableBody"/>
            </w:pPr>
          </w:p>
        </w:tc>
        <w:tc>
          <w:tcPr>
            <w:tcW w:w="1417" w:type="dxa"/>
          </w:tcPr>
          <w:p w14:paraId="043AC11F" w14:textId="77777777" w:rsidR="00CB17AD" w:rsidRPr="00E84DE0" w:rsidRDefault="00CB17AD" w:rsidP="00CB17AD">
            <w:pPr>
              <w:pStyle w:val="TableBody"/>
            </w:pPr>
            <w:r w:rsidRPr="003D7609">
              <w:t xml:space="preserve">83.1 </w:t>
            </w:r>
          </w:p>
        </w:tc>
        <w:tc>
          <w:tcPr>
            <w:tcW w:w="283" w:type="dxa"/>
          </w:tcPr>
          <w:p w14:paraId="5D0F81B9" w14:textId="77777777" w:rsidR="00CB17AD" w:rsidRPr="00E84DE0" w:rsidRDefault="00CB17AD" w:rsidP="00CB17AD">
            <w:pPr>
              <w:pStyle w:val="TableBody"/>
            </w:pPr>
          </w:p>
        </w:tc>
        <w:tc>
          <w:tcPr>
            <w:tcW w:w="1417" w:type="dxa"/>
          </w:tcPr>
          <w:p w14:paraId="36F090A4" w14:textId="77777777" w:rsidR="00CB17AD" w:rsidRPr="00E84DE0" w:rsidRDefault="00CB17AD" w:rsidP="00CB17AD">
            <w:pPr>
              <w:pStyle w:val="TableBody"/>
            </w:pPr>
            <w:r w:rsidRPr="003D7609">
              <w:t>Ref</w:t>
            </w:r>
          </w:p>
        </w:tc>
        <w:tc>
          <w:tcPr>
            <w:tcW w:w="283" w:type="dxa"/>
          </w:tcPr>
          <w:p w14:paraId="45E9B5C6" w14:textId="77777777" w:rsidR="00CB17AD" w:rsidRPr="00E84DE0" w:rsidRDefault="00CB17AD" w:rsidP="00CB17AD">
            <w:pPr>
              <w:pStyle w:val="TableBody"/>
            </w:pPr>
          </w:p>
        </w:tc>
        <w:tc>
          <w:tcPr>
            <w:tcW w:w="1417" w:type="dxa"/>
          </w:tcPr>
          <w:p w14:paraId="31EF50BC" w14:textId="77777777" w:rsidR="00CB17AD" w:rsidRPr="00E84DE0" w:rsidRDefault="00CB17AD" w:rsidP="00CB17AD">
            <w:pPr>
              <w:pStyle w:val="TableBody"/>
            </w:pPr>
          </w:p>
        </w:tc>
      </w:tr>
      <w:tr w:rsidR="00CB17AD" w:rsidRPr="00CC1571" w14:paraId="3E611619" w14:textId="77777777" w:rsidTr="00CB17AD">
        <w:trPr>
          <w:jc w:val="center"/>
        </w:trPr>
        <w:tc>
          <w:tcPr>
            <w:tcW w:w="2835" w:type="dxa"/>
          </w:tcPr>
          <w:p w14:paraId="22829203" w14:textId="77777777" w:rsidR="00CB17AD" w:rsidRPr="00E84DE0" w:rsidRDefault="00CB17AD" w:rsidP="00CB17AD">
            <w:pPr>
              <w:pStyle w:val="TableRowIndent"/>
            </w:pPr>
            <w:r w:rsidRPr="00E84DE0">
              <w:t xml:space="preserve">   1 or 2 years</w:t>
            </w:r>
          </w:p>
        </w:tc>
        <w:tc>
          <w:tcPr>
            <w:tcW w:w="283" w:type="dxa"/>
          </w:tcPr>
          <w:p w14:paraId="0628306B" w14:textId="77777777" w:rsidR="00CB17AD" w:rsidRPr="00E84DE0" w:rsidRDefault="00CB17AD" w:rsidP="00CB17AD">
            <w:pPr>
              <w:pStyle w:val="TableBody"/>
            </w:pPr>
          </w:p>
        </w:tc>
        <w:tc>
          <w:tcPr>
            <w:tcW w:w="1417" w:type="dxa"/>
          </w:tcPr>
          <w:p w14:paraId="4ED63C9B" w14:textId="77777777" w:rsidR="00CB17AD" w:rsidRPr="00E84DE0" w:rsidRDefault="00CB17AD" w:rsidP="00CB17AD">
            <w:pPr>
              <w:pStyle w:val="TableBody"/>
            </w:pPr>
            <w:r w:rsidRPr="003D7609">
              <w:t xml:space="preserve">16.9 </w:t>
            </w:r>
          </w:p>
        </w:tc>
        <w:tc>
          <w:tcPr>
            <w:tcW w:w="283" w:type="dxa"/>
          </w:tcPr>
          <w:p w14:paraId="0BDFE7F2" w14:textId="77777777" w:rsidR="00CB17AD" w:rsidRPr="00E84DE0" w:rsidRDefault="00CB17AD" w:rsidP="00CB17AD">
            <w:pPr>
              <w:pStyle w:val="TableBody"/>
            </w:pPr>
          </w:p>
        </w:tc>
        <w:tc>
          <w:tcPr>
            <w:tcW w:w="1417" w:type="dxa"/>
          </w:tcPr>
          <w:p w14:paraId="27D1D607" w14:textId="77777777" w:rsidR="00CB17AD" w:rsidRPr="00E84DE0" w:rsidRDefault="00CB17AD" w:rsidP="00CB17AD">
            <w:pPr>
              <w:pStyle w:val="TableBody"/>
            </w:pPr>
            <w:r w:rsidRPr="003D7609">
              <w:t>1.85</w:t>
            </w:r>
          </w:p>
        </w:tc>
        <w:tc>
          <w:tcPr>
            <w:tcW w:w="283" w:type="dxa"/>
          </w:tcPr>
          <w:p w14:paraId="380C9D57" w14:textId="77777777" w:rsidR="00CB17AD" w:rsidRPr="00E84DE0" w:rsidRDefault="00CB17AD" w:rsidP="00CB17AD">
            <w:pPr>
              <w:pStyle w:val="TableBody"/>
            </w:pPr>
          </w:p>
        </w:tc>
        <w:tc>
          <w:tcPr>
            <w:tcW w:w="1417" w:type="dxa"/>
          </w:tcPr>
          <w:p w14:paraId="56FCE16E" w14:textId="77777777" w:rsidR="00CB17AD" w:rsidRPr="00E84DE0" w:rsidRDefault="00CB17AD" w:rsidP="00CB17AD">
            <w:pPr>
              <w:pStyle w:val="TableBody"/>
            </w:pPr>
            <w:r w:rsidRPr="003D7609">
              <w:t>1.19 to 2.87</w:t>
            </w:r>
          </w:p>
        </w:tc>
      </w:tr>
      <w:tr w:rsidR="00CB17AD" w:rsidRPr="00CC1571" w14:paraId="1D310E75" w14:textId="77777777" w:rsidTr="000D4819">
        <w:trPr>
          <w:jc w:val="center"/>
        </w:trPr>
        <w:tc>
          <w:tcPr>
            <w:tcW w:w="2835" w:type="dxa"/>
            <w:shd w:val="clear" w:color="auto" w:fill="D9E2F3" w:themeFill="accent1" w:themeFillTint="33"/>
          </w:tcPr>
          <w:p w14:paraId="2D998E75" w14:textId="77777777" w:rsidR="00CB17AD" w:rsidRPr="00E84DE0" w:rsidRDefault="00CB17AD" w:rsidP="00CB17AD">
            <w:pPr>
              <w:pStyle w:val="TableHeader2"/>
            </w:pPr>
            <w:r w:rsidRPr="00E84DE0">
              <w:t>Peer support</w:t>
            </w:r>
          </w:p>
        </w:tc>
        <w:tc>
          <w:tcPr>
            <w:tcW w:w="283" w:type="dxa"/>
            <w:shd w:val="clear" w:color="auto" w:fill="D9E2F3" w:themeFill="accent1" w:themeFillTint="33"/>
          </w:tcPr>
          <w:p w14:paraId="76FADC04" w14:textId="77777777" w:rsidR="00CB17AD" w:rsidRPr="00E84DE0" w:rsidRDefault="00CB17AD" w:rsidP="00CB17AD">
            <w:pPr>
              <w:pStyle w:val="TableHeader2"/>
            </w:pPr>
          </w:p>
        </w:tc>
        <w:tc>
          <w:tcPr>
            <w:tcW w:w="1417" w:type="dxa"/>
            <w:shd w:val="clear" w:color="auto" w:fill="D9E2F3" w:themeFill="accent1" w:themeFillTint="33"/>
          </w:tcPr>
          <w:p w14:paraId="10D78A87" w14:textId="77777777" w:rsidR="00CB17AD" w:rsidRPr="00E84DE0" w:rsidRDefault="00CB17AD" w:rsidP="00CB17AD">
            <w:pPr>
              <w:pStyle w:val="TableBody"/>
            </w:pPr>
          </w:p>
        </w:tc>
        <w:tc>
          <w:tcPr>
            <w:tcW w:w="283" w:type="dxa"/>
            <w:shd w:val="clear" w:color="auto" w:fill="D9E2F3" w:themeFill="accent1" w:themeFillTint="33"/>
          </w:tcPr>
          <w:p w14:paraId="37EA274C" w14:textId="77777777" w:rsidR="00CB17AD" w:rsidRPr="00E84DE0" w:rsidRDefault="00CB17AD" w:rsidP="00CB17AD">
            <w:pPr>
              <w:pStyle w:val="TableBody"/>
            </w:pPr>
          </w:p>
        </w:tc>
        <w:tc>
          <w:tcPr>
            <w:tcW w:w="1417" w:type="dxa"/>
            <w:shd w:val="clear" w:color="auto" w:fill="D9E2F3" w:themeFill="accent1" w:themeFillTint="33"/>
          </w:tcPr>
          <w:p w14:paraId="2CF268AD" w14:textId="77777777" w:rsidR="00CB17AD" w:rsidRPr="00E84DE0" w:rsidRDefault="00CB17AD" w:rsidP="00CB17AD">
            <w:pPr>
              <w:pStyle w:val="TableBody"/>
            </w:pPr>
          </w:p>
        </w:tc>
        <w:tc>
          <w:tcPr>
            <w:tcW w:w="283" w:type="dxa"/>
            <w:shd w:val="clear" w:color="auto" w:fill="D9E2F3" w:themeFill="accent1" w:themeFillTint="33"/>
          </w:tcPr>
          <w:p w14:paraId="6AA6750F" w14:textId="77777777" w:rsidR="00CB17AD" w:rsidRPr="00E84DE0" w:rsidRDefault="00CB17AD" w:rsidP="00CB17AD">
            <w:pPr>
              <w:pStyle w:val="TableBody"/>
            </w:pPr>
          </w:p>
        </w:tc>
        <w:tc>
          <w:tcPr>
            <w:tcW w:w="1417" w:type="dxa"/>
            <w:shd w:val="clear" w:color="auto" w:fill="D9E2F3" w:themeFill="accent1" w:themeFillTint="33"/>
          </w:tcPr>
          <w:p w14:paraId="0EE5B3D8" w14:textId="77777777" w:rsidR="00CB17AD" w:rsidRPr="00E84DE0" w:rsidRDefault="00CB17AD" w:rsidP="00CB17AD">
            <w:pPr>
              <w:pStyle w:val="TableBody"/>
            </w:pPr>
          </w:p>
        </w:tc>
      </w:tr>
      <w:tr w:rsidR="00CB17AD" w:rsidRPr="00CC1571" w14:paraId="26B23BE8" w14:textId="77777777" w:rsidTr="00CB17AD">
        <w:trPr>
          <w:jc w:val="center"/>
        </w:trPr>
        <w:tc>
          <w:tcPr>
            <w:tcW w:w="2835" w:type="dxa"/>
          </w:tcPr>
          <w:p w14:paraId="7E045FB0" w14:textId="77777777" w:rsidR="00CB17AD" w:rsidRPr="00E84DE0" w:rsidRDefault="00CB17AD" w:rsidP="00CB17AD">
            <w:pPr>
              <w:pStyle w:val="TableRowIndent"/>
            </w:pPr>
            <w:r w:rsidRPr="00E84DE0">
              <w:t xml:space="preserve">   None</w:t>
            </w:r>
          </w:p>
        </w:tc>
        <w:tc>
          <w:tcPr>
            <w:tcW w:w="283" w:type="dxa"/>
          </w:tcPr>
          <w:p w14:paraId="08D7E431" w14:textId="77777777" w:rsidR="00CB17AD" w:rsidRPr="00E84DE0" w:rsidRDefault="00CB17AD" w:rsidP="00CB17AD">
            <w:pPr>
              <w:pStyle w:val="TableBody"/>
            </w:pPr>
          </w:p>
        </w:tc>
        <w:tc>
          <w:tcPr>
            <w:tcW w:w="1417" w:type="dxa"/>
          </w:tcPr>
          <w:p w14:paraId="5D59EC03" w14:textId="77777777" w:rsidR="00CB17AD" w:rsidRPr="00E84DE0" w:rsidRDefault="00CB17AD" w:rsidP="00CB17AD">
            <w:pPr>
              <w:pStyle w:val="TableBody"/>
            </w:pPr>
            <w:r w:rsidRPr="003D7609">
              <w:t>14.9</w:t>
            </w:r>
          </w:p>
        </w:tc>
        <w:tc>
          <w:tcPr>
            <w:tcW w:w="283" w:type="dxa"/>
          </w:tcPr>
          <w:p w14:paraId="5DC0227A" w14:textId="77777777" w:rsidR="00CB17AD" w:rsidRPr="00E84DE0" w:rsidRDefault="00CB17AD" w:rsidP="00CB17AD">
            <w:pPr>
              <w:pStyle w:val="TableBody"/>
            </w:pPr>
          </w:p>
        </w:tc>
        <w:tc>
          <w:tcPr>
            <w:tcW w:w="1417" w:type="dxa"/>
          </w:tcPr>
          <w:p w14:paraId="2EF79809" w14:textId="77777777" w:rsidR="00CB17AD" w:rsidRPr="00E84DE0" w:rsidRDefault="00CB17AD" w:rsidP="00CB17AD">
            <w:pPr>
              <w:pStyle w:val="TableBody"/>
            </w:pPr>
            <w:r w:rsidRPr="003D7609">
              <w:t>Ref</w:t>
            </w:r>
          </w:p>
        </w:tc>
        <w:tc>
          <w:tcPr>
            <w:tcW w:w="283" w:type="dxa"/>
          </w:tcPr>
          <w:p w14:paraId="6B905274" w14:textId="77777777" w:rsidR="00CB17AD" w:rsidRPr="00E84DE0" w:rsidRDefault="00CB17AD" w:rsidP="00CB17AD">
            <w:pPr>
              <w:pStyle w:val="TableBody"/>
            </w:pPr>
          </w:p>
        </w:tc>
        <w:tc>
          <w:tcPr>
            <w:tcW w:w="1417" w:type="dxa"/>
          </w:tcPr>
          <w:p w14:paraId="1AB82D65" w14:textId="77777777" w:rsidR="00CB17AD" w:rsidRPr="00E84DE0" w:rsidRDefault="00CB17AD" w:rsidP="00CB17AD">
            <w:pPr>
              <w:pStyle w:val="TableBody"/>
            </w:pPr>
          </w:p>
        </w:tc>
      </w:tr>
      <w:tr w:rsidR="00CB17AD" w:rsidRPr="00CC1571" w14:paraId="648A5019" w14:textId="77777777" w:rsidTr="00CB17AD">
        <w:trPr>
          <w:jc w:val="center"/>
        </w:trPr>
        <w:tc>
          <w:tcPr>
            <w:tcW w:w="2835" w:type="dxa"/>
          </w:tcPr>
          <w:p w14:paraId="1EB1004F" w14:textId="77777777" w:rsidR="00CB17AD" w:rsidRPr="00E84DE0" w:rsidRDefault="00CB17AD" w:rsidP="00CB17AD">
            <w:pPr>
              <w:pStyle w:val="TableRowIndent"/>
            </w:pPr>
            <w:r w:rsidRPr="00E84DE0">
              <w:t xml:space="preserve">   Single episode</w:t>
            </w:r>
          </w:p>
        </w:tc>
        <w:tc>
          <w:tcPr>
            <w:tcW w:w="283" w:type="dxa"/>
          </w:tcPr>
          <w:p w14:paraId="0765A60D" w14:textId="77777777" w:rsidR="00CB17AD" w:rsidRPr="00E84DE0" w:rsidRDefault="00CB17AD" w:rsidP="00CB17AD">
            <w:pPr>
              <w:pStyle w:val="TableBody"/>
            </w:pPr>
          </w:p>
        </w:tc>
        <w:tc>
          <w:tcPr>
            <w:tcW w:w="1417" w:type="dxa"/>
          </w:tcPr>
          <w:p w14:paraId="61A001E9" w14:textId="77777777" w:rsidR="00CB17AD" w:rsidRPr="00E84DE0" w:rsidRDefault="00CB17AD" w:rsidP="00CB17AD">
            <w:pPr>
              <w:pStyle w:val="TableBody"/>
            </w:pPr>
            <w:r w:rsidRPr="003D7609">
              <w:t>15.8</w:t>
            </w:r>
          </w:p>
        </w:tc>
        <w:tc>
          <w:tcPr>
            <w:tcW w:w="283" w:type="dxa"/>
          </w:tcPr>
          <w:p w14:paraId="52762288" w14:textId="77777777" w:rsidR="00CB17AD" w:rsidRPr="00E84DE0" w:rsidRDefault="00CB17AD" w:rsidP="00CB17AD">
            <w:pPr>
              <w:pStyle w:val="TableBody"/>
            </w:pPr>
          </w:p>
        </w:tc>
        <w:tc>
          <w:tcPr>
            <w:tcW w:w="1417" w:type="dxa"/>
          </w:tcPr>
          <w:p w14:paraId="1917A1E9" w14:textId="77777777" w:rsidR="00CB17AD" w:rsidRPr="00E84DE0" w:rsidRDefault="00CB17AD" w:rsidP="00CB17AD">
            <w:pPr>
              <w:pStyle w:val="TableBody"/>
            </w:pPr>
            <w:r w:rsidRPr="003D7609">
              <w:t>1.50</w:t>
            </w:r>
          </w:p>
        </w:tc>
        <w:tc>
          <w:tcPr>
            <w:tcW w:w="283" w:type="dxa"/>
          </w:tcPr>
          <w:p w14:paraId="3AAB2DB4" w14:textId="77777777" w:rsidR="00CB17AD" w:rsidRPr="00E84DE0" w:rsidRDefault="00CB17AD" w:rsidP="00CB17AD">
            <w:pPr>
              <w:pStyle w:val="TableBody"/>
            </w:pPr>
          </w:p>
        </w:tc>
        <w:tc>
          <w:tcPr>
            <w:tcW w:w="1417" w:type="dxa"/>
          </w:tcPr>
          <w:p w14:paraId="540525DC" w14:textId="77777777" w:rsidR="00CB17AD" w:rsidRPr="00E84DE0" w:rsidRDefault="00CB17AD" w:rsidP="00CB17AD">
            <w:pPr>
              <w:pStyle w:val="TableBody"/>
            </w:pPr>
            <w:r w:rsidRPr="003D7609">
              <w:t>0.97 to 2.31</w:t>
            </w:r>
          </w:p>
        </w:tc>
      </w:tr>
      <w:tr w:rsidR="00CB17AD" w:rsidRPr="00CC1571" w14:paraId="14B6113A" w14:textId="77777777" w:rsidTr="00CB17AD">
        <w:trPr>
          <w:jc w:val="center"/>
        </w:trPr>
        <w:tc>
          <w:tcPr>
            <w:tcW w:w="2835" w:type="dxa"/>
          </w:tcPr>
          <w:p w14:paraId="292FAD7E" w14:textId="77777777" w:rsidR="00CB17AD" w:rsidRPr="00E84DE0" w:rsidRDefault="00CB17AD" w:rsidP="00CB17AD">
            <w:pPr>
              <w:pStyle w:val="TableRowIndent"/>
            </w:pPr>
            <w:r>
              <w:t xml:space="preserve">   </w:t>
            </w:r>
            <w:r w:rsidRPr="00E84DE0">
              <w:t xml:space="preserve">Persistent </w:t>
            </w:r>
          </w:p>
        </w:tc>
        <w:tc>
          <w:tcPr>
            <w:tcW w:w="283" w:type="dxa"/>
          </w:tcPr>
          <w:p w14:paraId="251F8F85" w14:textId="77777777" w:rsidR="00CB17AD" w:rsidRPr="00E84DE0" w:rsidRDefault="00CB17AD" w:rsidP="00CB17AD">
            <w:pPr>
              <w:pStyle w:val="TableBody"/>
            </w:pPr>
          </w:p>
        </w:tc>
        <w:tc>
          <w:tcPr>
            <w:tcW w:w="1417" w:type="dxa"/>
          </w:tcPr>
          <w:p w14:paraId="46D1A580" w14:textId="77777777" w:rsidR="00CB17AD" w:rsidRPr="00E84DE0" w:rsidRDefault="00CB17AD" w:rsidP="00CB17AD">
            <w:pPr>
              <w:pStyle w:val="TableBody"/>
            </w:pPr>
            <w:r w:rsidRPr="003D7609">
              <w:t xml:space="preserve">69.3 </w:t>
            </w:r>
          </w:p>
        </w:tc>
        <w:tc>
          <w:tcPr>
            <w:tcW w:w="283" w:type="dxa"/>
          </w:tcPr>
          <w:p w14:paraId="73C70493" w14:textId="77777777" w:rsidR="00CB17AD" w:rsidRPr="00E84DE0" w:rsidRDefault="00CB17AD" w:rsidP="00CB17AD">
            <w:pPr>
              <w:pStyle w:val="TableBody"/>
            </w:pPr>
          </w:p>
        </w:tc>
        <w:tc>
          <w:tcPr>
            <w:tcW w:w="1417" w:type="dxa"/>
          </w:tcPr>
          <w:p w14:paraId="35077CE1" w14:textId="77777777" w:rsidR="00CB17AD" w:rsidRPr="00E84DE0" w:rsidRDefault="00CB17AD" w:rsidP="00CB17AD">
            <w:pPr>
              <w:pStyle w:val="TableBody"/>
            </w:pPr>
            <w:r w:rsidRPr="003D7609">
              <w:t>1.28</w:t>
            </w:r>
          </w:p>
        </w:tc>
        <w:tc>
          <w:tcPr>
            <w:tcW w:w="283" w:type="dxa"/>
          </w:tcPr>
          <w:p w14:paraId="7B4E98C7" w14:textId="77777777" w:rsidR="00CB17AD" w:rsidRPr="00E84DE0" w:rsidRDefault="00CB17AD" w:rsidP="00CB17AD">
            <w:pPr>
              <w:pStyle w:val="TableBody"/>
            </w:pPr>
          </w:p>
        </w:tc>
        <w:tc>
          <w:tcPr>
            <w:tcW w:w="1417" w:type="dxa"/>
          </w:tcPr>
          <w:p w14:paraId="114810B8" w14:textId="77777777" w:rsidR="00CB17AD" w:rsidRPr="00E84DE0" w:rsidRDefault="00CB17AD" w:rsidP="00CB17AD">
            <w:pPr>
              <w:pStyle w:val="TableBody"/>
            </w:pPr>
            <w:r w:rsidRPr="003D7609">
              <w:t>0.80 to 2.06</w:t>
            </w:r>
          </w:p>
        </w:tc>
      </w:tr>
      <w:tr w:rsidR="00CB17AD" w:rsidRPr="00CC1571" w14:paraId="4F38F3BE" w14:textId="77777777" w:rsidTr="000D4819">
        <w:trPr>
          <w:jc w:val="center"/>
        </w:trPr>
        <w:tc>
          <w:tcPr>
            <w:tcW w:w="2835" w:type="dxa"/>
            <w:shd w:val="clear" w:color="auto" w:fill="D9E2F3" w:themeFill="accent1" w:themeFillTint="33"/>
          </w:tcPr>
          <w:p w14:paraId="27BFA242" w14:textId="77777777" w:rsidR="00CB17AD" w:rsidRPr="00E84DE0" w:rsidRDefault="00CB17AD" w:rsidP="00CB17AD">
            <w:pPr>
              <w:pStyle w:val="TableHeader2"/>
            </w:pPr>
            <w:r w:rsidRPr="00E84DE0">
              <w:t>Peer bullying</w:t>
            </w:r>
          </w:p>
        </w:tc>
        <w:tc>
          <w:tcPr>
            <w:tcW w:w="283" w:type="dxa"/>
            <w:shd w:val="clear" w:color="auto" w:fill="D9E2F3" w:themeFill="accent1" w:themeFillTint="33"/>
          </w:tcPr>
          <w:p w14:paraId="7DC07CB0" w14:textId="77777777" w:rsidR="00CB17AD" w:rsidRPr="00E84DE0" w:rsidRDefault="00CB17AD" w:rsidP="00CB17AD">
            <w:pPr>
              <w:pStyle w:val="TableHeader2"/>
            </w:pPr>
          </w:p>
        </w:tc>
        <w:tc>
          <w:tcPr>
            <w:tcW w:w="1417" w:type="dxa"/>
            <w:shd w:val="clear" w:color="auto" w:fill="D9E2F3" w:themeFill="accent1" w:themeFillTint="33"/>
          </w:tcPr>
          <w:p w14:paraId="5C7C6D6A" w14:textId="77777777" w:rsidR="00CB17AD" w:rsidRPr="00E84DE0" w:rsidRDefault="00CB17AD" w:rsidP="00CB17AD">
            <w:pPr>
              <w:pStyle w:val="TableBody"/>
            </w:pPr>
          </w:p>
        </w:tc>
        <w:tc>
          <w:tcPr>
            <w:tcW w:w="283" w:type="dxa"/>
            <w:shd w:val="clear" w:color="auto" w:fill="D9E2F3" w:themeFill="accent1" w:themeFillTint="33"/>
          </w:tcPr>
          <w:p w14:paraId="2C7E508E" w14:textId="77777777" w:rsidR="00CB17AD" w:rsidRPr="00E84DE0" w:rsidRDefault="00CB17AD" w:rsidP="00CB17AD">
            <w:pPr>
              <w:pStyle w:val="TableBody"/>
            </w:pPr>
          </w:p>
        </w:tc>
        <w:tc>
          <w:tcPr>
            <w:tcW w:w="1417" w:type="dxa"/>
            <w:shd w:val="clear" w:color="auto" w:fill="D9E2F3" w:themeFill="accent1" w:themeFillTint="33"/>
          </w:tcPr>
          <w:p w14:paraId="04E51149" w14:textId="77777777" w:rsidR="00CB17AD" w:rsidRPr="00E84DE0" w:rsidRDefault="00CB17AD" w:rsidP="00CB17AD">
            <w:pPr>
              <w:pStyle w:val="TableBody"/>
            </w:pPr>
          </w:p>
        </w:tc>
        <w:tc>
          <w:tcPr>
            <w:tcW w:w="283" w:type="dxa"/>
            <w:shd w:val="clear" w:color="auto" w:fill="D9E2F3" w:themeFill="accent1" w:themeFillTint="33"/>
          </w:tcPr>
          <w:p w14:paraId="62D4CBC0" w14:textId="77777777" w:rsidR="00CB17AD" w:rsidRPr="00E84DE0" w:rsidRDefault="00CB17AD" w:rsidP="00CB17AD">
            <w:pPr>
              <w:pStyle w:val="TableBody"/>
            </w:pPr>
          </w:p>
        </w:tc>
        <w:tc>
          <w:tcPr>
            <w:tcW w:w="1417" w:type="dxa"/>
            <w:shd w:val="clear" w:color="auto" w:fill="D9E2F3" w:themeFill="accent1" w:themeFillTint="33"/>
          </w:tcPr>
          <w:p w14:paraId="1899615D" w14:textId="77777777" w:rsidR="00CB17AD" w:rsidRPr="00E84DE0" w:rsidRDefault="00CB17AD" w:rsidP="00CB17AD">
            <w:pPr>
              <w:pStyle w:val="TableBody"/>
            </w:pPr>
          </w:p>
        </w:tc>
      </w:tr>
      <w:tr w:rsidR="00CB17AD" w:rsidRPr="00CC1571" w14:paraId="10AF99DF" w14:textId="77777777" w:rsidTr="00CB17AD">
        <w:trPr>
          <w:jc w:val="center"/>
        </w:trPr>
        <w:tc>
          <w:tcPr>
            <w:tcW w:w="2835" w:type="dxa"/>
          </w:tcPr>
          <w:p w14:paraId="56EB9A63" w14:textId="77777777" w:rsidR="00CB17AD" w:rsidRPr="00E84DE0" w:rsidRDefault="00CB17AD" w:rsidP="00CB17AD">
            <w:pPr>
              <w:pStyle w:val="TableRowIndent"/>
            </w:pPr>
            <w:r w:rsidRPr="00E84DE0">
              <w:t xml:space="preserve">   None</w:t>
            </w:r>
          </w:p>
        </w:tc>
        <w:tc>
          <w:tcPr>
            <w:tcW w:w="283" w:type="dxa"/>
          </w:tcPr>
          <w:p w14:paraId="278EA40E" w14:textId="77777777" w:rsidR="00CB17AD" w:rsidRPr="00E84DE0" w:rsidRDefault="00CB17AD" w:rsidP="00CB17AD">
            <w:pPr>
              <w:pStyle w:val="TableBody"/>
            </w:pPr>
          </w:p>
        </w:tc>
        <w:tc>
          <w:tcPr>
            <w:tcW w:w="1417" w:type="dxa"/>
          </w:tcPr>
          <w:p w14:paraId="263869A1" w14:textId="77777777" w:rsidR="00CB17AD" w:rsidRPr="00E84DE0" w:rsidRDefault="00CB17AD" w:rsidP="00CB17AD">
            <w:pPr>
              <w:pStyle w:val="TableBody"/>
            </w:pPr>
            <w:r w:rsidRPr="003D7609">
              <w:t>50.0</w:t>
            </w:r>
          </w:p>
        </w:tc>
        <w:tc>
          <w:tcPr>
            <w:tcW w:w="283" w:type="dxa"/>
          </w:tcPr>
          <w:p w14:paraId="5D391656" w14:textId="77777777" w:rsidR="00CB17AD" w:rsidRPr="00E84DE0" w:rsidRDefault="00CB17AD" w:rsidP="00CB17AD">
            <w:pPr>
              <w:pStyle w:val="TableBody"/>
            </w:pPr>
          </w:p>
        </w:tc>
        <w:tc>
          <w:tcPr>
            <w:tcW w:w="1417" w:type="dxa"/>
          </w:tcPr>
          <w:p w14:paraId="721ABAB4" w14:textId="77777777" w:rsidR="00CB17AD" w:rsidRPr="00E84DE0" w:rsidRDefault="00CB17AD" w:rsidP="00CB17AD">
            <w:pPr>
              <w:pStyle w:val="TableBody"/>
            </w:pPr>
            <w:r w:rsidRPr="003D7609">
              <w:t>Ref</w:t>
            </w:r>
          </w:p>
        </w:tc>
        <w:tc>
          <w:tcPr>
            <w:tcW w:w="283" w:type="dxa"/>
          </w:tcPr>
          <w:p w14:paraId="067986F4" w14:textId="77777777" w:rsidR="00CB17AD" w:rsidRPr="00E84DE0" w:rsidRDefault="00CB17AD" w:rsidP="00CB17AD">
            <w:pPr>
              <w:pStyle w:val="TableBody"/>
            </w:pPr>
          </w:p>
        </w:tc>
        <w:tc>
          <w:tcPr>
            <w:tcW w:w="1417" w:type="dxa"/>
          </w:tcPr>
          <w:p w14:paraId="7F3ADFFB" w14:textId="77777777" w:rsidR="00CB17AD" w:rsidRPr="00E84DE0" w:rsidRDefault="00CB17AD" w:rsidP="00CB17AD">
            <w:pPr>
              <w:pStyle w:val="TableBody"/>
            </w:pPr>
          </w:p>
        </w:tc>
      </w:tr>
      <w:tr w:rsidR="00CB17AD" w:rsidRPr="00CC1571" w14:paraId="13AB1247" w14:textId="77777777" w:rsidTr="00CB17AD">
        <w:trPr>
          <w:jc w:val="center"/>
        </w:trPr>
        <w:tc>
          <w:tcPr>
            <w:tcW w:w="2835" w:type="dxa"/>
          </w:tcPr>
          <w:p w14:paraId="3BAEB2E3" w14:textId="77777777" w:rsidR="00CB17AD" w:rsidRPr="00E84DE0" w:rsidRDefault="00CB17AD" w:rsidP="00CB17AD">
            <w:pPr>
              <w:pStyle w:val="TableRowIndent"/>
            </w:pPr>
            <w:r w:rsidRPr="00E84DE0">
              <w:t xml:space="preserve">   Single episode</w:t>
            </w:r>
          </w:p>
        </w:tc>
        <w:tc>
          <w:tcPr>
            <w:tcW w:w="283" w:type="dxa"/>
          </w:tcPr>
          <w:p w14:paraId="3811951E" w14:textId="77777777" w:rsidR="00CB17AD" w:rsidRPr="00E84DE0" w:rsidRDefault="00CB17AD" w:rsidP="00CB17AD">
            <w:pPr>
              <w:pStyle w:val="TableBody"/>
            </w:pPr>
          </w:p>
        </w:tc>
        <w:tc>
          <w:tcPr>
            <w:tcW w:w="1417" w:type="dxa"/>
          </w:tcPr>
          <w:p w14:paraId="159273E5" w14:textId="77777777" w:rsidR="00CB17AD" w:rsidRPr="00E84DE0" w:rsidRDefault="00CB17AD" w:rsidP="00CB17AD">
            <w:pPr>
              <w:pStyle w:val="TableBody"/>
            </w:pPr>
            <w:r w:rsidRPr="003D7609">
              <w:t>29.5</w:t>
            </w:r>
          </w:p>
        </w:tc>
        <w:tc>
          <w:tcPr>
            <w:tcW w:w="283" w:type="dxa"/>
          </w:tcPr>
          <w:p w14:paraId="2E74E36C" w14:textId="77777777" w:rsidR="00CB17AD" w:rsidRPr="00E84DE0" w:rsidRDefault="00CB17AD" w:rsidP="00CB17AD">
            <w:pPr>
              <w:pStyle w:val="TableBody"/>
            </w:pPr>
          </w:p>
        </w:tc>
        <w:tc>
          <w:tcPr>
            <w:tcW w:w="1417" w:type="dxa"/>
          </w:tcPr>
          <w:p w14:paraId="554567CC" w14:textId="77777777" w:rsidR="00CB17AD" w:rsidRPr="00E84DE0" w:rsidRDefault="00CB17AD" w:rsidP="00CB17AD">
            <w:pPr>
              <w:pStyle w:val="TableBody"/>
            </w:pPr>
            <w:r w:rsidRPr="003D7609">
              <w:t>1.15</w:t>
            </w:r>
          </w:p>
        </w:tc>
        <w:tc>
          <w:tcPr>
            <w:tcW w:w="283" w:type="dxa"/>
          </w:tcPr>
          <w:p w14:paraId="62ABD479" w14:textId="77777777" w:rsidR="00CB17AD" w:rsidRPr="00E84DE0" w:rsidRDefault="00CB17AD" w:rsidP="00CB17AD">
            <w:pPr>
              <w:pStyle w:val="TableBody"/>
            </w:pPr>
          </w:p>
        </w:tc>
        <w:tc>
          <w:tcPr>
            <w:tcW w:w="1417" w:type="dxa"/>
          </w:tcPr>
          <w:p w14:paraId="75031E37" w14:textId="77777777" w:rsidR="00CB17AD" w:rsidRPr="00E84DE0" w:rsidRDefault="00CB17AD" w:rsidP="00CB17AD">
            <w:pPr>
              <w:pStyle w:val="TableBody"/>
            </w:pPr>
            <w:r w:rsidRPr="003D7609">
              <w:t>0.76 to 1.74</w:t>
            </w:r>
          </w:p>
        </w:tc>
      </w:tr>
      <w:tr w:rsidR="00CB17AD" w:rsidRPr="00CC1571" w14:paraId="39D0A461" w14:textId="77777777" w:rsidTr="00CB17AD">
        <w:trPr>
          <w:jc w:val="center"/>
        </w:trPr>
        <w:tc>
          <w:tcPr>
            <w:tcW w:w="2835" w:type="dxa"/>
          </w:tcPr>
          <w:p w14:paraId="24E8EFA8" w14:textId="77777777" w:rsidR="00CB17AD" w:rsidRPr="00E84DE0" w:rsidRDefault="00CB17AD" w:rsidP="00CB17AD">
            <w:pPr>
              <w:pStyle w:val="TableRowIndent"/>
            </w:pPr>
            <w:r w:rsidRPr="00E84DE0">
              <w:t xml:space="preserve">   Persistent </w:t>
            </w:r>
          </w:p>
        </w:tc>
        <w:tc>
          <w:tcPr>
            <w:tcW w:w="283" w:type="dxa"/>
          </w:tcPr>
          <w:p w14:paraId="173ECCE9" w14:textId="77777777" w:rsidR="00CB17AD" w:rsidRPr="00E84DE0" w:rsidRDefault="00CB17AD" w:rsidP="00CB17AD">
            <w:pPr>
              <w:pStyle w:val="TableBody"/>
            </w:pPr>
          </w:p>
        </w:tc>
        <w:tc>
          <w:tcPr>
            <w:tcW w:w="1417" w:type="dxa"/>
          </w:tcPr>
          <w:p w14:paraId="5F47C80E" w14:textId="77777777" w:rsidR="00CB17AD" w:rsidRPr="00E84DE0" w:rsidRDefault="00CB17AD" w:rsidP="00CB17AD">
            <w:pPr>
              <w:pStyle w:val="TableBody"/>
            </w:pPr>
            <w:r w:rsidRPr="003D7609">
              <w:t>20.5</w:t>
            </w:r>
          </w:p>
        </w:tc>
        <w:tc>
          <w:tcPr>
            <w:tcW w:w="283" w:type="dxa"/>
          </w:tcPr>
          <w:p w14:paraId="5FD2B0E1" w14:textId="77777777" w:rsidR="00CB17AD" w:rsidRPr="00E84DE0" w:rsidRDefault="00CB17AD" w:rsidP="00CB17AD">
            <w:pPr>
              <w:pStyle w:val="TableBody"/>
            </w:pPr>
          </w:p>
        </w:tc>
        <w:tc>
          <w:tcPr>
            <w:tcW w:w="1417" w:type="dxa"/>
          </w:tcPr>
          <w:p w14:paraId="30D881E1" w14:textId="77777777" w:rsidR="00CB17AD" w:rsidRPr="00E84DE0" w:rsidRDefault="00CB17AD" w:rsidP="00CB17AD">
            <w:pPr>
              <w:pStyle w:val="TableBody"/>
            </w:pPr>
            <w:r w:rsidRPr="003D7609">
              <w:t>1.60</w:t>
            </w:r>
          </w:p>
        </w:tc>
        <w:tc>
          <w:tcPr>
            <w:tcW w:w="283" w:type="dxa"/>
          </w:tcPr>
          <w:p w14:paraId="7CFB5BEB" w14:textId="77777777" w:rsidR="00CB17AD" w:rsidRPr="00E84DE0" w:rsidRDefault="00CB17AD" w:rsidP="00CB17AD">
            <w:pPr>
              <w:pStyle w:val="TableBody"/>
            </w:pPr>
          </w:p>
        </w:tc>
        <w:tc>
          <w:tcPr>
            <w:tcW w:w="1417" w:type="dxa"/>
          </w:tcPr>
          <w:p w14:paraId="520235A4" w14:textId="77777777" w:rsidR="00CB17AD" w:rsidRPr="00E84DE0" w:rsidRDefault="00CB17AD" w:rsidP="00CB17AD">
            <w:pPr>
              <w:pStyle w:val="TableBody"/>
            </w:pPr>
            <w:r w:rsidRPr="003D7609">
              <w:t>1.07 to 2.39</w:t>
            </w:r>
          </w:p>
        </w:tc>
      </w:tr>
    </w:tbl>
    <w:p w14:paraId="143EE1E0" w14:textId="77777777" w:rsidR="00CB17AD" w:rsidRPr="00747E3F" w:rsidRDefault="00CB17AD" w:rsidP="00CB17AD">
      <w:pPr>
        <w:pStyle w:val="Belowtablecaption"/>
        <w:ind w:left="567" w:right="515"/>
      </w:pPr>
      <w:r>
        <w:rPr>
          <w:vertAlign w:val="superscript"/>
        </w:rPr>
        <w:t>*</w:t>
      </w:r>
      <w:r>
        <w:t>A</w:t>
      </w:r>
      <w:r w:rsidRPr="00143E04">
        <w:t>djusted for child gender, child age (at</w:t>
      </w:r>
      <w:r>
        <w:t xml:space="preserve"> school entry), and child SEIFA </w:t>
      </w:r>
      <w:r w:rsidRPr="00143E04">
        <w:t xml:space="preserve">advantage/disadvantage quintile (at Year </w:t>
      </w:r>
      <w:r>
        <w:t>3).</w:t>
      </w:r>
    </w:p>
    <w:p w14:paraId="4B6C1089" w14:textId="55D76CB2" w:rsidR="00CB17AD" w:rsidRDefault="00CB17AD" w:rsidP="00CB17AD">
      <w:pPr>
        <w:pStyle w:val="Belowtablecaption"/>
        <w:ind w:left="567" w:right="515"/>
      </w:pPr>
      <w:proofErr w:type="spellStart"/>
      <w:r w:rsidRPr="00E84DE0">
        <w:rPr>
          <w:vertAlign w:val="superscript"/>
        </w:rPr>
        <w:t>a</w:t>
      </w:r>
      <w:proofErr w:type="spellEnd"/>
      <w:r>
        <w:rPr>
          <w:vertAlign w:val="superscript"/>
        </w:rPr>
        <w:t xml:space="preserve"> </w:t>
      </w:r>
      <w:r>
        <w:t>T</w:t>
      </w:r>
      <w:r w:rsidRPr="003D6723">
        <w:t xml:space="preserve">his estimate is an </w:t>
      </w:r>
      <w:r w:rsidR="004F2E7B">
        <w:t>odds ratio</w:t>
      </w:r>
      <w:r w:rsidRPr="003D6723">
        <w:t xml:space="preserve"> not a </w:t>
      </w:r>
      <w:r w:rsidR="004F2E7B">
        <w:t>risk ratio</w:t>
      </w:r>
      <w:r w:rsidRPr="003D6723">
        <w:t xml:space="preserve"> since it was calculated from a logistic regression model, rather than a multinomial logistic regression model.</w:t>
      </w:r>
    </w:p>
    <w:p w14:paraId="0BC34086" w14:textId="77777777" w:rsidR="00CB17AD" w:rsidRPr="006A36B8" w:rsidRDefault="00CB17AD" w:rsidP="00CB17AD">
      <w:pPr>
        <w:pStyle w:val="Belowtablecaption"/>
        <w:rPr>
          <w:sz w:val="20"/>
          <w:vertAlign w:val="superscript"/>
        </w:rPr>
      </w:pPr>
    </w:p>
    <w:p w14:paraId="5C8F059B" w14:textId="5F3652E2" w:rsidR="00CB17AD" w:rsidRDefault="0043740D" w:rsidP="006A36B8">
      <w:pPr>
        <w:spacing w:after="0"/>
      </w:pPr>
      <w:r>
        <w:fldChar w:fldCharType="begin"/>
      </w:r>
      <w:r>
        <w:instrText xml:space="preserve"> REF _Ref501100737 \h </w:instrText>
      </w:r>
      <w:r>
        <w:fldChar w:fldCharType="separate"/>
      </w:r>
      <w:r w:rsidR="004C27B3">
        <w:t xml:space="preserve">Table </w:t>
      </w:r>
      <w:r w:rsidR="004C27B3">
        <w:rPr>
          <w:noProof/>
        </w:rPr>
        <w:t>10</w:t>
      </w:r>
      <w:r>
        <w:fldChar w:fldCharType="end"/>
      </w:r>
      <w:r>
        <w:t xml:space="preserve"> </w:t>
      </w:r>
      <w:r w:rsidR="00CB17AD">
        <w:t>confirms that DV students are at increased risk of experiencing emotional problems in the middle years compared to not-DV student</w:t>
      </w:r>
      <w:r w:rsidR="00CB17AD" w:rsidRPr="008A3877">
        <w:t xml:space="preserve">s. Students with DV were 1.73 times </w:t>
      </w:r>
      <w:r w:rsidR="004F2E7B" w:rsidRPr="008A3877">
        <w:t>as likely as</w:t>
      </w:r>
      <w:r w:rsidR="00CB17AD" w:rsidRPr="008A3877">
        <w:t xml:space="preserve"> not-DV students to have had a single episode and 2.42 times as likely to have experienced persistent emotional problems. Similar effects were noted for behaviour problems and poor subjective wellbeing. The odds of disengagement for students with DV were 1.85 times higher than for not-DV students.</w:t>
      </w:r>
      <w:r w:rsidR="00CB17AD">
        <w:t xml:space="preserve"> Examination of the peer relationship indicators shows that DV status was not associated with peer support and single episodes of bullying but the risk for persistent bullying was 1.60 times higher for the DV group. </w:t>
      </w:r>
    </w:p>
    <w:p w14:paraId="4DA0D0D9" w14:textId="77777777" w:rsidR="006A36B8" w:rsidRDefault="006A36B8" w:rsidP="006A36B8">
      <w:pPr>
        <w:spacing w:after="0"/>
      </w:pPr>
    </w:p>
    <w:p w14:paraId="75D6FC99" w14:textId="12DEFA46" w:rsidR="00CB17AD" w:rsidRDefault="00CB17AD" w:rsidP="005265DE">
      <w:pPr>
        <w:spacing w:after="0"/>
        <w:rPr>
          <w:rFonts w:eastAsia="TimesNewRoman" w:cs="Times New Roman"/>
        </w:rPr>
      </w:pPr>
      <w:r>
        <w:t xml:space="preserve">Next, we ran a series of logistic regression models predicting non-attainment of the Year 7 learning </w:t>
      </w:r>
      <w:r w:rsidR="0095595F">
        <w:t>threshold</w:t>
      </w:r>
      <w:r>
        <w:t xml:space="preserve"> (described in Chapter 1). In the first step, DV1 was regressed on the learning outcome along with the covariates age, gender and SES to determine the relative likelihood of failing to attain the </w:t>
      </w:r>
      <w:r w:rsidR="0095595F">
        <w:t>threshold</w:t>
      </w:r>
      <w:r>
        <w:t xml:space="preserve"> for the D</w:t>
      </w:r>
      <w:r w:rsidR="00821162">
        <w:t>V versus the not-DV groups. In S</w:t>
      </w:r>
      <w:r>
        <w:t xml:space="preserve">tep 2 the middle years indicators (separately) were regressed on the learning outcome along with the same covariates in order to show the change in likelihood associated with single episode and persistent problems.  Finally, in </w:t>
      </w:r>
      <w:r w:rsidR="00821162">
        <w:t>S</w:t>
      </w:r>
      <w:r>
        <w:t xml:space="preserve">tep 3, both DV and the middle </w:t>
      </w:r>
      <w:proofErr w:type="gramStart"/>
      <w:r>
        <w:t>years</w:t>
      </w:r>
      <w:proofErr w:type="gramEnd"/>
      <w:r>
        <w:t xml:space="preserve"> indicators were included in the regression model, along with the covariates to show the associations between DV1 and learning outcomes and middle years indicators and learning outcome in the presence of each other. The series of models were run for numeracy and reading learning outcomes separately. </w:t>
      </w:r>
      <w:r w:rsidRPr="00617121">
        <w:rPr>
          <w:rFonts w:eastAsia="TimesNewRoman" w:cs="Times New Roman"/>
        </w:rPr>
        <w:t xml:space="preserve">Missing data were </w:t>
      </w:r>
      <w:r w:rsidRPr="00617121">
        <w:rPr>
          <w:rFonts w:cs="Times New Roman"/>
        </w:rPr>
        <w:t xml:space="preserve">handled using multiple imputation; a total of </w:t>
      </w:r>
      <w:r>
        <w:rPr>
          <w:rFonts w:cs="Times New Roman"/>
        </w:rPr>
        <w:t>20</w:t>
      </w:r>
      <w:r w:rsidRPr="00617121">
        <w:rPr>
          <w:rFonts w:cs="Times New Roman"/>
        </w:rPr>
        <w:t xml:space="preserve"> complete data sets were imputed </w:t>
      </w:r>
      <w:r w:rsidRPr="00617121">
        <w:rPr>
          <w:rFonts w:eastAsia="TimesNewRoman" w:cs="Times New Roman"/>
        </w:rPr>
        <w:t xml:space="preserve">(refer to Appendix </w:t>
      </w:r>
      <w:r>
        <w:rPr>
          <w:rFonts w:eastAsia="TimesNewRoman" w:cs="Times New Roman"/>
        </w:rPr>
        <w:t>2</w:t>
      </w:r>
      <w:r w:rsidRPr="00617121">
        <w:rPr>
          <w:rFonts w:eastAsia="TimesNewRoman" w:cs="Times New Roman"/>
        </w:rPr>
        <w:t xml:space="preserve"> for a summary of missing data</w:t>
      </w:r>
      <w:r>
        <w:rPr>
          <w:rFonts w:eastAsia="TimesNewRoman" w:cs="Times New Roman"/>
        </w:rPr>
        <w:t xml:space="preserve"> and</w:t>
      </w:r>
      <w:r w:rsidRPr="00617121">
        <w:rPr>
          <w:rFonts w:eastAsia="TimesNewRoman" w:cs="Times New Roman"/>
        </w:rPr>
        <w:t xml:space="preserve"> details of the multiple imputation procedure).</w:t>
      </w:r>
    </w:p>
    <w:p w14:paraId="44E4DA43" w14:textId="77777777" w:rsidR="00BF5A98" w:rsidRDefault="00BF5A98" w:rsidP="005265DE">
      <w:pPr>
        <w:spacing w:after="0"/>
        <w:rPr>
          <w:rFonts w:eastAsia="TimesNewRoman" w:cs="Times New Roman"/>
        </w:rPr>
      </w:pPr>
    </w:p>
    <w:p w14:paraId="3EF2CEE1" w14:textId="0F340468" w:rsidR="00CB17AD" w:rsidRDefault="00CB17AD" w:rsidP="00CB17AD">
      <w:pPr>
        <w:pStyle w:val="Caption"/>
      </w:pPr>
      <w:bookmarkStart w:id="109" w:name="_Ref501100796"/>
      <w:bookmarkStart w:id="110" w:name="_Toc503780751"/>
      <w:r>
        <w:t xml:space="preserve">Table </w:t>
      </w:r>
      <w:r>
        <w:fldChar w:fldCharType="begin"/>
      </w:r>
      <w:r>
        <w:instrText xml:space="preserve"> SEQ Table \* ARABIC </w:instrText>
      </w:r>
      <w:r>
        <w:fldChar w:fldCharType="separate"/>
      </w:r>
      <w:r w:rsidR="004C27B3">
        <w:rPr>
          <w:noProof/>
        </w:rPr>
        <w:t>11</w:t>
      </w:r>
      <w:r>
        <w:fldChar w:fldCharType="end"/>
      </w:r>
      <w:bookmarkEnd w:id="109"/>
      <w:r>
        <w:t xml:space="preserve">. </w:t>
      </w:r>
      <w:r w:rsidRPr="00481A8D">
        <w:t xml:space="preserve">Results of separate logistic regression models predicting non-attainment of the Year 7 numeracy </w:t>
      </w:r>
      <w:r w:rsidR="0095595F">
        <w:t>threshold</w:t>
      </w:r>
      <w:r w:rsidR="00821162">
        <w:t xml:space="preserve"> with predictors: DV (S</w:t>
      </w:r>
      <w:r w:rsidRPr="00481A8D">
        <w:t>t</w:t>
      </w:r>
      <w:r w:rsidR="00821162">
        <w:t>ep 1), middle years indicator (S</w:t>
      </w:r>
      <w:r w:rsidRPr="00481A8D">
        <w:t>tep 2), and DV and mi</w:t>
      </w:r>
      <w:r w:rsidR="00821162">
        <w:t>ddle years indicator together (S</w:t>
      </w:r>
      <w:r w:rsidRPr="00481A8D">
        <w:t>tep 3)</w:t>
      </w:r>
      <w:r>
        <w:t>.</w:t>
      </w:r>
      <w:bookmarkEnd w:id="110"/>
    </w:p>
    <w:p w14:paraId="6F5C5F53" w14:textId="623EE849" w:rsidR="00CB17AD" w:rsidRPr="006A36B8" w:rsidRDefault="00CB17AD" w:rsidP="005265DE">
      <w:pPr>
        <w:pStyle w:val="ListParagraph"/>
        <w:numPr>
          <w:ilvl w:val="0"/>
          <w:numId w:val="12"/>
        </w:numPr>
        <w:spacing w:before="120" w:after="120"/>
        <w:ind w:left="714" w:hanging="357"/>
      </w:pPr>
      <w:r w:rsidRPr="006A36B8">
        <w:t xml:space="preserve">Middle years indicator </w:t>
      </w:r>
      <w:r w:rsidR="009C423A" w:rsidRPr="006A36B8">
        <w:t>-</w:t>
      </w:r>
      <w:r w:rsidR="00BB0D05" w:rsidRPr="006A36B8">
        <w:t xml:space="preserve"> s</w:t>
      </w:r>
      <w:r w:rsidRPr="006A36B8">
        <w:t>chool disengagement</w:t>
      </w:r>
    </w:p>
    <w:tbl>
      <w:tblPr>
        <w:tblStyle w:val="TableGrid"/>
        <w:tblW w:w="8221" w:type="dxa"/>
        <w:jc w:val="center"/>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a) Middle years indicator - school disengagement"/>
      </w:tblPr>
      <w:tblGrid>
        <w:gridCol w:w="3118"/>
        <w:gridCol w:w="1701"/>
        <w:gridCol w:w="1701"/>
        <w:gridCol w:w="1701"/>
      </w:tblGrid>
      <w:tr w:rsidR="00CB17AD" w:rsidRPr="00297783" w14:paraId="0CD8635D" w14:textId="77777777" w:rsidTr="00CB17AD">
        <w:trPr>
          <w:jc w:val="center"/>
        </w:trPr>
        <w:tc>
          <w:tcPr>
            <w:tcW w:w="3118" w:type="dxa"/>
            <w:tcBorders>
              <w:bottom w:val="nil"/>
              <w:right w:val="nil"/>
            </w:tcBorders>
            <w:shd w:val="clear" w:color="auto" w:fill="0070C0"/>
          </w:tcPr>
          <w:p w14:paraId="350854AE" w14:textId="77777777" w:rsidR="00CB17AD" w:rsidRPr="00297783" w:rsidRDefault="00CB17AD" w:rsidP="00CB17AD">
            <w:pPr>
              <w:pStyle w:val="TableHeader1"/>
            </w:pPr>
          </w:p>
        </w:tc>
        <w:tc>
          <w:tcPr>
            <w:tcW w:w="1701" w:type="dxa"/>
            <w:tcBorders>
              <w:left w:val="nil"/>
              <w:bottom w:val="nil"/>
              <w:right w:val="nil"/>
            </w:tcBorders>
            <w:shd w:val="clear" w:color="auto" w:fill="0070C0"/>
          </w:tcPr>
          <w:p w14:paraId="1BA5691C" w14:textId="77777777" w:rsidR="00CB17AD" w:rsidRPr="00297783" w:rsidRDefault="00CB17AD" w:rsidP="00CB17AD">
            <w:pPr>
              <w:pStyle w:val="TableHeader1"/>
            </w:pPr>
            <w:r w:rsidRPr="00297783">
              <w:t>Step 1</w:t>
            </w:r>
          </w:p>
        </w:tc>
        <w:tc>
          <w:tcPr>
            <w:tcW w:w="1701" w:type="dxa"/>
            <w:tcBorders>
              <w:left w:val="nil"/>
              <w:bottom w:val="nil"/>
              <w:right w:val="nil"/>
            </w:tcBorders>
            <w:shd w:val="clear" w:color="auto" w:fill="0070C0"/>
          </w:tcPr>
          <w:p w14:paraId="33BE1F1B" w14:textId="77777777" w:rsidR="00CB17AD" w:rsidRPr="00297783" w:rsidRDefault="00CB17AD" w:rsidP="00CB17AD">
            <w:pPr>
              <w:pStyle w:val="TableHeader1"/>
            </w:pPr>
            <w:r w:rsidRPr="00297783">
              <w:t>Step 2</w:t>
            </w:r>
          </w:p>
        </w:tc>
        <w:tc>
          <w:tcPr>
            <w:tcW w:w="1701" w:type="dxa"/>
            <w:tcBorders>
              <w:left w:val="nil"/>
              <w:bottom w:val="nil"/>
            </w:tcBorders>
            <w:shd w:val="clear" w:color="auto" w:fill="0070C0"/>
          </w:tcPr>
          <w:p w14:paraId="1FBC10AC" w14:textId="77777777" w:rsidR="00CB17AD" w:rsidRPr="00297783" w:rsidRDefault="00CB17AD" w:rsidP="00CB17AD">
            <w:pPr>
              <w:pStyle w:val="TableHeader1"/>
            </w:pPr>
            <w:r w:rsidRPr="00297783">
              <w:t>Step 3</w:t>
            </w:r>
          </w:p>
        </w:tc>
      </w:tr>
      <w:tr w:rsidR="00CB17AD" w:rsidRPr="00297783" w14:paraId="3287AF2E" w14:textId="77777777" w:rsidTr="00417EDC">
        <w:trPr>
          <w:jc w:val="center"/>
        </w:trPr>
        <w:tc>
          <w:tcPr>
            <w:tcW w:w="3118" w:type="dxa"/>
            <w:tcBorders>
              <w:top w:val="nil"/>
              <w:left w:val="single" w:sz="4" w:space="0" w:color="auto"/>
              <w:bottom w:val="nil"/>
              <w:right w:val="nil"/>
            </w:tcBorders>
            <w:shd w:val="clear" w:color="auto" w:fill="D9E2F3" w:themeFill="accent1" w:themeFillTint="33"/>
          </w:tcPr>
          <w:p w14:paraId="6468A832" w14:textId="77777777" w:rsidR="00CB17AD" w:rsidRPr="00297783" w:rsidRDefault="00CB17AD" w:rsidP="00CB17AD">
            <w:pPr>
              <w:pStyle w:val="TableRowIndent"/>
            </w:pPr>
            <w:r w:rsidRPr="00297783">
              <w:t>Developmental</w:t>
            </w:r>
            <w:r>
              <w:t>ly</w:t>
            </w:r>
            <w:r w:rsidRPr="00297783">
              <w:t xml:space="preserve"> vulnerab</w:t>
            </w:r>
            <w:r>
              <w:t>le</w:t>
            </w:r>
          </w:p>
        </w:tc>
        <w:tc>
          <w:tcPr>
            <w:tcW w:w="1701" w:type="dxa"/>
            <w:tcBorders>
              <w:top w:val="nil"/>
              <w:left w:val="nil"/>
              <w:bottom w:val="nil"/>
              <w:right w:val="nil"/>
            </w:tcBorders>
            <w:shd w:val="clear" w:color="auto" w:fill="D9E2F3" w:themeFill="accent1" w:themeFillTint="33"/>
          </w:tcPr>
          <w:p w14:paraId="1E0975F6" w14:textId="77777777" w:rsidR="00CB17AD" w:rsidRPr="00297783" w:rsidRDefault="00CB17AD" w:rsidP="00CB17AD">
            <w:pPr>
              <w:pStyle w:val="TableBody"/>
            </w:pPr>
          </w:p>
        </w:tc>
        <w:tc>
          <w:tcPr>
            <w:tcW w:w="1701" w:type="dxa"/>
            <w:tcBorders>
              <w:top w:val="nil"/>
              <w:left w:val="nil"/>
              <w:bottom w:val="nil"/>
              <w:right w:val="nil"/>
            </w:tcBorders>
            <w:shd w:val="clear" w:color="auto" w:fill="D9E2F3" w:themeFill="accent1" w:themeFillTint="33"/>
          </w:tcPr>
          <w:p w14:paraId="6BFF1224" w14:textId="77777777" w:rsidR="00CB17AD" w:rsidRPr="00297783" w:rsidRDefault="00CB17AD" w:rsidP="00CB17AD">
            <w:pPr>
              <w:pStyle w:val="TableBody"/>
            </w:pPr>
          </w:p>
        </w:tc>
        <w:tc>
          <w:tcPr>
            <w:tcW w:w="1701" w:type="dxa"/>
            <w:tcBorders>
              <w:top w:val="nil"/>
              <w:left w:val="nil"/>
              <w:bottom w:val="nil"/>
              <w:right w:val="single" w:sz="4" w:space="0" w:color="auto"/>
            </w:tcBorders>
            <w:shd w:val="clear" w:color="auto" w:fill="D9E2F3" w:themeFill="accent1" w:themeFillTint="33"/>
          </w:tcPr>
          <w:p w14:paraId="3367DCA0" w14:textId="77777777" w:rsidR="00CB17AD" w:rsidRPr="00297783" w:rsidRDefault="00CB17AD" w:rsidP="00CB17AD">
            <w:pPr>
              <w:pStyle w:val="TableBody"/>
            </w:pPr>
          </w:p>
        </w:tc>
      </w:tr>
      <w:tr w:rsidR="00CB17AD" w:rsidRPr="00297783" w14:paraId="2D6985A2" w14:textId="77777777" w:rsidTr="00CB17AD">
        <w:trPr>
          <w:jc w:val="center"/>
        </w:trPr>
        <w:tc>
          <w:tcPr>
            <w:tcW w:w="3118" w:type="dxa"/>
            <w:tcBorders>
              <w:top w:val="nil"/>
              <w:left w:val="single" w:sz="4" w:space="0" w:color="auto"/>
              <w:bottom w:val="nil"/>
              <w:right w:val="nil"/>
            </w:tcBorders>
          </w:tcPr>
          <w:p w14:paraId="1A585560" w14:textId="77777777" w:rsidR="00CB17AD" w:rsidRPr="00297783" w:rsidRDefault="00CB17AD" w:rsidP="00CB17AD">
            <w:pPr>
              <w:pStyle w:val="TableRowIndent"/>
            </w:pPr>
            <w:r w:rsidRPr="00297783">
              <w:t xml:space="preserve">   No</w:t>
            </w:r>
          </w:p>
        </w:tc>
        <w:tc>
          <w:tcPr>
            <w:tcW w:w="1701" w:type="dxa"/>
            <w:tcBorders>
              <w:top w:val="nil"/>
              <w:left w:val="nil"/>
              <w:bottom w:val="nil"/>
              <w:right w:val="nil"/>
            </w:tcBorders>
          </w:tcPr>
          <w:p w14:paraId="49CFF94C" w14:textId="77777777" w:rsidR="00CB17AD" w:rsidRPr="00297783" w:rsidRDefault="00CB17AD" w:rsidP="00CB17AD">
            <w:pPr>
              <w:pStyle w:val="TableBody"/>
            </w:pPr>
            <w:r w:rsidRPr="00297783">
              <w:t>1</w:t>
            </w:r>
          </w:p>
        </w:tc>
        <w:tc>
          <w:tcPr>
            <w:tcW w:w="1701" w:type="dxa"/>
            <w:tcBorders>
              <w:top w:val="nil"/>
              <w:left w:val="nil"/>
              <w:bottom w:val="nil"/>
              <w:right w:val="nil"/>
            </w:tcBorders>
          </w:tcPr>
          <w:p w14:paraId="4A9BC601" w14:textId="77777777" w:rsidR="00CB17AD" w:rsidRPr="00297783" w:rsidRDefault="00CB17AD" w:rsidP="00CB17AD">
            <w:pPr>
              <w:pStyle w:val="TableBody"/>
            </w:pPr>
          </w:p>
        </w:tc>
        <w:tc>
          <w:tcPr>
            <w:tcW w:w="1701" w:type="dxa"/>
            <w:tcBorders>
              <w:top w:val="nil"/>
              <w:left w:val="nil"/>
              <w:bottom w:val="nil"/>
              <w:right w:val="single" w:sz="4" w:space="0" w:color="auto"/>
            </w:tcBorders>
          </w:tcPr>
          <w:p w14:paraId="5507F5B2" w14:textId="77777777" w:rsidR="00CB17AD" w:rsidRPr="00297783" w:rsidRDefault="00CB17AD" w:rsidP="00CB17AD">
            <w:pPr>
              <w:pStyle w:val="TableBody"/>
            </w:pPr>
            <w:r w:rsidRPr="00297783">
              <w:t>1</w:t>
            </w:r>
          </w:p>
        </w:tc>
      </w:tr>
      <w:tr w:rsidR="00CB17AD" w:rsidRPr="00297783" w14:paraId="30429AC5" w14:textId="77777777" w:rsidTr="00CB17AD">
        <w:trPr>
          <w:jc w:val="center"/>
        </w:trPr>
        <w:tc>
          <w:tcPr>
            <w:tcW w:w="3118" w:type="dxa"/>
            <w:tcBorders>
              <w:top w:val="nil"/>
              <w:left w:val="single" w:sz="4" w:space="0" w:color="auto"/>
              <w:bottom w:val="nil"/>
              <w:right w:val="nil"/>
            </w:tcBorders>
          </w:tcPr>
          <w:p w14:paraId="443854C5" w14:textId="77777777" w:rsidR="00CB17AD" w:rsidRPr="00297783" w:rsidRDefault="00CB17AD" w:rsidP="00CB17AD">
            <w:pPr>
              <w:pStyle w:val="TableRowIndent"/>
            </w:pPr>
            <w:r w:rsidRPr="00297783">
              <w:t xml:space="preserve">   Yes</w:t>
            </w:r>
          </w:p>
        </w:tc>
        <w:tc>
          <w:tcPr>
            <w:tcW w:w="1701" w:type="dxa"/>
            <w:tcBorders>
              <w:top w:val="nil"/>
              <w:left w:val="nil"/>
              <w:bottom w:val="nil"/>
              <w:right w:val="nil"/>
            </w:tcBorders>
          </w:tcPr>
          <w:p w14:paraId="4018D6E5" w14:textId="77777777" w:rsidR="00CB17AD" w:rsidRPr="00297783" w:rsidRDefault="00CB17AD" w:rsidP="00CB17AD">
            <w:pPr>
              <w:pStyle w:val="TableBody"/>
            </w:pPr>
            <w:r w:rsidRPr="00297783">
              <w:t>4.53 (2.98-6.89)</w:t>
            </w:r>
          </w:p>
        </w:tc>
        <w:tc>
          <w:tcPr>
            <w:tcW w:w="1701" w:type="dxa"/>
            <w:tcBorders>
              <w:top w:val="nil"/>
              <w:left w:val="nil"/>
              <w:bottom w:val="nil"/>
              <w:right w:val="nil"/>
            </w:tcBorders>
          </w:tcPr>
          <w:p w14:paraId="13F8D40E" w14:textId="77777777" w:rsidR="00CB17AD" w:rsidRPr="00297783" w:rsidRDefault="00CB17AD" w:rsidP="00CB17AD">
            <w:pPr>
              <w:pStyle w:val="TableBody"/>
            </w:pPr>
          </w:p>
        </w:tc>
        <w:tc>
          <w:tcPr>
            <w:tcW w:w="1701" w:type="dxa"/>
            <w:tcBorders>
              <w:top w:val="nil"/>
              <w:left w:val="nil"/>
              <w:bottom w:val="nil"/>
              <w:right w:val="single" w:sz="4" w:space="0" w:color="auto"/>
            </w:tcBorders>
          </w:tcPr>
          <w:p w14:paraId="4BEBCDCA" w14:textId="77777777" w:rsidR="00CB17AD" w:rsidRPr="00297783" w:rsidRDefault="00CB17AD" w:rsidP="00CB17AD">
            <w:pPr>
              <w:pStyle w:val="TableBody"/>
            </w:pPr>
            <w:r w:rsidRPr="00297783">
              <w:t>4.32 (2.80-6.66)</w:t>
            </w:r>
          </w:p>
        </w:tc>
      </w:tr>
      <w:tr w:rsidR="00CB17AD" w:rsidRPr="00297783" w14:paraId="001FA099" w14:textId="77777777" w:rsidTr="00417EDC">
        <w:trPr>
          <w:jc w:val="center"/>
        </w:trPr>
        <w:tc>
          <w:tcPr>
            <w:tcW w:w="3118" w:type="dxa"/>
            <w:tcBorders>
              <w:top w:val="nil"/>
              <w:left w:val="single" w:sz="4" w:space="0" w:color="auto"/>
              <w:bottom w:val="nil"/>
              <w:right w:val="nil"/>
            </w:tcBorders>
            <w:shd w:val="clear" w:color="auto" w:fill="D9E2F3" w:themeFill="accent1" w:themeFillTint="33"/>
          </w:tcPr>
          <w:p w14:paraId="06384FFC" w14:textId="77777777" w:rsidR="00CB17AD" w:rsidRPr="00297783" w:rsidRDefault="00CB17AD" w:rsidP="00CB17AD">
            <w:pPr>
              <w:pStyle w:val="TableRowIndent"/>
            </w:pPr>
            <w:r w:rsidRPr="00297783">
              <w:t>School disengagement</w:t>
            </w:r>
          </w:p>
        </w:tc>
        <w:tc>
          <w:tcPr>
            <w:tcW w:w="1701" w:type="dxa"/>
            <w:tcBorders>
              <w:top w:val="nil"/>
              <w:left w:val="nil"/>
              <w:bottom w:val="nil"/>
              <w:right w:val="nil"/>
            </w:tcBorders>
            <w:shd w:val="clear" w:color="auto" w:fill="D9E2F3" w:themeFill="accent1" w:themeFillTint="33"/>
          </w:tcPr>
          <w:p w14:paraId="396136E9" w14:textId="77777777" w:rsidR="00CB17AD" w:rsidRPr="00297783" w:rsidRDefault="00CB17AD" w:rsidP="00CB17AD">
            <w:pPr>
              <w:pStyle w:val="TableBody"/>
            </w:pPr>
          </w:p>
        </w:tc>
        <w:tc>
          <w:tcPr>
            <w:tcW w:w="1701" w:type="dxa"/>
            <w:tcBorders>
              <w:top w:val="nil"/>
              <w:left w:val="nil"/>
              <w:bottom w:val="nil"/>
              <w:right w:val="nil"/>
            </w:tcBorders>
            <w:shd w:val="clear" w:color="auto" w:fill="D9E2F3" w:themeFill="accent1" w:themeFillTint="33"/>
          </w:tcPr>
          <w:p w14:paraId="6184639B" w14:textId="77777777" w:rsidR="00CB17AD" w:rsidRPr="00297783" w:rsidRDefault="00CB17AD" w:rsidP="00CB17AD">
            <w:pPr>
              <w:pStyle w:val="TableBody"/>
            </w:pPr>
          </w:p>
        </w:tc>
        <w:tc>
          <w:tcPr>
            <w:tcW w:w="1701" w:type="dxa"/>
            <w:tcBorders>
              <w:top w:val="nil"/>
              <w:left w:val="nil"/>
              <w:bottom w:val="nil"/>
              <w:right w:val="single" w:sz="4" w:space="0" w:color="auto"/>
            </w:tcBorders>
            <w:shd w:val="clear" w:color="auto" w:fill="D9E2F3" w:themeFill="accent1" w:themeFillTint="33"/>
          </w:tcPr>
          <w:p w14:paraId="2EEE1EC8" w14:textId="77777777" w:rsidR="00CB17AD" w:rsidRPr="00297783" w:rsidRDefault="00CB17AD" w:rsidP="00CB17AD">
            <w:pPr>
              <w:pStyle w:val="TableBody"/>
            </w:pPr>
          </w:p>
        </w:tc>
      </w:tr>
      <w:tr w:rsidR="00CB17AD" w:rsidRPr="00297783" w14:paraId="68EB126E" w14:textId="77777777" w:rsidTr="00CB17AD">
        <w:trPr>
          <w:jc w:val="center"/>
        </w:trPr>
        <w:tc>
          <w:tcPr>
            <w:tcW w:w="3118" w:type="dxa"/>
            <w:tcBorders>
              <w:top w:val="nil"/>
              <w:left w:val="single" w:sz="4" w:space="0" w:color="auto"/>
              <w:bottom w:val="nil"/>
              <w:right w:val="nil"/>
            </w:tcBorders>
          </w:tcPr>
          <w:p w14:paraId="5860BB10" w14:textId="77777777" w:rsidR="00CB17AD" w:rsidRPr="00297783" w:rsidRDefault="00CB17AD" w:rsidP="00CB17AD">
            <w:pPr>
              <w:pStyle w:val="TableRowIndent"/>
            </w:pPr>
            <w:r w:rsidRPr="00297783">
              <w:t xml:space="preserve">   None</w:t>
            </w:r>
          </w:p>
        </w:tc>
        <w:tc>
          <w:tcPr>
            <w:tcW w:w="1701" w:type="dxa"/>
            <w:tcBorders>
              <w:top w:val="nil"/>
              <w:left w:val="nil"/>
              <w:bottom w:val="nil"/>
              <w:right w:val="nil"/>
            </w:tcBorders>
          </w:tcPr>
          <w:p w14:paraId="11F53879" w14:textId="77777777" w:rsidR="00CB17AD" w:rsidRPr="00297783" w:rsidRDefault="00CB17AD" w:rsidP="00CB17AD">
            <w:pPr>
              <w:pStyle w:val="TableBody"/>
            </w:pPr>
          </w:p>
        </w:tc>
        <w:tc>
          <w:tcPr>
            <w:tcW w:w="1701" w:type="dxa"/>
            <w:tcBorders>
              <w:top w:val="nil"/>
              <w:left w:val="nil"/>
              <w:bottom w:val="nil"/>
              <w:right w:val="nil"/>
            </w:tcBorders>
          </w:tcPr>
          <w:p w14:paraId="07842BCA" w14:textId="77777777" w:rsidR="00CB17AD" w:rsidRPr="00297783" w:rsidRDefault="00CB17AD" w:rsidP="00CB17AD">
            <w:pPr>
              <w:pStyle w:val="TableBody"/>
            </w:pPr>
            <w:r w:rsidRPr="00297783">
              <w:t>1</w:t>
            </w:r>
          </w:p>
        </w:tc>
        <w:tc>
          <w:tcPr>
            <w:tcW w:w="1701" w:type="dxa"/>
            <w:tcBorders>
              <w:top w:val="nil"/>
              <w:left w:val="nil"/>
              <w:bottom w:val="nil"/>
              <w:right w:val="single" w:sz="4" w:space="0" w:color="auto"/>
            </w:tcBorders>
          </w:tcPr>
          <w:p w14:paraId="74908FD7" w14:textId="77777777" w:rsidR="00CB17AD" w:rsidRPr="00297783" w:rsidRDefault="00CB17AD" w:rsidP="00CB17AD">
            <w:pPr>
              <w:pStyle w:val="TableBody"/>
            </w:pPr>
            <w:r w:rsidRPr="00297783">
              <w:t>1</w:t>
            </w:r>
          </w:p>
        </w:tc>
      </w:tr>
      <w:tr w:rsidR="00CB17AD" w:rsidRPr="00297783" w14:paraId="53952392" w14:textId="77777777" w:rsidTr="00CB17AD">
        <w:trPr>
          <w:jc w:val="center"/>
        </w:trPr>
        <w:tc>
          <w:tcPr>
            <w:tcW w:w="3118" w:type="dxa"/>
            <w:tcBorders>
              <w:top w:val="nil"/>
              <w:left w:val="single" w:sz="4" w:space="0" w:color="auto"/>
              <w:bottom w:val="single" w:sz="4" w:space="0" w:color="auto"/>
              <w:right w:val="nil"/>
            </w:tcBorders>
          </w:tcPr>
          <w:p w14:paraId="1D2EF262" w14:textId="77777777" w:rsidR="00CB17AD" w:rsidRPr="00297783" w:rsidRDefault="00CB17AD" w:rsidP="00CB17AD">
            <w:pPr>
              <w:pStyle w:val="TableRowIndent"/>
            </w:pPr>
            <w:r w:rsidRPr="00297783">
              <w:t xml:space="preserve">   1 or 2 years</w:t>
            </w:r>
          </w:p>
        </w:tc>
        <w:tc>
          <w:tcPr>
            <w:tcW w:w="1701" w:type="dxa"/>
            <w:tcBorders>
              <w:top w:val="nil"/>
              <w:left w:val="nil"/>
              <w:bottom w:val="single" w:sz="4" w:space="0" w:color="auto"/>
              <w:right w:val="nil"/>
            </w:tcBorders>
          </w:tcPr>
          <w:p w14:paraId="2D156D13" w14:textId="77777777" w:rsidR="00CB17AD" w:rsidRPr="00297783" w:rsidRDefault="00CB17AD" w:rsidP="00CB17AD">
            <w:pPr>
              <w:pStyle w:val="TableBody"/>
            </w:pPr>
          </w:p>
        </w:tc>
        <w:tc>
          <w:tcPr>
            <w:tcW w:w="1701" w:type="dxa"/>
            <w:tcBorders>
              <w:top w:val="nil"/>
              <w:left w:val="nil"/>
              <w:bottom w:val="single" w:sz="4" w:space="0" w:color="auto"/>
              <w:right w:val="nil"/>
            </w:tcBorders>
          </w:tcPr>
          <w:p w14:paraId="2A0632B8" w14:textId="77777777" w:rsidR="00CB17AD" w:rsidRPr="00297783" w:rsidRDefault="00CB17AD" w:rsidP="00CB17AD">
            <w:pPr>
              <w:pStyle w:val="TableBody"/>
            </w:pPr>
            <w:r w:rsidRPr="00297783">
              <w:t>2.60 (1.71-3.94)</w:t>
            </w:r>
          </w:p>
        </w:tc>
        <w:tc>
          <w:tcPr>
            <w:tcW w:w="1701" w:type="dxa"/>
            <w:tcBorders>
              <w:top w:val="nil"/>
              <w:left w:val="nil"/>
              <w:bottom w:val="single" w:sz="4" w:space="0" w:color="auto"/>
              <w:right w:val="single" w:sz="4" w:space="0" w:color="auto"/>
            </w:tcBorders>
          </w:tcPr>
          <w:p w14:paraId="4AD474E4" w14:textId="60D2A01E" w:rsidR="00CB17AD" w:rsidRPr="00297783" w:rsidRDefault="001B5561" w:rsidP="00CB17AD">
            <w:pPr>
              <w:pStyle w:val="TableBody"/>
              <w:numPr>
                <w:ilvl w:val="1"/>
                <w:numId w:val="13"/>
              </w:numPr>
            </w:pPr>
            <w:r>
              <w:t xml:space="preserve"> (</w:t>
            </w:r>
            <w:r w:rsidR="00CB17AD" w:rsidRPr="00297783">
              <w:t>1.52-3.71)</w:t>
            </w:r>
          </w:p>
        </w:tc>
      </w:tr>
    </w:tbl>
    <w:p w14:paraId="1B828297" w14:textId="77777777" w:rsidR="00CB17AD" w:rsidRDefault="00CB17AD" w:rsidP="00235296">
      <w:pPr>
        <w:spacing w:after="0"/>
      </w:pPr>
    </w:p>
    <w:p w14:paraId="78D89991" w14:textId="6AB2B18B" w:rsidR="00CB17AD" w:rsidRPr="006A36B8" w:rsidRDefault="00CB17AD" w:rsidP="005265DE">
      <w:pPr>
        <w:pStyle w:val="ListParagraph"/>
        <w:numPr>
          <w:ilvl w:val="0"/>
          <w:numId w:val="12"/>
        </w:numPr>
        <w:spacing w:after="120"/>
        <w:ind w:left="714" w:hanging="357"/>
        <w:rPr>
          <w:rFonts w:ascii="Times New Roman" w:hAnsi="Times New Roman" w:cs="Times New Roman"/>
        </w:rPr>
      </w:pPr>
      <w:r w:rsidRPr="006A36B8">
        <w:t xml:space="preserve">Middle years indicator </w:t>
      </w:r>
      <w:r w:rsidR="009C423A" w:rsidRPr="006A36B8">
        <w:t>-</w:t>
      </w:r>
      <w:r w:rsidRPr="006A36B8">
        <w:t xml:space="preserve"> emotional problems</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b) Middle years indicator - emotional problems"/>
      </w:tblPr>
      <w:tblGrid>
        <w:gridCol w:w="3118"/>
        <w:gridCol w:w="1701"/>
        <w:gridCol w:w="1701"/>
        <w:gridCol w:w="1701"/>
      </w:tblGrid>
      <w:tr w:rsidR="00CB17AD" w:rsidRPr="00297783" w14:paraId="050F59AB" w14:textId="77777777" w:rsidTr="00CB17AD">
        <w:trPr>
          <w:jc w:val="center"/>
        </w:trPr>
        <w:tc>
          <w:tcPr>
            <w:tcW w:w="3118" w:type="dxa"/>
            <w:shd w:val="clear" w:color="auto" w:fill="0070C0"/>
          </w:tcPr>
          <w:p w14:paraId="28885127" w14:textId="77777777" w:rsidR="00CB17AD" w:rsidRPr="00AE4C24" w:rsidRDefault="00CB17AD" w:rsidP="00CB17AD">
            <w:pPr>
              <w:pStyle w:val="TableHeader1"/>
            </w:pPr>
          </w:p>
        </w:tc>
        <w:tc>
          <w:tcPr>
            <w:tcW w:w="1701" w:type="dxa"/>
            <w:shd w:val="clear" w:color="auto" w:fill="0070C0"/>
          </w:tcPr>
          <w:p w14:paraId="109E1A37" w14:textId="77777777" w:rsidR="00CB17AD" w:rsidRPr="00AE4C24" w:rsidRDefault="00CB17AD" w:rsidP="00CB17AD">
            <w:pPr>
              <w:pStyle w:val="TableHeader1"/>
            </w:pPr>
            <w:r w:rsidRPr="00AE4C24">
              <w:t>Step 1</w:t>
            </w:r>
          </w:p>
        </w:tc>
        <w:tc>
          <w:tcPr>
            <w:tcW w:w="1701" w:type="dxa"/>
            <w:tcBorders>
              <w:bottom w:val="nil"/>
            </w:tcBorders>
            <w:shd w:val="clear" w:color="auto" w:fill="0070C0"/>
          </w:tcPr>
          <w:p w14:paraId="1C6069AE" w14:textId="77777777" w:rsidR="00CB17AD" w:rsidRPr="00AE4C24" w:rsidRDefault="00CB17AD" w:rsidP="00CB17AD">
            <w:pPr>
              <w:pStyle w:val="TableHeader1"/>
            </w:pPr>
            <w:r w:rsidRPr="00AE4C24">
              <w:t>Step 2</w:t>
            </w:r>
          </w:p>
        </w:tc>
        <w:tc>
          <w:tcPr>
            <w:tcW w:w="1701" w:type="dxa"/>
            <w:tcBorders>
              <w:bottom w:val="nil"/>
            </w:tcBorders>
            <w:shd w:val="clear" w:color="auto" w:fill="0070C0"/>
          </w:tcPr>
          <w:p w14:paraId="39C2E671" w14:textId="77777777" w:rsidR="00CB17AD" w:rsidRPr="00AE4C24" w:rsidRDefault="00CB17AD" w:rsidP="00CB17AD">
            <w:pPr>
              <w:pStyle w:val="TableHeader1"/>
            </w:pPr>
            <w:r w:rsidRPr="00AE4C24">
              <w:t>Step 3</w:t>
            </w:r>
          </w:p>
        </w:tc>
      </w:tr>
      <w:tr w:rsidR="00CB17AD" w:rsidRPr="00297783" w14:paraId="3A1E819F" w14:textId="77777777" w:rsidTr="00417EDC">
        <w:trPr>
          <w:jc w:val="center"/>
        </w:trPr>
        <w:tc>
          <w:tcPr>
            <w:tcW w:w="3118" w:type="dxa"/>
            <w:shd w:val="clear" w:color="auto" w:fill="D9E2F3" w:themeFill="accent1" w:themeFillTint="33"/>
          </w:tcPr>
          <w:p w14:paraId="38EF95B7" w14:textId="77777777" w:rsidR="00CB17AD" w:rsidRPr="008C43C6" w:rsidRDefault="00CB17AD" w:rsidP="00CB17AD">
            <w:pPr>
              <w:pStyle w:val="TableRowIndent"/>
            </w:pPr>
            <w:r w:rsidRPr="00297783">
              <w:t>Developmental</w:t>
            </w:r>
            <w:r>
              <w:t>ly</w:t>
            </w:r>
            <w:r w:rsidRPr="00297783">
              <w:t xml:space="preserve"> vulnerab</w:t>
            </w:r>
            <w:r>
              <w:t>le</w:t>
            </w:r>
          </w:p>
        </w:tc>
        <w:tc>
          <w:tcPr>
            <w:tcW w:w="1701" w:type="dxa"/>
            <w:shd w:val="clear" w:color="auto" w:fill="D9E2F3" w:themeFill="accent1" w:themeFillTint="33"/>
          </w:tcPr>
          <w:p w14:paraId="5A4F67D8" w14:textId="77777777" w:rsidR="00CB17AD" w:rsidRPr="008C43C6" w:rsidRDefault="00CB17AD" w:rsidP="00CB17AD">
            <w:pPr>
              <w:pStyle w:val="TableBody"/>
            </w:pPr>
          </w:p>
        </w:tc>
        <w:tc>
          <w:tcPr>
            <w:tcW w:w="1701" w:type="dxa"/>
            <w:tcBorders>
              <w:top w:val="nil"/>
            </w:tcBorders>
            <w:shd w:val="clear" w:color="auto" w:fill="D9E2F3" w:themeFill="accent1" w:themeFillTint="33"/>
          </w:tcPr>
          <w:p w14:paraId="334FA58F" w14:textId="77777777" w:rsidR="00CB17AD" w:rsidRPr="008C43C6" w:rsidRDefault="00CB17AD" w:rsidP="00CB17AD">
            <w:pPr>
              <w:pStyle w:val="TableBody"/>
            </w:pPr>
          </w:p>
        </w:tc>
        <w:tc>
          <w:tcPr>
            <w:tcW w:w="1701" w:type="dxa"/>
            <w:tcBorders>
              <w:top w:val="nil"/>
            </w:tcBorders>
            <w:shd w:val="clear" w:color="auto" w:fill="D9E2F3" w:themeFill="accent1" w:themeFillTint="33"/>
          </w:tcPr>
          <w:p w14:paraId="118F1B7F" w14:textId="77777777" w:rsidR="00CB17AD" w:rsidRPr="008C43C6" w:rsidRDefault="00CB17AD" w:rsidP="00CB17AD">
            <w:pPr>
              <w:pStyle w:val="TableBody"/>
            </w:pPr>
          </w:p>
        </w:tc>
      </w:tr>
      <w:tr w:rsidR="00CB17AD" w:rsidRPr="00297783" w14:paraId="3D343794" w14:textId="77777777" w:rsidTr="00CB17AD">
        <w:trPr>
          <w:trHeight w:val="171"/>
          <w:jc w:val="center"/>
        </w:trPr>
        <w:tc>
          <w:tcPr>
            <w:tcW w:w="3118" w:type="dxa"/>
          </w:tcPr>
          <w:p w14:paraId="3F5F8A3A" w14:textId="77777777" w:rsidR="00CB17AD" w:rsidRPr="008C43C6" w:rsidRDefault="00CB17AD" w:rsidP="00CB17AD">
            <w:pPr>
              <w:pStyle w:val="TableRowIndent"/>
            </w:pPr>
            <w:r w:rsidRPr="008C43C6">
              <w:t xml:space="preserve">   No</w:t>
            </w:r>
          </w:p>
        </w:tc>
        <w:tc>
          <w:tcPr>
            <w:tcW w:w="1701" w:type="dxa"/>
          </w:tcPr>
          <w:p w14:paraId="4F46A843" w14:textId="77777777" w:rsidR="00CB17AD" w:rsidRPr="008C43C6" w:rsidRDefault="00CB17AD" w:rsidP="00CB17AD">
            <w:pPr>
              <w:pStyle w:val="TableBody"/>
            </w:pPr>
            <w:r w:rsidRPr="008C43C6">
              <w:t>1</w:t>
            </w:r>
          </w:p>
        </w:tc>
        <w:tc>
          <w:tcPr>
            <w:tcW w:w="1701" w:type="dxa"/>
          </w:tcPr>
          <w:p w14:paraId="64B20055" w14:textId="77777777" w:rsidR="00CB17AD" w:rsidRPr="008C43C6" w:rsidRDefault="00CB17AD" w:rsidP="00CB17AD">
            <w:pPr>
              <w:pStyle w:val="TableBody"/>
            </w:pPr>
          </w:p>
        </w:tc>
        <w:tc>
          <w:tcPr>
            <w:tcW w:w="1701" w:type="dxa"/>
            <w:shd w:val="clear" w:color="auto" w:fill="auto"/>
          </w:tcPr>
          <w:p w14:paraId="1BC3AF99" w14:textId="77777777" w:rsidR="00CB17AD" w:rsidRPr="008C43C6" w:rsidRDefault="00CB17AD" w:rsidP="00CB17AD">
            <w:pPr>
              <w:pStyle w:val="TableBody"/>
            </w:pPr>
            <w:r w:rsidRPr="008C43C6">
              <w:t>1</w:t>
            </w:r>
          </w:p>
        </w:tc>
      </w:tr>
      <w:tr w:rsidR="00CB17AD" w:rsidRPr="00297783" w14:paraId="58E3737E" w14:textId="77777777" w:rsidTr="00CB17AD">
        <w:trPr>
          <w:jc w:val="center"/>
        </w:trPr>
        <w:tc>
          <w:tcPr>
            <w:tcW w:w="3118" w:type="dxa"/>
          </w:tcPr>
          <w:p w14:paraId="17450F0C" w14:textId="77777777" w:rsidR="00CB17AD" w:rsidRPr="008C43C6" w:rsidRDefault="00CB17AD" w:rsidP="00CB17AD">
            <w:pPr>
              <w:pStyle w:val="TableRowIndent"/>
            </w:pPr>
            <w:r w:rsidRPr="008C43C6">
              <w:t xml:space="preserve">   Yes</w:t>
            </w:r>
          </w:p>
        </w:tc>
        <w:tc>
          <w:tcPr>
            <w:tcW w:w="1701" w:type="dxa"/>
          </w:tcPr>
          <w:p w14:paraId="4F5EF083" w14:textId="77777777" w:rsidR="00CB17AD" w:rsidRPr="008C43C6" w:rsidRDefault="00CB17AD" w:rsidP="00CB17AD">
            <w:pPr>
              <w:pStyle w:val="TableBody"/>
            </w:pPr>
            <w:r w:rsidRPr="008C43C6">
              <w:t>4.53 (2.98-6.89)</w:t>
            </w:r>
          </w:p>
        </w:tc>
        <w:tc>
          <w:tcPr>
            <w:tcW w:w="1701" w:type="dxa"/>
          </w:tcPr>
          <w:p w14:paraId="083DB16D" w14:textId="77777777" w:rsidR="00CB17AD" w:rsidRPr="008C43C6" w:rsidRDefault="00CB17AD" w:rsidP="00CB17AD">
            <w:pPr>
              <w:pStyle w:val="TableBody"/>
            </w:pPr>
          </w:p>
        </w:tc>
        <w:tc>
          <w:tcPr>
            <w:tcW w:w="1701" w:type="dxa"/>
            <w:shd w:val="clear" w:color="auto" w:fill="auto"/>
          </w:tcPr>
          <w:p w14:paraId="41CC6249" w14:textId="77777777" w:rsidR="00CB17AD" w:rsidRPr="008C43C6" w:rsidRDefault="00CB17AD" w:rsidP="00CB17AD">
            <w:pPr>
              <w:pStyle w:val="TableBody"/>
            </w:pPr>
            <w:r w:rsidRPr="008C43C6">
              <w:t>4.16 (2.71-6.37)</w:t>
            </w:r>
          </w:p>
        </w:tc>
      </w:tr>
      <w:tr w:rsidR="00CB17AD" w:rsidRPr="00297783" w14:paraId="58CC3947" w14:textId="77777777" w:rsidTr="00417EDC">
        <w:trPr>
          <w:jc w:val="center"/>
        </w:trPr>
        <w:tc>
          <w:tcPr>
            <w:tcW w:w="3118" w:type="dxa"/>
            <w:shd w:val="clear" w:color="auto" w:fill="D9E2F3" w:themeFill="accent1" w:themeFillTint="33"/>
          </w:tcPr>
          <w:p w14:paraId="28D294F9" w14:textId="77777777" w:rsidR="00CB17AD" w:rsidRPr="008C43C6" w:rsidRDefault="00CB17AD" w:rsidP="00CB17AD">
            <w:pPr>
              <w:pStyle w:val="TableRowIndent"/>
            </w:pPr>
            <w:r w:rsidRPr="008C43C6">
              <w:t>Emotional problems</w:t>
            </w:r>
          </w:p>
        </w:tc>
        <w:tc>
          <w:tcPr>
            <w:tcW w:w="1701" w:type="dxa"/>
            <w:shd w:val="clear" w:color="auto" w:fill="D9E2F3" w:themeFill="accent1" w:themeFillTint="33"/>
          </w:tcPr>
          <w:p w14:paraId="31A9D306" w14:textId="77777777" w:rsidR="00CB17AD" w:rsidRPr="008C43C6" w:rsidRDefault="00CB17AD" w:rsidP="00CB17AD">
            <w:pPr>
              <w:pStyle w:val="TableBody"/>
            </w:pPr>
          </w:p>
        </w:tc>
        <w:tc>
          <w:tcPr>
            <w:tcW w:w="1701" w:type="dxa"/>
            <w:shd w:val="clear" w:color="auto" w:fill="D9E2F3" w:themeFill="accent1" w:themeFillTint="33"/>
          </w:tcPr>
          <w:p w14:paraId="5B115A5B" w14:textId="77777777" w:rsidR="00CB17AD" w:rsidRPr="008C43C6" w:rsidRDefault="00CB17AD" w:rsidP="00CB17AD">
            <w:pPr>
              <w:pStyle w:val="TableBody"/>
            </w:pPr>
          </w:p>
        </w:tc>
        <w:tc>
          <w:tcPr>
            <w:tcW w:w="1701" w:type="dxa"/>
            <w:shd w:val="clear" w:color="auto" w:fill="D9E2F3" w:themeFill="accent1" w:themeFillTint="33"/>
          </w:tcPr>
          <w:p w14:paraId="43C43258" w14:textId="77777777" w:rsidR="00CB17AD" w:rsidRPr="008C43C6" w:rsidRDefault="00CB17AD" w:rsidP="00CB17AD">
            <w:pPr>
              <w:pStyle w:val="TableBody"/>
            </w:pPr>
          </w:p>
        </w:tc>
      </w:tr>
      <w:tr w:rsidR="00CB17AD" w:rsidRPr="00297783" w14:paraId="7351E3C1" w14:textId="77777777" w:rsidTr="00CB17AD">
        <w:trPr>
          <w:jc w:val="center"/>
        </w:trPr>
        <w:tc>
          <w:tcPr>
            <w:tcW w:w="3118" w:type="dxa"/>
          </w:tcPr>
          <w:p w14:paraId="2DBE346F" w14:textId="77777777" w:rsidR="00CB17AD" w:rsidRPr="008C43C6" w:rsidRDefault="00CB17AD" w:rsidP="00CB17AD">
            <w:pPr>
              <w:pStyle w:val="TableRowIndent"/>
            </w:pPr>
            <w:r w:rsidRPr="008C43C6">
              <w:t xml:space="preserve">   None</w:t>
            </w:r>
          </w:p>
        </w:tc>
        <w:tc>
          <w:tcPr>
            <w:tcW w:w="1701" w:type="dxa"/>
          </w:tcPr>
          <w:p w14:paraId="74EE3F6B" w14:textId="77777777" w:rsidR="00CB17AD" w:rsidRPr="008C43C6" w:rsidRDefault="00CB17AD" w:rsidP="00CB17AD">
            <w:pPr>
              <w:pStyle w:val="TableBody"/>
            </w:pPr>
          </w:p>
        </w:tc>
        <w:tc>
          <w:tcPr>
            <w:tcW w:w="1701" w:type="dxa"/>
            <w:shd w:val="clear" w:color="auto" w:fill="auto"/>
          </w:tcPr>
          <w:p w14:paraId="7303D571" w14:textId="77777777" w:rsidR="00CB17AD" w:rsidRPr="008C43C6" w:rsidRDefault="00CB17AD" w:rsidP="00CB17AD">
            <w:pPr>
              <w:pStyle w:val="TableBody"/>
            </w:pPr>
            <w:r w:rsidRPr="008C43C6">
              <w:t>1</w:t>
            </w:r>
          </w:p>
        </w:tc>
        <w:tc>
          <w:tcPr>
            <w:tcW w:w="1701" w:type="dxa"/>
            <w:shd w:val="clear" w:color="auto" w:fill="auto"/>
          </w:tcPr>
          <w:p w14:paraId="75204DB4" w14:textId="77777777" w:rsidR="00CB17AD" w:rsidRPr="008C43C6" w:rsidRDefault="00CB17AD" w:rsidP="00CB17AD">
            <w:pPr>
              <w:pStyle w:val="TableBody"/>
            </w:pPr>
            <w:r w:rsidRPr="008C43C6">
              <w:t>1</w:t>
            </w:r>
          </w:p>
        </w:tc>
      </w:tr>
      <w:tr w:rsidR="00CB17AD" w:rsidRPr="00297783" w14:paraId="548693D2" w14:textId="77777777" w:rsidTr="00CB17AD">
        <w:trPr>
          <w:jc w:val="center"/>
        </w:trPr>
        <w:tc>
          <w:tcPr>
            <w:tcW w:w="3118" w:type="dxa"/>
          </w:tcPr>
          <w:p w14:paraId="279B5C93" w14:textId="77777777" w:rsidR="00CB17AD" w:rsidRPr="008C43C6" w:rsidRDefault="00CB17AD" w:rsidP="00CB17AD">
            <w:pPr>
              <w:pStyle w:val="TableRowIndent"/>
            </w:pPr>
            <w:r w:rsidRPr="008C43C6">
              <w:t xml:space="preserve">   Single episode</w:t>
            </w:r>
          </w:p>
        </w:tc>
        <w:tc>
          <w:tcPr>
            <w:tcW w:w="1701" w:type="dxa"/>
          </w:tcPr>
          <w:p w14:paraId="0E3B37D1" w14:textId="77777777" w:rsidR="00CB17AD" w:rsidRPr="008C43C6" w:rsidRDefault="00CB17AD" w:rsidP="00CB17AD">
            <w:pPr>
              <w:pStyle w:val="TableBody"/>
            </w:pPr>
          </w:p>
        </w:tc>
        <w:tc>
          <w:tcPr>
            <w:tcW w:w="1701" w:type="dxa"/>
            <w:shd w:val="clear" w:color="auto" w:fill="auto"/>
          </w:tcPr>
          <w:p w14:paraId="10D8FA30" w14:textId="77777777" w:rsidR="00CB17AD" w:rsidRPr="008C43C6" w:rsidRDefault="00CB17AD" w:rsidP="00CB17AD">
            <w:pPr>
              <w:pStyle w:val="TableBody"/>
            </w:pPr>
            <w:r w:rsidRPr="008C43C6">
              <w:t>1.77 (1.18- 2.66)</w:t>
            </w:r>
          </w:p>
        </w:tc>
        <w:tc>
          <w:tcPr>
            <w:tcW w:w="1701" w:type="dxa"/>
            <w:shd w:val="clear" w:color="auto" w:fill="auto"/>
          </w:tcPr>
          <w:p w14:paraId="6F02ABD2" w14:textId="77777777" w:rsidR="00CB17AD" w:rsidRPr="008C43C6" w:rsidRDefault="00CB17AD" w:rsidP="00CB17AD">
            <w:pPr>
              <w:pStyle w:val="TableBody"/>
            </w:pPr>
            <w:r w:rsidRPr="008C43C6">
              <w:t>1.61 (1.05- 2.47)</w:t>
            </w:r>
          </w:p>
        </w:tc>
      </w:tr>
      <w:tr w:rsidR="00CB17AD" w:rsidRPr="00297783" w14:paraId="1C8C7CD9" w14:textId="77777777" w:rsidTr="00CB17AD">
        <w:trPr>
          <w:jc w:val="center"/>
        </w:trPr>
        <w:tc>
          <w:tcPr>
            <w:tcW w:w="3118" w:type="dxa"/>
          </w:tcPr>
          <w:p w14:paraId="49E1B4EF" w14:textId="77777777" w:rsidR="00CB17AD" w:rsidRPr="008C43C6" w:rsidRDefault="00CB17AD" w:rsidP="00CB17AD">
            <w:pPr>
              <w:pStyle w:val="TableRowIndent"/>
            </w:pPr>
            <w:r w:rsidRPr="008C43C6">
              <w:t xml:space="preserve">   Persistent</w:t>
            </w:r>
          </w:p>
        </w:tc>
        <w:tc>
          <w:tcPr>
            <w:tcW w:w="1701" w:type="dxa"/>
          </w:tcPr>
          <w:p w14:paraId="72E6FFE6" w14:textId="77777777" w:rsidR="00CB17AD" w:rsidRPr="008C43C6" w:rsidRDefault="00CB17AD" w:rsidP="00CB17AD">
            <w:pPr>
              <w:pStyle w:val="TableBody"/>
            </w:pPr>
          </w:p>
        </w:tc>
        <w:tc>
          <w:tcPr>
            <w:tcW w:w="1701" w:type="dxa"/>
            <w:shd w:val="clear" w:color="auto" w:fill="auto"/>
          </w:tcPr>
          <w:p w14:paraId="22F41AE9" w14:textId="77777777" w:rsidR="00CB17AD" w:rsidRPr="008C43C6" w:rsidRDefault="00CB17AD" w:rsidP="00CB17AD">
            <w:pPr>
              <w:pStyle w:val="TableBody"/>
            </w:pPr>
            <w:r w:rsidRPr="008C43C6">
              <w:t>2.67 (1.76- 4.05)</w:t>
            </w:r>
          </w:p>
        </w:tc>
        <w:tc>
          <w:tcPr>
            <w:tcW w:w="1701" w:type="dxa"/>
            <w:shd w:val="clear" w:color="auto" w:fill="auto"/>
          </w:tcPr>
          <w:p w14:paraId="09B915F8" w14:textId="77777777" w:rsidR="00CB17AD" w:rsidRPr="008C43C6" w:rsidRDefault="00CB17AD" w:rsidP="00CB17AD">
            <w:pPr>
              <w:pStyle w:val="TableBody"/>
            </w:pPr>
            <w:r w:rsidRPr="008C43C6">
              <w:t>2.29 (1.46- 3.57)</w:t>
            </w:r>
          </w:p>
        </w:tc>
      </w:tr>
    </w:tbl>
    <w:p w14:paraId="549E5BAF" w14:textId="3BADFCD2" w:rsidR="00BF5A98" w:rsidRDefault="00BF5A98" w:rsidP="00235296">
      <w:pPr>
        <w:spacing w:after="0"/>
        <w:rPr>
          <w:rFonts w:ascii="Times New Roman" w:hAnsi="Times New Roman" w:cs="Times New Roman"/>
          <w:sz w:val="18"/>
        </w:rPr>
      </w:pPr>
    </w:p>
    <w:p w14:paraId="1CC8D464" w14:textId="77777777" w:rsidR="00BF5A98" w:rsidRDefault="00BF5A98">
      <w:pPr>
        <w:spacing w:after="0" w:line="240" w:lineRule="auto"/>
        <w:rPr>
          <w:rFonts w:ascii="Times New Roman" w:hAnsi="Times New Roman" w:cs="Times New Roman"/>
          <w:sz w:val="18"/>
        </w:rPr>
      </w:pPr>
      <w:r>
        <w:rPr>
          <w:rFonts w:ascii="Times New Roman" w:hAnsi="Times New Roman" w:cs="Times New Roman"/>
          <w:sz w:val="18"/>
        </w:rPr>
        <w:br w:type="page"/>
      </w:r>
    </w:p>
    <w:p w14:paraId="5A303405" w14:textId="77777777" w:rsidR="00CB17AD" w:rsidRPr="006A36B8" w:rsidRDefault="00CB17AD" w:rsidP="005265DE">
      <w:pPr>
        <w:pStyle w:val="ListParagraph"/>
        <w:numPr>
          <w:ilvl w:val="0"/>
          <w:numId w:val="12"/>
        </w:numPr>
        <w:spacing w:after="120"/>
        <w:ind w:left="714" w:hanging="357"/>
        <w:rPr>
          <w:rFonts w:ascii="Times New Roman" w:hAnsi="Times New Roman" w:cs="Times New Roman"/>
        </w:rPr>
      </w:pPr>
      <w:r w:rsidRPr="006A36B8">
        <w:t>Middle years indicator - behaviour problems</w:t>
      </w:r>
    </w:p>
    <w:tbl>
      <w:tblPr>
        <w:tblStyle w:val="TableGrid"/>
        <w:tblW w:w="0" w:type="auto"/>
        <w:jc w:val="center"/>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c) Middle years indicator - behaviour problems"/>
      </w:tblPr>
      <w:tblGrid>
        <w:gridCol w:w="3118"/>
        <w:gridCol w:w="1701"/>
        <w:gridCol w:w="1701"/>
        <w:gridCol w:w="1701"/>
      </w:tblGrid>
      <w:tr w:rsidR="00CB17AD" w14:paraId="791D1426" w14:textId="77777777" w:rsidTr="00CB17AD">
        <w:trPr>
          <w:jc w:val="center"/>
        </w:trPr>
        <w:tc>
          <w:tcPr>
            <w:tcW w:w="3118" w:type="dxa"/>
            <w:tcBorders>
              <w:bottom w:val="nil"/>
              <w:right w:val="nil"/>
            </w:tcBorders>
            <w:shd w:val="clear" w:color="auto" w:fill="0070C0"/>
          </w:tcPr>
          <w:p w14:paraId="06488FCB" w14:textId="77777777" w:rsidR="00CB17AD" w:rsidRDefault="00CB17AD" w:rsidP="00CB17AD">
            <w:pPr>
              <w:pStyle w:val="TableHeader1"/>
            </w:pPr>
          </w:p>
        </w:tc>
        <w:tc>
          <w:tcPr>
            <w:tcW w:w="1701" w:type="dxa"/>
            <w:tcBorders>
              <w:left w:val="nil"/>
              <w:bottom w:val="nil"/>
              <w:right w:val="nil"/>
            </w:tcBorders>
            <w:shd w:val="clear" w:color="auto" w:fill="0070C0"/>
          </w:tcPr>
          <w:p w14:paraId="28C10868" w14:textId="77777777" w:rsidR="00CB17AD" w:rsidRDefault="00CB17AD" w:rsidP="00CB17AD">
            <w:pPr>
              <w:pStyle w:val="TableHeader1"/>
            </w:pPr>
            <w:r w:rsidRPr="00297783">
              <w:t>Step 1</w:t>
            </w:r>
          </w:p>
        </w:tc>
        <w:tc>
          <w:tcPr>
            <w:tcW w:w="1701" w:type="dxa"/>
            <w:tcBorders>
              <w:left w:val="nil"/>
              <w:bottom w:val="nil"/>
              <w:right w:val="nil"/>
            </w:tcBorders>
            <w:shd w:val="clear" w:color="auto" w:fill="0070C0"/>
          </w:tcPr>
          <w:p w14:paraId="106C5753" w14:textId="77777777" w:rsidR="00CB17AD" w:rsidRDefault="00CB17AD" w:rsidP="00CB17AD">
            <w:pPr>
              <w:pStyle w:val="TableHeader1"/>
            </w:pPr>
            <w:r w:rsidRPr="00297783">
              <w:t>Step 2</w:t>
            </w:r>
          </w:p>
        </w:tc>
        <w:tc>
          <w:tcPr>
            <w:tcW w:w="1701" w:type="dxa"/>
            <w:tcBorders>
              <w:left w:val="nil"/>
              <w:bottom w:val="nil"/>
            </w:tcBorders>
            <w:shd w:val="clear" w:color="auto" w:fill="0070C0"/>
          </w:tcPr>
          <w:p w14:paraId="275EC0F4" w14:textId="77777777" w:rsidR="00CB17AD" w:rsidRDefault="00CB17AD" w:rsidP="00CB17AD">
            <w:pPr>
              <w:pStyle w:val="TableHeader1"/>
            </w:pPr>
            <w:r w:rsidRPr="00297783">
              <w:t>Step 3</w:t>
            </w:r>
          </w:p>
        </w:tc>
      </w:tr>
      <w:tr w:rsidR="00CB17AD" w14:paraId="2A6524CC" w14:textId="77777777" w:rsidTr="00417EDC">
        <w:trPr>
          <w:jc w:val="center"/>
        </w:trPr>
        <w:tc>
          <w:tcPr>
            <w:tcW w:w="3118" w:type="dxa"/>
            <w:tcBorders>
              <w:top w:val="nil"/>
              <w:left w:val="single" w:sz="4" w:space="0" w:color="auto"/>
              <w:bottom w:val="nil"/>
              <w:right w:val="nil"/>
            </w:tcBorders>
            <w:shd w:val="clear" w:color="auto" w:fill="D9E2F3" w:themeFill="accent1" w:themeFillTint="33"/>
          </w:tcPr>
          <w:p w14:paraId="6B9AE8E4" w14:textId="77777777" w:rsidR="00CB17AD" w:rsidRPr="00B46EDC" w:rsidRDefault="00CB17AD" w:rsidP="00CB17AD">
            <w:pPr>
              <w:pStyle w:val="TableRowIndent"/>
            </w:pPr>
            <w:r w:rsidRPr="00297783">
              <w:t>Developmental</w:t>
            </w:r>
            <w:r>
              <w:t>ly</w:t>
            </w:r>
            <w:r w:rsidRPr="00297783">
              <w:t xml:space="preserve"> vulnerab</w:t>
            </w:r>
            <w:r>
              <w:t>le</w:t>
            </w:r>
          </w:p>
        </w:tc>
        <w:tc>
          <w:tcPr>
            <w:tcW w:w="1701" w:type="dxa"/>
            <w:tcBorders>
              <w:top w:val="nil"/>
              <w:left w:val="nil"/>
              <w:bottom w:val="nil"/>
              <w:right w:val="nil"/>
            </w:tcBorders>
            <w:shd w:val="clear" w:color="auto" w:fill="D9E2F3" w:themeFill="accent1" w:themeFillTint="33"/>
          </w:tcPr>
          <w:p w14:paraId="30E57308" w14:textId="77777777" w:rsidR="00CB17AD" w:rsidRPr="00B46EDC" w:rsidRDefault="00CB17AD" w:rsidP="00CB17AD">
            <w:pPr>
              <w:pStyle w:val="TableBody"/>
            </w:pPr>
          </w:p>
        </w:tc>
        <w:tc>
          <w:tcPr>
            <w:tcW w:w="1701" w:type="dxa"/>
            <w:tcBorders>
              <w:top w:val="nil"/>
              <w:left w:val="nil"/>
              <w:bottom w:val="nil"/>
              <w:right w:val="nil"/>
            </w:tcBorders>
            <w:shd w:val="clear" w:color="auto" w:fill="D9E2F3" w:themeFill="accent1" w:themeFillTint="33"/>
          </w:tcPr>
          <w:p w14:paraId="6D7ACBA7" w14:textId="77777777" w:rsidR="00CB17AD" w:rsidRPr="00B46EDC" w:rsidRDefault="00CB17AD" w:rsidP="00CB17AD">
            <w:pPr>
              <w:pStyle w:val="TableBody"/>
            </w:pPr>
          </w:p>
        </w:tc>
        <w:tc>
          <w:tcPr>
            <w:tcW w:w="1701" w:type="dxa"/>
            <w:tcBorders>
              <w:top w:val="nil"/>
              <w:left w:val="nil"/>
              <w:bottom w:val="nil"/>
              <w:right w:val="single" w:sz="4" w:space="0" w:color="auto"/>
            </w:tcBorders>
            <w:shd w:val="clear" w:color="auto" w:fill="D9E2F3" w:themeFill="accent1" w:themeFillTint="33"/>
          </w:tcPr>
          <w:p w14:paraId="1AE3A607" w14:textId="77777777" w:rsidR="00CB17AD" w:rsidRPr="00B46EDC" w:rsidRDefault="00CB17AD" w:rsidP="00CB17AD">
            <w:pPr>
              <w:pStyle w:val="TableBody"/>
            </w:pPr>
          </w:p>
        </w:tc>
      </w:tr>
      <w:tr w:rsidR="00CB17AD" w14:paraId="190B0F32" w14:textId="77777777" w:rsidTr="00CB17AD">
        <w:trPr>
          <w:jc w:val="center"/>
        </w:trPr>
        <w:tc>
          <w:tcPr>
            <w:tcW w:w="3118" w:type="dxa"/>
            <w:tcBorders>
              <w:top w:val="nil"/>
              <w:left w:val="single" w:sz="4" w:space="0" w:color="auto"/>
              <w:bottom w:val="nil"/>
              <w:right w:val="nil"/>
            </w:tcBorders>
          </w:tcPr>
          <w:p w14:paraId="0541802D" w14:textId="77777777" w:rsidR="00CB17AD" w:rsidRPr="00B46EDC" w:rsidRDefault="00CB17AD" w:rsidP="00CB17AD">
            <w:pPr>
              <w:pStyle w:val="TableRowIndent"/>
            </w:pPr>
            <w:r w:rsidRPr="00B46EDC">
              <w:t xml:space="preserve">   No</w:t>
            </w:r>
          </w:p>
        </w:tc>
        <w:tc>
          <w:tcPr>
            <w:tcW w:w="1701" w:type="dxa"/>
            <w:tcBorders>
              <w:top w:val="nil"/>
              <w:left w:val="nil"/>
              <w:bottom w:val="nil"/>
              <w:right w:val="nil"/>
            </w:tcBorders>
          </w:tcPr>
          <w:p w14:paraId="3CDEFE90" w14:textId="77777777" w:rsidR="00CB17AD" w:rsidRPr="00B46EDC" w:rsidRDefault="00CB17AD" w:rsidP="00CB17AD">
            <w:pPr>
              <w:pStyle w:val="TableBody"/>
            </w:pPr>
            <w:r w:rsidRPr="00B46EDC">
              <w:t>1</w:t>
            </w:r>
          </w:p>
        </w:tc>
        <w:tc>
          <w:tcPr>
            <w:tcW w:w="1701" w:type="dxa"/>
            <w:tcBorders>
              <w:top w:val="nil"/>
              <w:left w:val="nil"/>
              <w:bottom w:val="nil"/>
              <w:right w:val="nil"/>
            </w:tcBorders>
          </w:tcPr>
          <w:p w14:paraId="51D8A757" w14:textId="77777777" w:rsidR="00CB17AD" w:rsidRPr="00B46EDC" w:rsidRDefault="00CB17AD" w:rsidP="00CB17AD">
            <w:pPr>
              <w:pStyle w:val="TableBody"/>
            </w:pPr>
          </w:p>
        </w:tc>
        <w:tc>
          <w:tcPr>
            <w:tcW w:w="1701" w:type="dxa"/>
            <w:tcBorders>
              <w:top w:val="nil"/>
              <w:left w:val="nil"/>
              <w:bottom w:val="nil"/>
            </w:tcBorders>
            <w:shd w:val="clear" w:color="auto" w:fill="auto"/>
          </w:tcPr>
          <w:p w14:paraId="7F9883F3" w14:textId="77777777" w:rsidR="00CB17AD" w:rsidRPr="00B46EDC" w:rsidRDefault="00CB17AD" w:rsidP="00CB17AD">
            <w:pPr>
              <w:pStyle w:val="TableBody"/>
            </w:pPr>
            <w:r w:rsidRPr="00E2649D">
              <w:t>1</w:t>
            </w:r>
          </w:p>
        </w:tc>
      </w:tr>
      <w:tr w:rsidR="00CB17AD" w14:paraId="2C9B0A5D" w14:textId="77777777" w:rsidTr="00CB17AD">
        <w:trPr>
          <w:jc w:val="center"/>
        </w:trPr>
        <w:tc>
          <w:tcPr>
            <w:tcW w:w="3118" w:type="dxa"/>
            <w:tcBorders>
              <w:top w:val="nil"/>
              <w:left w:val="single" w:sz="4" w:space="0" w:color="auto"/>
              <w:bottom w:val="nil"/>
              <w:right w:val="nil"/>
            </w:tcBorders>
          </w:tcPr>
          <w:p w14:paraId="5852A5D6" w14:textId="77777777" w:rsidR="00CB17AD" w:rsidRPr="00B46EDC" w:rsidRDefault="00CB17AD" w:rsidP="00CB17AD">
            <w:pPr>
              <w:pStyle w:val="TableRowIndent"/>
            </w:pPr>
            <w:r w:rsidRPr="00B46EDC">
              <w:t xml:space="preserve">   Yes</w:t>
            </w:r>
          </w:p>
        </w:tc>
        <w:tc>
          <w:tcPr>
            <w:tcW w:w="1701" w:type="dxa"/>
            <w:tcBorders>
              <w:top w:val="nil"/>
              <w:left w:val="nil"/>
              <w:bottom w:val="nil"/>
              <w:right w:val="nil"/>
            </w:tcBorders>
          </w:tcPr>
          <w:p w14:paraId="75B0F72E" w14:textId="77777777" w:rsidR="00CB17AD" w:rsidRPr="00B46EDC" w:rsidRDefault="00CB17AD" w:rsidP="00CB17AD">
            <w:pPr>
              <w:pStyle w:val="TableBody"/>
            </w:pPr>
            <w:r w:rsidRPr="00B46EDC">
              <w:t>4.53 (2.98-6.89)</w:t>
            </w:r>
          </w:p>
        </w:tc>
        <w:tc>
          <w:tcPr>
            <w:tcW w:w="1701" w:type="dxa"/>
            <w:tcBorders>
              <w:top w:val="nil"/>
              <w:left w:val="nil"/>
              <w:bottom w:val="nil"/>
              <w:right w:val="nil"/>
            </w:tcBorders>
          </w:tcPr>
          <w:p w14:paraId="210783E4" w14:textId="77777777" w:rsidR="00CB17AD" w:rsidRPr="00B46EDC" w:rsidRDefault="00CB17AD" w:rsidP="00CB17AD">
            <w:pPr>
              <w:pStyle w:val="TableBody"/>
            </w:pPr>
          </w:p>
        </w:tc>
        <w:tc>
          <w:tcPr>
            <w:tcW w:w="1701" w:type="dxa"/>
            <w:tcBorders>
              <w:top w:val="nil"/>
              <w:left w:val="nil"/>
              <w:bottom w:val="nil"/>
            </w:tcBorders>
            <w:shd w:val="clear" w:color="auto" w:fill="auto"/>
          </w:tcPr>
          <w:p w14:paraId="385B9620" w14:textId="77777777" w:rsidR="00CB17AD" w:rsidRPr="00B46EDC" w:rsidRDefault="00CB17AD" w:rsidP="00CB17AD">
            <w:pPr>
              <w:pStyle w:val="TableBody"/>
            </w:pPr>
            <w:r>
              <w:t>4.03 (2.63-6.17)</w:t>
            </w:r>
          </w:p>
        </w:tc>
      </w:tr>
      <w:tr w:rsidR="00CB17AD" w14:paraId="2B17A084" w14:textId="77777777" w:rsidTr="00417EDC">
        <w:trPr>
          <w:jc w:val="center"/>
        </w:trPr>
        <w:tc>
          <w:tcPr>
            <w:tcW w:w="3118" w:type="dxa"/>
            <w:tcBorders>
              <w:top w:val="nil"/>
              <w:left w:val="single" w:sz="4" w:space="0" w:color="auto"/>
              <w:bottom w:val="nil"/>
              <w:right w:val="nil"/>
            </w:tcBorders>
            <w:shd w:val="clear" w:color="auto" w:fill="D9E2F3" w:themeFill="accent1" w:themeFillTint="33"/>
          </w:tcPr>
          <w:p w14:paraId="52E9693A" w14:textId="77777777" w:rsidR="00CB17AD" w:rsidRPr="00B46EDC" w:rsidRDefault="00CB17AD" w:rsidP="00CB17AD">
            <w:pPr>
              <w:pStyle w:val="TableRowIndent"/>
            </w:pPr>
            <w:r w:rsidRPr="00B46EDC">
              <w:t>Behaviour problems</w:t>
            </w:r>
          </w:p>
        </w:tc>
        <w:tc>
          <w:tcPr>
            <w:tcW w:w="1701" w:type="dxa"/>
            <w:tcBorders>
              <w:top w:val="nil"/>
              <w:left w:val="nil"/>
              <w:bottom w:val="nil"/>
              <w:right w:val="nil"/>
            </w:tcBorders>
            <w:shd w:val="clear" w:color="auto" w:fill="D9E2F3" w:themeFill="accent1" w:themeFillTint="33"/>
          </w:tcPr>
          <w:p w14:paraId="5F76AEEF" w14:textId="77777777" w:rsidR="00CB17AD" w:rsidRPr="00B46EDC" w:rsidRDefault="00CB17AD" w:rsidP="00CB17AD">
            <w:pPr>
              <w:pStyle w:val="TableBody"/>
            </w:pPr>
          </w:p>
        </w:tc>
        <w:tc>
          <w:tcPr>
            <w:tcW w:w="1701" w:type="dxa"/>
            <w:tcBorders>
              <w:top w:val="nil"/>
              <w:left w:val="nil"/>
              <w:bottom w:val="nil"/>
              <w:right w:val="nil"/>
            </w:tcBorders>
            <w:shd w:val="clear" w:color="auto" w:fill="D9E2F3" w:themeFill="accent1" w:themeFillTint="33"/>
          </w:tcPr>
          <w:p w14:paraId="6721F0FF" w14:textId="77777777" w:rsidR="00CB17AD" w:rsidRPr="00B46EDC" w:rsidRDefault="00CB17AD" w:rsidP="00CB17AD">
            <w:pPr>
              <w:pStyle w:val="TableBody"/>
            </w:pPr>
          </w:p>
        </w:tc>
        <w:tc>
          <w:tcPr>
            <w:tcW w:w="1701" w:type="dxa"/>
            <w:tcBorders>
              <w:top w:val="nil"/>
              <w:left w:val="nil"/>
              <w:bottom w:val="nil"/>
              <w:right w:val="single" w:sz="4" w:space="0" w:color="auto"/>
            </w:tcBorders>
            <w:shd w:val="clear" w:color="auto" w:fill="D9E2F3" w:themeFill="accent1" w:themeFillTint="33"/>
          </w:tcPr>
          <w:p w14:paraId="1C274F3D" w14:textId="77777777" w:rsidR="00CB17AD" w:rsidRPr="00B46EDC" w:rsidRDefault="00CB17AD" w:rsidP="00CB17AD">
            <w:pPr>
              <w:pStyle w:val="TableBody"/>
            </w:pPr>
          </w:p>
        </w:tc>
      </w:tr>
      <w:tr w:rsidR="00CB17AD" w14:paraId="3E655297" w14:textId="77777777" w:rsidTr="00CB17AD">
        <w:trPr>
          <w:jc w:val="center"/>
        </w:trPr>
        <w:tc>
          <w:tcPr>
            <w:tcW w:w="3118" w:type="dxa"/>
            <w:tcBorders>
              <w:top w:val="nil"/>
              <w:left w:val="single" w:sz="4" w:space="0" w:color="auto"/>
              <w:bottom w:val="nil"/>
              <w:right w:val="nil"/>
            </w:tcBorders>
          </w:tcPr>
          <w:p w14:paraId="4475BB20" w14:textId="77777777" w:rsidR="00CB17AD" w:rsidRPr="00B46EDC" w:rsidRDefault="00CB17AD" w:rsidP="00CB17AD">
            <w:pPr>
              <w:pStyle w:val="TableRowIndent"/>
            </w:pPr>
            <w:r w:rsidRPr="00B46EDC">
              <w:t xml:space="preserve">   None</w:t>
            </w:r>
          </w:p>
        </w:tc>
        <w:tc>
          <w:tcPr>
            <w:tcW w:w="1701" w:type="dxa"/>
            <w:tcBorders>
              <w:top w:val="nil"/>
              <w:left w:val="nil"/>
              <w:bottom w:val="nil"/>
              <w:right w:val="nil"/>
            </w:tcBorders>
          </w:tcPr>
          <w:p w14:paraId="739885ED" w14:textId="77777777" w:rsidR="00CB17AD" w:rsidRPr="00B46EDC" w:rsidRDefault="00CB17AD" w:rsidP="00CB17AD">
            <w:pPr>
              <w:pStyle w:val="TableBody"/>
            </w:pPr>
          </w:p>
        </w:tc>
        <w:tc>
          <w:tcPr>
            <w:tcW w:w="1701" w:type="dxa"/>
            <w:tcBorders>
              <w:top w:val="nil"/>
              <w:left w:val="nil"/>
              <w:bottom w:val="nil"/>
              <w:right w:val="nil"/>
            </w:tcBorders>
          </w:tcPr>
          <w:p w14:paraId="3D56C3FE" w14:textId="77777777" w:rsidR="00CB17AD" w:rsidRPr="00B46EDC" w:rsidRDefault="00CB17AD" w:rsidP="00CB17AD">
            <w:pPr>
              <w:pStyle w:val="TableBody"/>
            </w:pPr>
            <w:r w:rsidRPr="00E2649D">
              <w:t>1</w:t>
            </w:r>
          </w:p>
        </w:tc>
        <w:tc>
          <w:tcPr>
            <w:tcW w:w="1701" w:type="dxa"/>
            <w:tcBorders>
              <w:top w:val="nil"/>
              <w:left w:val="nil"/>
              <w:bottom w:val="nil"/>
              <w:right w:val="single" w:sz="4" w:space="0" w:color="auto"/>
            </w:tcBorders>
          </w:tcPr>
          <w:p w14:paraId="44A9BA85" w14:textId="77777777" w:rsidR="00CB17AD" w:rsidRPr="00B46EDC" w:rsidRDefault="00CB17AD" w:rsidP="00CB17AD">
            <w:pPr>
              <w:pStyle w:val="TableBody"/>
            </w:pPr>
            <w:r w:rsidRPr="00E2649D">
              <w:t>1</w:t>
            </w:r>
          </w:p>
        </w:tc>
      </w:tr>
      <w:tr w:rsidR="00CB17AD" w14:paraId="6E3D667C" w14:textId="77777777" w:rsidTr="00CB17AD">
        <w:trPr>
          <w:jc w:val="center"/>
        </w:trPr>
        <w:tc>
          <w:tcPr>
            <w:tcW w:w="3118" w:type="dxa"/>
            <w:tcBorders>
              <w:top w:val="nil"/>
              <w:left w:val="single" w:sz="4" w:space="0" w:color="auto"/>
              <w:bottom w:val="nil"/>
              <w:right w:val="nil"/>
            </w:tcBorders>
          </w:tcPr>
          <w:p w14:paraId="501E2F44" w14:textId="77777777" w:rsidR="00CB17AD" w:rsidRPr="00B46EDC" w:rsidRDefault="00CB17AD" w:rsidP="00CB17AD">
            <w:pPr>
              <w:pStyle w:val="TableRowIndent"/>
            </w:pPr>
            <w:r w:rsidRPr="00B46EDC">
              <w:t xml:space="preserve">   Single episode</w:t>
            </w:r>
          </w:p>
        </w:tc>
        <w:tc>
          <w:tcPr>
            <w:tcW w:w="1701" w:type="dxa"/>
            <w:tcBorders>
              <w:top w:val="nil"/>
              <w:left w:val="nil"/>
              <w:bottom w:val="nil"/>
              <w:right w:val="nil"/>
            </w:tcBorders>
          </w:tcPr>
          <w:p w14:paraId="31081753" w14:textId="77777777" w:rsidR="00CB17AD" w:rsidRPr="00B46EDC" w:rsidRDefault="00CB17AD" w:rsidP="00CB17AD">
            <w:pPr>
              <w:pStyle w:val="TableBody"/>
            </w:pPr>
          </w:p>
        </w:tc>
        <w:tc>
          <w:tcPr>
            <w:tcW w:w="1701" w:type="dxa"/>
            <w:tcBorders>
              <w:top w:val="nil"/>
              <w:left w:val="nil"/>
              <w:bottom w:val="nil"/>
              <w:right w:val="nil"/>
            </w:tcBorders>
          </w:tcPr>
          <w:p w14:paraId="1E7399E8" w14:textId="77777777" w:rsidR="00CB17AD" w:rsidRPr="00B46EDC" w:rsidRDefault="00CB17AD" w:rsidP="00CB17AD">
            <w:pPr>
              <w:pStyle w:val="TableBody"/>
            </w:pPr>
            <w:r w:rsidRPr="00E2649D">
              <w:t>1.53 (0.99</w:t>
            </w:r>
            <w:r>
              <w:t>-</w:t>
            </w:r>
            <w:r w:rsidRPr="00E2649D">
              <w:t>2.37)</w:t>
            </w:r>
          </w:p>
        </w:tc>
        <w:tc>
          <w:tcPr>
            <w:tcW w:w="1701" w:type="dxa"/>
            <w:tcBorders>
              <w:top w:val="nil"/>
              <w:left w:val="nil"/>
              <w:bottom w:val="nil"/>
              <w:right w:val="single" w:sz="4" w:space="0" w:color="auto"/>
            </w:tcBorders>
          </w:tcPr>
          <w:p w14:paraId="53E40916" w14:textId="77777777" w:rsidR="00CB17AD" w:rsidRPr="00B46EDC" w:rsidRDefault="00CB17AD" w:rsidP="00CB17AD">
            <w:pPr>
              <w:pStyle w:val="TableBody"/>
            </w:pPr>
            <w:r>
              <w:t>1.46 (0.92-2.33)</w:t>
            </w:r>
          </w:p>
        </w:tc>
      </w:tr>
      <w:tr w:rsidR="00CB17AD" w14:paraId="51471F9F" w14:textId="77777777" w:rsidTr="00CB17AD">
        <w:trPr>
          <w:jc w:val="center"/>
        </w:trPr>
        <w:tc>
          <w:tcPr>
            <w:tcW w:w="3118" w:type="dxa"/>
            <w:tcBorders>
              <w:top w:val="nil"/>
              <w:left w:val="single" w:sz="4" w:space="0" w:color="auto"/>
              <w:bottom w:val="single" w:sz="4" w:space="0" w:color="auto"/>
              <w:right w:val="nil"/>
            </w:tcBorders>
          </w:tcPr>
          <w:p w14:paraId="4491868D" w14:textId="77777777" w:rsidR="00CB17AD" w:rsidRPr="00B46EDC" w:rsidRDefault="00CB17AD" w:rsidP="00CB17AD">
            <w:pPr>
              <w:pStyle w:val="TableRowIndent"/>
            </w:pPr>
            <w:r w:rsidRPr="00B46EDC">
              <w:t xml:space="preserve">   Persistent</w:t>
            </w:r>
          </w:p>
        </w:tc>
        <w:tc>
          <w:tcPr>
            <w:tcW w:w="1701" w:type="dxa"/>
            <w:tcBorders>
              <w:top w:val="nil"/>
              <w:left w:val="nil"/>
              <w:bottom w:val="single" w:sz="4" w:space="0" w:color="auto"/>
              <w:right w:val="nil"/>
            </w:tcBorders>
          </w:tcPr>
          <w:p w14:paraId="1DE3B175" w14:textId="77777777" w:rsidR="00CB17AD" w:rsidRPr="00B46EDC" w:rsidRDefault="00CB17AD" w:rsidP="00CB17AD">
            <w:pPr>
              <w:pStyle w:val="TableBody"/>
            </w:pPr>
          </w:p>
        </w:tc>
        <w:tc>
          <w:tcPr>
            <w:tcW w:w="1701" w:type="dxa"/>
            <w:tcBorders>
              <w:top w:val="nil"/>
              <w:left w:val="nil"/>
              <w:bottom w:val="single" w:sz="4" w:space="0" w:color="auto"/>
              <w:right w:val="nil"/>
            </w:tcBorders>
          </w:tcPr>
          <w:p w14:paraId="431B8E00" w14:textId="77777777" w:rsidR="00CB17AD" w:rsidRPr="00B46EDC" w:rsidRDefault="00CB17AD" w:rsidP="00CB17AD">
            <w:pPr>
              <w:pStyle w:val="TableBody"/>
            </w:pPr>
            <w:r w:rsidRPr="00E2649D">
              <w:t>2.99 (1.98</w:t>
            </w:r>
            <w:r>
              <w:t>-</w:t>
            </w:r>
            <w:r w:rsidRPr="00E2649D">
              <w:t xml:space="preserve"> 4.52)</w:t>
            </w:r>
          </w:p>
        </w:tc>
        <w:tc>
          <w:tcPr>
            <w:tcW w:w="1701" w:type="dxa"/>
            <w:tcBorders>
              <w:top w:val="nil"/>
              <w:left w:val="nil"/>
              <w:bottom w:val="single" w:sz="4" w:space="0" w:color="auto"/>
              <w:right w:val="single" w:sz="4" w:space="0" w:color="auto"/>
            </w:tcBorders>
          </w:tcPr>
          <w:p w14:paraId="13236E32" w14:textId="77777777" w:rsidR="00CB17AD" w:rsidRPr="00B46EDC" w:rsidRDefault="00CB17AD" w:rsidP="00CB17AD">
            <w:pPr>
              <w:pStyle w:val="TableBody"/>
            </w:pPr>
            <w:r>
              <w:t>2.38 (1.55-3.66)</w:t>
            </w:r>
          </w:p>
        </w:tc>
      </w:tr>
    </w:tbl>
    <w:p w14:paraId="3094FE17" w14:textId="20A09BDD" w:rsidR="00330CAF" w:rsidRDefault="00330CAF" w:rsidP="00235296">
      <w:pPr>
        <w:spacing w:after="0"/>
        <w:rPr>
          <w:rFonts w:ascii="Times New Roman" w:hAnsi="Times New Roman" w:cs="Times New Roman"/>
          <w:sz w:val="18"/>
        </w:rPr>
      </w:pPr>
    </w:p>
    <w:p w14:paraId="5EE47E56" w14:textId="2A134651" w:rsidR="00CB17AD" w:rsidRPr="006A36B8" w:rsidRDefault="009C423A" w:rsidP="005265DE">
      <w:pPr>
        <w:pStyle w:val="ListParagraph"/>
        <w:numPr>
          <w:ilvl w:val="0"/>
          <w:numId w:val="12"/>
        </w:numPr>
        <w:spacing w:after="120"/>
        <w:ind w:left="714" w:hanging="357"/>
        <w:rPr>
          <w:rFonts w:ascii="Times New Roman" w:hAnsi="Times New Roman" w:cs="Times New Roman"/>
        </w:rPr>
      </w:pPr>
      <w:r w:rsidRPr="006A36B8">
        <w:t>Middle years indicator -</w:t>
      </w:r>
      <w:r w:rsidR="00CB17AD" w:rsidRPr="006A36B8">
        <w:t xml:space="preserve"> </w:t>
      </w:r>
      <w:r w:rsidR="00BB0D05" w:rsidRPr="006A36B8">
        <w:t>p</w:t>
      </w:r>
      <w:r w:rsidR="00CB17AD" w:rsidRPr="006A36B8">
        <w:t>oor subjective wellbeing</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d) Middle years indicator - poor subjective wellbeing"/>
      </w:tblPr>
      <w:tblGrid>
        <w:gridCol w:w="3118"/>
        <w:gridCol w:w="1701"/>
        <w:gridCol w:w="1701"/>
        <w:gridCol w:w="1701"/>
      </w:tblGrid>
      <w:tr w:rsidR="00CB17AD" w:rsidRPr="007626EF" w14:paraId="3077A2F5" w14:textId="77777777" w:rsidTr="00CB17AD">
        <w:trPr>
          <w:jc w:val="center"/>
        </w:trPr>
        <w:tc>
          <w:tcPr>
            <w:tcW w:w="3118" w:type="dxa"/>
            <w:shd w:val="clear" w:color="auto" w:fill="0070C0"/>
          </w:tcPr>
          <w:p w14:paraId="7ECF9C1B" w14:textId="77777777" w:rsidR="00CB17AD" w:rsidRPr="007626EF" w:rsidRDefault="00CB17AD" w:rsidP="00CB17AD">
            <w:pPr>
              <w:pStyle w:val="TableHeader1"/>
            </w:pPr>
          </w:p>
        </w:tc>
        <w:tc>
          <w:tcPr>
            <w:tcW w:w="1701" w:type="dxa"/>
            <w:shd w:val="clear" w:color="auto" w:fill="0070C0"/>
          </w:tcPr>
          <w:p w14:paraId="7DA4A31A" w14:textId="77777777" w:rsidR="00CB17AD" w:rsidRPr="007626EF" w:rsidRDefault="00CB17AD" w:rsidP="00CB17AD">
            <w:pPr>
              <w:pStyle w:val="TableHeader1"/>
            </w:pPr>
            <w:r w:rsidRPr="007626EF">
              <w:t>Step 1</w:t>
            </w:r>
          </w:p>
        </w:tc>
        <w:tc>
          <w:tcPr>
            <w:tcW w:w="1701" w:type="dxa"/>
            <w:shd w:val="clear" w:color="auto" w:fill="0070C0"/>
          </w:tcPr>
          <w:p w14:paraId="301220D8" w14:textId="77777777" w:rsidR="00CB17AD" w:rsidRPr="007626EF" w:rsidRDefault="00CB17AD" w:rsidP="00CB17AD">
            <w:pPr>
              <w:pStyle w:val="TableHeader1"/>
            </w:pPr>
            <w:r w:rsidRPr="007626EF">
              <w:t>Step 2</w:t>
            </w:r>
          </w:p>
        </w:tc>
        <w:tc>
          <w:tcPr>
            <w:tcW w:w="1701" w:type="dxa"/>
            <w:shd w:val="clear" w:color="auto" w:fill="0070C0"/>
          </w:tcPr>
          <w:p w14:paraId="4282D6CF" w14:textId="77777777" w:rsidR="00CB17AD" w:rsidRPr="007626EF" w:rsidRDefault="00CB17AD" w:rsidP="00CB17AD">
            <w:pPr>
              <w:pStyle w:val="TableHeader1"/>
            </w:pPr>
            <w:r w:rsidRPr="007626EF">
              <w:t>Step 3</w:t>
            </w:r>
          </w:p>
        </w:tc>
      </w:tr>
      <w:tr w:rsidR="00CB17AD" w:rsidRPr="007626EF" w14:paraId="31C654DF" w14:textId="77777777" w:rsidTr="00417EDC">
        <w:trPr>
          <w:jc w:val="center"/>
        </w:trPr>
        <w:tc>
          <w:tcPr>
            <w:tcW w:w="3118" w:type="dxa"/>
            <w:shd w:val="clear" w:color="auto" w:fill="D9E2F3" w:themeFill="accent1" w:themeFillTint="33"/>
          </w:tcPr>
          <w:p w14:paraId="78B37016" w14:textId="77777777" w:rsidR="00CB17AD" w:rsidRPr="007626EF" w:rsidRDefault="00CB17AD" w:rsidP="00CB17AD">
            <w:pPr>
              <w:pStyle w:val="TableRowIndent"/>
            </w:pPr>
            <w:r w:rsidRPr="00297783">
              <w:t>Developmental</w:t>
            </w:r>
            <w:r>
              <w:t>ly</w:t>
            </w:r>
            <w:r w:rsidRPr="00297783">
              <w:t xml:space="preserve"> vulnerab</w:t>
            </w:r>
            <w:r>
              <w:t>le</w:t>
            </w:r>
          </w:p>
        </w:tc>
        <w:tc>
          <w:tcPr>
            <w:tcW w:w="1701" w:type="dxa"/>
            <w:shd w:val="clear" w:color="auto" w:fill="D9E2F3" w:themeFill="accent1" w:themeFillTint="33"/>
          </w:tcPr>
          <w:p w14:paraId="16DFE917" w14:textId="77777777" w:rsidR="00CB17AD" w:rsidRPr="007626EF" w:rsidRDefault="00CB17AD" w:rsidP="00CB17AD">
            <w:pPr>
              <w:pStyle w:val="TableBody"/>
            </w:pPr>
          </w:p>
        </w:tc>
        <w:tc>
          <w:tcPr>
            <w:tcW w:w="1701" w:type="dxa"/>
            <w:shd w:val="clear" w:color="auto" w:fill="D9E2F3" w:themeFill="accent1" w:themeFillTint="33"/>
          </w:tcPr>
          <w:p w14:paraId="26FDDCD1" w14:textId="77777777" w:rsidR="00CB17AD" w:rsidRPr="007626EF" w:rsidRDefault="00CB17AD" w:rsidP="00CB17AD">
            <w:pPr>
              <w:pStyle w:val="TableBody"/>
            </w:pPr>
          </w:p>
        </w:tc>
        <w:tc>
          <w:tcPr>
            <w:tcW w:w="1701" w:type="dxa"/>
            <w:shd w:val="clear" w:color="auto" w:fill="D9E2F3" w:themeFill="accent1" w:themeFillTint="33"/>
          </w:tcPr>
          <w:p w14:paraId="740D0002" w14:textId="77777777" w:rsidR="00CB17AD" w:rsidRPr="007626EF" w:rsidRDefault="00CB17AD" w:rsidP="00CB17AD">
            <w:pPr>
              <w:pStyle w:val="TableBody"/>
            </w:pPr>
          </w:p>
        </w:tc>
      </w:tr>
      <w:tr w:rsidR="00CB17AD" w:rsidRPr="007626EF" w14:paraId="4B2C80CB" w14:textId="77777777" w:rsidTr="00CB17AD">
        <w:trPr>
          <w:jc w:val="center"/>
        </w:trPr>
        <w:tc>
          <w:tcPr>
            <w:tcW w:w="3118" w:type="dxa"/>
          </w:tcPr>
          <w:p w14:paraId="20B2CA80" w14:textId="77777777" w:rsidR="00CB17AD" w:rsidRPr="007626EF" w:rsidRDefault="00CB17AD" w:rsidP="00CB17AD">
            <w:pPr>
              <w:pStyle w:val="TableRowIndent"/>
            </w:pPr>
            <w:r w:rsidRPr="007626EF">
              <w:t xml:space="preserve">   No</w:t>
            </w:r>
          </w:p>
        </w:tc>
        <w:tc>
          <w:tcPr>
            <w:tcW w:w="1701" w:type="dxa"/>
          </w:tcPr>
          <w:p w14:paraId="060F6207" w14:textId="77777777" w:rsidR="00CB17AD" w:rsidRPr="007626EF" w:rsidRDefault="00CB17AD" w:rsidP="00CB17AD">
            <w:pPr>
              <w:pStyle w:val="TableBody"/>
            </w:pPr>
            <w:r w:rsidRPr="007626EF">
              <w:t>1</w:t>
            </w:r>
          </w:p>
        </w:tc>
        <w:tc>
          <w:tcPr>
            <w:tcW w:w="1701" w:type="dxa"/>
          </w:tcPr>
          <w:p w14:paraId="17304BA3" w14:textId="77777777" w:rsidR="00CB17AD" w:rsidRPr="007626EF" w:rsidRDefault="00CB17AD" w:rsidP="00CB17AD">
            <w:pPr>
              <w:pStyle w:val="TableBody"/>
            </w:pPr>
          </w:p>
        </w:tc>
        <w:tc>
          <w:tcPr>
            <w:tcW w:w="1701" w:type="dxa"/>
          </w:tcPr>
          <w:p w14:paraId="32D25C52" w14:textId="77777777" w:rsidR="00CB17AD" w:rsidRPr="007626EF" w:rsidRDefault="00CB17AD" w:rsidP="00CB17AD">
            <w:pPr>
              <w:pStyle w:val="TableBody"/>
            </w:pPr>
            <w:r w:rsidRPr="007626EF">
              <w:t>1</w:t>
            </w:r>
          </w:p>
        </w:tc>
      </w:tr>
      <w:tr w:rsidR="00CB17AD" w:rsidRPr="007626EF" w14:paraId="306D69A8" w14:textId="77777777" w:rsidTr="00CB17AD">
        <w:trPr>
          <w:jc w:val="center"/>
        </w:trPr>
        <w:tc>
          <w:tcPr>
            <w:tcW w:w="3118" w:type="dxa"/>
          </w:tcPr>
          <w:p w14:paraId="0555BEC5" w14:textId="77777777" w:rsidR="00CB17AD" w:rsidRPr="007626EF" w:rsidRDefault="00CB17AD" w:rsidP="00CB17AD">
            <w:pPr>
              <w:pStyle w:val="TableRowIndent"/>
            </w:pPr>
            <w:r w:rsidRPr="007626EF">
              <w:t xml:space="preserve">   Yes</w:t>
            </w:r>
          </w:p>
        </w:tc>
        <w:tc>
          <w:tcPr>
            <w:tcW w:w="1701" w:type="dxa"/>
          </w:tcPr>
          <w:p w14:paraId="458448EF" w14:textId="77777777" w:rsidR="00CB17AD" w:rsidRPr="007626EF" w:rsidRDefault="00CB17AD" w:rsidP="00CB17AD">
            <w:pPr>
              <w:pStyle w:val="TableBody"/>
            </w:pPr>
            <w:r w:rsidRPr="007626EF">
              <w:t>4.53 (2.98-6.89)</w:t>
            </w:r>
          </w:p>
        </w:tc>
        <w:tc>
          <w:tcPr>
            <w:tcW w:w="1701" w:type="dxa"/>
          </w:tcPr>
          <w:p w14:paraId="7EEEC998" w14:textId="77777777" w:rsidR="00CB17AD" w:rsidRPr="007626EF" w:rsidRDefault="00CB17AD" w:rsidP="00CB17AD">
            <w:pPr>
              <w:pStyle w:val="TableBody"/>
            </w:pPr>
          </w:p>
        </w:tc>
        <w:tc>
          <w:tcPr>
            <w:tcW w:w="1701" w:type="dxa"/>
          </w:tcPr>
          <w:p w14:paraId="29B8C514" w14:textId="77777777" w:rsidR="00CB17AD" w:rsidRPr="007626EF" w:rsidRDefault="00CB17AD" w:rsidP="00CB17AD">
            <w:pPr>
              <w:pStyle w:val="TableBody"/>
            </w:pPr>
            <w:r w:rsidRPr="007626EF">
              <w:t>4.23 (2.78-6.46)</w:t>
            </w:r>
          </w:p>
        </w:tc>
      </w:tr>
      <w:tr w:rsidR="00CB17AD" w:rsidRPr="007626EF" w14:paraId="41CDDC74" w14:textId="77777777" w:rsidTr="00417EDC">
        <w:trPr>
          <w:jc w:val="center"/>
        </w:trPr>
        <w:tc>
          <w:tcPr>
            <w:tcW w:w="3118" w:type="dxa"/>
            <w:shd w:val="clear" w:color="auto" w:fill="D9E2F3" w:themeFill="accent1" w:themeFillTint="33"/>
          </w:tcPr>
          <w:p w14:paraId="707B2041" w14:textId="77777777" w:rsidR="00CB17AD" w:rsidRPr="007626EF" w:rsidRDefault="00CB17AD" w:rsidP="00CB17AD">
            <w:pPr>
              <w:pStyle w:val="TableRowIndent"/>
            </w:pPr>
            <w:r w:rsidRPr="007626EF">
              <w:t>Poor subjective wellbeing</w:t>
            </w:r>
          </w:p>
        </w:tc>
        <w:tc>
          <w:tcPr>
            <w:tcW w:w="1701" w:type="dxa"/>
            <w:shd w:val="clear" w:color="auto" w:fill="D9E2F3" w:themeFill="accent1" w:themeFillTint="33"/>
          </w:tcPr>
          <w:p w14:paraId="3E914FBB" w14:textId="77777777" w:rsidR="00CB17AD" w:rsidRPr="007626EF" w:rsidRDefault="00CB17AD" w:rsidP="00CB17AD">
            <w:pPr>
              <w:pStyle w:val="TableBody"/>
            </w:pPr>
          </w:p>
        </w:tc>
        <w:tc>
          <w:tcPr>
            <w:tcW w:w="1701" w:type="dxa"/>
            <w:shd w:val="clear" w:color="auto" w:fill="D9E2F3" w:themeFill="accent1" w:themeFillTint="33"/>
          </w:tcPr>
          <w:p w14:paraId="67AC84FC" w14:textId="77777777" w:rsidR="00CB17AD" w:rsidRPr="007626EF" w:rsidRDefault="00CB17AD" w:rsidP="00CB17AD">
            <w:pPr>
              <w:pStyle w:val="TableBody"/>
            </w:pPr>
          </w:p>
        </w:tc>
        <w:tc>
          <w:tcPr>
            <w:tcW w:w="1701" w:type="dxa"/>
            <w:shd w:val="clear" w:color="auto" w:fill="D9E2F3" w:themeFill="accent1" w:themeFillTint="33"/>
          </w:tcPr>
          <w:p w14:paraId="60769F65" w14:textId="77777777" w:rsidR="00CB17AD" w:rsidRPr="007626EF" w:rsidRDefault="00CB17AD" w:rsidP="00CB17AD">
            <w:pPr>
              <w:pStyle w:val="TableBody"/>
            </w:pPr>
          </w:p>
        </w:tc>
      </w:tr>
      <w:tr w:rsidR="00CB17AD" w:rsidRPr="007626EF" w14:paraId="421F07CC" w14:textId="77777777" w:rsidTr="00CB17AD">
        <w:trPr>
          <w:jc w:val="center"/>
        </w:trPr>
        <w:tc>
          <w:tcPr>
            <w:tcW w:w="3118" w:type="dxa"/>
          </w:tcPr>
          <w:p w14:paraId="118F2429" w14:textId="77777777" w:rsidR="00CB17AD" w:rsidRPr="007626EF" w:rsidRDefault="00CB17AD" w:rsidP="00CB17AD">
            <w:pPr>
              <w:pStyle w:val="TableRowIndent"/>
            </w:pPr>
            <w:r w:rsidRPr="007626EF">
              <w:t xml:space="preserve">   None</w:t>
            </w:r>
          </w:p>
        </w:tc>
        <w:tc>
          <w:tcPr>
            <w:tcW w:w="1701" w:type="dxa"/>
          </w:tcPr>
          <w:p w14:paraId="3B6B0074" w14:textId="77777777" w:rsidR="00CB17AD" w:rsidRPr="007626EF" w:rsidRDefault="00CB17AD" w:rsidP="00CB17AD">
            <w:pPr>
              <w:pStyle w:val="TableBody"/>
            </w:pPr>
          </w:p>
        </w:tc>
        <w:tc>
          <w:tcPr>
            <w:tcW w:w="1701" w:type="dxa"/>
          </w:tcPr>
          <w:p w14:paraId="12FD2787" w14:textId="77777777" w:rsidR="00CB17AD" w:rsidRPr="007626EF" w:rsidRDefault="00CB17AD" w:rsidP="00CB17AD">
            <w:pPr>
              <w:pStyle w:val="TableBody"/>
            </w:pPr>
            <w:r w:rsidRPr="007626EF">
              <w:t>1</w:t>
            </w:r>
          </w:p>
        </w:tc>
        <w:tc>
          <w:tcPr>
            <w:tcW w:w="1701" w:type="dxa"/>
          </w:tcPr>
          <w:p w14:paraId="14E2212A" w14:textId="77777777" w:rsidR="00CB17AD" w:rsidRPr="007626EF" w:rsidRDefault="00CB17AD" w:rsidP="00CB17AD">
            <w:pPr>
              <w:pStyle w:val="TableBody"/>
            </w:pPr>
            <w:r w:rsidRPr="007626EF">
              <w:t>1</w:t>
            </w:r>
          </w:p>
        </w:tc>
      </w:tr>
      <w:tr w:rsidR="00CB17AD" w:rsidRPr="007626EF" w14:paraId="330405DC" w14:textId="77777777" w:rsidTr="00CB17AD">
        <w:trPr>
          <w:jc w:val="center"/>
        </w:trPr>
        <w:tc>
          <w:tcPr>
            <w:tcW w:w="3118" w:type="dxa"/>
          </w:tcPr>
          <w:p w14:paraId="3B7AF826" w14:textId="77777777" w:rsidR="00CB17AD" w:rsidRPr="007626EF" w:rsidRDefault="00CB17AD" w:rsidP="00CB17AD">
            <w:pPr>
              <w:pStyle w:val="TableRowIndent"/>
            </w:pPr>
            <w:r w:rsidRPr="007626EF">
              <w:t xml:space="preserve">   Single episode</w:t>
            </w:r>
          </w:p>
        </w:tc>
        <w:tc>
          <w:tcPr>
            <w:tcW w:w="1701" w:type="dxa"/>
          </w:tcPr>
          <w:p w14:paraId="778E97E0" w14:textId="77777777" w:rsidR="00CB17AD" w:rsidRPr="007626EF" w:rsidRDefault="00CB17AD" w:rsidP="00CB17AD">
            <w:pPr>
              <w:pStyle w:val="TableBody"/>
            </w:pPr>
          </w:p>
        </w:tc>
        <w:tc>
          <w:tcPr>
            <w:tcW w:w="1701" w:type="dxa"/>
          </w:tcPr>
          <w:p w14:paraId="346576EB" w14:textId="77777777" w:rsidR="00CB17AD" w:rsidRPr="007626EF" w:rsidRDefault="00CB17AD" w:rsidP="00CB17AD">
            <w:pPr>
              <w:pStyle w:val="TableBody"/>
            </w:pPr>
            <w:r w:rsidRPr="007626EF">
              <w:t>2.05 (1.38-3.04)</w:t>
            </w:r>
          </w:p>
        </w:tc>
        <w:tc>
          <w:tcPr>
            <w:tcW w:w="1701" w:type="dxa"/>
          </w:tcPr>
          <w:p w14:paraId="338FE9AB" w14:textId="77777777" w:rsidR="00CB17AD" w:rsidRPr="007626EF" w:rsidRDefault="00CB17AD" w:rsidP="00CB17AD">
            <w:pPr>
              <w:pStyle w:val="TableBody"/>
            </w:pPr>
            <w:r w:rsidRPr="007626EF">
              <w:t>1.87 (1.24-2.80)</w:t>
            </w:r>
          </w:p>
        </w:tc>
      </w:tr>
      <w:tr w:rsidR="00CB17AD" w:rsidRPr="007626EF" w14:paraId="624BB916" w14:textId="77777777" w:rsidTr="00CB17AD">
        <w:trPr>
          <w:jc w:val="center"/>
        </w:trPr>
        <w:tc>
          <w:tcPr>
            <w:tcW w:w="3118" w:type="dxa"/>
          </w:tcPr>
          <w:p w14:paraId="3C61A05D" w14:textId="77777777" w:rsidR="00CB17AD" w:rsidRPr="007626EF" w:rsidRDefault="00CB17AD" w:rsidP="00CB17AD">
            <w:pPr>
              <w:pStyle w:val="TableRowIndent"/>
            </w:pPr>
            <w:r w:rsidRPr="007626EF">
              <w:t xml:space="preserve">   Persistent</w:t>
            </w:r>
          </w:p>
        </w:tc>
        <w:tc>
          <w:tcPr>
            <w:tcW w:w="1701" w:type="dxa"/>
          </w:tcPr>
          <w:p w14:paraId="0851E8A7" w14:textId="77777777" w:rsidR="00CB17AD" w:rsidRPr="007626EF" w:rsidRDefault="00CB17AD" w:rsidP="00CB17AD">
            <w:pPr>
              <w:pStyle w:val="TableBody"/>
            </w:pPr>
          </w:p>
        </w:tc>
        <w:tc>
          <w:tcPr>
            <w:tcW w:w="1701" w:type="dxa"/>
          </w:tcPr>
          <w:p w14:paraId="4957127A" w14:textId="77777777" w:rsidR="00CB17AD" w:rsidRPr="007626EF" w:rsidRDefault="00CB17AD" w:rsidP="00CB17AD">
            <w:pPr>
              <w:pStyle w:val="TableBody"/>
            </w:pPr>
            <w:r w:rsidRPr="007626EF">
              <w:t>2.18 (1.36-3.50)</w:t>
            </w:r>
          </w:p>
        </w:tc>
        <w:tc>
          <w:tcPr>
            <w:tcW w:w="1701" w:type="dxa"/>
          </w:tcPr>
          <w:p w14:paraId="2C6CBAEC" w14:textId="77777777" w:rsidR="00CB17AD" w:rsidRPr="007626EF" w:rsidRDefault="00CB17AD" w:rsidP="00CB17AD">
            <w:pPr>
              <w:pStyle w:val="TableBody"/>
            </w:pPr>
            <w:r w:rsidRPr="007626EF">
              <w:t>1.91 (1.17-3.12)</w:t>
            </w:r>
          </w:p>
        </w:tc>
      </w:tr>
    </w:tbl>
    <w:p w14:paraId="0E087A87" w14:textId="77777777" w:rsidR="00CB17AD" w:rsidRDefault="00CB17AD" w:rsidP="00235296">
      <w:pPr>
        <w:spacing w:after="0"/>
        <w:rPr>
          <w:rFonts w:ascii="Times New Roman" w:hAnsi="Times New Roman" w:cs="Times New Roman"/>
        </w:rPr>
      </w:pPr>
    </w:p>
    <w:p w14:paraId="76515858" w14:textId="233607A8" w:rsidR="00CB17AD" w:rsidRPr="006A36B8" w:rsidRDefault="00CB17AD" w:rsidP="005265DE">
      <w:pPr>
        <w:pStyle w:val="ListParagraph"/>
        <w:numPr>
          <w:ilvl w:val="0"/>
          <w:numId w:val="12"/>
        </w:numPr>
        <w:spacing w:after="120"/>
        <w:ind w:left="714" w:hanging="357"/>
      </w:pPr>
      <w:r w:rsidRPr="006A36B8">
        <w:t xml:space="preserve">Middle years indicator </w:t>
      </w:r>
      <w:r w:rsidR="00BB0D05" w:rsidRPr="006A36B8">
        <w:t>-</w:t>
      </w:r>
      <w:r w:rsidRPr="006A36B8">
        <w:t xml:space="preserve"> </w:t>
      </w:r>
      <w:r w:rsidR="00BB0D05" w:rsidRPr="006A36B8">
        <w:t>p</w:t>
      </w:r>
      <w:r w:rsidRPr="006A36B8">
        <w:t>eer support</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e) Middle years indicator - peer support"/>
      </w:tblPr>
      <w:tblGrid>
        <w:gridCol w:w="3118"/>
        <w:gridCol w:w="1701"/>
        <w:gridCol w:w="1701"/>
        <w:gridCol w:w="1701"/>
      </w:tblGrid>
      <w:tr w:rsidR="00CB17AD" w:rsidRPr="004733E7" w14:paraId="20693820" w14:textId="77777777" w:rsidTr="00CB17AD">
        <w:trPr>
          <w:jc w:val="center"/>
        </w:trPr>
        <w:tc>
          <w:tcPr>
            <w:tcW w:w="3118" w:type="dxa"/>
            <w:shd w:val="clear" w:color="auto" w:fill="0070C0"/>
          </w:tcPr>
          <w:p w14:paraId="29B716DD" w14:textId="77777777" w:rsidR="00CB17AD" w:rsidRPr="00AE4C24" w:rsidRDefault="00CB17AD" w:rsidP="00CB17AD">
            <w:pPr>
              <w:pStyle w:val="TableHeader1"/>
            </w:pPr>
          </w:p>
        </w:tc>
        <w:tc>
          <w:tcPr>
            <w:tcW w:w="1701" w:type="dxa"/>
            <w:shd w:val="clear" w:color="auto" w:fill="0070C0"/>
          </w:tcPr>
          <w:p w14:paraId="6FF4EF87" w14:textId="77777777" w:rsidR="00CB17AD" w:rsidRPr="00AE4C24" w:rsidRDefault="00CB17AD" w:rsidP="00CB17AD">
            <w:pPr>
              <w:pStyle w:val="TableHeader1"/>
            </w:pPr>
            <w:r w:rsidRPr="00AE4C24">
              <w:t>Step 1</w:t>
            </w:r>
          </w:p>
        </w:tc>
        <w:tc>
          <w:tcPr>
            <w:tcW w:w="1701" w:type="dxa"/>
            <w:shd w:val="clear" w:color="auto" w:fill="0070C0"/>
          </w:tcPr>
          <w:p w14:paraId="229606AE" w14:textId="77777777" w:rsidR="00CB17AD" w:rsidRPr="00AE4C24" w:rsidRDefault="00CB17AD" w:rsidP="00CB17AD">
            <w:pPr>
              <w:pStyle w:val="TableHeader1"/>
            </w:pPr>
            <w:r w:rsidRPr="00AE4C24">
              <w:t>Step 2</w:t>
            </w:r>
          </w:p>
        </w:tc>
        <w:tc>
          <w:tcPr>
            <w:tcW w:w="1701" w:type="dxa"/>
            <w:shd w:val="clear" w:color="auto" w:fill="0070C0"/>
          </w:tcPr>
          <w:p w14:paraId="708B05C5" w14:textId="77777777" w:rsidR="00CB17AD" w:rsidRPr="00AE4C24" w:rsidRDefault="00CB17AD" w:rsidP="00CB17AD">
            <w:pPr>
              <w:pStyle w:val="TableHeader1"/>
            </w:pPr>
            <w:r w:rsidRPr="00AE4C24">
              <w:t>Step 3</w:t>
            </w:r>
          </w:p>
        </w:tc>
      </w:tr>
      <w:tr w:rsidR="00CB17AD" w:rsidRPr="004733E7" w14:paraId="385BB05B" w14:textId="77777777" w:rsidTr="00417EDC">
        <w:trPr>
          <w:jc w:val="center"/>
        </w:trPr>
        <w:tc>
          <w:tcPr>
            <w:tcW w:w="3118" w:type="dxa"/>
            <w:shd w:val="clear" w:color="auto" w:fill="D9E2F3" w:themeFill="accent1" w:themeFillTint="33"/>
          </w:tcPr>
          <w:p w14:paraId="5E7A226B" w14:textId="5FA1585C" w:rsidR="00CB17AD" w:rsidRPr="004733E7" w:rsidRDefault="00CB17AD" w:rsidP="00CB17AD">
            <w:pPr>
              <w:pStyle w:val="TableRowIndent"/>
            </w:pPr>
            <w:r w:rsidRPr="00297783">
              <w:t>Developmental</w:t>
            </w:r>
            <w:r>
              <w:t>ly</w:t>
            </w:r>
            <w:r w:rsidRPr="00297783">
              <w:t xml:space="preserve"> vulnerab</w:t>
            </w:r>
            <w:r>
              <w:t>le</w:t>
            </w:r>
          </w:p>
        </w:tc>
        <w:tc>
          <w:tcPr>
            <w:tcW w:w="1701" w:type="dxa"/>
            <w:shd w:val="clear" w:color="auto" w:fill="D9E2F3" w:themeFill="accent1" w:themeFillTint="33"/>
          </w:tcPr>
          <w:p w14:paraId="0E875058" w14:textId="77777777" w:rsidR="00CB17AD" w:rsidRPr="004733E7" w:rsidRDefault="00CB17AD" w:rsidP="00CB17AD">
            <w:pPr>
              <w:pStyle w:val="TableBody"/>
            </w:pPr>
          </w:p>
        </w:tc>
        <w:tc>
          <w:tcPr>
            <w:tcW w:w="1701" w:type="dxa"/>
            <w:shd w:val="clear" w:color="auto" w:fill="D9E2F3" w:themeFill="accent1" w:themeFillTint="33"/>
          </w:tcPr>
          <w:p w14:paraId="782201E7" w14:textId="77777777" w:rsidR="00CB17AD" w:rsidRPr="004733E7" w:rsidRDefault="00CB17AD" w:rsidP="00CB17AD">
            <w:pPr>
              <w:pStyle w:val="TableBody"/>
            </w:pPr>
          </w:p>
        </w:tc>
        <w:tc>
          <w:tcPr>
            <w:tcW w:w="1701" w:type="dxa"/>
            <w:shd w:val="clear" w:color="auto" w:fill="D9E2F3" w:themeFill="accent1" w:themeFillTint="33"/>
          </w:tcPr>
          <w:p w14:paraId="4BAFF520" w14:textId="77777777" w:rsidR="00CB17AD" w:rsidRPr="004733E7" w:rsidRDefault="00CB17AD" w:rsidP="00CB17AD">
            <w:pPr>
              <w:pStyle w:val="TableBody"/>
            </w:pPr>
          </w:p>
        </w:tc>
      </w:tr>
      <w:tr w:rsidR="00CB17AD" w:rsidRPr="004733E7" w14:paraId="0910F4D4" w14:textId="77777777" w:rsidTr="00CB17AD">
        <w:trPr>
          <w:jc w:val="center"/>
        </w:trPr>
        <w:tc>
          <w:tcPr>
            <w:tcW w:w="3118" w:type="dxa"/>
          </w:tcPr>
          <w:p w14:paraId="308963D5" w14:textId="77777777" w:rsidR="00CB17AD" w:rsidRPr="004733E7" w:rsidRDefault="00CB17AD" w:rsidP="00CB17AD">
            <w:pPr>
              <w:pStyle w:val="TableRowIndent"/>
            </w:pPr>
            <w:r w:rsidRPr="004733E7">
              <w:t xml:space="preserve">   No</w:t>
            </w:r>
          </w:p>
        </w:tc>
        <w:tc>
          <w:tcPr>
            <w:tcW w:w="1701" w:type="dxa"/>
          </w:tcPr>
          <w:p w14:paraId="21C7B4E1" w14:textId="77777777" w:rsidR="00CB17AD" w:rsidRPr="004733E7" w:rsidRDefault="00CB17AD" w:rsidP="00CB17AD">
            <w:pPr>
              <w:pStyle w:val="TableBody"/>
            </w:pPr>
            <w:r w:rsidRPr="004733E7">
              <w:t>1</w:t>
            </w:r>
          </w:p>
        </w:tc>
        <w:tc>
          <w:tcPr>
            <w:tcW w:w="1701" w:type="dxa"/>
          </w:tcPr>
          <w:p w14:paraId="0572CEB2" w14:textId="77777777" w:rsidR="00CB17AD" w:rsidRPr="004733E7" w:rsidRDefault="00CB17AD" w:rsidP="00CB17AD">
            <w:pPr>
              <w:pStyle w:val="TableBody"/>
            </w:pPr>
          </w:p>
        </w:tc>
        <w:tc>
          <w:tcPr>
            <w:tcW w:w="1701" w:type="dxa"/>
          </w:tcPr>
          <w:p w14:paraId="2070238F" w14:textId="77777777" w:rsidR="00CB17AD" w:rsidRPr="004733E7" w:rsidRDefault="00CB17AD" w:rsidP="00CB17AD">
            <w:pPr>
              <w:pStyle w:val="TableBody"/>
            </w:pPr>
            <w:r w:rsidRPr="004733E7">
              <w:t>1</w:t>
            </w:r>
          </w:p>
        </w:tc>
      </w:tr>
      <w:tr w:rsidR="00CB17AD" w:rsidRPr="004733E7" w14:paraId="175F6B75" w14:textId="77777777" w:rsidTr="00CB17AD">
        <w:trPr>
          <w:jc w:val="center"/>
        </w:trPr>
        <w:tc>
          <w:tcPr>
            <w:tcW w:w="3118" w:type="dxa"/>
          </w:tcPr>
          <w:p w14:paraId="6A8D0E41" w14:textId="77777777" w:rsidR="00CB17AD" w:rsidRPr="004733E7" w:rsidRDefault="00CB17AD" w:rsidP="00CB17AD">
            <w:pPr>
              <w:pStyle w:val="TableRowIndent"/>
            </w:pPr>
            <w:r w:rsidRPr="004733E7">
              <w:t xml:space="preserve">   Yes</w:t>
            </w:r>
          </w:p>
        </w:tc>
        <w:tc>
          <w:tcPr>
            <w:tcW w:w="1701" w:type="dxa"/>
          </w:tcPr>
          <w:p w14:paraId="4068B804" w14:textId="77777777" w:rsidR="00CB17AD" w:rsidRPr="004733E7" w:rsidRDefault="00CB17AD" w:rsidP="00CB17AD">
            <w:pPr>
              <w:pStyle w:val="TableBody"/>
            </w:pPr>
            <w:r w:rsidRPr="004733E7">
              <w:t>4.53 (2.98-6.89)</w:t>
            </w:r>
          </w:p>
        </w:tc>
        <w:tc>
          <w:tcPr>
            <w:tcW w:w="1701" w:type="dxa"/>
          </w:tcPr>
          <w:p w14:paraId="0C685A95" w14:textId="77777777" w:rsidR="00CB17AD" w:rsidRPr="004733E7" w:rsidRDefault="00CB17AD" w:rsidP="00CB17AD">
            <w:pPr>
              <w:pStyle w:val="TableBody"/>
            </w:pPr>
          </w:p>
        </w:tc>
        <w:tc>
          <w:tcPr>
            <w:tcW w:w="1701" w:type="dxa"/>
          </w:tcPr>
          <w:p w14:paraId="1A67B38A" w14:textId="77777777" w:rsidR="00CB17AD" w:rsidRPr="004733E7" w:rsidRDefault="00CB17AD" w:rsidP="00CB17AD">
            <w:pPr>
              <w:pStyle w:val="TableBody"/>
            </w:pPr>
            <w:r w:rsidRPr="004733E7">
              <w:t>4.54 (3.00-6.89)</w:t>
            </w:r>
          </w:p>
        </w:tc>
      </w:tr>
      <w:tr w:rsidR="00CB17AD" w:rsidRPr="004733E7" w14:paraId="06B84BE0" w14:textId="77777777" w:rsidTr="00417EDC">
        <w:trPr>
          <w:jc w:val="center"/>
        </w:trPr>
        <w:tc>
          <w:tcPr>
            <w:tcW w:w="3118" w:type="dxa"/>
            <w:shd w:val="clear" w:color="auto" w:fill="D9E2F3" w:themeFill="accent1" w:themeFillTint="33"/>
          </w:tcPr>
          <w:p w14:paraId="42AA356E" w14:textId="77777777" w:rsidR="00CB17AD" w:rsidRPr="004733E7" w:rsidRDefault="00CB17AD" w:rsidP="00CB17AD">
            <w:pPr>
              <w:pStyle w:val="TableRowIndent"/>
            </w:pPr>
            <w:r w:rsidRPr="004733E7">
              <w:t>Peer support</w:t>
            </w:r>
          </w:p>
        </w:tc>
        <w:tc>
          <w:tcPr>
            <w:tcW w:w="1701" w:type="dxa"/>
            <w:shd w:val="clear" w:color="auto" w:fill="D9E2F3" w:themeFill="accent1" w:themeFillTint="33"/>
          </w:tcPr>
          <w:p w14:paraId="16D09335" w14:textId="77777777" w:rsidR="00CB17AD" w:rsidRPr="004733E7" w:rsidRDefault="00CB17AD" w:rsidP="00CB17AD">
            <w:pPr>
              <w:pStyle w:val="TableBody"/>
            </w:pPr>
          </w:p>
        </w:tc>
        <w:tc>
          <w:tcPr>
            <w:tcW w:w="1701" w:type="dxa"/>
            <w:shd w:val="clear" w:color="auto" w:fill="D9E2F3" w:themeFill="accent1" w:themeFillTint="33"/>
          </w:tcPr>
          <w:p w14:paraId="5AAC0E5A" w14:textId="77777777" w:rsidR="00CB17AD" w:rsidRPr="004733E7" w:rsidRDefault="00CB17AD" w:rsidP="00CB17AD">
            <w:pPr>
              <w:pStyle w:val="TableBody"/>
            </w:pPr>
          </w:p>
        </w:tc>
        <w:tc>
          <w:tcPr>
            <w:tcW w:w="1701" w:type="dxa"/>
            <w:shd w:val="clear" w:color="auto" w:fill="D9E2F3" w:themeFill="accent1" w:themeFillTint="33"/>
          </w:tcPr>
          <w:p w14:paraId="15AF7215" w14:textId="77777777" w:rsidR="00CB17AD" w:rsidRPr="004733E7" w:rsidRDefault="00CB17AD" w:rsidP="00CB17AD">
            <w:pPr>
              <w:pStyle w:val="TableBody"/>
            </w:pPr>
          </w:p>
        </w:tc>
      </w:tr>
      <w:tr w:rsidR="00CB17AD" w:rsidRPr="004733E7" w14:paraId="75507D0D" w14:textId="77777777" w:rsidTr="00CB17AD">
        <w:trPr>
          <w:jc w:val="center"/>
        </w:trPr>
        <w:tc>
          <w:tcPr>
            <w:tcW w:w="3118" w:type="dxa"/>
          </w:tcPr>
          <w:p w14:paraId="67438559" w14:textId="77777777" w:rsidR="00CB17AD" w:rsidRPr="004733E7" w:rsidRDefault="00CB17AD" w:rsidP="00CB17AD">
            <w:pPr>
              <w:pStyle w:val="TableRowIndent"/>
            </w:pPr>
            <w:r w:rsidRPr="004733E7">
              <w:t xml:space="preserve">   None</w:t>
            </w:r>
          </w:p>
        </w:tc>
        <w:tc>
          <w:tcPr>
            <w:tcW w:w="1701" w:type="dxa"/>
          </w:tcPr>
          <w:p w14:paraId="245F9148" w14:textId="77777777" w:rsidR="00CB17AD" w:rsidRPr="004733E7" w:rsidRDefault="00CB17AD" w:rsidP="00CB17AD">
            <w:pPr>
              <w:pStyle w:val="TableBody"/>
            </w:pPr>
          </w:p>
        </w:tc>
        <w:tc>
          <w:tcPr>
            <w:tcW w:w="1701" w:type="dxa"/>
          </w:tcPr>
          <w:p w14:paraId="01554ADB" w14:textId="77777777" w:rsidR="00CB17AD" w:rsidRPr="004733E7" w:rsidRDefault="00CB17AD" w:rsidP="00CB17AD">
            <w:pPr>
              <w:pStyle w:val="TableBody"/>
            </w:pPr>
            <w:r w:rsidRPr="004733E7">
              <w:t>1</w:t>
            </w:r>
          </w:p>
        </w:tc>
        <w:tc>
          <w:tcPr>
            <w:tcW w:w="1701" w:type="dxa"/>
          </w:tcPr>
          <w:p w14:paraId="402562EA" w14:textId="77777777" w:rsidR="00CB17AD" w:rsidRPr="004733E7" w:rsidRDefault="00CB17AD" w:rsidP="00CB17AD">
            <w:pPr>
              <w:pStyle w:val="TableBody"/>
            </w:pPr>
            <w:r w:rsidRPr="004733E7">
              <w:t>1</w:t>
            </w:r>
          </w:p>
        </w:tc>
      </w:tr>
      <w:tr w:rsidR="00CB17AD" w:rsidRPr="004733E7" w14:paraId="0EDBE708" w14:textId="77777777" w:rsidTr="00CB17AD">
        <w:trPr>
          <w:jc w:val="center"/>
        </w:trPr>
        <w:tc>
          <w:tcPr>
            <w:tcW w:w="3118" w:type="dxa"/>
          </w:tcPr>
          <w:p w14:paraId="2BDA636B" w14:textId="77777777" w:rsidR="00CB17AD" w:rsidRPr="004733E7" w:rsidRDefault="00CB17AD" w:rsidP="00CB17AD">
            <w:pPr>
              <w:pStyle w:val="TableRowIndent"/>
            </w:pPr>
            <w:r w:rsidRPr="004733E7">
              <w:t xml:space="preserve">   Single episode</w:t>
            </w:r>
          </w:p>
        </w:tc>
        <w:tc>
          <w:tcPr>
            <w:tcW w:w="1701" w:type="dxa"/>
          </w:tcPr>
          <w:p w14:paraId="7424D7E9" w14:textId="77777777" w:rsidR="00CB17AD" w:rsidRPr="004733E7" w:rsidRDefault="00CB17AD" w:rsidP="00CB17AD">
            <w:pPr>
              <w:pStyle w:val="TableBody"/>
            </w:pPr>
          </w:p>
        </w:tc>
        <w:tc>
          <w:tcPr>
            <w:tcW w:w="1701" w:type="dxa"/>
          </w:tcPr>
          <w:p w14:paraId="447BEFE5" w14:textId="0A9373AA" w:rsidR="00CB17AD" w:rsidRPr="004733E7" w:rsidRDefault="00CB17AD" w:rsidP="004B52BA">
            <w:pPr>
              <w:pStyle w:val="TableBody"/>
            </w:pPr>
            <w:r w:rsidRPr="004733E7">
              <w:t>1.02 (0.5</w:t>
            </w:r>
            <w:r w:rsidR="004B52BA">
              <w:t>8</w:t>
            </w:r>
            <w:r w:rsidRPr="004733E7">
              <w:t>-1.80)</w:t>
            </w:r>
          </w:p>
        </w:tc>
        <w:tc>
          <w:tcPr>
            <w:tcW w:w="1701" w:type="dxa"/>
          </w:tcPr>
          <w:p w14:paraId="61AEED8B" w14:textId="77777777" w:rsidR="00CB17AD" w:rsidRPr="004733E7" w:rsidRDefault="00CB17AD" w:rsidP="00CB17AD">
            <w:pPr>
              <w:pStyle w:val="TableBody"/>
            </w:pPr>
            <w:r w:rsidRPr="004733E7">
              <w:t>1.07 (0.58-1.96)</w:t>
            </w:r>
          </w:p>
        </w:tc>
      </w:tr>
      <w:tr w:rsidR="00CB17AD" w:rsidRPr="004733E7" w14:paraId="78A3350B" w14:textId="77777777" w:rsidTr="00CB17AD">
        <w:trPr>
          <w:jc w:val="center"/>
        </w:trPr>
        <w:tc>
          <w:tcPr>
            <w:tcW w:w="3118" w:type="dxa"/>
          </w:tcPr>
          <w:p w14:paraId="253AE936" w14:textId="77777777" w:rsidR="00CB17AD" w:rsidRPr="004733E7" w:rsidRDefault="00CB17AD" w:rsidP="00CB17AD">
            <w:pPr>
              <w:pStyle w:val="TableRowIndent"/>
            </w:pPr>
            <w:r w:rsidRPr="004733E7">
              <w:t xml:space="preserve">   Persistent</w:t>
            </w:r>
          </w:p>
        </w:tc>
        <w:tc>
          <w:tcPr>
            <w:tcW w:w="1701" w:type="dxa"/>
          </w:tcPr>
          <w:p w14:paraId="60118525" w14:textId="77777777" w:rsidR="00CB17AD" w:rsidRPr="004733E7" w:rsidRDefault="00CB17AD" w:rsidP="00CB17AD">
            <w:pPr>
              <w:pStyle w:val="TableBody"/>
            </w:pPr>
          </w:p>
        </w:tc>
        <w:tc>
          <w:tcPr>
            <w:tcW w:w="1701" w:type="dxa"/>
          </w:tcPr>
          <w:p w14:paraId="1B2DD60D" w14:textId="77777777" w:rsidR="00CB17AD" w:rsidRPr="004733E7" w:rsidRDefault="00CB17AD" w:rsidP="00CB17AD">
            <w:pPr>
              <w:pStyle w:val="TableBody"/>
            </w:pPr>
            <w:r w:rsidRPr="004733E7">
              <w:t>0.92 (0.57-1.49)</w:t>
            </w:r>
          </w:p>
        </w:tc>
        <w:tc>
          <w:tcPr>
            <w:tcW w:w="1701" w:type="dxa"/>
          </w:tcPr>
          <w:p w14:paraId="487982FE" w14:textId="77777777" w:rsidR="00CB17AD" w:rsidRPr="004733E7" w:rsidRDefault="00CB17AD" w:rsidP="00CB17AD">
            <w:pPr>
              <w:pStyle w:val="TableBody"/>
            </w:pPr>
            <w:r w:rsidRPr="004733E7">
              <w:t>1.03 (0.62-1.69)</w:t>
            </w:r>
          </w:p>
        </w:tc>
      </w:tr>
    </w:tbl>
    <w:p w14:paraId="2836E0FB" w14:textId="77777777" w:rsidR="00CB17AD" w:rsidRDefault="00CB17AD" w:rsidP="00235296">
      <w:pPr>
        <w:spacing w:after="0"/>
        <w:rPr>
          <w:rFonts w:ascii="Times New Roman" w:hAnsi="Times New Roman" w:cs="Times New Roman"/>
        </w:rPr>
      </w:pPr>
    </w:p>
    <w:p w14:paraId="5C61CBEF" w14:textId="5D3CB7E8" w:rsidR="00CB17AD" w:rsidRPr="006A36B8" w:rsidRDefault="00CB17AD" w:rsidP="005265DE">
      <w:pPr>
        <w:pStyle w:val="ListParagraph"/>
        <w:numPr>
          <w:ilvl w:val="0"/>
          <w:numId w:val="12"/>
        </w:numPr>
        <w:spacing w:after="120"/>
        <w:ind w:left="714" w:hanging="357"/>
        <w:rPr>
          <w:rFonts w:ascii="Times New Roman" w:hAnsi="Times New Roman" w:cs="Times New Roman"/>
        </w:rPr>
      </w:pPr>
      <w:r w:rsidRPr="006A36B8">
        <w:t>Middle y</w:t>
      </w:r>
      <w:r w:rsidR="00BB0D05" w:rsidRPr="006A36B8">
        <w:t>ears indicator -</w:t>
      </w:r>
      <w:r w:rsidRPr="006A36B8">
        <w:t xml:space="preserve"> </w:t>
      </w:r>
      <w:r w:rsidR="00BB0D05" w:rsidRPr="006A36B8">
        <w:t>b</w:t>
      </w:r>
      <w:r w:rsidRPr="006A36B8">
        <w:t>ullying</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11. Results of separate logistic regression models predicting non-attainment of the Year 7 numeracy threshold with predictors: DV (Step 1), middle years indicator (Step 2), and DV and middle years indicator together (Step 3). Table f) Middle years indicator - bullying"/>
      </w:tblPr>
      <w:tblGrid>
        <w:gridCol w:w="3118"/>
        <w:gridCol w:w="1701"/>
        <w:gridCol w:w="1701"/>
        <w:gridCol w:w="1701"/>
      </w:tblGrid>
      <w:tr w:rsidR="00CB17AD" w14:paraId="0ECDBF69" w14:textId="77777777" w:rsidTr="00CB17AD">
        <w:trPr>
          <w:jc w:val="center"/>
        </w:trPr>
        <w:tc>
          <w:tcPr>
            <w:tcW w:w="3118" w:type="dxa"/>
            <w:shd w:val="clear" w:color="auto" w:fill="0070C0"/>
          </w:tcPr>
          <w:p w14:paraId="2ED965FE" w14:textId="77777777" w:rsidR="00CB17AD" w:rsidRPr="00AE4C24" w:rsidRDefault="00CB17AD" w:rsidP="00CB17AD">
            <w:pPr>
              <w:pStyle w:val="TableHeader1"/>
            </w:pPr>
          </w:p>
        </w:tc>
        <w:tc>
          <w:tcPr>
            <w:tcW w:w="1701" w:type="dxa"/>
            <w:shd w:val="clear" w:color="auto" w:fill="0070C0"/>
          </w:tcPr>
          <w:p w14:paraId="652A96C4" w14:textId="77777777" w:rsidR="00CB17AD" w:rsidRPr="00AE4C24" w:rsidRDefault="00CB17AD" w:rsidP="00CB17AD">
            <w:pPr>
              <w:pStyle w:val="TableHeader1"/>
            </w:pPr>
            <w:r w:rsidRPr="00AE4C24">
              <w:t>Step 1</w:t>
            </w:r>
          </w:p>
        </w:tc>
        <w:tc>
          <w:tcPr>
            <w:tcW w:w="1701" w:type="dxa"/>
            <w:shd w:val="clear" w:color="auto" w:fill="0070C0"/>
          </w:tcPr>
          <w:p w14:paraId="2DE6C0B6" w14:textId="77777777" w:rsidR="00CB17AD" w:rsidRPr="00AE4C24" w:rsidRDefault="00CB17AD" w:rsidP="00CB17AD">
            <w:pPr>
              <w:pStyle w:val="TableHeader1"/>
            </w:pPr>
            <w:r w:rsidRPr="00AE4C24">
              <w:t>Step 2</w:t>
            </w:r>
          </w:p>
        </w:tc>
        <w:tc>
          <w:tcPr>
            <w:tcW w:w="1701" w:type="dxa"/>
            <w:shd w:val="clear" w:color="auto" w:fill="0070C0"/>
          </w:tcPr>
          <w:p w14:paraId="087BC1FD" w14:textId="77777777" w:rsidR="00CB17AD" w:rsidRPr="00AE4C24" w:rsidRDefault="00CB17AD" w:rsidP="00CB17AD">
            <w:pPr>
              <w:pStyle w:val="TableHeader1"/>
            </w:pPr>
            <w:r w:rsidRPr="00AE4C24">
              <w:t>Step 3</w:t>
            </w:r>
          </w:p>
        </w:tc>
      </w:tr>
      <w:tr w:rsidR="00CB17AD" w14:paraId="03E2AF51" w14:textId="77777777" w:rsidTr="00417EDC">
        <w:trPr>
          <w:jc w:val="center"/>
        </w:trPr>
        <w:tc>
          <w:tcPr>
            <w:tcW w:w="3118" w:type="dxa"/>
            <w:shd w:val="clear" w:color="auto" w:fill="D9E2F3" w:themeFill="accent1" w:themeFillTint="33"/>
          </w:tcPr>
          <w:p w14:paraId="353DB614" w14:textId="7A7065AE" w:rsidR="00CB17AD" w:rsidRPr="004733E7" w:rsidRDefault="00CB17AD" w:rsidP="00CB17AD">
            <w:pPr>
              <w:pStyle w:val="TableRowIndent"/>
            </w:pPr>
            <w:r w:rsidRPr="00297783">
              <w:t>Developmental</w:t>
            </w:r>
            <w:r>
              <w:t>ly</w:t>
            </w:r>
            <w:r w:rsidRPr="00297783">
              <w:t xml:space="preserve"> vulnerab</w:t>
            </w:r>
            <w:r>
              <w:t>le</w:t>
            </w:r>
          </w:p>
        </w:tc>
        <w:tc>
          <w:tcPr>
            <w:tcW w:w="1701" w:type="dxa"/>
            <w:shd w:val="clear" w:color="auto" w:fill="D9E2F3" w:themeFill="accent1" w:themeFillTint="33"/>
          </w:tcPr>
          <w:p w14:paraId="1B7EFA1B" w14:textId="77777777" w:rsidR="00CB17AD" w:rsidRPr="004733E7" w:rsidRDefault="00CB17AD" w:rsidP="00CB17AD">
            <w:pPr>
              <w:pStyle w:val="TableBody"/>
            </w:pPr>
          </w:p>
        </w:tc>
        <w:tc>
          <w:tcPr>
            <w:tcW w:w="1701" w:type="dxa"/>
            <w:shd w:val="clear" w:color="auto" w:fill="D9E2F3" w:themeFill="accent1" w:themeFillTint="33"/>
          </w:tcPr>
          <w:p w14:paraId="714D934E" w14:textId="77777777" w:rsidR="00CB17AD" w:rsidRPr="004733E7" w:rsidRDefault="00CB17AD" w:rsidP="00CB17AD">
            <w:pPr>
              <w:pStyle w:val="TableBody"/>
            </w:pPr>
          </w:p>
        </w:tc>
        <w:tc>
          <w:tcPr>
            <w:tcW w:w="1701" w:type="dxa"/>
            <w:shd w:val="clear" w:color="auto" w:fill="D9E2F3" w:themeFill="accent1" w:themeFillTint="33"/>
          </w:tcPr>
          <w:p w14:paraId="48190BB3" w14:textId="77777777" w:rsidR="00CB17AD" w:rsidRPr="004733E7" w:rsidRDefault="00CB17AD" w:rsidP="00CB17AD">
            <w:pPr>
              <w:pStyle w:val="TableBody"/>
            </w:pPr>
          </w:p>
        </w:tc>
      </w:tr>
      <w:tr w:rsidR="00CB17AD" w14:paraId="1DB01F3A" w14:textId="77777777" w:rsidTr="00CB17AD">
        <w:trPr>
          <w:jc w:val="center"/>
        </w:trPr>
        <w:tc>
          <w:tcPr>
            <w:tcW w:w="3118" w:type="dxa"/>
          </w:tcPr>
          <w:p w14:paraId="2A6C6F5F" w14:textId="77777777" w:rsidR="00CB17AD" w:rsidRPr="004733E7" w:rsidRDefault="00CB17AD" w:rsidP="00CB17AD">
            <w:pPr>
              <w:pStyle w:val="TableRowIndent"/>
            </w:pPr>
            <w:r w:rsidRPr="004733E7">
              <w:t xml:space="preserve">   No</w:t>
            </w:r>
          </w:p>
        </w:tc>
        <w:tc>
          <w:tcPr>
            <w:tcW w:w="1701" w:type="dxa"/>
          </w:tcPr>
          <w:p w14:paraId="1CF96B27" w14:textId="77777777" w:rsidR="00CB17AD" w:rsidRPr="004733E7" w:rsidRDefault="00CB17AD" w:rsidP="00CB17AD">
            <w:pPr>
              <w:pStyle w:val="TableBody"/>
            </w:pPr>
            <w:r w:rsidRPr="004733E7">
              <w:t>1</w:t>
            </w:r>
          </w:p>
        </w:tc>
        <w:tc>
          <w:tcPr>
            <w:tcW w:w="1701" w:type="dxa"/>
          </w:tcPr>
          <w:p w14:paraId="27907044" w14:textId="77777777" w:rsidR="00CB17AD" w:rsidRPr="004733E7" w:rsidRDefault="00CB17AD" w:rsidP="00CB17AD">
            <w:pPr>
              <w:pStyle w:val="TableBody"/>
            </w:pPr>
          </w:p>
        </w:tc>
        <w:tc>
          <w:tcPr>
            <w:tcW w:w="1701" w:type="dxa"/>
          </w:tcPr>
          <w:p w14:paraId="6B2FA3E9" w14:textId="77777777" w:rsidR="00CB17AD" w:rsidRPr="004733E7" w:rsidRDefault="00CB17AD" w:rsidP="00CB17AD">
            <w:pPr>
              <w:pStyle w:val="TableBody"/>
            </w:pPr>
            <w:r w:rsidRPr="004733E7">
              <w:t>1</w:t>
            </w:r>
          </w:p>
        </w:tc>
      </w:tr>
      <w:tr w:rsidR="00CB17AD" w14:paraId="66C9812C" w14:textId="77777777" w:rsidTr="00CB17AD">
        <w:trPr>
          <w:jc w:val="center"/>
        </w:trPr>
        <w:tc>
          <w:tcPr>
            <w:tcW w:w="3118" w:type="dxa"/>
          </w:tcPr>
          <w:p w14:paraId="08AAB809" w14:textId="77777777" w:rsidR="00CB17AD" w:rsidRPr="004733E7" w:rsidRDefault="00CB17AD" w:rsidP="00CB17AD">
            <w:pPr>
              <w:pStyle w:val="TableRowIndent"/>
            </w:pPr>
            <w:r w:rsidRPr="004733E7">
              <w:t xml:space="preserve">   Yes</w:t>
            </w:r>
          </w:p>
        </w:tc>
        <w:tc>
          <w:tcPr>
            <w:tcW w:w="1701" w:type="dxa"/>
          </w:tcPr>
          <w:p w14:paraId="1862DB15" w14:textId="77777777" w:rsidR="00CB17AD" w:rsidRPr="004733E7" w:rsidRDefault="00CB17AD" w:rsidP="00CB17AD">
            <w:pPr>
              <w:pStyle w:val="TableBody"/>
            </w:pPr>
            <w:r w:rsidRPr="004733E7">
              <w:t>4.53 (2.98-6.89)</w:t>
            </w:r>
          </w:p>
        </w:tc>
        <w:tc>
          <w:tcPr>
            <w:tcW w:w="1701" w:type="dxa"/>
          </w:tcPr>
          <w:p w14:paraId="237B75BE" w14:textId="77777777" w:rsidR="00CB17AD" w:rsidRPr="004733E7" w:rsidRDefault="00CB17AD" w:rsidP="00CB17AD">
            <w:pPr>
              <w:pStyle w:val="TableBody"/>
            </w:pPr>
          </w:p>
        </w:tc>
        <w:tc>
          <w:tcPr>
            <w:tcW w:w="1701" w:type="dxa"/>
          </w:tcPr>
          <w:p w14:paraId="5260CDF1" w14:textId="77777777" w:rsidR="00CB17AD" w:rsidRPr="004733E7" w:rsidRDefault="00CB17AD" w:rsidP="00CB17AD">
            <w:pPr>
              <w:pStyle w:val="TableBody"/>
            </w:pPr>
            <w:r w:rsidRPr="004733E7">
              <w:t>4.43 (2.90-6.76)</w:t>
            </w:r>
          </w:p>
        </w:tc>
      </w:tr>
      <w:tr w:rsidR="00CB17AD" w14:paraId="15D4FCB4" w14:textId="77777777" w:rsidTr="00417EDC">
        <w:trPr>
          <w:jc w:val="center"/>
        </w:trPr>
        <w:tc>
          <w:tcPr>
            <w:tcW w:w="3118" w:type="dxa"/>
            <w:shd w:val="clear" w:color="auto" w:fill="D9E2F3" w:themeFill="accent1" w:themeFillTint="33"/>
          </w:tcPr>
          <w:p w14:paraId="5B6D6108" w14:textId="77777777" w:rsidR="00CB17AD" w:rsidRPr="004733E7" w:rsidRDefault="00CB17AD" w:rsidP="00CB17AD">
            <w:pPr>
              <w:pStyle w:val="TableRowIndent"/>
            </w:pPr>
            <w:r w:rsidRPr="004733E7">
              <w:t>Bullying</w:t>
            </w:r>
          </w:p>
        </w:tc>
        <w:tc>
          <w:tcPr>
            <w:tcW w:w="1701" w:type="dxa"/>
            <w:shd w:val="clear" w:color="auto" w:fill="D9E2F3" w:themeFill="accent1" w:themeFillTint="33"/>
          </w:tcPr>
          <w:p w14:paraId="0E3046E7" w14:textId="77777777" w:rsidR="00CB17AD" w:rsidRPr="004733E7" w:rsidRDefault="00CB17AD" w:rsidP="00CB17AD">
            <w:pPr>
              <w:pStyle w:val="TableBody"/>
            </w:pPr>
          </w:p>
        </w:tc>
        <w:tc>
          <w:tcPr>
            <w:tcW w:w="1701" w:type="dxa"/>
            <w:shd w:val="clear" w:color="auto" w:fill="D9E2F3" w:themeFill="accent1" w:themeFillTint="33"/>
          </w:tcPr>
          <w:p w14:paraId="6D1CBAF8" w14:textId="77777777" w:rsidR="00CB17AD" w:rsidRPr="004733E7" w:rsidRDefault="00CB17AD" w:rsidP="00CB17AD">
            <w:pPr>
              <w:pStyle w:val="TableBody"/>
            </w:pPr>
          </w:p>
        </w:tc>
        <w:tc>
          <w:tcPr>
            <w:tcW w:w="1701" w:type="dxa"/>
            <w:shd w:val="clear" w:color="auto" w:fill="D9E2F3" w:themeFill="accent1" w:themeFillTint="33"/>
          </w:tcPr>
          <w:p w14:paraId="023DBEFF" w14:textId="77777777" w:rsidR="00CB17AD" w:rsidRPr="004733E7" w:rsidRDefault="00CB17AD" w:rsidP="00CB17AD">
            <w:pPr>
              <w:pStyle w:val="TableBody"/>
            </w:pPr>
          </w:p>
        </w:tc>
      </w:tr>
      <w:tr w:rsidR="00CB17AD" w14:paraId="7C29A261" w14:textId="77777777" w:rsidTr="00CB17AD">
        <w:trPr>
          <w:jc w:val="center"/>
        </w:trPr>
        <w:tc>
          <w:tcPr>
            <w:tcW w:w="3118" w:type="dxa"/>
          </w:tcPr>
          <w:p w14:paraId="26EF447C" w14:textId="77777777" w:rsidR="00CB17AD" w:rsidRPr="004733E7" w:rsidRDefault="00CB17AD" w:rsidP="00CB17AD">
            <w:pPr>
              <w:pStyle w:val="TableRowIndent"/>
            </w:pPr>
            <w:r w:rsidRPr="004733E7">
              <w:t xml:space="preserve">   None</w:t>
            </w:r>
          </w:p>
        </w:tc>
        <w:tc>
          <w:tcPr>
            <w:tcW w:w="1701" w:type="dxa"/>
          </w:tcPr>
          <w:p w14:paraId="44231147" w14:textId="77777777" w:rsidR="00CB17AD" w:rsidRPr="004733E7" w:rsidRDefault="00CB17AD" w:rsidP="00CB17AD">
            <w:pPr>
              <w:pStyle w:val="TableBody"/>
            </w:pPr>
          </w:p>
        </w:tc>
        <w:tc>
          <w:tcPr>
            <w:tcW w:w="1701" w:type="dxa"/>
          </w:tcPr>
          <w:p w14:paraId="105AAE88" w14:textId="77777777" w:rsidR="00CB17AD" w:rsidRPr="004733E7" w:rsidRDefault="00CB17AD" w:rsidP="00CB17AD">
            <w:pPr>
              <w:pStyle w:val="TableBody"/>
            </w:pPr>
            <w:r w:rsidRPr="004733E7">
              <w:t>1</w:t>
            </w:r>
          </w:p>
        </w:tc>
        <w:tc>
          <w:tcPr>
            <w:tcW w:w="1701" w:type="dxa"/>
          </w:tcPr>
          <w:p w14:paraId="01E653CD" w14:textId="77777777" w:rsidR="00CB17AD" w:rsidRPr="004733E7" w:rsidRDefault="00CB17AD" w:rsidP="00CB17AD">
            <w:pPr>
              <w:pStyle w:val="TableBody"/>
            </w:pPr>
            <w:r w:rsidRPr="004733E7">
              <w:t>1</w:t>
            </w:r>
          </w:p>
        </w:tc>
      </w:tr>
      <w:tr w:rsidR="00CB17AD" w14:paraId="2607C93A" w14:textId="77777777" w:rsidTr="00CB17AD">
        <w:trPr>
          <w:jc w:val="center"/>
        </w:trPr>
        <w:tc>
          <w:tcPr>
            <w:tcW w:w="3118" w:type="dxa"/>
          </w:tcPr>
          <w:p w14:paraId="64476B4F" w14:textId="77777777" w:rsidR="00CB17AD" w:rsidRPr="004733E7" w:rsidRDefault="00CB17AD" w:rsidP="00CB17AD">
            <w:pPr>
              <w:pStyle w:val="TableRowIndent"/>
            </w:pPr>
            <w:r w:rsidRPr="004733E7">
              <w:t xml:space="preserve">   Single episode</w:t>
            </w:r>
          </w:p>
        </w:tc>
        <w:tc>
          <w:tcPr>
            <w:tcW w:w="1701" w:type="dxa"/>
          </w:tcPr>
          <w:p w14:paraId="22ECA139" w14:textId="77777777" w:rsidR="00CB17AD" w:rsidRPr="004733E7" w:rsidRDefault="00CB17AD" w:rsidP="00CB17AD">
            <w:pPr>
              <w:pStyle w:val="TableBody"/>
            </w:pPr>
          </w:p>
        </w:tc>
        <w:tc>
          <w:tcPr>
            <w:tcW w:w="1701" w:type="dxa"/>
          </w:tcPr>
          <w:p w14:paraId="6AF1D448" w14:textId="77777777" w:rsidR="00CB17AD" w:rsidRPr="004733E7" w:rsidRDefault="00CB17AD" w:rsidP="00CB17AD">
            <w:pPr>
              <w:pStyle w:val="TableBody"/>
            </w:pPr>
            <w:r w:rsidRPr="004733E7">
              <w:t>1.29 (0.88-1.88)</w:t>
            </w:r>
          </w:p>
        </w:tc>
        <w:tc>
          <w:tcPr>
            <w:tcW w:w="1701" w:type="dxa"/>
          </w:tcPr>
          <w:p w14:paraId="5A69C06C" w14:textId="77777777" w:rsidR="00CB17AD" w:rsidRPr="004733E7" w:rsidRDefault="00CB17AD" w:rsidP="00CB17AD">
            <w:pPr>
              <w:pStyle w:val="TableBody"/>
            </w:pPr>
            <w:r w:rsidRPr="004733E7">
              <w:t>1.27 (0.86-1.89)</w:t>
            </w:r>
          </w:p>
        </w:tc>
      </w:tr>
      <w:tr w:rsidR="00CB17AD" w14:paraId="58F19568" w14:textId="77777777" w:rsidTr="00CB17AD">
        <w:trPr>
          <w:jc w:val="center"/>
        </w:trPr>
        <w:tc>
          <w:tcPr>
            <w:tcW w:w="3118" w:type="dxa"/>
          </w:tcPr>
          <w:p w14:paraId="13BF6F52" w14:textId="77777777" w:rsidR="00CB17AD" w:rsidRPr="004733E7" w:rsidRDefault="00CB17AD" w:rsidP="00CB17AD">
            <w:pPr>
              <w:pStyle w:val="TableRowIndent"/>
            </w:pPr>
            <w:r w:rsidRPr="004733E7">
              <w:t xml:space="preserve">   Persistent</w:t>
            </w:r>
          </w:p>
        </w:tc>
        <w:tc>
          <w:tcPr>
            <w:tcW w:w="1701" w:type="dxa"/>
          </w:tcPr>
          <w:p w14:paraId="321E4793" w14:textId="77777777" w:rsidR="00CB17AD" w:rsidRPr="004733E7" w:rsidRDefault="00CB17AD" w:rsidP="00CB17AD">
            <w:pPr>
              <w:pStyle w:val="TableBody"/>
            </w:pPr>
          </w:p>
        </w:tc>
        <w:tc>
          <w:tcPr>
            <w:tcW w:w="1701" w:type="dxa"/>
          </w:tcPr>
          <w:p w14:paraId="4EACA160" w14:textId="77777777" w:rsidR="00CB17AD" w:rsidRPr="004733E7" w:rsidRDefault="00CB17AD" w:rsidP="00CB17AD">
            <w:pPr>
              <w:pStyle w:val="TableBody"/>
            </w:pPr>
            <w:r w:rsidRPr="004733E7">
              <w:t>1.74 (1.14-2.65)</w:t>
            </w:r>
          </w:p>
        </w:tc>
        <w:tc>
          <w:tcPr>
            <w:tcW w:w="1701" w:type="dxa"/>
          </w:tcPr>
          <w:p w14:paraId="4FB7CAF2" w14:textId="77777777" w:rsidR="00CB17AD" w:rsidRPr="004733E7" w:rsidRDefault="00CB17AD" w:rsidP="00CB17AD">
            <w:pPr>
              <w:pStyle w:val="TableBody"/>
            </w:pPr>
            <w:r w:rsidRPr="004733E7">
              <w:t>1.59 (1.02-2.48)</w:t>
            </w:r>
          </w:p>
        </w:tc>
      </w:tr>
    </w:tbl>
    <w:p w14:paraId="46FD9B69" w14:textId="5C637D7A" w:rsidR="00CB17AD" w:rsidRDefault="00CB17AD" w:rsidP="006A36B8">
      <w:pPr>
        <w:pStyle w:val="Belowtablecaption"/>
        <w:ind w:left="425" w:right="374"/>
      </w:pPr>
      <w:r w:rsidRPr="00B806B5">
        <w:t>* adjusted for child gender, child age (at school entry), and child SEIFA advantage/di</w:t>
      </w:r>
      <w:r>
        <w:t>sadvantage quintile (at Year 3</w:t>
      </w:r>
      <w:r w:rsidRPr="00B806B5">
        <w:t>).</w:t>
      </w:r>
    </w:p>
    <w:p w14:paraId="4D8BD416" w14:textId="77777777" w:rsidR="007F76A2" w:rsidRPr="006A36B8" w:rsidRDefault="007F76A2" w:rsidP="007F76A2">
      <w:pPr>
        <w:pStyle w:val="Belowtablecaption"/>
        <w:ind w:left="425" w:right="374"/>
        <w:rPr>
          <w:sz w:val="20"/>
        </w:rPr>
      </w:pPr>
    </w:p>
    <w:p w14:paraId="0A3FE2D0" w14:textId="0C86D97D" w:rsidR="00CB17AD" w:rsidRDefault="00CB17AD" w:rsidP="006A36B8">
      <w:pPr>
        <w:spacing w:after="0"/>
      </w:pPr>
      <w:r w:rsidDel="00F369EB">
        <w:t xml:space="preserve">For numeracy, the DV group were 4.53 times as likely to not attain the Year 7 </w:t>
      </w:r>
      <w:r w:rsidR="0095595F">
        <w:t>threshold</w:t>
      </w:r>
      <w:r w:rsidDel="00F369EB">
        <w:t xml:space="preserve">, after controlling for gender, age and SES (Step 1, which is provided in each table to aid comparisons), indicating that DV is strongly associated with later academic performance. Emotional problems in Years 3-5, especially persistent ones throughout this period, are also highly associated with later academic performance. Students with persistent emotional problems were almost 3 times as likely to not attain the Year 7 </w:t>
      </w:r>
      <w:r w:rsidR="0095595F">
        <w:t>threshold</w:t>
      </w:r>
      <w:r w:rsidDel="00F369EB">
        <w:t xml:space="preserve"> compared to their peers without emotional problems (OR=2.67,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b</w:t>
      </w:r>
      <w:r w:rsidR="00036E9A">
        <w:t>, S</w:t>
      </w:r>
      <w:r>
        <w:t>tep 2</w:t>
      </w:r>
      <w:r w:rsidDel="00F369EB">
        <w:t xml:space="preserve">). Similar associations were observed for behaviour problems (OR for persistent problems =2.99,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c</w:t>
      </w:r>
      <w:r w:rsidR="00036E9A">
        <w:t>, S</w:t>
      </w:r>
      <w:r>
        <w:t>tep 2</w:t>
      </w:r>
      <w:r w:rsidDel="00F369EB">
        <w:t xml:space="preserve">) and subjective wellbeing (OR for persistent poor wellbeing=2.18,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d</w:t>
      </w:r>
      <w:r w:rsidR="00036E9A">
        <w:t>, S</w:t>
      </w:r>
      <w:r>
        <w:t>tep 2</w:t>
      </w:r>
      <w:r w:rsidDel="00F369EB">
        <w:t xml:space="preserve">) and disengagement (OR=2.60,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a</w:t>
      </w:r>
      <w:r w:rsidR="00036E9A">
        <w:t>, S</w:t>
      </w:r>
      <w:r>
        <w:t>tep 2</w:t>
      </w:r>
      <w:r w:rsidDel="00F369EB">
        <w:t xml:space="preserve">). </w:t>
      </w:r>
      <w:r>
        <w:t xml:space="preserve">The strength of the association with the bullying indicator was slightly lower (OR for persistent bullying =1.74,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f</w:t>
      </w:r>
      <w:r w:rsidR="00036E9A">
        <w:t>, S</w:t>
      </w:r>
      <w:r>
        <w:t>tep 2) and the peer support indicator showed no evid</w:t>
      </w:r>
      <w:r w:rsidR="00235296">
        <w:t>ence for an association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e</w:t>
      </w:r>
      <w:r>
        <w:t xml:space="preserve">, </w:t>
      </w:r>
      <w:r w:rsidR="005A3394">
        <w:t>S</w:t>
      </w:r>
      <w:r>
        <w:t xml:space="preserve">tep </w:t>
      </w:r>
      <w:r w:rsidR="005A3394">
        <w:t>2</w:t>
      </w:r>
      <w:r>
        <w:t xml:space="preserve">). These associations appear to be relatively independent of whether the student was vulnerable to begin with since there is little change in the </w:t>
      </w:r>
      <w:r w:rsidR="0004749E">
        <w:t>odds ratios</w:t>
      </w:r>
      <w:r>
        <w:t xml:space="preserve"> when DV1 was added to the models (e.g. f</w:t>
      </w:r>
      <w:r w:rsidR="00235296">
        <w:t xml:space="preserve">or emotional problems in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5A3394">
        <w:t>b</w:t>
      </w:r>
      <w:r>
        <w:t xml:space="preserve">, </w:t>
      </w:r>
      <w:r w:rsidR="00036E9A">
        <w:t>S</w:t>
      </w:r>
      <w:r>
        <w:t xml:space="preserve">tep 3). This suggests that emotional problems in the middle years, whether emergent or not, represent an important risk factor for academic failure. In addition, the association between DV and academic failure appears to be independent of later emotional problems. This suggests that there could be important pathways, other than emotional problems, by which DV students result in academic failure. The pattern of findings for </w:t>
      </w:r>
      <w:r w:rsidR="0053781A">
        <w:t xml:space="preserve">disengagement, </w:t>
      </w:r>
      <w:r>
        <w:t xml:space="preserve">behaviour problems, subjective wellbeing, and bullying were similar with little change in the ORs when DV1 and the middle </w:t>
      </w:r>
      <w:proofErr w:type="gramStart"/>
      <w:r>
        <w:t>years</w:t>
      </w:r>
      <w:proofErr w:type="gramEnd"/>
      <w:r>
        <w:t xml:space="preserve"> indicator were included in the mod</w:t>
      </w:r>
      <w:r w:rsidR="005A3394">
        <w:t>els together (S</w:t>
      </w:r>
      <w:r w:rsidR="00235296">
        <w:t xml:space="preserve">tep 3 in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43740D">
        <w:t xml:space="preserve">a,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43740D">
        <w:t xml:space="preserve">c,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43740D">
        <w:t xml:space="preserve">d and </w:t>
      </w:r>
      <w:r w:rsidR="0043740D">
        <w:fldChar w:fldCharType="begin"/>
      </w:r>
      <w:r w:rsidR="0043740D">
        <w:instrText xml:space="preserve"> REF _Ref501100796 \h </w:instrText>
      </w:r>
      <w:r w:rsidR="0043740D">
        <w:fldChar w:fldCharType="separate"/>
      </w:r>
      <w:r w:rsidR="004C27B3">
        <w:t xml:space="preserve">Table </w:t>
      </w:r>
      <w:r w:rsidR="004C27B3">
        <w:rPr>
          <w:noProof/>
        </w:rPr>
        <w:t>11</w:t>
      </w:r>
      <w:r w:rsidR="0043740D">
        <w:fldChar w:fldCharType="end"/>
      </w:r>
      <w:r w:rsidR="0043740D">
        <w:t xml:space="preserve">f </w:t>
      </w:r>
      <w:r>
        <w:t>respectively).</w:t>
      </w:r>
    </w:p>
    <w:p w14:paraId="41423AB8" w14:textId="77777777" w:rsidR="006A36B8" w:rsidRDefault="006A36B8" w:rsidP="006A36B8">
      <w:pPr>
        <w:spacing w:after="0"/>
      </w:pPr>
    </w:p>
    <w:p w14:paraId="4FED0CF8" w14:textId="2C523FEB" w:rsidR="00CB17AD" w:rsidRDefault="00CB17AD" w:rsidP="006A36B8">
      <w:pPr>
        <w:spacing w:after="0"/>
      </w:pPr>
      <w:r>
        <w:t xml:space="preserve">The results for non-attainment of the reading Year 7 learning </w:t>
      </w:r>
      <w:r w:rsidR="0095595F">
        <w:t>threshold</w:t>
      </w:r>
      <w:r>
        <w:t xml:space="preserve"> followed the same pattern as for the numeracy outcome and are presented in Appendix 4.</w:t>
      </w:r>
    </w:p>
    <w:p w14:paraId="7A7313C5" w14:textId="77777777" w:rsidR="006A36B8" w:rsidRDefault="006A36B8" w:rsidP="006A36B8">
      <w:pPr>
        <w:spacing w:after="0"/>
      </w:pPr>
    </w:p>
    <w:p w14:paraId="541763E7" w14:textId="77777777" w:rsidR="00CB17AD" w:rsidRDefault="00CB17AD" w:rsidP="00CB17AD">
      <w:r>
        <w:t>In summary, the results presented in this chapter suggest that a small part of the effects of DV on later learning outcomes are likely to be due to the increased risk of wellbeing, engagement and peer relationship problems in the middle years. However, much of the effect of DV on learning operates through other pathways yet to be identified. Importantly, the results show that the strong relationship between middle years indicators and learning outcomes is largely independent of DV status at school entry suggesting that problems in the middle years, whether emergent or not, are important risk factors for poor learning outcomes.</w:t>
      </w:r>
    </w:p>
    <w:p w14:paraId="155CD3F4" w14:textId="77777777" w:rsidR="0022511C" w:rsidRDefault="0022511C">
      <w:pPr>
        <w:spacing w:after="0" w:line="240" w:lineRule="auto"/>
        <w:rPr>
          <w:rFonts w:eastAsiaTheme="majorEastAsia" w:cstheme="majorBidi"/>
          <w:color w:val="2F5496" w:themeColor="accent1" w:themeShade="BF"/>
          <w:sz w:val="32"/>
          <w:szCs w:val="32"/>
          <w:lang w:val="en-US"/>
        </w:rPr>
      </w:pPr>
      <w:r>
        <w:br w:type="page"/>
      </w:r>
    </w:p>
    <w:p w14:paraId="12C75CE1" w14:textId="7FF92DBE" w:rsidR="00C72A59" w:rsidRDefault="00C72A59" w:rsidP="007F76A2">
      <w:pPr>
        <w:pStyle w:val="Heading1"/>
        <w:spacing w:before="0"/>
      </w:pPr>
      <w:bookmarkStart w:id="111" w:name="_Toc501120751"/>
      <w:r>
        <w:t xml:space="preserve">Appendix 1: </w:t>
      </w:r>
      <w:r w:rsidRPr="00A4129F">
        <w:t>The Childhood to Adolescence Transition Study (CATS)</w:t>
      </w:r>
      <w:bookmarkEnd w:id="104"/>
      <w:bookmarkEnd w:id="111"/>
    </w:p>
    <w:p w14:paraId="0542EEF8" w14:textId="77777777" w:rsidR="00C72A59" w:rsidRPr="00E1164F" w:rsidRDefault="00C72A59" w:rsidP="007F76A2">
      <w:pPr>
        <w:pStyle w:val="Heading2"/>
        <w:spacing w:before="0" w:after="120"/>
      </w:pPr>
      <w:bookmarkStart w:id="112" w:name="_Toc484026757"/>
      <w:bookmarkStart w:id="113" w:name="_Toc491432418"/>
      <w:bookmarkStart w:id="114" w:name="_Toc501120752"/>
      <w:r w:rsidRPr="00E1164F">
        <w:t>Overview</w:t>
      </w:r>
      <w:bookmarkEnd w:id="112"/>
      <w:bookmarkEnd w:id="113"/>
      <w:bookmarkEnd w:id="114"/>
    </w:p>
    <w:p w14:paraId="73D661A7" w14:textId="42BE6AE7" w:rsidR="00C72A59" w:rsidRDefault="00C72A59" w:rsidP="006A36B8">
      <w:pPr>
        <w:spacing w:after="0"/>
        <w:rPr>
          <w:rFonts w:cs="Arial"/>
        </w:rPr>
      </w:pPr>
      <w:r w:rsidRPr="00861D59">
        <w:rPr>
          <w:rFonts w:cs="Arial"/>
        </w:rPr>
        <w:t xml:space="preserve">CATS </w:t>
      </w:r>
      <w:r w:rsidRPr="00861D59">
        <w:t xml:space="preserve">is conducted in metropolitan Melbourne, in the state of Victoria </w:t>
      </w:r>
      <w:r w:rsidRPr="00861D59">
        <w:rPr>
          <w:rFonts w:cs="Arial"/>
        </w:rPr>
        <w:t xml:space="preserve">and is one of the first studies to systematically track children through the middle years. </w:t>
      </w:r>
      <w:r w:rsidRPr="00861D59">
        <w:t>To date, five waves of data collection have been completed. Recru</w:t>
      </w:r>
      <w:r>
        <w:t>itment took place in Year 3 (when children were eight to nine</w:t>
      </w:r>
      <w:r w:rsidRPr="00861D59">
        <w:t xml:space="preserve"> years of age), allowing the transition into early puberty to be captured. The most recent wave of</w:t>
      </w:r>
      <w:r>
        <w:t xml:space="preserve"> completed</w:t>
      </w:r>
      <w:r w:rsidRPr="00861D59">
        <w:t xml:space="preserve"> </w:t>
      </w:r>
      <w:r w:rsidRPr="007746B4">
        <w:t>data collection occurred in Year 7, after students had transitioned to secondary school. In total, 1239 students and a parent/guardian were recruited to participate in the study and retention rates have been high (</w:t>
      </w:r>
      <w:r w:rsidR="00551D82" w:rsidRPr="005265DE">
        <w:t>80.1</w:t>
      </w:r>
      <w:r w:rsidRPr="005265DE">
        <w:t xml:space="preserve">% students and </w:t>
      </w:r>
      <w:r w:rsidR="00551D82" w:rsidRPr="005265DE">
        <w:t>69.3</w:t>
      </w:r>
      <w:r w:rsidRPr="005265DE">
        <w:t>% parents</w:t>
      </w:r>
      <w:r w:rsidRPr="007746B4">
        <w:t xml:space="preserve"> completed questionnaires in Year 7). </w:t>
      </w:r>
      <w:r w:rsidRPr="007746B4">
        <w:rPr>
          <w:rFonts w:cs="Arial"/>
        </w:rPr>
        <w:t>The study collects data from students, parents and teachers, and has also been linked with Years 3, 5 and 7 NAPLAN data.</w:t>
      </w:r>
    </w:p>
    <w:p w14:paraId="4401E54D" w14:textId="77777777" w:rsidR="006A36B8" w:rsidRPr="00861D59" w:rsidRDefault="006A36B8" w:rsidP="006A36B8">
      <w:pPr>
        <w:spacing w:after="0"/>
      </w:pPr>
    </w:p>
    <w:p w14:paraId="026D4167" w14:textId="77777777" w:rsidR="00C72A59" w:rsidRDefault="00C72A59" w:rsidP="006A36B8">
      <w:pPr>
        <w:spacing w:after="0"/>
      </w:pPr>
      <w:r w:rsidRPr="00861D59">
        <w:t>CATS is based at the Centre for Adolescent Health at the Murdoch Children’s Research Institute (MCRI), Melbourne Australia. Ethics approval has been granted by the Royal Children’s Hospital Human Research Ethics Committee (HREC #31089). Permission was granted from the Victorian Department of Education and Training and the Catholic Education Office Melbourne (now called Catholic Education Melbourne) to recruit through their schools.</w:t>
      </w:r>
      <w:bookmarkStart w:id="115" w:name="_Toc328838900"/>
    </w:p>
    <w:p w14:paraId="2FA1DA97" w14:textId="77777777" w:rsidR="006A36B8" w:rsidRPr="00861D59" w:rsidRDefault="006A36B8" w:rsidP="006A36B8">
      <w:pPr>
        <w:spacing w:after="0"/>
      </w:pPr>
    </w:p>
    <w:p w14:paraId="3472B81A" w14:textId="77777777" w:rsidR="00C72A59" w:rsidRPr="00420DFC" w:rsidRDefault="00C72A59" w:rsidP="007F76A2">
      <w:pPr>
        <w:pStyle w:val="Heading2"/>
        <w:spacing w:before="0" w:after="120"/>
        <w:rPr>
          <w:rFonts w:ascii="Arial" w:hAnsi="Arial" w:cs="Arial"/>
        </w:rPr>
      </w:pPr>
      <w:bookmarkStart w:id="116" w:name="_Toc501120753"/>
      <w:r w:rsidRPr="00493C91">
        <w:t>Project governance</w:t>
      </w:r>
      <w:bookmarkEnd w:id="115"/>
      <w:bookmarkEnd w:id="116"/>
    </w:p>
    <w:p w14:paraId="300D9351" w14:textId="1E17ED52" w:rsidR="00C72A59" w:rsidRDefault="00C72A59" w:rsidP="006A36B8">
      <w:pPr>
        <w:spacing w:after="0"/>
      </w:pPr>
      <w:r w:rsidRPr="0013322A">
        <w:t xml:space="preserve">A reference group for the study </w:t>
      </w:r>
      <w:r>
        <w:t>has been established, consisting</w:t>
      </w:r>
      <w:r w:rsidRPr="0013322A">
        <w:t xml:space="preserve"> of representatives from each of the education sectors (Government, Catholic, </w:t>
      </w:r>
      <w:r w:rsidR="001D39F3" w:rsidRPr="0013322A">
        <w:t>and Independent</w:t>
      </w:r>
      <w:r w:rsidRPr="0013322A">
        <w:t xml:space="preserve">) as well as representatives from the pilot schools and the Melbourne Education Research Institute at the University of Melbourne, VicHealth and the Mitchell Institute. The aim of the group is to assist in the achievement of project outcomes by promoting working partnerships with the education sector and the community. It also provides an avenue for community feedback about proposed research activities, as well as the support and networking required for the promotion and implementation of the project. In more recent years, the reference group has been involved in translation and dissemination of project </w:t>
      </w:r>
      <w:r>
        <w:t>findings</w:t>
      </w:r>
      <w:r w:rsidRPr="0013322A">
        <w:t>.</w:t>
      </w:r>
    </w:p>
    <w:p w14:paraId="3BD9B64F" w14:textId="77777777" w:rsidR="006A36B8" w:rsidRPr="0013322A" w:rsidRDefault="006A36B8" w:rsidP="006A36B8">
      <w:pPr>
        <w:spacing w:after="0"/>
      </w:pPr>
    </w:p>
    <w:p w14:paraId="13D95B0D" w14:textId="77777777" w:rsidR="00C72A59" w:rsidRPr="00493C91" w:rsidRDefault="00C72A59" w:rsidP="007F76A2">
      <w:pPr>
        <w:pStyle w:val="Heading2"/>
        <w:spacing w:before="0" w:after="120"/>
      </w:pPr>
      <w:bookmarkStart w:id="117" w:name="_Toc328838901"/>
      <w:bookmarkStart w:id="118" w:name="_Toc501120754"/>
      <w:r w:rsidRPr="00493C91">
        <w:t>Recruitment</w:t>
      </w:r>
      <w:bookmarkEnd w:id="117"/>
      <w:bookmarkEnd w:id="118"/>
    </w:p>
    <w:p w14:paraId="1486C649" w14:textId="2EC47A5F" w:rsidR="00C72A59" w:rsidRDefault="00C72A59" w:rsidP="006A36B8">
      <w:pPr>
        <w:spacing w:after="0"/>
      </w:pPr>
      <w:r w:rsidRPr="0013322A">
        <w:t xml:space="preserve">Participant recruitment commenced in February 2012. Recruitment took place through primary schools, which were randomly selected from a stratified (Government, Catholic, Independent strata) cluster sample of all such schools in metropolitan Melbourne educational regions with 10 or more students enrolled in </w:t>
      </w:r>
      <w:r>
        <w:t>Year</w:t>
      </w:r>
      <w:r w:rsidRPr="0013322A">
        <w:t xml:space="preserve"> 3. The metropolitan area was chosen in order to facilitate follow up assessments. School principals, at all schools, provided consent for their school’s participation. If a school did not consent to take part then, where possible, a replacement school was randomly selected from the same stratum and offered participation.</w:t>
      </w:r>
      <w:r w:rsidR="005265DE">
        <w:t xml:space="preserve"> Figure 10 </w:t>
      </w:r>
      <w:r w:rsidRPr="0013322A">
        <w:t xml:space="preserve">displays CATS participants from recruitment to Year 7. </w:t>
      </w:r>
    </w:p>
    <w:p w14:paraId="737E3E7F" w14:textId="77777777" w:rsidR="006A36B8" w:rsidRPr="0013322A" w:rsidRDefault="006A36B8" w:rsidP="006A36B8">
      <w:pPr>
        <w:spacing w:after="0"/>
      </w:pPr>
    </w:p>
    <w:p w14:paraId="117199B7" w14:textId="3785D3C7" w:rsidR="00C72A59" w:rsidRDefault="00C72A59" w:rsidP="006A36B8">
      <w:pPr>
        <w:spacing w:after="0"/>
      </w:pPr>
      <w:r>
        <w:t>The entire Year 3</w:t>
      </w:r>
      <w:r w:rsidRPr="0013322A">
        <w:t xml:space="preserve"> year level of</w:t>
      </w:r>
      <w:r>
        <w:t xml:space="preserve"> each</w:t>
      </w:r>
      <w:r w:rsidRPr="0013322A">
        <w:t xml:space="preserve"> participating school</w:t>
      </w:r>
      <w:r>
        <w:t xml:space="preserve"> </w:t>
      </w:r>
      <w:proofErr w:type="gramStart"/>
      <w:r>
        <w:t>was</w:t>
      </w:r>
      <w:r w:rsidRPr="0013322A">
        <w:t xml:space="preserve"> invited</w:t>
      </w:r>
      <w:proofErr w:type="gramEnd"/>
      <w:r w:rsidRPr="0013322A">
        <w:t xml:space="preserve"> to take part. Information sessions for students and teachers were held at all consenting schools. A recruitment pack was given to all eligible students</w:t>
      </w:r>
      <w:r>
        <w:t xml:space="preserve"> at school to</w:t>
      </w:r>
      <w:r w:rsidRPr="0013322A">
        <w:t xml:space="preserve"> take home to their parents/guardians. Parent consent forms were then returned to the school and collected by the research team. Every child that returned a consent form (whether accepted or declined consent) was given a small prize. The class </w:t>
      </w:r>
      <w:r w:rsidRPr="007746B4">
        <w:t xml:space="preserve">in each school that returned the highest proportion of parent consent forms (both accepted and declined consent) was given a small prize. A total of 101 schools were approached to take part of which 43 (43%) schools agreed to participate. In total 2289 students were enrolled at these schools of which 1239 (54%) students and their parents agreed to participate. Of the students and parents who agreed to participate, 1194 (96%) students and 1222 (99%) parents took part in Wave 1 data collection. </w:t>
      </w:r>
      <w:r w:rsidR="006E31DA">
        <w:t>Figure 10</w:t>
      </w:r>
      <w:r w:rsidR="005C4382" w:rsidRPr="007746B4">
        <w:t xml:space="preserve"> </w:t>
      </w:r>
      <w:r w:rsidRPr="007746B4">
        <w:t>summarises recruitment through to Wave 5 data collection. During primary</w:t>
      </w:r>
      <w:r>
        <w:t xml:space="preserve"> school, w</w:t>
      </w:r>
      <w:r w:rsidRPr="0013322A">
        <w:t>hen three or more student</w:t>
      </w:r>
      <w:r>
        <w:t xml:space="preserve">s participating in CATS moved </w:t>
      </w:r>
      <w:r w:rsidRPr="0013322A">
        <w:t xml:space="preserve">to a new school, this school was invited to take part in CATS (with only the original CATS students continuing to take part). Between </w:t>
      </w:r>
      <w:r>
        <w:t>W</w:t>
      </w:r>
      <w:r w:rsidRPr="0013322A">
        <w:t>aves 1 and 4, an additional nine schools were recruited into the study. A similar procedure was followed when participants commenced secondary school in 2016. Secondary schools with ten or more participants enrolled were invited to participate in the CATS study. School principals provided consent for their school to take part. All of the 37 secondary schools approached agreed to participate in the study. A small percentage of participants remained enroll</w:t>
      </w:r>
      <w:r>
        <w:t>ed at their original</w:t>
      </w:r>
      <w:r w:rsidRPr="0013322A">
        <w:t xml:space="preserve"> school if the composition of the school was Prep to </w:t>
      </w:r>
      <w:r>
        <w:t xml:space="preserve">Year </w:t>
      </w:r>
      <w:r w:rsidRPr="0013322A">
        <w:t xml:space="preserve">9 or Prep to </w:t>
      </w:r>
      <w:r>
        <w:t xml:space="preserve">Year </w:t>
      </w:r>
      <w:r w:rsidRPr="0013322A">
        <w:t>12. No new participants were recruited to participate at</w:t>
      </w:r>
      <w:r>
        <w:t xml:space="preserve"> the</w:t>
      </w:r>
      <w:r w:rsidRPr="0013322A">
        <w:t xml:space="preserve"> beginning of secondary school. </w:t>
      </w:r>
    </w:p>
    <w:p w14:paraId="7798B90B" w14:textId="77777777" w:rsidR="006A36B8" w:rsidRDefault="006A36B8" w:rsidP="006A36B8">
      <w:pPr>
        <w:spacing w:after="0"/>
      </w:pPr>
    </w:p>
    <w:p w14:paraId="475964A9" w14:textId="77777777" w:rsidR="00C4109E" w:rsidRPr="00AD41BC" w:rsidRDefault="00C4109E" w:rsidP="007F76A2">
      <w:pPr>
        <w:pStyle w:val="Heading2"/>
        <w:spacing w:before="0" w:after="120"/>
      </w:pPr>
      <w:bookmarkStart w:id="119" w:name="_Toc328838904"/>
      <w:bookmarkStart w:id="120" w:name="_Toc484026758"/>
      <w:bookmarkStart w:id="121" w:name="_Toc491432419"/>
      <w:bookmarkStart w:id="122" w:name="_Toc501120755"/>
      <w:r w:rsidRPr="00493C91">
        <w:t>Measures</w:t>
      </w:r>
      <w:bookmarkEnd w:id="119"/>
      <w:bookmarkEnd w:id="120"/>
      <w:bookmarkEnd w:id="121"/>
      <w:bookmarkEnd w:id="122"/>
    </w:p>
    <w:p w14:paraId="4B777984" w14:textId="7E789B9E" w:rsidR="00C4109E" w:rsidRDefault="00C4109E" w:rsidP="00C4109E">
      <w:r w:rsidRPr="0013322A">
        <w:t xml:space="preserve">The </w:t>
      </w:r>
      <w:r>
        <w:t>Student Q</w:t>
      </w:r>
      <w:r w:rsidRPr="0013322A">
        <w:t xml:space="preserve">uestionnaire </w:t>
      </w:r>
      <w:r>
        <w:t xml:space="preserve">(SQ) </w:t>
      </w:r>
      <w:r w:rsidRPr="0013322A">
        <w:t xml:space="preserve">assessed many domains including mental </w:t>
      </w:r>
      <w:r>
        <w:t xml:space="preserve">and physical </w:t>
      </w:r>
      <w:r w:rsidRPr="0013322A">
        <w:t xml:space="preserve">health, wellbeing, </w:t>
      </w:r>
      <w:r>
        <w:t xml:space="preserve">school experiences, </w:t>
      </w:r>
      <w:r w:rsidRPr="0013322A">
        <w:t>peer and family relationships, media use and lifestyle.</w:t>
      </w:r>
      <w:r>
        <w:t xml:space="preserve"> The</w:t>
      </w:r>
      <w:r w:rsidRPr="0013322A">
        <w:t xml:space="preserve"> parent questionnaire </w:t>
      </w:r>
      <w:r>
        <w:t>collected</w:t>
      </w:r>
      <w:r w:rsidRPr="0013322A">
        <w:t xml:space="preserve"> </w:t>
      </w:r>
      <w:r>
        <w:t xml:space="preserve">information on family </w:t>
      </w:r>
      <w:r w:rsidRPr="0013322A">
        <w:t>demographic</w:t>
      </w:r>
      <w:r>
        <w:t>s and on the child’s</w:t>
      </w:r>
      <w:r w:rsidRPr="0013322A">
        <w:t xml:space="preserve"> emotional and behaviour problems, diet, physical health and pubertal development.</w:t>
      </w:r>
      <w:r>
        <w:t xml:space="preserve"> The teacher questionnaire gathered information on</w:t>
      </w:r>
      <w:r w:rsidRPr="0013322A">
        <w:t xml:space="preserve"> the student’s academic ability, absences from school, and behavioural and emotional functioning</w:t>
      </w:r>
      <w:r>
        <w:t>.</w:t>
      </w:r>
      <w:r w:rsidRPr="0013322A">
        <w:t xml:space="preserve"> In </w:t>
      </w:r>
      <w:r>
        <w:t>W</w:t>
      </w:r>
      <w:r w:rsidRPr="0013322A">
        <w:t>ave</w:t>
      </w:r>
      <w:r>
        <w:t>s 4 and 5</w:t>
      </w:r>
      <w:r w:rsidRPr="0013322A">
        <w:t>, additional questions about adjustment to secondary school were included</w:t>
      </w:r>
      <w:r>
        <w:t xml:space="preserve"> in all three surveys</w:t>
      </w:r>
      <w:r w:rsidRPr="0013322A">
        <w:t>.</w:t>
      </w:r>
      <w:r>
        <w:t xml:space="preserve"> </w:t>
      </w:r>
      <w:r w:rsidR="0043740D">
        <w:fldChar w:fldCharType="begin"/>
      </w:r>
      <w:r w:rsidR="0043740D">
        <w:instrText xml:space="preserve"> REF _Ref501027841 \h </w:instrText>
      </w:r>
      <w:r w:rsidR="0043740D">
        <w:fldChar w:fldCharType="separate"/>
      </w:r>
      <w:r w:rsidR="004C27B3">
        <w:t xml:space="preserve">Table </w:t>
      </w:r>
      <w:r w:rsidR="004C27B3">
        <w:rPr>
          <w:noProof/>
        </w:rPr>
        <w:t>12</w:t>
      </w:r>
      <w:r w:rsidR="0043740D">
        <w:fldChar w:fldCharType="end"/>
      </w:r>
      <w:r w:rsidR="0043740D">
        <w:t xml:space="preserve"> </w:t>
      </w:r>
      <w:r w:rsidRPr="0013322A">
        <w:t xml:space="preserve">presents an overview of all measures included in CATS. </w:t>
      </w:r>
      <w:r>
        <w:t>T</w:t>
      </w:r>
      <w:r w:rsidRPr="0013322A">
        <w:t xml:space="preserve">he measures </w:t>
      </w:r>
      <w:r>
        <w:t xml:space="preserve">for indicators </w:t>
      </w:r>
      <w:r w:rsidRPr="0013322A">
        <w:t xml:space="preserve">presented in the current report are </w:t>
      </w:r>
      <w:r>
        <w:t>described</w:t>
      </w:r>
      <w:r w:rsidRPr="0013322A">
        <w:t xml:space="preserve"> </w:t>
      </w:r>
      <w:r>
        <w:t>in further detail in the results section</w:t>
      </w:r>
      <w:r w:rsidRPr="0013322A">
        <w:t>.</w:t>
      </w:r>
    </w:p>
    <w:p w14:paraId="66937484" w14:textId="77777777" w:rsidR="005C4382" w:rsidRDefault="005C4382" w:rsidP="00D52B12"/>
    <w:p w14:paraId="42135A5F" w14:textId="77777777" w:rsidR="005C4382" w:rsidRDefault="005C4382">
      <w:pPr>
        <w:spacing w:after="0" w:line="240" w:lineRule="auto"/>
      </w:pPr>
      <w:r>
        <w:br w:type="page"/>
      </w:r>
    </w:p>
    <w:p w14:paraId="4E0A84F9" w14:textId="672E4537" w:rsidR="001A20DB" w:rsidRDefault="00436E19" w:rsidP="006A36B8">
      <w:pPr>
        <w:pStyle w:val="Caption"/>
        <w:spacing w:after="0"/>
        <w:rPr>
          <w:lang w:val="en-US" w:eastAsia="en-AU"/>
        </w:rPr>
      </w:pPr>
      <w:bookmarkStart w:id="123" w:name="_Toc502153730"/>
      <w:r>
        <w:rPr>
          <w:noProof/>
          <w:lang w:eastAsia="en-AU"/>
        </w:rPr>
        <w:drawing>
          <wp:inline distT="0" distB="0" distL="0" distR="0" wp14:anchorId="79F41505" wp14:editId="72B3F0AA">
            <wp:extent cx="6084979" cy="7393577"/>
            <wp:effectExtent l="0" t="0" r="0" b="0"/>
            <wp:docPr id="25" name="Picture 25" descr="Figure 10 is a flow chart describing the recruitment of CATS participants (students and their parents) from recruitment through to Wave 5.&#10;It is described in the text about &quot;recruitment&quot; before the diagram." title="Figure 10. Flowchart of CATS participants from recruitment to Wave 5 of dat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10.JPG"/>
                    <pic:cNvPicPr/>
                  </pic:nvPicPr>
                  <pic:blipFill>
                    <a:blip r:embed="rId31">
                      <a:extLst>
                        <a:ext uri="{28A0092B-C50C-407E-A947-70E740481C1C}">
                          <a14:useLocalDpi xmlns:a14="http://schemas.microsoft.com/office/drawing/2010/main" val="0"/>
                        </a:ext>
                      </a:extLst>
                    </a:blip>
                    <a:stretch>
                      <a:fillRect/>
                    </a:stretch>
                  </pic:blipFill>
                  <pic:spPr>
                    <a:xfrm>
                      <a:off x="0" y="0"/>
                      <a:ext cx="6093218" cy="7403587"/>
                    </a:xfrm>
                    <a:prstGeom prst="rect">
                      <a:avLst/>
                    </a:prstGeom>
                  </pic:spPr>
                </pic:pic>
              </a:graphicData>
            </a:graphic>
          </wp:inline>
        </w:drawing>
      </w:r>
      <w:bookmarkEnd w:id="123"/>
    </w:p>
    <w:p w14:paraId="04559278" w14:textId="571EA771" w:rsidR="00C72A59" w:rsidRPr="005C4382" w:rsidRDefault="00C72A59" w:rsidP="00D52B12">
      <w:r>
        <w:br w:type="page"/>
      </w:r>
    </w:p>
    <w:p w14:paraId="34B81E6D" w14:textId="77777777" w:rsidR="00C72A59" w:rsidRPr="00984E18" w:rsidRDefault="00C72A59" w:rsidP="007F76A2">
      <w:pPr>
        <w:pStyle w:val="Caption"/>
        <w:spacing w:before="0"/>
      </w:pPr>
      <w:bookmarkStart w:id="124" w:name="_Ref501027841"/>
      <w:bookmarkStart w:id="125" w:name="_Toc498613267"/>
      <w:bookmarkStart w:id="126" w:name="_Toc500946776"/>
      <w:bookmarkStart w:id="127" w:name="_Toc501014930"/>
      <w:bookmarkStart w:id="128" w:name="_Toc503780752"/>
      <w:r>
        <w:t xml:space="preserve">Table </w:t>
      </w:r>
      <w:r>
        <w:fldChar w:fldCharType="begin"/>
      </w:r>
      <w:r>
        <w:instrText xml:space="preserve"> SEQ Table \* ARABIC </w:instrText>
      </w:r>
      <w:r>
        <w:fldChar w:fldCharType="separate"/>
      </w:r>
      <w:r w:rsidR="004C27B3">
        <w:rPr>
          <w:noProof/>
        </w:rPr>
        <w:t>12</w:t>
      </w:r>
      <w:r>
        <w:rPr>
          <w:noProof/>
        </w:rPr>
        <w:fldChar w:fldCharType="end"/>
      </w:r>
      <w:bookmarkEnd w:id="124"/>
      <w:r>
        <w:t xml:space="preserve">. </w:t>
      </w:r>
      <w:r w:rsidRPr="00980D6D">
        <w:t>Outline of measures (Waves 1-5)</w:t>
      </w:r>
      <w:r>
        <w:t>.</w:t>
      </w:r>
      <w:bookmarkEnd w:id="125"/>
      <w:bookmarkEnd w:id="126"/>
      <w:bookmarkEnd w:id="127"/>
      <w:bookmarkEnd w:id="128"/>
    </w:p>
    <w:tbl>
      <w:tblPr>
        <w:tblStyle w:val="LightList-Accent1"/>
        <w:tblW w:w="9028" w:type="dxa"/>
        <w:jc w:val="center"/>
        <w:tblBorders>
          <w:top w:val="none" w:sz="0" w:space="0" w:color="auto"/>
          <w:left w:val="single" w:sz="4" w:space="0" w:color="auto"/>
          <w:bottom w:val="none" w:sz="0" w:space="0" w:color="auto"/>
          <w:right w:val="single" w:sz="4" w:space="0" w:color="auto"/>
        </w:tblBorders>
        <w:tblLayout w:type="fixed"/>
        <w:tblLook w:val="04A0" w:firstRow="1" w:lastRow="0" w:firstColumn="1" w:lastColumn="0" w:noHBand="0" w:noVBand="1"/>
        <w:tblCaption w:val="Table 12. Outline of measures (Waves 1 to 5)"/>
        <w:tblDescription w:val="Tabular representation of the measures in the CATS survey, with columns (from left to right) Construct, Measures, Informant, Wave (number)/Age (years). The inclusion of each measure in each wave is depicted with a mark. If it is not included, the column cell is blank.&#10;"/>
      </w:tblPr>
      <w:tblGrid>
        <w:gridCol w:w="1560"/>
        <w:gridCol w:w="2093"/>
        <w:gridCol w:w="1417"/>
        <w:gridCol w:w="791"/>
        <w:gridCol w:w="792"/>
        <w:gridCol w:w="791"/>
        <w:gridCol w:w="792"/>
        <w:gridCol w:w="792"/>
      </w:tblGrid>
      <w:tr w:rsidR="00C72A59" w:rsidRPr="00D6165F" w14:paraId="7807074D" w14:textId="77777777" w:rsidTr="009808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shd w:val="clear" w:color="auto" w:fill="0070C0"/>
            <w:vAlign w:val="center"/>
          </w:tcPr>
          <w:p w14:paraId="16740541" w14:textId="77777777" w:rsidR="00C72A59" w:rsidRPr="0098085C" w:rsidRDefault="00C72A59" w:rsidP="00BC3CD1">
            <w:pPr>
              <w:pStyle w:val="TableHeader2"/>
              <w:rPr>
                <w:b/>
              </w:rPr>
            </w:pPr>
            <w:r w:rsidRPr="0098085C">
              <w:rPr>
                <w:b/>
              </w:rPr>
              <w:t>Construct</w:t>
            </w:r>
          </w:p>
        </w:tc>
        <w:tc>
          <w:tcPr>
            <w:tcW w:w="2093" w:type="dxa"/>
            <w:tcBorders>
              <w:top w:val="single" w:sz="4" w:space="0" w:color="auto"/>
            </w:tcBorders>
            <w:shd w:val="clear" w:color="auto" w:fill="0070C0"/>
            <w:vAlign w:val="center"/>
          </w:tcPr>
          <w:p w14:paraId="7BFA574A" w14:textId="77777777" w:rsidR="00C72A59" w:rsidRPr="0098085C"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98085C">
              <w:rPr>
                <w:b/>
              </w:rPr>
              <w:t>Measures</w:t>
            </w:r>
          </w:p>
        </w:tc>
        <w:tc>
          <w:tcPr>
            <w:tcW w:w="1417" w:type="dxa"/>
            <w:tcBorders>
              <w:top w:val="single" w:sz="4" w:space="0" w:color="auto"/>
            </w:tcBorders>
            <w:shd w:val="clear" w:color="auto" w:fill="0070C0"/>
            <w:vAlign w:val="center"/>
          </w:tcPr>
          <w:p w14:paraId="4DF3B96D" w14:textId="77777777" w:rsidR="00C72A59" w:rsidRPr="0098085C"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98085C">
              <w:rPr>
                <w:b/>
              </w:rPr>
              <w:t>Informant</w:t>
            </w:r>
          </w:p>
        </w:tc>
        <w:tc>
          <w:tcPr>
            <w:tcW w:w="3958" w:type="dxa"/>
            <w:gridSpan w:val="5"/>
            <w:tcBorders>
              <w:top w:val="single" w:sz="4" w:space="0" w:color="auto"/>
            </w:tcBorders>
            <w:shd w:val="clear" w:color="auto" w:fill="0070C0"/>
            <w:vAlign w:val="center"/>
          </w:tcPr>
          <w:p w14:paraId="1A1D7B11" w14:textId="77777777" w:rsidR="00C72A59" w:rsidRPr="0098085C" w:rsidRDefault="00C72A59" w:rsidP="005265DE">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Wave (number) / Age (years)</w:t>
            </w:r>
          </w:p>
        </w:tc>
      </w:tr>
      <w:tr w:rsidR="00C72A59" w:rsidRPr="00D6165F" w14:paraId="352A798E" w14:textId="77777777" w:rsidTr="009808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8" w:space="0" w:color="4472C4" w:themeColor="accent1"/>
            </w:tcBorders>
            <w:shd w:val="clear" w:color="auto" w:fill="0070C0"/>
          </w:tcPr>
          <w:p w14:paraId="40B003CB" w14:textId="77777777" w:rsidR="00C72A59" w:rsidRPr="0098085C" w:rsidRDefault="00C72A59" w:rsidP="00BC3CD1">
            <w:pPr>
              <w:pStyle w:val="TableHeader2"/>
              <w:rPr>
                <w:b/>
              </w:rPr>
            </w:pPr>
          </w:p>
        </w:tc>
        <w:tc>
          <w:tcPr>
            <w:tcW w:w="2093" w:type="dxa"/>
            <w:shd w:val="clear" w:color="auto" w:fill="0070C0"/>
          </w:tcPr>
          <w:p w14:paraId="3B8E4F19" w14:textId="77777777" w:rsidR="00C72A59" w:rsidRPr="0098085C"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p>
        </w:tc>
        <w:tc>
          <w:tcPr>
            <w:tcW w:w="1417" w:type="dxa"/>
            <w:shd w:val="clear" w:color="auto" w:fill="0070C0"/>
          </w:tcPr>
          <w:p w14:paraId="5D7D4F71" w14:textId="77777777" w:rsidR="00C72A59" w:rsidRPr="0098085C"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p>
        </w:tc>
        <w:tc>
          <w:tcPr>
            <w:tcW w:w="791" w:type="dxa"/>
            <w:shd w:val="clear" w:color="auto" w:fill="0070C0"/>
          </w:tcPr>
          <w:p w14:paraId="2B5D8854" w14:textId="77777777" w:rsidR="00C72A59" w:rsidRPr="0098085C" w:rsidRDefault="00C72A59" w:rsidP="00AF629F">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1</w:t>
            </w:r>
            <w:r w:rsidRPr="0098085C">
              <w:rPr>
                <w:b/>
              </w:rPr>
              <w:br/>
              <w:t>8-9</w:t>
            </w:r>
          </w:p>
        </w:tc>
        <w:tc>
          <w:tcPr>
            <w:tcW w:w="792" w:type="dxa"/>
            <w:shd w:val="clear" w:color="auto" w:fill="0070C0"/>
          </w:tcPr>
          <w:p w14:paraId="3E43D608" w14:textId="77777777" w:rsidR="00C72A59" w:rsidRPr="0098085C" w:rsidRDefault="00C72A59" w:rsidP="00AF629F">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2</w:t>
            </w:r>
            <w:r w:rsidRPr="0098085C">
              <w:rPr>
                <w:b/>
              </w:rPr>
              <w:br/>
              <w:t>9-10</w:t>
            </w:r>
          </w:p>
        </w:tc>
        <w:tc>
          <w:tcPr>
            <w:tcW w:w="791" w:type="dxa"/>
            <w:shd w:val="clear" w:color="auto" w:fill="0070C0"/>
          </w:tcPr>
          <w:p w14:paraId="4B76D0BD" w14:textId="77777777" w:rsidR="00C72A59" w:rsidRPr="0098085C" w:rsidRDefault="00C72A59" w:rsidP="00AF629F">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3</w:t>
            </w:r>
            <w:r w:rsidRPr="0098085C">
              <w:rPr>
                <w:b/>
              </w:rPr>
              <w:br/>
              <w:t>10-11</w:t>
            </w:r>
          </w:p>
        </w:tc>
        <w:tc>
          <w:tcPr>
            <w:tcW w:w="792" w:type="dxa"/>
            <w:shd w:val="clear" w:color="auto" w:fill="0070C0"/>
          </w:tcPr>
          <w:p w14:paraId="2832C8B7" w14:textId="77777777" w:rsidR="00C72A59" w:rsidRPr="0098085C" w:rsidRDefault="00C72A59" w:rsidP="00AF629F">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4</w:t>
            </w:r>
            <w:r w:rsidRPr="0098085C">
              <w:rPr>
                <w:b/>
              </w:rPr>
              <w:br/>
              <w:t>11-12</w:t>
            </w:r>
          </w:p>
        </w:tc>
        <w:tc>
          <w:tcPr>
            <w:tcW w:w="792" w:type="dxa"/>
            <w:tcBorders>
              <w:bottom w:val="single" w:sz="8" w:space="0" w:color="4472C4" w:themeColor="accent1"/>
            </w:tcBorders>
            <w:shd w:val="clear" w:color="auto" w:fill="0070C0"/>
          </w:tcPr>
          <w:p w14:paraId="3F4AD718" w14:textId="77777777" w:rsidR="00C72A59" w:rsidRPr="0098085C" w:rsidRDefault="00C72A59" w:rsidP="00AF629F">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98085C">
              <w:rPr>
                <w:b/>
              </w:rPr>
              <w:t>5</w:t>
            </w:r>
            <w:r w:rsidRPr="0098085C">
              <w:rPr>
                <w:b/>
              </w:rPr>
              <w:br/>
              <w:t>12-13</w:t>
            </w:r>
          </w:p>
        </w:tc>
      </w:tr>
      <w:tr w:rsidR="00C72A59" w:rsidRPr="00D6165F" w14:paraId="19191891"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left w:val="single" w:sz="4" w:space="0" w:color="auto"/>
              <w:bottom w:val="single" w:sz="4" w:space="0" w:color="auto"/>
            </w:tcBorders>
          </w:tcPr>
          <w:p w14:paraId="3985FB27" w14:textId="77777777" w:rsidR="00C72A59" w:rsidRPr="0034102F" w:rsidRDefault="00C72A59" w:rsidP="00BC3CD1">
            <w:pPr>
              <w:pStyle w:val="TableRowIndent"/>
            </w:pPr>
            <w:r w:rsidRPr="0034102F">
              <w:t>Demographics</w:t>
            </w:r>
          </w:p>
        </w:tc>
        <w:tc>
          <w:tcPr>
            <w:tcW w:w="2093" w:type="dxa"/>
            <w:tcBorders>
              <w:bottom w:val="single" w:sz="4" w:space="0" w:color="auto"/>
            </w:tcBorders>
          </w:tcPr>
          <w:p w14:paraId="6400D458"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Demographics</w:t>
            </w:r>
          </w:p>
        </w:tc>
        <w:tc>
          <w:tcPr>
            <w:tcW w:w="1417" w:type="dxa"/>
            <w:tcBorders>
              <w:bottom w:val="single" w:sz="4" w:space="0" w:color="auto"/>
            </w:tcBorders>
          </w:tcPr>
          <w:p w14:paraId="0EDF1142"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Parent/Child</w:t>
            </w:r>
          </w:p>
        </w:tc>
        <w:tc>
          <w:tcPr>
            <w:tcW w:w="791" w:type="dxa"/>
            <w:tcBorders>
              <w:bottom w:val="single" w:sz="4" w:space="0" w:color="auto"/>
            </w:tcBorders>
          </w:tcPr>
          <w:p w14:paraId="1EA5C9E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bottom w:val="single" w:sz="4" w:space="0" w:color="auto"/>
            </w:tcBorders>
          </w:tcPr>
          <w:p w14:paraId="59403E5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bottom w:val="single" w:sz="4" w:space="0" w:color="auto"/>
            </w:tcBorders>
          </w:tcPr>
          <w:p w14:paraId="10A5A1F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bottom w:val="single" w:sz="4" w:space="0" w:color="auto"/>
            </w:tcBorders>
          </w:tcPr>
          <w:p w14:paraId="3D4390AB"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bottom w:val="single" w:sz="4" w:space="0" w:color="auto"/>
              <w:right w:val="single" w:sz="4" w:space="0" w:color="auto"/>
            </w:tcBorders>
          </w:tcPr>
          <w:p w14:paraId="6411C756"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0A500B76"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72D042D9" w14:textId="77777777" w:rsidR="00C72A59" w:rsidRPr="0034102F" w:rsidRDefault="00C72A59" w:rsidP="00BC3CD1">
            <w:pPr>
              <w:pStyle w:val="TableRowIndent"/>
            </w:pPr>
          </w:p>
        </w:tc>
        <w:tc>
          <w:tcPr>
            <w:tcW w:w="2093" w:type="dxa"/>
            <w:tcBorders>
              <w:top w:val="single" w:sz="4" w:space="0" w:color="auto"/>
              <w:bottom w:val="single" w:sz="4" w:space="0" w:color="auto"/>
            </w:tcBorders>
          </w:tcPr>
          <w:p w14:paraId="3AA1664F"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SEIFA</w:t>
            </w:r>
          </w:p>
        </w:tc>
        <w:tc>
          <w:tcPr>
            <w:tcW w:w="1417" w:type="dxa"/>
            <w:tcBorders>
              <w:top w:val="single" w:sz="4" w:space="0" w:color="auto"/>
              <w:bottom w:val="single" w:sz="4" w:space="0" w:color="auto"/>
            </w:tcBorders>
          </w:tcPr>
          <w:p w14:paraId="5CDEB8B1"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SEIFA</w:t>
            </w:r>
          </w:p>
        </w:tc>
        <w:tc>
          <w:tcPr>
            <w:tcW w:w="791" w:type="dxa"/>
            <w:tcBorders>
              <w:top w:val="single" w:sz="4" w:space="0" w:color="auto"/>
              <w:bottom w:val="single" w:sz="4" w:space="0" w:color="auto"/>
            </w:tcBorders>
          </w:tcPr>
          <w:p w14:paraId="67604FE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4E5C5C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2DE0547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1215C4BC"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8290FC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7272EB26"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single" w:sz="4" w:space="0" w:color="auto"/>
              <w:bottom w:val="single" w:sz="4" w:space="0" w:color="auto"/>
            </w:tcBorders>
          </w:tcPr>
          <w:p w14:paraId="3BD45521" w14:textId="77777777" w:rsidR="00C72A59" w:rsidRPr="0034102F" w:rsidRDefault="00C72A59" w:rsidP="00BC3CD1">
            <w:pPr>
              <w:pStyle w:val="TableRowIndent"/>
              <w:rPr>
                <w:highlight w:val="yellow"/>
              </w:rPr>
            </w:pPr>
            <w:r w:rsidRPr="0034102F">
              <w:t>Pubertal transition</w:t>
            </w:r>
          </w:p>
          <w:p w14:paraId="5BD2B3B8"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3D4586CA"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PDS/Tanner</w:t>
            </w:r>
          </w:p>
        </w:tc>
        <w:tc>
          <w:tcPr>
            <w:tcW w:w="1417" w:type="dxa"/>
            <w:tcBorders>
              <w:top w:val="single" w:sz="4" w:space="0" w:color="auto"/>
              <w:bottom w:val="single" w:sz="4" w:space="0" w:color="auto"/>
            </w:tcBorders>
          </w:tcPr>
          <w:p w14:paraId="2F50D145"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4A790E6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12A19BA"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729B0A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456B372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right w:val="single" w:sz="4" w:space="0" w:color="auto"/>
            </w:tcBorders>
          </w:tcPr>
          <w:p w14:paraId="3D2FEBB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D6165F" w14:paraId="1E9B82A5"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3DB413EE"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406D6681"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400242EC"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31CE2C5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4D876F2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5FBF0BF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F3A1D47"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38208E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3F783777"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4EEFC4CA"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5F5D52D8"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Saliva hormones</w:t>
            </w:r>
          </w:p>
        </w:tc>
        <w:tc>
          <w:tcPr>
            <w:tcW w:w="1417" w:type="dxa"/>
            <w:tcBorders>
              <w:top w:val="single" w:sz="4" w:space="0" w:color="auto"/>
              <w:bottom w:val="single" w:sz="4" w:space="0" w:color="auto"/>
            </w:tcBorders>
          </w:tcPr>
          <w:p w14:paraId="1A402407"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29B2E82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F81D2B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427CFA6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F9E8E3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10C3B80B"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highlight w:val="yellow"/>
                <w:lang w:val="en-GB"/>
              </w:rPr>
            </w:pPr>
          </w:p>
        </w:tc>
      </w:tr>
      <w:tr w:rsidR="00C72A59" w:rsidRPr="00D6165F" w14:paraId="49B525CE"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01F4B649"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2401D122"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Acne rating</w:t>
            </w:r>
          </w:p>
        </w:tc>
        <w:tc>
          <w:tcPr>
            <w:tcW w:w="1417" w:type="dxa"/>
            <w:tcBorders>
              <w:top w:val="single" w:sz="4" w:space="0" w:color="auto"/>
              <w:bottom w:val="single" w:sz="4" w:space="0" w:color="auto"/>
            </w:tcBorders>
          </w:tcPr>
          <w:p w14:paraId="74C0CB2F"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233FC60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609BFEFC"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5B91F59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9879F37"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2F3B00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47EB2688"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45783630"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2FC3ADEC"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Anthropometry </w:t>
            </w:r>
          </w:p>
        </w:tc>
        <w:tc>
          <w:tcPr>
            <w:tcW w:w="1417" w:type="dxa"/>
            <w:tcBorders>
              <w:top w:val="single" w:sz="4" w:space="0" w:color="auto"/>
              <w:bottom w:val="single" w:sz="4" w:space="0" w:color="auto"/>
            </w:tcBorders>
          </w:tcPr>
          <w:p w14:paraId="00F41273"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2E7485D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73F6E8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781470A"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58F401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439BB7E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4818F9E9"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233214C9"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535433A4"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Childhood exposures </w:t>
            </w:r>
          </w:p>
        </w:tc>
        <w:tc>
          <w:tcPr>
            <w:tcW w:w="1417" w:type="dxa"/>
            <w:tcBorders>
              <w:top w:val="single" w:sz="4" w:space="0" w:color="auto"/>
              <w:bottom w:val="single" w:sz="4" w:space="0" w:color="auto"/>
            </w:tcBorders>
          </w:tcPr>
          <w:p w14:paraId="604E0580"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Parent </w:t>
            </w:r>
          </w:p>
        </w:tc>
        <w:tc>
          <w:tcPr>
            <w:tcW w:w="791" w:type="dxa"/>
            <w:tcBorders>
              <w:top w:val="single" w:sz="4" w:space="0" w:color="auto"/>
              <w:bottom w:val="single" w:sz="4" w:space="0" w:color="auto"/>
            </w:tcBorders>
          </w:tcPr>
          <w:p w14:paraId="2C35E10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A07C2F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06CF07E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4F6FB72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0BD366BC"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D6165F" w14:paraId="47AF600F"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single" w:sz="4" w:space="0" w:color="auto"/>
              <w:bottom w:val="single" w:sz="4" w:space="0" w:color="auto"/>
            </w:tcBorders>
          </w:tcPr>
          <w:p w14:paraId="013841A8" w14:textId="77777777" w:rsidR="00C72A59" w:rsidRPr="0034102F" w:rsidRDefault="00C72A59" w:rsidP="00BC3CD1">
            <w:pPr>
              <w:pStyle w:val="TableRowIndent"/>
            </w:pPr>
            <w:r w:rsidRPr="0034102F">
              <w:t xml:space="preserve">Emotional and behavioural development </w:t>
            </w:r>
          </w:p>
        </w:tc>
        <w:tc>
          <w:tcPr>
            <w:tcW w:w="2093" w:type="dxa"/>
            <w:tcBorders>
              <w:top w:val="single" w:sz="4" w:space="0" w:color="auto"/>
              <w:bottom w:val="single" w:sz="4" w:space="0" w:color="auto"/>
            </w:tcBorders>
          </w:tcPr>
          <w:p w14:paraId="663B6D9F"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Mental health </w:t>
            </w:r>
          </w:p>
        </w:tc>
        <w:tc>
          <w:tcPr>
            <w:tcW w:w="1417" w:type="dxa"/>
            <w:tcBorders>
              <w:top w:val="single" w:sz="4" w:space="0" w:color="auto"/>
              <w:bottom w:val="single" w:sz="4" w:space="0" w:color="auto"/>
            </w:tcBorders>
          </w:tcPr>
          <w:p w14:paraId="10E95152"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61E16C96"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00FA05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128802E1"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6E3253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531780A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60434330"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2E04EDAD" w14:textId="77777777" w:rsidR="00C72A59" w:rsidRPr="0034102F" w:rsidRDefault="00C72A59" w:rsidP="00BC3CD1">
            <w:pPr>
              <w:pStyle w:val="TableRowIndent"/>
            </w:pPr>
          </w:p>
        </w:tc>
        <w:tc>
          <w:tcPr>
            <w:tcW w:w="2093" w:type="dxa"/>
            <w:tcBorders>
              <w:top w:val="single" w:sz="4" w:space="0" w:color="auto"/>
              <w:bottom w:val="single" w:sz="4" w:space="0" w:color="auto"/>
            </w:tcBorders>
          </w:tcPr>
          <w:p w14:paraId="0E1ED19B"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Depression</w:t>
            </w:r>
          </w:p>
        </w:tc>
        <w:tc>
          <w:tcPr>
            <w:tcW w:w="1417" w:type="dxa"/>
            <w:tcBorders>
              <w:top w:val="single" w:sz="4" w:space="0" w:color="auto"/>
              <w:bottom w:val="single" w:sz="4" w:space="0" w:color="auto"/>
            </w:tcBorders>
          </w:tcPr>
          <w:p w14:paraId="4F5BCCEC"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0FD15A9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D8E33E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036A940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ABD289C"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5CBA34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0D42DA0D"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0F758053"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29C8BB9B"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Anxiety </w:t>
            </w:r>
          </w:p>
        </w:tc>
        <w:tc>
          <w:tcPr>
            <w:tcW w:w="1417" w:type="dxa"/>
            <w:tcBorders>
              <w:top w:val="single" w:sz="4" w:space="0" w:color="auto"/>
              <w:bottom w:val="single" w:sz="4" w:space="0" w:color="auto"/>
            </w:tcBorders>
          </w:tcPr>
          <w:p w14:paraId="14D1FFC7"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574E404C"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00576A1"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1CA4E23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C874F30"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6DF5E44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7B45D018"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58B3D400"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05D8F572"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Self-harm</w:t>
            </w:r>
          </w:p>
        </w:tc>
        <w:tc>
          <w:tcPr>
            <w:tcW w:w="1417" w:type="dxa"/>
            <w:tcBorders>
              <w:top w:val="single" w:sz="4" w:space="0" w:color="auto"/>
              <w:bottom w:val="single" w:sz="4" w:space="0" w:color="auto"/>
            </w:tcBorders>
          </w:tcPr>
          <w:p w14:paraId="6F4CCA09"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6FEFC13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5BD538A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1DEBED8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7F046C7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7C13CC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761C6938"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single" w:sz="4" w:space="0" w:color="auto"/>
              <w:bottom w:val="single" w:sz="4" w:space="0" w:color="auto"/>
            </w:tcBorders>
          </w:tcPr>
          <w:p w14:paraId="404D2A32"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6B589535"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Body image</w:t>
            </w:r>
          </w:p>
        </w:tc>
        <w:tc>
          <w:tcPr>
            <w:tcW w:w="1417" w:type="dxa"/>
            <w:tcBorders>
              <w:top w:val="single" w:sz="4" w:space="0" w:color="auto"/>
              <w:bottom w:val="single" w:sz="4" w:space="0" w:color="auto"/>
            </w:tcBorders>
          </w:tcPr>
          <w:p w14:paraId="4060F250"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623CBBC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EFDB86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76976CA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A312A5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3B31873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5AE13C8C"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3AFD844D"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2AC95AA9"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ADHD rating</w:t>
            </w:r>
          </w:p>
        </w:tc>
        <w:tc>
          <w:tcPr>
            <w:tcW w:w="1417" w:type="dxa"/>
            <w:tcBorders>
              <w:top w:val="single" w:sz="4" w:space="0" w:color="auto"/>
              <w:bottom w:val="single" w:sz="4" w:space="0" w:color="auto"/>
            </w:tcBorders>
          </w:tcPr>
          <w:p w14:paraId="09A7D353"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0662C70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167A5A5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EE9A78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14CCEF0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14FA216E"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0ADC41BB" w14:textId="77777777" w:rsidTr="0098085C">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0DDC9A8F"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63220F4D"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Emotional control </w:t>
            </w:r>
          </w:p>
        </w:tc>
        <w:tc>
          <w:tcPr>
            <w:tcW w:w="1417" w:type="dxa"/>
            <w:tcBorders>
              <w:top w:val="single" w:sz="4" w:space="0" w:color="auto"/>
              <w:bottom w:val="single" w:sz="4" w:space="0" w:color="auto"/>
            </w:tcBorders>
          </w:tcPr>
          <w:p w14:paraId="2CB1F562"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421F867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4E768994"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3488C064"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D499D0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0C1B3566"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31C191F2"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3ED254D6"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260D6E89"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6C563A9C"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43135F6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93F6EB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7188730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1AB26F2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4A5ECBE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D6165F" w14:paraId="7E62FCC5"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6A08C4C2" w14:textId="77777777" w:rsidR="00C72A59" w:rsidRPr="0034102F" w:rsidRDefault="00C72A59" w:rsidP="00BC3CD1">
            <w:pPr>
              <w:pStyle w:val="TableRowIndent"/>
            </w:pPr>
          </w:p>
        </w:tc>
        <w:tc>
          <w:tcPr>
            <w:tcW w:w="2093" w:type="dxa"/>
            <w:tcBorders>
              <w:top w:val="single" w:sz="4" w:space="0" w:color="auto"/>
              <w:bottom w:val="single" w:sz="4" w:space="0" w:color="auto"/>
            </w:tcBorders>
          </w:tcPr>
          <w:p w14:paraId="6D712A21"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Conduct problems </w:t>
            </w:r>
          </w:p>
        </w:tc>
        <w:tc>
          <w:tcPr>
            <w:tcW w:w="1417" w:type="dxa"/>
            <w:tcBorders>
              <w:top w:val="single" w:sz="4" w:space="0" w:color="auto"/>
              <w:bottom w:val="single" w:sz="4" w:space="0" w:color="auto"/>
            </w:tcBorders>
          </w:tcPr>
          <w:p w14:paraId="296A2428"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Parent </w:t>
            </w:r>
          </w:p>
        </w:tc>
        <w:tc>
          <w:tcPr>
            <w:tcW w:w="791" w:type="dxa"/>
            <w:tcBorders>
              <w:top w:val="single" w:sz="4" w:space="0" w:color="auto"/>
              <w:bottom w:val="single" w:sz="4" w:space="0" w:color="auto"/>
            </w:tcBorders>
          </w:tcPr>
          <w:p w14:paraId="67F9E93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9750F9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1AE4E70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A80E90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1E780BA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0396B090"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bottom w:val="single" w:sz="4" w:space="0" w:color="auto"/>
            </w:tcBorders>
          </w:tcPr>
          <w:p w14:paraId="3688173D" w14:textId="77777777" w:rsidR="00C72A59" w:rsidRPr="0034102F" w:rsidRDefault="00C72A59" w:rsidP="00BC3CD1">
            <w:pPr>
              <w:pStyle w:val="TableRowIndent"/>
              <w:rPr>
                <w:highlight w:val="yellow"/>
              </w:rPr>
            </w:pPr>
            <w:r w:rsidRPr="0034102F">
              <w:t xml:space="preserve">Social development </w:t>
            </w:r>
          </w:p>
        </w:tc>
        <w:tc>
          <w:tcPr>
            <w:tcW w:w="2093" w:type="dxa"/>
            <w:tcBorders>
              <w:top w:val="single" w:sz="4" w:space="0" w:color="auto"/>
              <w:bottom w:val="single" w:sz="4" w:space="0" w:color="auto"/>
            </w:tcBorders>
          </w:tcPr>
          <w:p w14:paraId="1DF05AC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Peer relations </w:t>
            </w:r>
          </w:p>
        </w:tc>
        <w:tc>
          <w:tcPr>
            <w:tcW w:w="1417" w:type="dxa"/>
            <w:tcBorders>
              <w:top w:val="single" w:sz="4" w:space="0" w:color="auto"/>
              <w:bottom w:val="single" w:sz="4" w:space="0" w:color="auto"/>
            </w:tcBorders>
          </w:tcPr>
          <w:p w14:paraId="28D82392"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Child </w:t>
            </w:r>
          </w:p>
        </w:tc>
        <w:tc>
          <w:tcPr>
            <w:tcW w:w="791" w:type="dxa"/>
            <w:tcBorders>
              <w:top w:val="single" w:sz="4" w:space="0" w:color="auto"/>
              <w:bottom w:val="single" w:sz="4" w:space="0" w:color="auto"/>
            </w:tcBorders>
          </w:tcPr>
          <w:p w14:paraId="06D95B41"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B8E7D77"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0470288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DD09FC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78DBCF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3929A029"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47004892"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70ECF515"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Family management </w:t>
            </w:r>
          </w:p>
        </w:tc>
        <w:tc>
          <w:tcPr>
            <w:tcW w:w="1417" w:type="dxa"/>
            <w:tcBorders>
              <w:top w:val="single" w:sz="4" w:space="0" w:color="auto"/>
              <w:bottom w:val="single" w:sz="4" w:space="0" w:color="auto"/>
            </w:tcBorders>
          </w:tcPr>
          <w:p w14:paraId="4D8323FC"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Child </w:t>
            </w:r>
          </w:p>
        </w:tc>
        <w:tc>
          <w:tcPr>
            <w:tcW w:w="791" w:type="dxa"/>
            <w:tcBorders>
              <w:top w:val="single" w:sz="4" w:space="0" w:color="auto"/>
              <w:bottom w:val="single" w:sz="4" w:space="0" w:color="auto"/>
            </w:tcBorders>
          </w:tcPr>
          <w:p w14:paraId="3B08500A"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8F3732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3E94E7F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1930DC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31843D1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10E02EFB"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bottom w:val="single" w:sz="4" w:space="0" w:color="auto"/>
            </w:tcBorders>
          </w:tcPr>
          <w:p w14:paraId="0CF20CD4" w14:textId="77777777" w:rsidR="00C72A59" w:rsidRPr="0034102F" w:rsidRDefault="00C72A59" w:rsidP="00BC3CD1">
            <w:pPr>
              <w:pStyle w:val="TableRowIndent"/>
              <w:rPr>
                <w:highlight w:val="yellow"/>
              </w:rPr>
            </w:pPr>
            <w:r w:rsidRPr="0034102F">
              <w:t xml:space="preserve">Health and lifestyle </w:t>
            </w:r>
          </w:p>
        </w:tc>
        <w:tc>
          <w:tcPr>
            <w:tcW w:w="2093" w:type="dxa"/>
            <w:tcBorders>
              <w:top w:val="single" w:sz="4" w:space="0" w:color="auto"/>
              <w:bottom w:val="single" w:sz="4" w:space="0" w:color="auto"/>
            </w:tcBorders>
          </w:tcPr>
          <w:p w14:paraId="3CE2E2E1"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Wellbeing</w:t>
            </w:r>
          </w:p>
        </w:tc>
        <w:tc>
          <w:tcPr>
            <w:tcW w:w="1417" w:type="dxa"/>
            <w:tcBorders>
              <w:top w:val="single" w:sz="4" w:space="0" w:color="auto"/>
              <w:bottom w:val="single" w:sz="4" w:space="0" w:color="auto"/>
            </w:tcBorders>
          </w:tcPr>
          <w:p w14:paraId="67269E9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4F9FD4C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1B3F8FE"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3064026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7BD63B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7A6463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429FA137"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037710DB"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09CE417B"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Functional somatic symptoms </w:t>
            </w:r>
          </w:p>
        </w:tc>
        <w:tc>
          <w:tcPr>
            <w:tcW w:w="1417" w:type="dxa"/>
            <w:tcBorders>
              <w:top w:val="single" w:sz="4" w:space="0" w:color="auto"/>
              <w:bottom w:val="single" w:sz="4" w:space="0" w:color="auto"/>
            </w:tcBorders>
          </w:tcPr>
          <w:p w14:paraId="48B2CDB2"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0E8A007B"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F4127DA"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1A2C6BC"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CAF13C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2395BDD0"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D6165F" w14:paraId="5E520DFB"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00F88DDB"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5A66B9F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31F9F7E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Parent </w:t>
            </w:r>
          </w:p>
        </w:tc>
        <w:tc>
          <w:tcPr>
            <w:tcW w:w="791" w:type="dxa"/>
            <w:tcBorders>
              <w:top w:val="single" w:sz="4" w:space="0" w:color="auto"/>
              <w:bottom w:val="single" w:sz="4" w:space="0" w:color="auto"/>
            </w:tcBorders>
          </w:tcPr>
          <w:p w14:paraId="5DA91C4F"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3BAFDB0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472EE6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830516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0B0163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5BD612C6"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0CEF3EA3"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5142AEA2"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Dietary patterns</w:t>
            </w:r>
          </w:p>
        </w:tc>
        <w:tc>
          <w:tcPr>
            <w:tcW w:w="1417" w:type="dxa"/>
            <w:tcBorders>
              <w:top w:val="single" w:sz="4" w:space="0" w:color="auto"/>
              <w:bottom w:val="single" w:sz="4" w:space="0" w:color="auto"/>
            </w:tcBorders>
          </w:tcPr>
          <w:p w14:paraId="06325845"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5470F341"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C30FA8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4E08C951"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21FF6F3"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right w:val="single" w:sz="4" w:space="0" w:color="auto"/>
            </w:tcBorders>
          </w:tcPr>
          <w:p w14:paraId="5F51AFE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D6165F" w14:paraId="52B93C45"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3E9B1850"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5F007B7E"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308E8716"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66E1299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6704599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2CEE05B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25E341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30144C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60B8221B"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274A0E11"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5F0A6456"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Physical activity</w:t>
            </w:r>
          </w:p>
        </w:tc>
        <w:tc>
          <w:tcPr>
            <w:tcW w:w="1417" w:type="dxa"/>
            <w:tcBorders>
              <w:top w:val="single" w:sz="4" w:space="0" w:color="auto"/>
              <w:bottom w:val="single" w:sz="4" w:space="0" w:color="auto"/>
            </w:tcBorders>
          </w:tcPr>
          <w:p w14:paraId="2CB81FFE"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2EB02A91"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75DC79B"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23BF515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DA11E4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right w:val="single" w:sz="4" w:space="0" w:color="auto"/>
            </w:tcBorders>
          </w:tcPr>
          <w:p w14:paraId="291333D4"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D6165F" w14:paraId="053DE8EB"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13015AB3"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3601464A"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69F266B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135C430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5584C36D"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614A22E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42A173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DC9794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48EEB241"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331D303A" w14:textId="77777777" w:rsidR="00C72A59" w:rsidRPr="0034102F" w:rsidRDefault="00C72A59" w:rsidP="00BC3CD1">
            <w:pPr>
              <w:pStyle w:val="TableRowIndent"/>
              <w:rPr>
                <w:highlight w:val="yellow"/>
              </w:rPr>
            </w:pPr>
          </w:p>
        </w:tc>
        <w:tc>
          <w:tcPr>
            <w:tcW w:w="2093" w:type="dxa"/>
            <w:vMerge w:val="restart"/>
            <w:tcBorders>
              <w:top w:val="single" w:sz="4" w:space="0" w:color="auto"/>
            </w:tcBorders>
          </w:tcPr>
          <w:p w14:paraId="01CFE509"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rPr>
                <w:highlight w:val="yellow"/>
              </w:rPr>
            </w:pPr>
            <w:r w:rsidRPr="00D6165F">
              <w:t>Sleep</w:t>
            </w:r>
          </w:p>
        </w:tc>
        <w:tc>
          <w:tcPr>
            <w:tcW w:w="1417" w:type="dxa"/>
            <w:tcBorders>
              <w:top w:val="single" w:sz="4" w:space="0" w:color="auto"/>
              <w:bottom w:val="single" w:sz="4" w:space="0" w:color="auto"/>
            </w:tcBorders>
          </w:tcPr>
          <w:p w14:paraId="1F923415"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Parent</w:t>
            </w:r>
          </w:p>
        </w:tc>
        <w:tc>
          <w:tcPr>
            <w:tcW w:w="791" w:type="dxa"/>
            <w:tcBorders>
              <w:top w:val="single" w:sz="4" w:space="0" w:color="auto"/>
              <w:bottom w:val="single" w:sz="4" w:space="0" w:color="auto"/>
            </w:tcBorders>
          </w:tcPr>
          <w:p w14:paraId="46E4CAB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242C5F2"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66B0B67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455067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right w:val="single" w:sz="4" w:space="0" w:color="auto"/>
            </w:tcBorders>
          </w:tcPr>
          <w:p w14:paraId="6CE5DA2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highlight w:val="yellow"/>
                <w:lang w:val="en-GB"/>
              </w:rPr>
            </w:pPr>
          </w:p>
        </w:tc>
      </w:tr>
      <w:tr w:rsidR="00C72A59" w:rsidRPr="00D6165F" w14:paraId="780043A5"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08394859" w14:textId="77777777" w:rsidR="00C72A59" w:rsidRPr="0034102F" w:rsidRDefault="00C72A59" w:rsidP="00BC3CD1">
            <w:pPr>
              <w:pStyle w:val="TableRowIndent"/>
              <w:rPr>
                <w:highlight w:val="yellow"/>
              </w:rPr>
            </w:pPr>
          </w:p>
        </w:tc>
        <w:tc>
          <w:tcPr>
            <w:tcW w:w="2093" w:type="dxa"/>
            <w:vMerge/>
            <w:tcBorders>
              <w:bottom w:val="single" w:sz="4" w:space="0" w:color="auto"/>
            </w:tcBorders>
          </w:tcPr>
          <w:p w14:paraId="189944EB"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rPr>
                <w:highlight w:val="yellow"/>
              </w:rPr>
            </w:pPr>
          </w:p>
        </w:tc>
        <w:tc>
          <w:tcPr>
            <w:tcW w:w="1417" w:type="dxa"/>
            <w:tcBorders>
              <w:top w:val="single" w:sz="4" w:space="0" w:color="auto"/>
              <w:bottom w:val="single" w:sz="4" w:space="0" w:color="auto"/>
            </w:tcBorders>
          </w:tcPr>
          <w:p w14:paraId="4AF5A2E5"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4C76F58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AB5D05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7C06C8C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B51BAC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9777CE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highlight w:val="yellow"/>
                <w:lang w:val="en-GB"/>
              </w:rPr>
            </w:pPr>
            <w:r w:rsidRPr="00D6165F">
              <w:rPr>
                <w:lang w:val="en-GB"/>
              </w:rPr>
              <w:sym w:font="Wingdings 2" w:char="F050"/>
            </w:r>
          </w:p>
        </w:tc>
      </w:tr>
      <w:tr w:rsidR="00C72A59" w:rsidRPr="00D6165F" w14:paraId="45487209"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3D300FF2"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77E08C41"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Substance use</w:t>
            </w:r>
          </w:p>
        </w:tc>
        <w:tc>
          <w:tcPr>
            <w:tcW w:w="1417" w:type="dxa"/>
            <w:tcBorders>
              <w:top w:val="single" w:sz="4" w:space="0" w:color="auto"/>
              <w:bottom w:val="single" w:sz="4" w:space="0" w:color="auto"/>
            </w:tcBorders>
          </w:tcPr>
          <w:p w14:paraId="7C71958B"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2C82E01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3DCCB0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38655CC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3A50F98"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0E53F0C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0E990019"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074B8D27" w14:textId="77777777" w:rsidR="00C72A59" w:rsidRPr="0034102F" w:rsidRDefault="00C72A59" w:rsidP="00BC3CD1">
            <w:pPr>
              <w:pStyle w:val="TableRowIndent"/>
              <w:rPr>
                <w:highlight w:val="yellow"/>
              </w:rPr>
            </w:pPr>
          </w:p>
        </w:tc>
        <w:tc>
          <w:tcPr>
            <w:tcW w:w="2093" w:type="dxa"/>
            <w:tcBorders>
              <w:top w:val="single" w:sz="4" w:space="0" w:color="auto"/>
              <w:bottom w:val="single" w:sz="4" w:space="0" w:color="auto"/>
            </w:tcBorders>
          </w:tcPr>
          <w:p w14:paraId="7872C863"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Media use</w:t>
            </w:r>
          </w:p>
        </w:tc>
        <w:tc>
          <w:tcPr>
            <w:tcW w:w="1417" w:type="dxa"/>
            <w:tcBorders>
              <w:top w:val="single" w:sz="4" w:space="0" w:color="auto"/>
              <w:bottom w:val="single" w:sz="4" w:space="0" w:color="auto"/>
            </w:tcBorders>
          </w:tcPr>
          <w:p w14:paraId="667E7925"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Child</w:t>
            </w:r>
          </w:p>
        </w:tc>
        <w:tc>
          <w:tcPr>
            <w:tcW w:w="791" w:type="dxa"/>
            <w:tcBorders>
              <w:top w:val="single" w:sz="4" w:space="0" w:color="auto"/>
              <w:bottom w:val="single" w:sz="4" w:space="0" w:color="auto"/>
            </w:tcBorders>
          </w:tcPr>
          <w:p w14:paraId="1CFA71F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4EF2A4F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4DAF4CD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9243F1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E94D41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536954E0"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single" w:sz="4" w:space="0" w:color="auto"/>
              <w:bottom w:val="single" w:sz="4" w:space="0" w:color="auto"/>
            </w:tcBorders>
          </w:tcPr>
          <w:p w14:paraId="1EA58A16" w14:textId="77777777" w:rsidR="00C72A59" w:rsidRPr="0034102F" w:rsidRDefault="00C72A59" w:rsidP="00BC3CD1">
            <w:pPr>
              <w:pStyle w:val="TableRowIndent"/>
              <w:rPr>
                <w:highlight w:val="yellow"/>
              </w:rPr>
            </w:pPr>
            <w:r w:rsidRPr="0034102F">
              <w:t xml:space="preserve">Academic outcomes </w:t>
            </w:r>
          </w:p>
        </w:tc>
        <w:tc>
          <w:tcPr>
            <w:tcW w:w="2093" w:type="dxa"/>
            <w:vMerge w:val="restart"/>
            <w:tcBorders>
              <w:top w:val="single" w:sz="4" w:space="0" w:color="auto"/>
            </w:tcBorders>
          </w:tcPr>
          <w:p w14:paraId="4FAF4103"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Academic performance </w:t>
            </w:r>
          </w:p>
        </w:tc>
        <w:tc>
          <w:tcPr>
            <w:tcW w:w="1417" w:type="dxa"/>
            <w:tcBorders>
              <w:top w:val="single" w:sz="4" w:space="0" w:color="auto"/>
              <w:bottom w:val="single" w:sz="4" w:space="0" w:color="auto"/>
            </w:tcBorders>
          </w:tcPr>
          <w:p w14:paraId="115DF3D3"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VCAA</w:t>
            </w:r>
          </w:p>
        </w:tc>
        <w:tc>
          <w:tcPr>
            <w:tcW w:w="791" w:type="dxa"/>
            <w:tcBorders>
              <w:top w:val="single" w:sz="4" w:space="0" w:color="auto"/>
              <w:bottom w:val="single" w:sz="4" w:space="0" w:color="auto"/>
            </w:tcBorders>
          </w:tcPr>
          <w:p w14:paraId="5C5F900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5926884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36481804"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06CE18B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right w:val="single" w:sz="4" w:space="0" w:color="auto"/>
            </w:tcBorders>
          </w:tcPr>
          <w:p w14:paraId="2B96CDF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59909966"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0AE9F9C8" w14:textId="77777777" w:rsidR="00C72A59" w:rsidRPr="00D6165F" w:rsidRDefault="00C72A59" w:rsidP="00BC3CD1">
            <w:pPr>
              <w:pStyle w:val="TableRowIndent"/>
              <w:rPr>
                <w:highlight w:val="yellow"/>
              </w:rPr>
            </w:pPr>
          </w:p>
        </w:tc>
        <w:tc>
          <w:tcPr>
            <w:tcW w:w="2093" w:type="dxa"/>
            <w:vMerge/>
            <w:tcBorders>
              <w:bottom w:val="single" w:sz="4" w:space="0" w:color="auto"/>
            </w:tcBorders>
          </w:tcPr>
          <w:p w14:paraId="4D20306B"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66EE4CA4"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Teacher</w:t>
            </w:r>
          </w:p>
        </w:tc>
        <w:tc>
          <w:tcPr>
            <w:tcW w:w="791" w:type="dxa"/>
            <w:tcBorders>
              <w:top w:val="single" w:sz="4" w:space="0" w:color="auto"/>
              <w:bottom w:val="single" w:sz="4" w:space="0" w:color="auto"/>
            </w:tcBorders>
          </w:tcPr>
          <w:p w14:paraId="5EFF0C43"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9865AA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324FA8B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508EA79"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217E3F2"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D6165F" w14:paraId="65F0EBC2"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1B59B9C5" w14:textId="77777777" w:rsidR="00C72A59" w:rsidRPr="00D6165F" w:rsidRDefault="00C72A59" w:rsidP="00BC3CD1">
            <w:pPr>
              <w:pStyle w:val="TableRowIndent"/>
              <w:rPr>
                <w:highlight w:val="yellow"/>
              </w:rPr>
            </w:pPr>
          </w:p>
        </w:tc>
        <w:tc>
          <w:tcPr>
            <w:tcW w:w="2093" w:type="dxa"/>
            <w:vMerge w:val="restart"/>
            <w:tcBorders>
              <w:top w:val="single" w:sz="4" w:space="0" w:color="auto"/>
            </w:tcBorders>
          </w:tcPr>
          <w:p w14:paraId="5C387AA1"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School engagement </w:t>
            </w:r>
          </w:p>
        </w:tc>
        <w:tc>
          <w:tcPr>
            <w:tcW w:w="1417" w:type="dxa"/>
            <w:tcBorders>
              <w:top w:val="single" w:sz="4" w:space="0" w:color="auto"/>
              <w:bottom w:val="single" w:sz="4" w:space="0" w:color="auto"/>
            </w:tcBorders>
          </w:tcPr>
          <w:p w14:paraId="7DC557F0"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Child </w:t>
            </w:r>
          </w:p>
        </w:tc>
        <w:tc>
          <w:tcPr>
            <w:tcW w:w="791" w:type="dxa"/>
            <w:tcBorders>
              <w:top w:val="single" w:sz="4" w:space="0" w:color="auto"/>
              <w:bottom w:val="single" w:sz="4" w:space="0" w:color="auto"/>
            </w:tcBorders>
          </w:tcPr>
          <w:p w14:paraId="16CB902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1A659BF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471CC88A"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36463B5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3F60217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799F62B0"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66915248" w14:textId="77777777" w:rsidR="00C72A59" w:rsidRPr="00D6165F" w:rsidRDefault="00C72A59" w:rsidP="00BC3CD1">
            <w:pPr>
              <w:pStyle w:val="TableRowIndent"/>
              <w:rPr>
                <w:highlight w:val="yellow"/>
              </w:rPr>
            </w:pPr>
          </w:p>
        </w:tc>
        <w:tc>
          <w:tcPr>
            <w:tcW w:w="2093" w:type="dxa"/>
            <w:vMerge/>
            <w:tcBorders>
              <w:bottom w:val="single" w:sz="4" w:space="0" w:color="auto"/>
            </w:tcBorders>
          </w:tcPr>
          <w:p w14:paraId="700E8811"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7886F44D"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Teacher </w:t>
            </w:r>
          </w:p>
        </w:tc>
        <w:tc>
          <w:tcPr>
            <w:tcW w:w="791" w:type="dxa"/>
            <w:tcBorders>
              <w:top w:val="single" w:sz="4" w:space="0" w:color="auto"/>
              <w:bottom w:val="single" w:sz="4" w:space="0" w:color="auto"/>
            </w:tcBorders>
          </w:tcPr>
          <w:p w14:paraId="6C571F3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65545FF5"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1" w:type="dxa"/>
            <w:tcBorders>
              <w:top w:val="single" w:sz="4" w:space="0" w:color="auto"/>
              <w:bottom w:val="single" w:sz="4" w:space="0" w:color="auto"/>
            </w:tcBorders>
          </w:tcPr>
          <w:p w14:paraId="70F22D0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15B5EBB1"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7F1F94E0"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D6165F" w14:paraId="7635FDCF"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7299E9F4" w14:textId="77777777" w:rsidR="00C72A59" w:rsidRPr="00D6165F" w:rsidRDefault="00C72A59" w:rsidP="00BC3CD1">
            <w:pPr>
              <w:pStyle w:val="TableRowIndent"/>
              <w:rPr>
                <w:highlight w:val="yellow"/>
              </w:rPr>
            </w:pPr>
          </w:p>
        </w:tc>
        <w:tc>
          <w:tcPr>
            <w:tcW w:w="2093" w:type="dxa"/>
            <w:vMerge w:val="restart"/>
            <w:tcBorders>
              <w:top w:val="single" w:sz="4" w:space="0" w:color="auto"/>
            </w:tcBorders>
          </w:tcPr>
          <w:p w14:paraId="15B124C3"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Transition difficulties </w:t>
            </w:r>
          </w:p>
        </w:tc>
        <w:tc>
          <w:tcPr>
            <w:tcW w:w="1417" w:type="dxa"/>
            <w:tcBorders>
              <w:top w:val="single" w:sz="4" w:space="0" w:color="auto"/>
              <w:bottom w:val="single" w:sz="4" w:space="0" w:color="auto"/>
            </w:tcBorders>
          </w:tcPr>
          <w:p w14:paraId="47DC0EB4"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Child </w:t>
            </w:r>
          </w:p>
        </w:tc>
        <w:tc>
          <w:tcPr>
            <w:tcW w:w="791" w:type="dxa"/>
            <w:tcBorders>
              <w:top w:val="single" w:sz="4" w:space="0" w:color="auto"/>
              <w:bottom w:val="single" w:sz="4" w:space="0" w:color="auto"/>
            </w:tcBorders>
          </w:tcPr>
          <w:p w14:paraId="602CDC44"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340B047B"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25B7AC1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1252AEAD"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0903EA09"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r>
      <w:tr w:rsidR="00C72A59" w:rsidRPr="00D6165F" w14:paraId="207BF263" w14:textId="77777777" w:rsidTr="0098085C">
        <w:trPr>
          <w:jc w:val="center"/>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tcPr>
          <w:p w14:paraId="1056E44A" w14:textId="77777777" w:rsidR="00C72A59" w:rsidRPr="00D6165F" w:rsidRDefault="00C72A59" w:rsidP="00D52B12">
            <w:pPr>
              <w:rPr>
                <w:highlight w:val="yellow"/>
                <w:lang w:val="en-GB"/>
              </w:rPr>
            </w:pPr>
          </w:p>
        </w:tc>
        <w:tc>
          <w:tcPr>
            <w:tcW w:w="2093" w:type="dxa"/>
            <w:vMerge/>
          </w:tcPr>
          <w:p w14:paraId="7080A88C"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bottom w:val="single" w:sz="4" w:space="0" w:color="auto"/>
            </w:tcBorders>
          </w:tcPr>
          <w:p w14:paraId="12CEEF82" w14:textId="77777777" w:rsidR="00C72A59" w:rsidRPr="00D6165F" w:rsidRDefault="00C72A59" w:rsidP="00BC3CD1">
            <w:pPr>
              <w:pStyle w:val="TableRowIndent"/>
              <w:cnfStyle w:val="000000000000" w:firstRow="0" w:lastRow="0" w:firstColumn="0" w:lastColumn="0" w:oddVBand="0" w:evenVBand="0" w:oddHBand="0" w:evenHBand="0" w:firstRowFirstColumn="0" w:firstRowLastColumn="0" w:lastRowFirstColumn="0" w:lastRowLastColumn="0"/>
            </w:pPr>
            <w:r w:rsidRPr="00D6165F">
              <w:t xml:space="preserve">Parent </w:t>
            </w:r>
          </w:p>
        </w:tc>
        <w:tc>
          <w:tcPr>
            <w:tcW w:w="791" w:type="dxa"/>
            <w:tcBorders>
              <w:top w:val="single" w:sz="4" w:space="0" w:color="auto"/>
              <w:bottom w:val="single" w:sz="4" w:space="0" w:color="auto"/>
            </w:tcBorders>
          </w:tcPr>
          <w:p w14:paraId="27C71064"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1ACC8EB8"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348BD9C6"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742E4BDB"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tcBorders>
          </w:tcPr>
          <w:p w14:paraId="2F2102FA" w14:textId="77777777" w:rsidR="00C72A59" w:rsidRPr="00D6165F"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D6165F">
              <w:rPr>
                <w:lang w:val="en-GB"/>
              </w:rPr>
              <w:sym w:font="Wingdings 2" w:char="F050"/>
            </w:r>
          </w:p>
        </w:tc>
      </w:tr>
      <w:tr w:rsidR="00C72A59" w:rsidRPr="00D6165F" w14:paraId="63D81729" w14:textId="77777777" w:rsidTr="00980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Borders>
              <w:left w:val="single" w:sz="4" w:space="0" w:color="auto"/>
              <w:bottom w:val="single" w:sz="4" w:space="0" w:color="auto"/>
            </w:tcBorders>
          </w:tcPr>
          <w:p w14:paraId="4E0E70F8" w14:textId="77777777" w:rsidR="00C72A59" w:rsidRPr="00D6165F" w:rsidRDefault="00C72A59" w:rsidP="00D52B12">
            <w:pPr>
              <w:rPr>
                <w:highlight w:val="yellow"/>
                <w:lang w:val="en-GB"/>
              </w:rPr>
            </w:pPr>
          </w:p>
        </w:tc>
        <w:tc>
          <w:tcPr>
            <w:tcW w:w="2093" w:type="dxa"/>
            <w:vMerge/>
            <w:tcBorders>
              <w:bottom w:val="single" w:sz="4" w:space="0" w:color="auto"/>
            </w:tcBorders>
          </w:tcPr>
          <w:p w14:paraId="1B10ABFE"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tcPr>
          <w:p w14:paraId="69A2F734" w14:textId="77777777" w:rsidR="00C72A59" w:rsidRPr="00D6165F" w:rsidRDefault="00C72A59" w:rsidP="00BC3CD1">
            <w:pPr>
              <w:pStyle w:val="TableRowIndent"/>
              <w:cnfStyle w:val="000000100000" w:firstRow="0" w:lastRow="0" w:firstColumn="0" w:lastColumn="0" w:oddVBand="0" w:evenVBand="0" w:oddHBand="1" w:evenHBand="0" w:firstRowFirstColumn="0" w:firstRowLastColumn="0" w:lastRowFirstColumn="0" w:lastRowLastColumn="0"/>
            </w:pPr>
            <w:r w:rsidRPr="00D6165F">
              <w:t xml:space="preserve">Teacher </w:t>
            </w:r>
          </w:p>
        </w:tc>
        <w:tc>
          <w:tcPr>
            <w:tcW w:w="791" w:type="dxa"/>
            <w:tcBorders>
              <w:top w:val="single" w:sz="4" w:space="0" w:color="auto"/>
              <w:bottom w:val="single" w:sz="4" w:space="0" w:color="auto"/>
            </w:tcBorders>
          </w:tcPr>
          <w:p w14:paraId="2BF26E1E"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0E7741C7"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1" w:type="dxa"/>
            <w:tcBorders>
              <w:top w:val="single" w:sz="4" w:space="0" w:color="auto"/>
              <w:bottom w:val="single" w:sz="4" w:space="0" w:color="auto"/>
            </w:tcBorders>
          </w:tcPr>
          <w:p w14:paraId="102330B5"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792" w:type="dxa"/>
            <w:tcBorders>
              <w:top w:val="single" w:sz="4" w:space="0" w:color="auto"/>
              <w:bottom w:val="single" w:sz="4" w:space="0" w:color="auto"/>
            </w:tcBorders>
          </w:tcPr>
          <w:p w14:paraId="3110592F"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D6165F">
              <w:rPr>
                <w:lang w:val="en-GB"/>
              </w:rPr>
              <w:sym w:font="Wingdings 2" w:char="F050"/>
            </w:r>
          </w:p>
        </w:tc>
        <w:tc>
          <w:tcPr>
            <w:tcW w:w="792" w:type="dxa"/>
            <w:tcBorders>
              <w:top w:val="single" w:sz="4" w:space="0" w:color="auto"/>
              <w:bottom w:val="single" w:sz="4" w:space="0" w:color="auto"/>
              <w:right w:val="single" w:sz="4" w:space="0" w:color="auto"/>
            </w:tcBorders>
          </w:tcPr>
          <w:p w14:paraId="5B3A3A36" w14:textId="77777777" w:rsidR="00C72A59" w:rsidRPr="00D6165F"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bl>
    <w:p w14:paraId="5C9E6DFB" w14:textId="77777777" w:rsidR="00C72A59" w:rsidRPr="00493C91" w:rsidRDefault="00C72A59" w:rsidP="0025203E">
      <w:pPr>
        <w:pStyle w:val="Heading2"/>
        <w:spacing w:before="0" w:after="120"/>
      </w:pPr>
      <w:bookmarkStart w:id="129" w:name="_Toc501120756"/>
      <w:r>
        <w:t>Demographic measures</w:t>
      </w:r>
      <w:bookmarkEnd w:id="129"/>
    </w:p>
    <w:p w14:paraId="44EE1A36" w14:textId="77777777" w:rsidR="00C72A59" w:rsidRDefault="00C72A59" w:rsidP="006A36B8">
      <w:pPr>
        <w:spacing w:after="0"/>
      </w:pPr>
      <w:r w:rsidRPr="0013322A">
        <w:t>Child age was calculated using date of birth and date of direct measurement</w:t>
      </w:r>
      <w:r>
        <w:t xml:space="preserve"> at Wave 1</w:t>
      </w:r>
      <w:r w:rsidRPr="0013322A">
        <w:t xml:space="preserve">. Age of parents at birth </w:t>
      </w:r>
      <w:r>
        <w:t xml:space="preserve">of a child participant </w:t>
      </w:r>
      <w:r w:rsidRPr="0013322A">
        <w:t>was calculated by subtracting</w:t>
      </w:r>
      <w:r>
        <w:t xml:space="preserve"> their</w:t>
      </w:r>
      <w:r w:rsidRPr="0013322A">
        <w:t xml:space="preserve"> child’s date of birth from </w:t>
      </w:r>
      <w:r>
        <w:t xml:space="preserve">the </w:t>
      </w:r>
      <w:r w:rsidRPr="0013322A">
        <w:t xml:space="preserve">parent’s date of birth. </w:t>
      </w:r>
    </w:p>
    <w:p w14:paraId="571E1CA1" w14:textId="77777777" w:rsidR="006A36B8" w:rsidRPr="0013322A" w:rsidRDefault="006A36B8" w:rsidP="006A36B8">
      <w:pPr>
        <w:spacing w:after="0"/>
      </w:pPr>
    </w:p>
    <w:p w14:paraId="7D707643" w14:textId="00D48CBA" w:rsidR="00C72A59" w:rsidRDefault="00C72A59" w:rsidP="006A36B8">
      <w:pPr>
        <w:spacing w:after="0"/>
      </w:pPr>
      <w:r w:rsidRPr="0013322A">
        <w:t xml:space="preserve">Family socio-economic status (SES) was assigned from small area deprivation measures calculated for home postcode using the Index of Relative Socio-Economic Advantage and Disadvantage (IRSAD; population mean (M) = 1000, standard deviation (SD) = 100) from the Australian Bureau of Statistics census-based local neighbourhood Socio-Economic Index for Areas (SEIFA) </w:t>
      </w:r>
      <w:r w:rsidR="00B22107">
        <w:fldChar w:fldCharType="begin"/>
      </w:r>
      <w:r w:rsidR="00B22107">
        <w:instrText xml:space="preserve"> ADDIN EN.CITE &lt;EndNote&gt;&lt;Cite&gt;&lt;Author&gt;Australian Bureau of Statistics&lt;/Author&gt;&lt;Year&gt;Accessed April 2015&lt;/Year&gt;&lt;RecNum&gt;603&lt;/RecNum&gt;&lt;DisplayText&gt;[44]&lt;/DisplayText&gt;&lt;record&gt;&lt;rec-number&gt;603&lt;/rec-number&gt;&lt;foreign-keys&gt;&lt;key app="EN" db-id="fztfxtw2kew9raetd235rfx625vrvpf9e0df" timestamp="1513904760"&gt;603&lt;/key&gt;&lt;/foreign-keys&gt;&lt;ref-type name="Government Document"&gt;46&lt;/ref-type&gt;&lt;contributors&gt;&lt;authors&gt;&lt;author&gt;Australian Bureau of Statistics, &lt;/author&gt;&lt;/authors&gt;&lt;secondary-authors&gt;&lt;author&gt;Commonwealth of Australia,&lt;/author&gt;&lt;/secondary-authors&gt;&lt;/contributors&gt;&lt;titles&gt;&lt;title&gt;Socio-Economic Indexes for Areas (SEIFA) 2011&lt;/title&gt;&lt;/titles&gt;&lt;dates&gt;&lt;year&gt;Accessed April 2015&lt;/year&gt;&lt;/dates&gt;&lt;pub-location&gt;Canberra, ACT, Australia&lt;/pub-location&gt;&lt;publisher&gt;Australian Bureau of Statistics,&lt;/publisher&gt;&lt;urls&gt;&lt;/urls&gt;&lt;/record&gt;&lt;/Cite&gt;&lt;/EndNote&gt;</w:instrText>
      </w:r>
      <w:r w:rsidR="00B22107">
        <w:fldChar w:fldCharType="separate"/>
      </w:r>
      <w:r w:rsidR="00B22107">
        <w:rPr>
          <w:noProof/>
        </w:rPr>
        <w:t>[44]</w:t>
      </w:r>
      <w:r w:rsidR="00B22107">
        <w:fldChar w:fldCharType="end"/>
      </w:r>
      <w:r w:rsidR="00BF474D">
        <w:t>.</w:t>
      </w:r>
    </w:p>
    <w:p w14:paraId="6B4CFC8E" w14:textId="77777777" w:rsidR="006A36B8" w:rsidRPr="0013322A" w:rsidRDefault="006A36B8" w:rsidP="006A36B8">
      <w:pPr>
        <w:spacing w:after="0"/>
      </w:pPr>
    </w:p>
    <w:p w14:paraId="5E75D0B7" w14:textId="36D7EA7D" w:rsidR="00C72A59" w:rsidRPr="007746B4" w:rsidRDefault="00C72A59" w:rsidP="00932892">
      <w:pPr>
        <w:spacing w:after="0"/>
      </w:pPr>
      <w:r w:rsidRPr="0013322A">
        <w:t xml:space="preserve">Other demographic information such as Aboriginal Torres </w:t>
      </w:r>
      <w:r w:rsidR="00AF629F">
        <w:t xml:space="preserve">and </w:t>
      </w:r>
      <w:r w:rsidRPr="0013322A">
        <w:t>Strait Islander (ATSI)</w:t>
      </w:r>
      <w:r>
        <w:t xml:space="preserve"> </w:t>
      </w:r>
      <w:r w:rsidRPr="0013322A">
        <w:t xml:space="preserve">status, parents’ </w:t>
      </w:r>
      <w:r>
        <w:t xml:space="preserve">highest level of </w:t>
      </w:r>
      <w:r w:rsidRPr="0013322A">
        <w:t xml:space="preserve">education and language spoken at home were collected from the respondents </w:t>
      </w:r>
      <w:r>
        <w:t xml:space="preserve">at </w:t>
      </w:r>
      <w:r w:rsidRPr="007746B4">
        <w:t>Wave 1 through the parent survey.</w:t>
      </w:r>
    </w:p>
    <w:p w14:paraId="42A372E0" w14:textId="77777777" w:rsidR="00932892" w:rsidRPr="007746B4" w:rsidRDefault="00932892" w:rsidP="00932892">
      <w:pPr>
        <w:spacing w:after="0"/>
      </w:pPr>
    </w:p>
    <w:p w14:paraId="68D4D75E" w14:textId="77777777" w:rsidR="00C72A59" w:rsidRPr="007746B4" w:rsidRDefault="00C72A59" w:rsidP="0025203E">
      <w:pPr>
        <w:pStyle w:val="Heading2"/>
        <w:spacing w:before="0" w:after="120"/>
      </w:pPr>
      <w:bookmarkStart w:id="130" w:name="_Toc501120757"/>
      <w:r w:rsidRPr="005265DE">
        <w:t>Sample characteristics</w:t>
      </w:r>
      <w:bookmarkEnd w:id="130"/>
    </w:p>
    <w:p w14:paraId="485717A6" w14:textId="71B135C3" w:rsidR="00C72A59" w:rsidRDefault="00C72A59" w:rsidP="00D52B12">
      <w:r w:rsidRPr="007746B4">
        <w:t>Of the recruited sample, the mean age was nine years (SD: 5 months; range 7 years, 10 months - 10 years, 8 months). The recruited sample contained a slightly smaller proportion of boys (46</w:t>
      </w:r>
      <w:r w:rsidR="001F7033" w:rsidRPr="007746B4">
        <w:t>.2</w:t>
      </w:r>
      <w:r w:rsidRPr="007746B4">
        <w:t>%) compared with census data for eight- to nine-year old students enrolled in Year 3 across the state of Victoria in Australia (</w:t>
      </w:r>
      <w:r w:rsidRPr="005265DE">
        <w:t>51</w:t>
      </w:r>
      <w:r w:rsidR="00017545" w:rsidRPr="005265DE">
        <w:t>.7</w:t>
      </w:r>
      <w:r w:rsidRPr="005265DE">
        <w:t>% boys</w:t>
      </w:r>
      <w:r w:rsidRPr="007746B4">
        <w:t>). This sample scored slightly higher on a measure of SES compared with the entire Australian population</w:t>
      </w:r>
      <w:r w:rsidR="00B22107" w:rsidRPr="007746B4">
        <w:t xml:space="preserve"> </w:t>
      </w:r>
      <w:r w:rsidR="00B22107" w:rsidRPr="00057A30">
        <w:fldChar w:fldCharType="begin"/>
      </w:r>
      <w:r w:rsidR="00B22107" w:rsidRPr="007746B4">
        <w:instrText xml:space="preserve"> ADDIN EN.CITE &lt;EndNote&gt;&lt;Cite&gt;&lt;Author&gt;Australian Bureau of Statistics&lt;/Author&gt;&lt;Year&gt;Accessed April 2015&lt;/Year&gt;&lt;RecNum&gt;603&lt;/RecNum&gt;&lt;DisplayText&gt;[44]&lt;/DisplayText&gt;&lt;record&gt;&lt;rec-number&gt;603&lt;/rec-number&gt;&lt;foreign-keys&gt;&lt;key app="EN" db-id="fztfxtw2kew9raetd235rfx625vrvpf9e0df" timestamp="1513904760"&gt;603&lt;/key&gt;&lt;/foreign-keys&gt;&lt;ref-type name="Government Document"&gt;46&lt;/ref-type&gt;&lt;contributors&gt;&lt;authors&gt;&lt;author&gt;Australian Bureau of Statistics, &lt;/author&gt;&lt;/authors&gt;&lt;secondary-authors&gt;&lt;author&gt;Commonwealth of Australia,&lt;/author&gt;&lt;/secondary-authors&gt;&lt;/contributors&gt;&lt;titles&gt;&lt;title&gt;Socio-Economic Indexes for Areas (SEIFA) 2011&lt;/title&gt;&lt;/titles&gt;&lt;dates&gt;&lt;year&gt;Accessed April 2015&lt;/year&gt;&lt;/dates&gt;&lt;pub-location&gt;Canberra, ACT, Australia&lt;/pub-location&gt;&lt;publisher&gt;Australian Bureau of Statistics,&lt;/publisher&gt;&lt;urls&gt;&lt;/urls&gt;&lt;/record&gt;&lt;/Cite&gt;&lt;/EndNote&gt;</w:instrText>
      </w:r>
      <w:r w:rsidR="00B22107" w:rsidRPr="00057A30">
        <w:fldChar w:fldCharType="separate"/>
      </w:r>
      <w:r w:rsidR="00B22107" w:rsidRPr="007746B4">
        <w:rPr>
          <w:noProof/>
        </w:rPr>
        <w:t>[44]</w:t>
      </w:r>
      <w:r w:rsidR="00B22107" w:rsidRPr="00057A30">
        <w:fldChar w:fldCharType="end"/>
      </w:r>
      <w:r w:rsidRPr="007746B4">
        <w:t xml:space="preserve">. A higher percentage identified as </w:t>
      </w:r>
      <w:r w:rsidR="00E6712B" w:rsidRPr="007746B4">
        <w:t xml:space="preserve">ATSI </w:t>
      </w:r>
      <w:r w:rsidRPr="007746B4">
        <w:t>compared with all Year 3 students in Victoria (</w:t>
      </w:r>
      <w:r w:rsidR="00017545" w:rsidRPr="007746B4">
        <w:t>4.8</w:t>
      </w:r>
      <w:r w:rsidRPr="007746B4">
        <w:t xml:space="preserve">% vs. </w:t>
      </w:r>
      <w:r w:rsidR="00017545" w:rsidRPr="007746B4">
        <w:t>0.8</w:t>
      </w:r>
      <w:r w:rsidRPr="007746B4">
        <w:t>%). Child and family characteristics were similar for boys and girls: born in Australia (87</w:t>
      </w:r>
      <w:r w:rsidR="001F7033" w:rsidRPr="007746B4">
        <w:t>.1</w:t>
      </w:r>
      <w:r w:rsidRPr="007746B4">
        <w:t xml:space="preserve">% vs. </w:t>
      </w:r>
      <w:r w:rsidR="001F7033" w:rsidRPr="007746B4">
        <w:t>88.3</w:t>
      </w:r>
      <w:r w:rsidRPr="007746B4">
        <w:t>%); Aboriginal Torres Strait Islander (5</w:t>
      </w:r>
      <w:r w:rsidR="001F7033" w:rsidRPr="007746B4">
        <w:t>.6</w:t>
      </w:r>
      <w:r w:rsidRPr="007746B4">
        <w:t>% vs. 4</w:t>
      </w:r>
      <w:r w:rsidR="001F7033" w:rsidRPr="007746B4">
        <w:t>.2</w:t>
      </w:r>
      <w:r w:rsidRPr="007746B4">
        <w:t>%); English main language spoken at home (</w:t>
      </w:r>
      <w:r w:rsidR="001F7033" w:rsidRPr="007746B4">
        <w:t>84.6</w:t>
      </w:r>
      <w:r w:rsidRPr="007746B4">
        <w:t xml:space="preserve">% vs. </w:t>
      </w:r>
      <w:r w:rsidR="001F7033" w:rsidRPr="007746B4">
        <w:t>84.6</w:t>
      </w:r>
      <w:r w:rsidRPr="007746B4">
        <w:t xml:space="preserve">%). </w:t>
      </w:r>
      <w:r w:rsidR="00C43223" w:rsidRPr="007746B4">
        <w:t xml:space="preserve">Table 13 </w:t>
      </w:r>
      <w:r w:rsidRPr="007746B4">
        <w:t>outlines the characteristics of the participants at baseline.</w:t>
      </w:r>
      <w:r w:rsidR="002F310B">
        <w:t xml:space="preserve"> </w:t>
      </w:r>
    </w:p>
    <w:p w14:paraId="4B9166DE" w14:textId="77777777" w:rsidR="0043740D" w:rsidRDefault="0043740D">
      <w:pPr>
        <w:spacing w:after="0" w:line="240" w:lineRule="auto"/>
        <w:rPr>
          <w:rFonts w:eastAsiaTheme="minorEastAsia" w:cs="ArialMT"/>
          <w:b/>
          <w:bCs/>
          <w:color w:val="222A35" w:themeColor="text2" w:themeShade="80"/>
          <w:sz w:val="18"/>
          <w:szCs w:val="18"/>
        </w:rPr>
      </w:pPr>
      <w:bookmarkStart w:id="131" w:name="_Ref501027853"/>
      <w:bookmarkStart w:id="132" w:name="_Toc498613268"/>
      <w:bookmarkStart w:id="133" w:name="_Toc500946777"/>
      <w:bookmarkStart w:id="134" w:name="_Toc501014931"/>
      <w:r>
        <w:br w:type="page"/>
      </w:r>
    </w:p>
    <w:p w14:paraId="503327BA" w14:textId="45D65BED" w:rsidR="00C72A59" w:rsidRDefault="00C72A59" w:rsidP="00D52B12">
      <w:pPr>
        <w:pStyle w:val="Caption"/>
      </w:pPr>
      <w:bookmarkStart w:id="135" w:name="_Toc503780753"/>
      <w:r>
        <w:t xml:space="preserve">Table </w:t>
      </w:r>
      <w:r>
        <w:fldChar w:fldCharType="begin"/>
      </w:r>
      <w:r>
        <w:instrText xml:space="preserve"> SEQ Table \* ARABIC </w:instrText>
      </w:r>
      <w:r>
        <w:fldChar w:fldCharType="separate"/>
      </w:r>
      <w:r w:rsidR="004C27B3">
        <w:rPr>
          <w:noProof/>
        </w:rPr>
        <w:t>13</w:t>
      </w:r>
      <w:r>
        <w:rPr>
          <w:noProof/>
        </w:rPr>
        <w:fldChar w:fldCharType="end"/>
      </w:r>
      <w:bookmarkEnd w:id="131"/>
      <w:r>
        <w:t xml:space="preserve">. </w:t>
      </w:r>
      <w:r w:rsidRPr="00295FFD">
        <w:t>Overview of</w:t>
      </w:r>
      <w:r>
        <w:t xml:space="preserve"> study participants at baseline.</w:t>
      </w:r>
      <w:bookmarkEnd w:id="132"/>
      <w:bookmarkEnd w:id="133"/>
      <w:bookmarkEnd w:id="134"/>
      <w:bookmarkEnd w:id="135"/>
    </w:p>
    <w:tbl>
      <w:tblPr>
        <w:tblStyle w:val="ListTable3-Accent11"/>
        <w:tblW w:w="8646" w:type="dxa"/>
        <w:jc w:val="center"/>
        <w:tblLayout w:type="fixed"/>
        <w:tblLook w:val="04A0" w:firstRow="1" w:lastRow="0" w:firstColumn="1" w:lastColumn="0" w:noHBand="0" w:noVBand="1"/>
        <w:tblCaption w:val="Table 13. Overview of study participants at baseline"/>
        <w:tblDescription w:val="Tabular representation of the characteristics of the participants in the CATS survey, columns from left to right: Characteristic, N for Boys, n for Boys, Value for Boys, N for Girls, n for girls, Value for Girls and Between gender difference.&#10;"/>
      </w:tblPr>
      <w:tblGrid>
        <w:gridCol w:w="3287"/>
        <w:gridCol w:w="510"/>
        <w:gridCol w:w="510"/>
        <w:gridCol w:w="1021"/>
        <w:gridCol w:w="510"/>
        <w:gridCol w:w="510"/>
        <w:gridCol w:w="1021"/>
        <w:gridCol w:w="1277"/>
      </w:tblGrid>
      <w:tr w:rsidR="00C72A59" w:rsidRPr="00404055" w14:paraId="6856D95E" w14:textId="77777777" w:rsidTr="003F04C9">
        <w:trPr>
          <w:cnfStyle w:val="100000000000" w:firstRow="1" w:lastRow="0" w:firstColumn="0" w:lastColumn="0" w:oddVBand="0" w:evenVBand="0" w:oddHBand="0" w:evenHBand="0" w:firstRowFirstColumn="0" w:firstRowLastColumn="0" w:lastRowFirstColumn="0" w:lastRowLastColumn="0"/>
          <w:trHeight w:val="380"/>
          <w:tblHeader/>
          <w:jc w:val="center"/>
        </w:trPr>
        <w:tc>
          <w:tcPr>
            <w:cnfStyle w:val="001000000100" w:firstRow="0" w:lastRow="0" w:firstColumn="1" w:lastColumn="0" w:oddVBand="0" w:evenVBand="0" w:oddHBand="0" w:evenHBand="0" w:firstRowFirstColumn="1" w:firstRowLastColumn="0" w:lastRowFirstColumn="0" w:lastRowLastColumn="0"/>
            <w:tcW w:w="3287" w:type="dxa"/>
            <w:tcBorders>
              <w:top w:val="single" w:sz="4" w:space="0" w:color="4472C4" w:themeColor="accent1"/>
              <w:bottom w:val="nil"/>
            </w:tcBorders>
            <w:shd w:val="clear" w:color="auto" w:fill="0070C0"/>
            <w:hideMark/>
          </w:tcPr>
          <w:p w14:paraId="5587DE0A" w14:textId="77777777" w:rsidR="00C72A59" w:rsidRPr="00404055" w:rsidRDefault="00C72A59" w:rsidP="00BC3CD1">
            <w:pPr>
              <w:pStyle w:val="TableHeader2"/>
            </w:pPr>
          </w:p>
        </w:tc>
        <w:tc>
          <w:tcPr>
            <w:tcW w:w="2041" w:type="dxa"/>
            <w:gridSpan w:val="3"/>
            <w:tcBorders>
              <w:top w:val="single" w:sz="4" w:space="0" w:color="4472C4" w:themeColor="accent1"/>
              <w:left w:val="nil"/>
              <w:bottom w:val="nil"/>
              <w:right w:val="nil"/>
            </w:tcBorders>
            <w:shd w:val="clear" w:color="auto" w:fill="0070C0"/>
          </w:tcPr>
          <w:p w14:paraId="585E0CCF"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p>
          <w:p w14:paraId="2B1E3F9C" w14:textId="3B340F94"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Boys Total N=572</w:t>
            </w:r>
          </w:p>
        </w:tc>
        <w:tc>
          <w:tcPr>
            <w:tcW w:w="2041" w:type="dxa"/>
            <w:gridSpan w:val="3"/>
            <w:tcBorders>
              <w:top w:val="single" w:sz="4" w:space="0" w:color="4472C4" w:themeColor="accent1"/>
              <w:left w:val="nil"/>
              <w:bottom w:val="nil"/>
              <w:right w:val="nil"/>
            </w:tcBorders>
            <w:shd w:val="clear" w:color="auto" w:fill="0070C0"/>
          </w:tcPr>
          <w:p w14:paraId="427B186A"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p>
          <w:p w14:paraId="0764850F"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Girls Total N=667</w:t>
            </w:r>
          </w:p>
        </w:tc>
        <w:tc>
          <w:tcPr>
            <w:tcW w:w="1277" w:type="dxa"/>
            <w:tcBorders>
              <w:top w:val="single" w:sz="4" w:space="0" w:color="4472C4" w:themeColor="accent1"/>
              <w:left w:val="nil"/>
              <w:bottom w:val="nil"/>
            </w:tcBorders>
            <w:shd w:val="clear" w:color="auto" w:fill="0070C0"/>
          </w:tcPr>
          <w:p w14:paraId="36514F2A" w14:textId="77777777" w:rsidR="00C72A59" w:rsidRPr="00404055" w:rsidRDefault="00C72A59" w:rsidP="005265DE">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404055">
              <w:rPr>
                <w:b/>
              </w:rPr>
              <w:t>Between gender difference</w:t>
            </w:r>
          </w:p>
        </w:tc>
      </w:tr>
      <w:tr w:rsidR="00C72A59" w:rsidRPr="00404055" w14:paraId="7F4044F6" w14:textId="77777777" w:rsidTr="00D6187B">
        <w:trPr>
          <w:cnfStyle w:val="100000000000" w:firstRow="1" w:lastRow="0" w:firstColumn="0" w:lastColumn="0" w:oddVBand="0" w:evenVBand="0" w:oddHBand="0" w:evenHBand="0" w:firstRowFirstColumn="0" w:firstRowLastColumn="0" w:lastRowFirstColumn="0" w:lastRowLastColumn="0"/>
          <w:trHeight w:val="271"/>
          <w:tblHeader/>
          <w:jc w:val="center"/>
        </w:trPr>
        <w:tc>
          <w:tcPr>
            <w:cnfStyle w:val="001000000100" w:firstRow="0" w:lastRow="0" w:firstColumn="1" w:lastColumn="0" w:oddVBand="0" w:evenVBand="0" w:oddHBand="0" w:evenHBand="0" w:firstRowFirstColumn="1" w:firstRowLastColumn="0" w:lastRowFirstColumn="0" w:lastRowLastColumn="0"/>
            <w:tcW w:w="3287" w:type="dxa"/>
            <w:tcBorders>
              <w:top w:val="nil"/>
              <w:left w:val="single" w:sz="4" w:space="0" w:color="auto"/>
            </w:tcBorders>
            <w:shd w:val="clear" w:color="auto" w:fill="0070C0"/>
          </w:tcPr>
          <w:p w14:paraId="66DDE68E" w14:textId="77777777" w:rsidR="00C72A59" w:rsidRPr="00404055" w:rsidRDefault="00C72A59" w:rsidP="00BC3CD1">
            <w:pPr>
              <w:pStyle w:val="TableHeader2"/>
            </w:pPr>
          </w:p>
        </w:tc>
        <w:tc>
          <w:tcPr>
            <w:tcW w:w="510" w:type="dxa"/>
            <w:tcBorders>
              <w:top w:val="nil"/>
              <w:left w:val="nil"/>
              <w:bottom w:val="nil"/>
              <w:right w:val="nil"/>
            </w:tcBorders>
            <w:shd w:val="clear" w:color="auto" w:fill="0070C0"/>
          </w:tcPr>
          <w:p w14:paraId="69E2B5A4"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N</w:t>
            </w:r>
          </w:p>
        </w:tc>
        <w:tc>
          <w:tcPr>
            <w:tcW w:w="510" w:type="dxa"/>
            <w:tcBorders>
              <w:top w:val="nil"/>
              <w:left w:val="nil"/>
              <w:bottom w:val="nil"/>
              <w:right w:val="nil"/>
            </w:tcBorders>
            <w:shd w:val="clear" w:color="auto" w:fill="0070C0"/>
          </w:tcPr>
          <w:p w14:paraId="395F4F89"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n</w:t>
            </w:r>
          </w:p>
        </w:tc>
        <w:tc>
          <w:tcPr>
            <w:tcW w:w="1021" w:type="dxa"/>
            <w:tcBorders>
              <w:top w:val="nil"/>
              <w:left w:val="nil"/>
              <w:bottom w:val="nil"/>
              <w:right w:val="nil"/>
            </w:tcBorders>
            <w:shd w:val="clear" w:color="auto" w:fill="0070C0"/>
          </w:tcPr>
          <w:p w14:paraId="187B1762"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Value</w:t>
            </w:r>
          </w:p>
        </w:tc>
        <w:tc>
          <w:tcPr>
            <w:tcW w:w="510" w:type="dxa"/>
            <w:tcBorders>
              <w:top w:val="nil"/>
              <w:left w:val="nil"/>
              <w:bottom w:val="nil"/>
              <w:right w:val="nil"/>
            </w:tcBorders>
            <w:shd w:val="clear" w:color="auto" w:fill="0070C0"/>
          </w:tcPr>
          <w:p w14:paraId="453CD18F"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N</w:t>
            </w:r>
          </w:p>
        </w:tc>
        <w:tc>
          <w:tcPr>
            <w:tcW w:w="510" w:type="dxa"/>
            <w:tcBorders>
              <w:top w:val="nil"/>
              <w:left w:val="nil"/>
              <w:bottom w:val="nil"/>
              <w:right w:val="nil"/>
            </w:tcBorders>
            <w:shd w:val="clear" w:color="auto" w:fill="0070C0"/>
          </w:tcPr>
          <w:p w14:paraId="49403550"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n</w:t>
            </w:r>
          </w:p>
        </w:tc>
        <w:tc>
          <w:tcPr>
            <w:tcW w:w="1021" w:type="dxa"/>
            <w:tcBorders>
              <w:top w:val="nil"/>
              <w:left w:val="nil"/>
              <w:bottom w:val="nil"/>
              <w:right w:val="nil"/>
            </w:tcBorders>
            <w:shd w:val="clear" w:color="auto" w:fill="0070C0"/>
          </w:tcPr>
          <w:p w14:paraId="3F4A1A26" w14:textId="77777777" w:rsidR="00C72A59" w:rsidRPr="00404055" w:rsidRDefault="00C72A59" w:rsidP="00BC3CD1">
            <w:pPr>
              <w:pStyle w:val="TableHeader2"/>
              <w:cnfStyle w:val="100000000000" w:firstRow="1" w:lastRow="0" w:firstColumn="0" w:lastColumn="0" w:oddVBand="0" w:evenVBand="0" w:oddHBand="0" w:evenHBand="0" w:firstRowFirstColumn="0" w:firstRowLastColumn="0" w:lastRowFirstColumn="0" w:lastRowLastColumn="0"/>
              <w:rPr>
                <w:b/>
              </w:rPr>
            </w:pPr>
            <w:r w:rsidRPr="00404055">
              <w:rPr>
                <w:b/>
              </w:rPr>
              <w:t>Value</w:t>
            </w:r>
          </w:p>
        </w:tc>
        <w:tc>
          <w:tcPr>
            <w:tcW w:w="1277" w:type="dxa"/>
            <w:tcBorders>
              <w:top w:val="nil"/>
              <w:left w:val="nil"/>
              <w:bottom w:val="nil"/>
              <w:right w:val="single" w:sz="4" w:space="0" w:color="auto"/>
            </w:tcBorders>
            <w:shd w:val="clear" w:color="auto" w:fill="0070C0"/>
          </w:tcPr>
          <w:p w14:paraId="18DA06B6" w14:textId="77777777" w:rsidR="00C72A59" w:rsidRPr="00404055" w:rsidRDefault="00C72A59" w:rsidP="005265DE">
            <w:pPr>
              <w:pStyle w:val="TableHeader2"/>
              <w:jc w:val="center"/>
              <w:cnfStyle w:val="100000000000" w:firstRow="1" w:lastRow="0" w:firstColumn="0" w:lastColumn="0" w:oddVBand="0" w:evenVBand="0" w:oddHBand="0" w:evenHBand="0" w:firstRowFirstColumn="0" w:firstRowLastColumn="0" w:lastRowFirstColumn="0" w:lastRowLastColumn="0"/>
              <w:rPr>
                <w:b/>
              </w:rPr>
            </w:pPr>
            <w:r w:rsidRPr="00404055">
              <w:rPr>
                <w:b/>
                <w:i/>
              </w:rPr>
              <w:t>p</w:t>
            </w:r>
            <w:r w:rsidRPr="00404055">
              <w:rPr>
                <w:b/>
                <w:vertAlign w:val="superscript"/>
              </w:rPr>
              <w:t>a</w:t>
            </w:r>
          </w:p>
        </w:tc>
      </w:tr>
      <w:tr w:rsidR="00C72A59" w:rsidRPr="00404055" w14:paraId="34F8E3EA" w14:textId="77777777" w:rsidTr="00D6187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shd w:val="clear" w:color="auto" w:fill="D9E2F3" w:themeFill="accent1" w:themeFillTint="33"/>
          </w:tcPr>
          <w:p w14:paraId="5FA29131" w14:textId="77777777" w:rsidR="00C72A59" w:rsidRPr="00404055" w:rsidRDefault="00C72A59" w:rsidP="00D6187B">
            <w:pPr>
              <w:pStyle w:val="TableHeader2"/>
              <w:ind w:left="0"/>
              <w:rPr>
                <w:b/>
              </w:rPr>
            </w:pPr>
            <w:r w:rsidRPr="00404055">
              <w:rPr>
                <w:b/>
              </w:rPr>
              <w:t>Student</w:t>
            </w:r>
          </w:p>
        </w:tc>
        <w:tc>
          <w:tcPr>
            <w:tcW w:w="510" w:type="dxa"/>
            <w:tcBorders>
              <w:top w:val="nil"/>
              <w:left w:val="nil"/>
              <w:bottom w:val="nil"/>
              <w:right w:val="nil"/>
            </w:tcBorders>
            <w:shd w:val="clear" w:color="auto" w:fill="D9E2F3" w:themeFill="accent1" w:themeFillTint="33"/>
          </w:tcPr>
          <w:p w14:paraId="7AA90081"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408550CC"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5579665E"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2D591032"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4CCF2528"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41D144F3"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277" w:type="dxa"/>
            <w:tcBorders>
              <w:top w:val="nil"/>
              <w:left w:val="nil"/>
              <w:bottom w:val="nil"/>
              <w:right w:val="single" w:sz="4" w:space="0" w:color="auto"/>
            </w:tcBorders>
            <w:shd w:val="clear" w:color="auto" w:fill="D9E2F3" w:themeFill="accent1" w:themeFillTint="33"/>
          </w:tcPr>
          <w:p w14:paraId="144EFAD1"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r>
      <w:tr w:rsidR="00C72A59" w:rsidRPr="00404055" w14:paraId="6D940D5C" w14:textId="77777777" w:rsidTr="00D6187B">
        <w:trPr>
          <w:trHeight w:val="232"/>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4B4C667E" w14:textId="2EF9A911" w:rsidR="00C72A59" w:rsidRPr="002F310B" w:rsidRDefault="00C72A59" w:rsidP="002F310B">
            <w:pPr>
              <w:pStyle w:val="TableRowIndent"/>
              <w:rPr>
                <w:b w:val="0"/>
              </w:rPr>
            </w:pPr>
            <w:r w:rsidRPr="002F310B">
              <w:rPr>
                <w:b w:val="0"/>
              </w:rPr>
              <w:t>Age in years (mean (SD))</w:t>
            </w:r>
          </w:p>
        </w:tc>
        <w:tc>
          <w:tcPr>
            <w:tcW w:w="510" w:type="dxa"/>
            <w:tcBorders>
              <w:top w:val="nil"/>
              <w:left w:val="nil"/>
              <w:bottom w:val="nil"/>
              <w:right w:val="nil"/>
            </w:tcBorders>
          </w:tcPr>
          <w:p w14:paraId="4D04CB7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572</w:t>
            </w:r>
          </w:p>
        </w:tc>
        <w:tc>
          <w:tcPr>
            <w:tcW w:w="510" w:type="dxa"/>
            <w:tcBorders>
              <w:top w:val="nil"/>
              <w:left w:val="nil"/>
              <w:bottom w:val="nil"/>
              <w:right w:val="nil"/>
            </w:tcBorders>
          </w:tcPr>
          <w:p w14:paraId="4BFF3A7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w:t>
            </w:r>
          </w:p>
        </w:tc>
        <w:tc>
          <w:tcPr>
            <w:tcW w:w="1021" w:type="dxa"/>
            <w:tcBorders>
              <w:top w:val="nil"/>
              <w:left w:val="nil"/>
              <w:bottom w:val="nil"/>
              <w:right w:val="nil"/>
            </w:tcBorders>
          </w:tcPr>
          <w:p w14:paraId="1973196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9.0 (0.4)</w:t>
            </w:r>
          </w:p>
        </w:tc>
        <w:tc>
          <w:tcPr>
            <w:tcW w:w="510" w:type="dxa"/>
            <w:tcBorders>
              <w:top w:val="nil"/>
              <w:left w:val="nil"/>
              <w:bottom w:val="nil"/>
              <w:right w:val="nil"/>
            </w:tcBorders>
          </w:tcPr>
          <w:p w14:paraId="6FA2A8B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667</w:t>
            </w:r>
          </w:p>
        </w:tc>
        <w:tc>
          <w:tcPr>
            <w:tcW w:w="510" w:type="dxa"/>
            <w:tcBorders>
              <w:top w:val="nil"/>
              <w:left w:val="nil"/>
              <w:bottom w:val="nil"/>
              <w:right w:val="nil"/>
            </w:tcBorders>
          </w:tcPr>
          <w:p w14:paraId="4E301B1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w:t>
            </w:r>
          </w:p>
        </w:tc>
        <w:tc>
          <w:tcPr>
            <w:tcW w:w="1021" w:type="dxa"/>
            <w:tcBorders>
              <w:top w:val="nil"/>
              <w:left w:val="nil"/>
              <w:bottom w:val="nil"/>
              <w:right w:val="nil"/>
            </w:tcBorders>
          </w:tcPr>
          <w:p w14:paraId="268C700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9.0 (0.4)</w:t>
            </w:r>
          </w:p>
        </w:tc>
        <w:tc>
          <w:tcPr>
            <w:tcW w:w="1277" w:type="dxa"/>
            <w:tcBorders>
              <w:top w:val="nil"/>
              <w:left w:val="nil"/>
              <w:bottom w:val="nil"/>
              <w:right w:val="single" w:sz="4" w:space="0" w:color="auto"/>
            </w:tcBorders>
          </w:tcPr>
          <w:p w14:paraId="74B20C70"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0.27</w:t>
            </w:r>
          </w:p>
        </w:tc>
      </w:tr>
      <w:tr w:rsidR="00C72A59" w:rsidRPr="00404055" w14:paraId="1899DD98" w14:textId="77777777" w:rsidTr="00D6187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63D1792E" w14:textId="3AD7C073" w:rsidR="00C72A59" w:rsidRPr="002F310B" w:rsidRDefault="00C72A59" w:rsidP="002F310B">
            <w:pPr>
              <w:pStyle w:val="TableRowIndent"/>
              <w:rPr>
                <w:b w:val="0"/>
              </w:rPr>
            </w:pPr>
            <w:r w:rsidRPr="002F310B">
              <w:rPr>
                <w:b w:val="0"/>
              </w:rPr>
              <w:t>Australian born</w:t>
            </w:r>
          </w:p>
        </w:tc>
        <w:tc>
          <w:tcPr>
            <w:tcW w:w="510" w:type="dxa"/>
            <w:tcBorders>
              <w:top w:val="nil"/>
              <w:left w:val="nil"/>
              <w:bottom w:val="nil"/>
              <w:right w:val="nil"/>
            </w:tcBorders>
          </w:tcPr>
          <w:p w14:paraId="7622D62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552</w:t>
            </w:r>
          </w:p>
        </w:tc>
        <w:tc>
          <w:tcPr>
            <w:tcW w:w="510" w:type="dxa"/>
            <w:tcBorders>
              <w:top w:val="nil"/>
              <w:left w:val="nil"/>
              <w:bottom w:val="nil"/>
              <w:right w:val="nil"/>
            </w:tcBorders>
          </w:tcPr>
          <w:p w14:paraId="317EFE26"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481</w:t>
            </w:r>
          </w:p>
        </w:tc>
        <w:tc>
          <w:tcPr>
            <w:tcW w:w="1021" w:type="dxa"/>
            <w:tcBorders>
              <w:top w:val="nil"/>
              <w:left w:val="nil"/>
              <w:bottom w:val="nil"/>
              <w:right w:val="nil"/>
            </w:tcBorders>
          </w:tcPr>
          <w:p w14:paraId="6FE8B911"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rFonts w:eastAsiaTheme="majorEastAsia"/>
                <w:iCs/>
                <w:lang w:val="en-GB"/>
              </w:rPr>
            </w:pPr>
            <w:r w:rsidRPr="00404055">
              <w:rPr>
                <w:lang w:val="en-GB"/>
              </w:rPr>
              <w:t>87.1</w:t>
            </w:r>
          </w:p>
        </w:tc>
        <w:tc>
          <w:tcPr>
            <w:tcW w:w="510" w:type="dxa"/>
            <w:tcBorders>
              <w:top w:val="nil"/>
              <w:left w:val="nil"/>
              <w:bottom w:val="nil"/>
              <w:right w:val="nil"/>
            </w:tcBorders>
          </w:tcPr>
          <w:p w14:paraId="4E10A30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650</w:t>
            </w:r>
          </w:p>
        </w:tc>
        <w:tc>
          <w:tcPr>
            <w:tcW w:w="510" w:type="dxa"/>
            <w:tcBorders>
              <w:top w:val="nil"/>
              <w:left w:val="nil"/>
              <w:bottom w:val="nil"/>
              <w:right w:val="nil"/>
            </w:tcBorders>
          </w:tcPr>
          <w:p w14:paraId="6F4B4C6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574</w:t>
            </w:r>
          </w:p>
        </w:tc>
        <w:tc>
          <w:tcPr>
            <w:tcW w:w="1021" w:type="dxa"/>
            <w:tcBorders>
              <w:top w:val="nil"/>
              <w:left w:val="nil"/>
              <w:bottom w:val="nil"/>
              <w:right w:val="nil"/>
            </w:tcBorders>
          </w:tcPr>
          <w:p w14:paraId="36C0390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88.3</w:t>
            </w:r>
          </w:p>
        </w:tc>
        <w:tc>
          <w:tcPr>
            <w:tcW w:w="1277" w:type="dxa"/>
            <w:tcBorders>
              <w:top w:val="nil"/>
              <w:left w:val="nil"/>
              <w:bottom w:val="nil"/>
              <w:right w:val="single" w:sz="4" w:space="0" w:color="auto"/>
            </w:tcBorders>
          </w:tcPr>
          <w:p w14:paraId="0759BC4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0.54</w:t>
            </w:r>
          </w:p>
        </w:tc>
      </w:tr>
      <w:tr w:rsidR="00C72A59" w:rsidRPr="00404055" w14:paraId="4115B3B7" w14:textId="77777777" w:rsidTr="00D6187B">
        <w:trPr>
          <w:trHeight w:val="25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61D6E137" w14:textId="01FEDC5D" w:rsidR="00C72A59" w:rsidRPr="002F310B" w:rsidRDefault="00C72A59" w:rsidP="002F310B">
            <w:pPr>
              <w:pStyle w:val="TableRowIndent"/>
              <w:rPr>
                <w:b w:val="0"/>
              </w:rPr>
            </w:pPr>
            <w:r w:rsidRPr="002F310B">
              <w:rPr>
                <w:b w:val="0"/>
              </w:rPr>
              <w:t>ATSI</w:t>
            </w:r>
          </w:p>
        </w:tc>
        <w:tc>
          <w:tcPr>
            <w:tcW w:w="510" w:type="dxa"/>
            <w:tcBorders>
              <w:top w:val="nil"/>
              <w:left w:val="nil"/>
              <w:bottom w:val="nil"/>
              <w:right w:val="nil"/>
            </w:tcBorders>
          </w:tcPr>
          <w:p w14:paraId="0B8AE26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553</w:t>
            </w:r>
          </w:p>
        </w:tc>
        <w:tc>
          <w:tcPr>
            <w:tcW w:w="510" w:type="dxa"/>
            <w:tcBorders>
              <w:top w:val="nil"/>
              <w:left w:val="nil"/>
              <w:bottom w:val="nil"/>
              <w:right w:val="nil"/>
            </w:tcBorders>
          </w:tcPr>
          <w:p w14:paraId="6A1B968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31</w:t>
            </w:r>
          </w:p>
        </w:tc>
        <w:tc>
          <w:tcPr>
            <w:tcW w:w="1021" w:type="dxa"/>
            <w:tcBorders>
              <w:top w:val="nil"/>
              <w:left w:val="nil"/>
              <w:bottom w:val="nil"/>
              <w:right w:val="nil"/>
            </w:tcBorders>
          </w:tcPr>
          <w:p w14:paraId="3F6B8DF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5.6</w:t>
            </w:r>
          </w:p>
        </w:tc>
        <w:tc>
          <w:tcPr>
            <w:tcW w:w="510" w:type="dxa"/>
            <w:tcBorders>
              <w:top w:val="nil"/>
              <w:left w:val="nil"/>
              <w:bottom w:val="nil"/>
              <w:right w:val="nil"/>
            </w:tcBorders>
          </w:tcPr>
          <w:p w14:paraId="1C32286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647</w:t>
            </w:r>
          </w:p>
        </w:tc>
        <w:tc>
          <w:tcPr>
            <w:tcW w:w="510" w:type="dxa"/>
            <w:tcBorders>
              <w:top w:val="nil"/>
              <w:left w:val="nil"/>
              <w:bottom w:val="nil"/>
              <w:right w:val="nil"/>
            </w:tcBorders>
          </w:tcPr>
          <w:p w14:paraId="4B44D1EE"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27</w:t>
            </w:r>
          </w:p>
        </w:tc>
        <w:tc>
          <w:tcPr>
            <w:tcW w:w="1021" w:type="dxa"/>
            <w:tcBorders>
              <w:top w:val="nil"/>
              <w:left w:val="nil"/>
              <w:bottom w:val="nil"/>
              <w:right w:val="nil"/>
            </w:tcBorders>
          </w:tcPr>
          <w:p w14:paraId="2A36817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4.2</w:t>
            </w:r>
          </w:p>
        </w:tc>
        <w:tc>
          <w:tcPr>
            <w:tcW w:w="1277" w:type="dxa"/>
            <w:tcBorders>
              <w:top w:val="nil"/>
              <w:left w:val="nil"/>
              <w:bottom w:val="nil"/>
              <w:right w:val="single" w:sz="4" w:space="0" w:color="auto"/>
            </w:tcBorders>
          </w:tcPr>
          <w:p w14:paraId="08124CB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0.25</w:t>
            </w:r>
          </w:p>
        </w:tc>
      </w:tr>
      <w:tr w:rsidR="00C72A59" w:rsidRPr="00404055" w14:paraId="083E772B" w14:textId="77777777" w:rsidTr="00D6187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shd w:val="clear" w:color="auto" w:fill="D9E2F3" w:themeFill="accent1" w:themeFillTint="33"/>
          </w:tcPr>
          <w:p w14:paraId="789C45E6" w14:textId="77777777" w:rsidR="00C72A59" w:rsidRPr="00404055" w:rsidRDefault="00C72A59" w:rsidP="00D6187B">
            <w:pPr>
              <w:pStyle w:val="TableHeader2"/>
              <w:ind w:left="0"/>
              <w:rPr>
                <w:b/>
              </w:rPr>
            </w:pPr>
            <w:r w:rsidRPr="00404055">
              <w:rPr>
                <w:b/>
              </w:rPr>
              <w:t xml:space="preserve">Biological mother </w:t>
            </w:r>
          </w:p>
        </w:tc>
        <w:tc>
          <w:tcPr>
            <w:tcW w:w="510" w:type="dxa"/>
            <w:tcBorders>
              <w:top w:val="nil"/>
              <w:left w:val="nil"/>
              <w:bottom w:val="nil"/>
              <w:right w:val="nil"/>
            </w:tcBorders>
            <w:shd w:val="clear" w:color="auto" w:fill="D9E2F3" w:themeFill="accent1" w:themeFillTint="33"/>
          </w:tcPr>
          <w:p w14:paraId="1E328144"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1295D929"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19B8AA00"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5C5E8D00"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32543263"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631DBD54"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277" w:type="dxa"/>
            <w:tcBorders>
              <w:top w:val="nil"/>
              <w:left w:val="nil"/>
              <w:bottom w:val="nil"/>
              <w:right w:val="single" w:sz="4" w:space="0" w:color="auto"/>
            </w:tcBorders>
            <w:shd w:val="clear" w:color="auto" w:fill="D9E2F3" w:themeFill="accent1" w:themeFillTint="33"/>
          </w:tcPr>
          <w:p w14:paraId="06F536A8"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r>
      <w:tr w:rsidR="00C72A59" w:rsidRPr="00404055" w14:paraId="5F54BACD"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F6E5F92" w14:textId="2958946F" w:rsidR="00C72A59" w:rsidRPr="002F310B" w:rsidRDefault="00C72A59" w:rsidP="002F310B">
            <w:pPr>
              <w:pStyle w:val="TableRowIndent"/>
              <w:rPr>
                <w:b w:val="0"/>
              </w:rPr>
            </w:pPr>
            <w:r w:rsidRPr="002F310B">
              <w:rPr>
                <w:b w:val="0"/>
              </w:rPr>
              <w:t>Australian born</w:t>
            </w:r>
          </w:p>
        </w:tc>
        <w:tc>
          <w:tcPr>
            <w:tcW w:w="510" w:type="dxa"/>
            <w:tcBorders>
              <w:top w:val="nil"/>
              <w:left w:val="nil"/>
              <w:bottom w:val="nil"/>
              <w:right w:val="nil"/>
            </w:tcBorders>
          </w:tcPr>
          <w:p w14:paraId="285551A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396</w:t>
            </w:r>
          </w:p>
        </w:tc>
        <w:tc>
          <w:tcPr>
            <w:tcW w:w="510" w:type="dxa"/>
            <w:tcBorders>
              <w:top w:val="nil"/>
              <w:left w:val="nil"/>
              <w:bottom w:val="nil"/>
              <w:right w:val="nil"/>
            </w:tcBorders>
          </w:tcPr>
          <w:p w14:paraId="6C2A904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307</w:t>
            </w:r>
          </w:p>
        </w:tc>
        <w:tc>
          <w:tcPr>
            <w:tcW w:w="1021" w:type="dxa"/>
            <w:tcBorders>
              <w:top w:val="nil"/>
              <w:left w:val="nil"/>
              <w:bottom w:val="nil"/>
              <w:right w:val="nil"/>
            </w:tcBorders>
          </w:tcPr>
          <w:p w14:paraId="37ED72AB"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77.5</w:t>
            </w:r>
          </w:p>
        </w:tc>
        <w:tc>
          <w:tcPr>
            <w:tcW w:w="510" w:type="dxa"/>
            <w:tcBorders>
              <w:top w:val="nil"/>
              <w:left w:val="nil"/>
              <w:bottom w:val="nil"/>
              <w:right w:val="nil"/>
            </w:tcBorders>
          </w:tcPr>
          <w:p w14:paraId="2B54EE9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466</w:t>
            </w:r>
          </w:p>
        </w:tc>
        <w:tc>
          <w:tcPr>
            <w:tcW w:w="510" w:type="dxa"/>
            <w:tcBorders>
              <w:top w:val="nil"/>
              <w:left w:val="nil"/>
              <w:bottom w:val="nil"/>
              <w:right w:val="nil"/>
            </w:tcBorders>
          </w:tcPr>
          <w:p w14:paraId="745253A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349</w:t>
            </w:r>
          </w:p>
        </w:tc>
        <w:tc>
          <w:tcPr>
            <w:tcW w:w="1021" w:type="dxa"/>
            <w:tcBorders>
              <w:top w:val="nil"/>
              <w:left w:val="nil"/>
              <w:bottom w:val="nil"/>
              <w:right w:val="nil"/>
            </w:tcBorders>
          </w:tcPr>
          <w:p w14:paraId="1560E380"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74.9</w:t>
            </w:r>
          </w:p>
        </w:tc>
        <w:tc>
          <w:tcPr>
            <w:tcW w:w="1277" w:type="dxa"/>
            <w:tcBorders>
              <w:top w:val="nil"/>
              <w:left w:val="nil"/>
              <w:bottom w:val="nil"/>
              <w:right w:val="single" w:sz="4" w:space="0" w:color="auto"/>
            </w:tcBorders>
          </w:tcPr>
          <w:p w14:paraId="41045C4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0.82</w:t>
            </w:r>
          </w:p>
        </w:tc>
      </w:tr>
      <w:tr w:rsidR="00C72A59" w:rsidRPr="00404055" w14:paraId="6F274384"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08F2E5A" w14:textId="46432617" w:rsidR="00C72A59" w:rsidRPr="002F310B" w:rsidRDefault="00C72A59" w:rsidP="002F310B">
            <w:pPr>
              <w:pStyle w:val="TableRowIndent"/>
              <w:rPr>
                <w:b w:val="0"/>
              </w:rPr>
            </w:pPr>
            <w:r w:rsidRPr="002F310B">
              <w:rPr>
                <w:b w:val="0"/>
              </w:rPr>
              <w:t>Highest level of education</w:t>
            </w:r>
          </w:p>
        </w:tc>
        <w:tc>
          <w:tcPr>
            <w:tcW w:w="510" w:type="dxa"/>
            <w:tcBorders>
              <w:top w:val="nil"/>
              <w:left w:val="nil"/>
              <w:bottom w:val="nil"/>
              <w:right w:val="nil"/>
            </w:tcBorders>
          </w:tcPr>
          <w:p w14:paraId="1FF2116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399</w:t>
            </w:r>
          </w:p>
        </w:tc>
        <w:tc>
          <w:tcPr>
            <w:tcW w:w="510" w:type="dxa"/>
            <w:tcBorders>
              <w:top w:val="nil"/>
              <w:left w:val="nil"/>
              <w:bottom w:val="nil"/>
              <w:right w:val="nil"/>
            </w:tcBorders>
          </w:tcPr>
          <w:p w14:paraId="24928D0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25396C56"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26FDDF75"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478</w:t>
            </w:r>
          </w:p>
        </w:tc>
        <w:tc>
          <w:tcPr>
            <w:tcW w:w="510" w:type="dxa"/>
            <w:tcBorders>
              <w:top w:val="nil"/>
              <w:left w:val="nil"/>
              <w:bottom w:val="nil"/>
              <w:right w:val="nil"/>
            </w:tcBorders>
          </w:tcPr>
          <w:p w14:paraId="7472588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61BB28C1"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277" w:type="dxa"/>
            <w:tcBorders>
              <w:top w:val="nil"/>
              <w:left w:val="nil"/>
              <w:bottom w:val="nil"/>
              <w:right w:val="single" w:sz="4" w:space="0" w:color="auto"/>
            </w:tcBorders>
          </w:tcPr>
          <w:p w14:paraId="64175BB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0.72</w:t>
            </w:r>
          </w:p>
        </w:tc>
      </w:tr>
      <w:tr w:rsidR="00C72A59" w:rsidRPr="00404055" w14:paraId="3608860B"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0560155" w14:textId="08737487" w:rsidR="00C72A59" w:rsidRPr="002F310B" w:rsidRDefault="00C72A59" w:rsidP="0097278B">
            <w:pPr>
              <w:pStyle w:val="TableRowIndent"/>
              <w:ind w:left="171"/>
              <w:rPr>
                <w:b w:val="0"/>
              </w:rPr>
            </w:pPr>
            <w:r w:rsidRPr="002F310B">
              <w:rPr>
                <w:b w:val="0"/>
              </w:rPr>
              <w:t>Less than Year 12</w:t>
            </w:r>
          </w:p>
        </w:tc>
        <w:tc>
          <w:tcPr>
            <w:tcW w:w="510" w:type="dxa"/>
            <w:tcBorders>
              <w:top w:val="nil"/>
              <w:left w:val="nil"/>
              <w:bottom w:val="nil"/>
              <w:right w:val="nil"/>
            </w:tcBorders>
          </w:tcPr>
          <w:p w14:paraId="0E7E06C1"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13D5CAAB"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59</w:t>
            </w:r>
          </w:p>
        </w:tc>
        <w:tc>
          <w:tcPr>
            <w:tcW w:w="1021" w:type="dxa"/>
            <w:tcBorders>
              <w:top w:val="nil"/>
              <w:left w:val="nil"/>
              <w:bottom w:val="nil"/>
              <w:right w:val="nil"/>
            </w:tcBorders>
          </w:tcPr>
          <w:p w14:paraId="0BCCD09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14.8</w:t>
            </w:r>
          </w:p>
        </w:tc>
        <w:tc>
          <w:tcPr>
            <w:tcW w:w="510" w:type="dxa"/>
            <w:tcBorders>
              <w:top w:val="nil"/>
              <w:left w:val="nil"/>
              <w:bottom w:val="nil"/>
              <w:right w:val="nil"/>
            </w:tcBorders>
          </w:tcPr>
          <w:p w14:paraId="4B6A51B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48CCFFA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77</w:t>
            </w:r>
          </w:p>
        </w:tc>
        <w:tc>
          <w:tcPr>
            <w:tcW w:w="1021" w:type="dxa"/>
            <w:tcBorders>
              <w:top w:val="nil"/>
              <w:left w:val="nil"/>
              <w:bottom w:val="nil"/>
              <w:right w:val="nil"/>
            </w:tcBorders>
          </w:tcPr>
          <w:p w14:paraId="7B78189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16.1</w:t>
            </w:r>
          </w:p>
        </w:tc>
        <w:tc>
          <w:tcPr>
            <w:tcW w:w="1277" w:type="dxa"/>
            <w:tcBorders>
              <w:top w:val="nil"/>
              <w:left w:val="nil"/>
              <w:bottom w:val="nil"/>
              <w:right w:val="single" w:sz="4" w:space="0" w:color="auto"/>
            </w:tcBorders>
          </w:tcPr>
          <w:p w14:paraId="4953FC7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6AF4E63A"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000B2BAB" w14:textId="75070981" w:rsidR="00C72A59" w:rsidRPr="002F310B" w:rsidRDefault="00C72A59" w:rsidP="0097278B">
            <w:pPr>
              <w:pStyle w:val="TableRowIndent"/>
              <w:ind w:left="171"/>
              <w:rPr>
                <w:b w:val="0"/>
              </w:rPr>
            </w:pPr>
            <w:r w:rsidRPr="002F310B">
              <w:rPr>
                <w:b w:val="0"/>
              </w:rPr>
              <w:t>Year 12</w:t>
            </w:r>
          </w:p>
        </w:tc>
        <w:tc>
          <w:tcPr>
            <w:tcW w:w="510" w:type="dxa"/>
            <w:tcBorders>
              <w:top w:val="nil"/>
              <w:left w:val="nil"/>
              <w:bottom w:val="nil"/>
              <w:right w:val="nil"/>
            </w:tcBorders>
          </w:tcPr>
          <w:p w14:paraId="4796E02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0222891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60</w:t>
            </w:r>
          </w:p>
        </w:tc>
        <w:tc>
          <w:tcPr>
            <w:tcW w:w="1021" w:type="dxa"/>
            <w:tcBorders>
              <w:top w:val="nil"/>
              <w:left w:val="nil"/>
              <w:bottom w:val="nil"/>
              <w:right w:val="nil"/>
            </w:tcBorders>
          </w:tcPr>
          <w:p w14:paraId="01F1488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15.0</w:t>
            </w:r>
          </w:p>
        </w:tc>
        <w:tc>
          <w:tcPr>
            <w:tcW w:w="510" w:type="dxa"/>
            <w:tcBorders>
              <w:top w:val="nil"/>
              <w:left w:val="nil"/>
              <w:bottom w:val="nil"/>
              <w:right w:val="nil"/>
            </w:tcBorders>
          </w:tcPr>
          <w:p w14:paraId="2078972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4D4C56E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82</w:t>
            </w:r>
          </w:p>
        </w:tc>
        <w:tc>
          <w:tcPr>
            <w:tcW w:w="1021" w:type="dxa"/>
            <w:tcBorders>
              <w:top w:val="nil"/>
              <w:left w:val="nil"/>
              <w:bottom w:val="nil"/>
              <w:right w:val="nil"/>
            </w:tcBorders>
          </w:tcPr>
          <w:p w14:paraId="04AFECD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17.2</w:t>
            </w:r>
          </w:p>
        </w:tc>
        <w:tc>
          <w:tcPr>
            <w:tcW w:w="1277" w:type="dxa"/>
            <w:tcBorders>
              <w:top w:val="nil"/>
              <w:left w:val="nil"/>
              <w:bottom w:val="nil"/>
              <w:right w:val="single" w:sz="4" w:space="0" w:color="auto"/>
            </w:tcBorders>
          </w:tcPr>
          <w:p w14:paraId="6C1E8C2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795AA5C6"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031225A" w14:textId="18114A84" w:rsidR="00C72A59" w:rsidRPr="002F310B" w:rsidRDefault="0097278B" w:rsidP="0097278B">
            <w:pPr>
              <w:pStyle w:val="TableRowIndent"/>
              <w:ind w:left="171"/>
              <w:rPr>
                <w:b w:val="0"/>
              </w:rPr>
            </w:pPr>
            <w:r>
              <w:rPr>
                <w:b w:val="0"/>
              </w:rPr>
              <w:t>V</w:t>
            </w:r>
            <w:r w:rsidR="00C72A59" w:rsidRPr="002F310B">
              <w:rPr>
                <w:b w:val="0"/>
              </w:rPr>
              <w:t>ocational</w:t>
            </w:r>
          </w:p>
        </w:tc>
        <w:tc>
          <w:tcPr>
            <w:tcW w:w="510" w:type="dxa"/>
            <w:tcBorders>
              <w:top w:val="nil"/>
              <w:left w:val="nil"/>
              <w:bottom w:val="nil"/>
              <w:right w:val="nil"/>
            </w:tcBorders>
          </w:tcPr>
          <w:p w14:paraId="07FFA41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75471EE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114</w:t>
            </w:r>
          </w:p>
        </w:tc>
        <w:tc>
          <w:tcPr>
            <w:tcW w:w="1021" w:type="dxa"/>
            <w:tcBorders>
              <w:top w:val="nil"/>
              <w:left w:val="nil"/>
              <w:bottom w:val="nil"/>
              <w:right w:val="nil"/>
            </w:tcBorders>
          </w:tcPr>
          <w:p w14:paraId="4479A39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28.6</w:t>
            </w:r>
          </w:p>
        </w:tc>
        <w:tc>
          <w:tcPr>
            <w:tcW w:w="510" w:type="dxa"/>
            <w:tcBorders>
              <w:top w:val="nil"/>
              <w:left w:val="nil"/>
              <w:bottom w:val="nil"/>
              <w:right w:val="nil"/>
            </w:tcBorders>
          </w:tcPr>
          <w:p w14:paraId="0985B4B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6971C62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134</w:t>
            </w:r>
          </w:p>
        </w:tc>
        <w:tc>
          <w:tcPr>
            <w:tcW w:w="1021" w:type="dxa"/>
            <w:tcBorders>
              <w:top w:val="nil"/>
              <w:left w:val="nil"/>
              <w:bottom w:val="nil"/>
              <w:right w:val="nil"/>
            </w:tcBorders>
          </w:tcPr>
          <w:p w14:paraId="4CCC074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28.0</w:t>
            </w:r>
          </w:p>
        </w:tc>
        <w:tc>
          <w:tcPr>
            <w:tcW w:w="1277" w:type="dxa"/>
            <w:tcBorders>
              <w:top w:val="nil"/>
              <w:left w:val="nil"/>
              <w:bottom w:val="nil"/>
              <w:right w:val="single" w:sz="4" w:space="0" w:color="auto"/>
            </w:tcBorders>
          </w:tcPr>
          <w:p w14:paraId="4A3F4C30"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06956234"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2596A30E" w14:textId="6A6471E2" w:rsidR="00C72A59" w:rsidRPr="002F310B" w:rsidRDefault="00C72A59" w:rsidP="0097278B">
            <w:pPr>
              <w:pStyle w:val="TableRowIndent"/>
              <w:ind w:left="171"/>
              <w:rPr>
                <w:b w:val="0"/>
              </w:rPr>
            </w:pPr>
            <w:r w:rsidRPr="002F310B">
              <w:rPr>
                <w:b w:val="0"/>
              </w:rPr>
              <w:t>Tertiary</w:t>
            </w:r>
          </w:p>
        </w:tc>
        <w:tc>
          <w:tcPr>
            <w:tcW w:w="510" w:type="dxa"/>
            <w:tcBorders>
              <w:top w:val="nil"/>
              <w:left w:val="nil"/>
              <w:bottom w:val="nil"/>
              <w:right w:val="nil"/>
            </w:tcBorders>
          </w:tcPr>
          <w:p w14:paraId="1EFA08F5"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793673AB"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166</w:t>
            </w:r>
          </w:p>
        </w:tc>
        <w:tc>
          <w:tcPr>
            <w:tcW w:w="1021" w:type="dxa"/>
            <w:tcBorders>
              <w:top w:val="nil"/>
              <w:left w:val="nil"/>
              <w:bottom w:val="nil"/>
              <w:right w:val="nil"/>
            </w:tcBorders>
          </w:tcPr>
          <w:p w14:paraId="39007111"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41.6</w:t>
            </w:r>
          </w:p>
        </w:tc>
        <w:tc>
          <w:tcPr>
            <w:tcW w:w="510" w:type="dxa"/>
            <w:tcBorders>
              <w:top w:val="nil"/>
              <w:left w:val="nil"/>
              <w:bottom w:val="nil"/>
              <w:right w:val="nil"/>
            </w:tcBorders>
          </w:tcPr>
          <w:p w14:paraId="60FE5C16"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191F99B4"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185</w:t>
            </w:r>
          </w:p>
        </w:tc>
        <w:tc>
          <w:tcPr>
            <w:tcW w:w="1021" w:type="dxa"/>
            <w:tcBorders>
              <w:top w:val="nil"/>
              <w:left w:val="nil"/>
              <w:bottom w:val="nil"/>
              <w:right w:val="nil"/>
            </w:tcBorders>
          </w:tcPr>
          <w:p w14:paraId="6C583C7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38.7</w:t>
            </w:r>
          </w:p>
        </w:tc>
        <w:tc>
          <w:tcPr>
            <w:tcW w:w="1277" w:type="dxa"/>
            <w:tcBorders>
              <w:top w:val="nil"/>
              <w:left w:val="nil"/>
              <w:bottom w:val="nil"/>
              <w:right w:val="single" w:sz="4" w:space="0" w:color="auto"/>
            </w:tcBorders>
          </w:tcPr>
          <w:p w14:paraId="1014BCA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090DF64F"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shd w:val="clear" w:color="auto" w:fill="D9E2F3" w:themeFill="accent1" w:themeFillTint="33"/>
          </w:tcPr>
          <w:p w14:paraId="2BE52614" w14:textId="77777777" w:rsidR="00C72A59" w:rsidRPr="00404055" w:rsidRDefault="00C72A59" w:rsidP="00D6187B">
            <w:pPr>
              <w:pStyle w:val="TableHeader2"/>
              <w:ind w:left="0"/>
              <w:rPr>
                <w:b/>
              </w:rPr>
            </w:pPr>
            <w:r w:rsidRPr="00404055">
              <w:rPr>
                <w:b/>
              </w:rPr>
              <w:t>Biological father characteristic</w:t>
            </w:r>
          </w:p>
        </w:tc>
        <w:tc>
          <w:tcPr>
            <w:tcW w:w="510" w:type="dxa"/>
            <w:tcBorders>
              <w:top w:val="nil"/>
              <w:left w:val="nil"/>
              <w:bottom w:val="nil"/>
              <w:right w:val="nil"/>
            </w:tcBorders>
            <w:shd w:val="clear" w:color="auto" w:fill="D9E2F3" w:themeFill="accent1" w:themeFillTint="33"/>
          </w:tcPr>
          <w:p w14:paraId="10F2A828"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4829C6AB"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05B77A8C"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6AE4F9F7"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6D565FE7"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25AA25C5"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277" w:type="dxa"/>
            <w:tcBorders>
              <w:top w:val="nil"/>
              <w:left w:val="nil"/>
              <w:bottom w:val="nil"/>
              <w:right w:val="single" w:sz="4" w:space="0" w:color="auto"/>
            </w:tcBorders>
            <w:shd w:val="clear" w:color="auto" w:fill="D9E2F3" w:themeFill="accent1" w:themeFillTint="33"/>
          </w:tcPr>
          <w:p w14:paraId="0B77ABFE"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r>
      <w:tr w:rsidR="00C72A59" w:rsidRPr="00404055" w14:paraId="6C0904D1"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77AEEFAA" w14:textId="675F7A94" w:rsidR="00C72A59" w:rsidRPr="002F310B" w:rsidRDefault="00C72A59" w:rsidP="002F310B">
            <w:pPr>
              <w:pStyle w:val="TableRowIndent"/>
              <w:rPr>
                <w:b w:val="0"/>
              </w:rPr>
            </w:pPr>
            <w:r w:rsidRPr="002F310B">
              <w:rPr>
                <w:b w:val="0"/>
              </w:rPr>
              <w:t>Australian born</w:t>
            </w:r>
          </w:p>
        </w:tc>
        <w:tc>
          <w:tcPr>
            <w:tcW w:w="510" w:type="dxa"/>
            <w:tcBorders>
              <w:top w:val="nil"/>
              <w:left w:val="nil"/>
              <w:bottom w:val="nil"/>
              <w:right w:val="nil"/>
            </w:tcBorders>
          </w:tcPr>
          <w:p w14:paraId="0D2D4B1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287</w:t>
            </w:r>
          </w:p>
        </w:tc>
        <w:tc>
          <w:tcPr>
            <w:tcW w:w="510" w:type="dxa"/>
            <w:tcBorders>
              <w:top w:val="nil"/>
              <w:left w:val="nil"/>
              <w:bottom w:val="nil"/>
              <w:right w:val="nil"/>
            </w:tcBorders>
          </w:tcPr>
          <w:p w14:paraId="1DA66E6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14E70080"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68.3</w:t>
            </w:r>
          </w:p>
        </w:tc>
        <w:tc>
          <w:tcPr>
            <w:tcW w:w="510" w:type="dxa"/>
            <w:tcBorders>
              <w:top w:val="nil"/>
              <w:left w:val="nil"/>
              <w:bottom w:val="nil"/>
              <w:right w:val="nil"/>
            </w:tcBorders>
          </w:tcPr>
          <w:p w14:paraId="7D0AEB1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329</w:t>
            </w:r>
          </w:p>
        </w:tc>
        <w:tc>
          <w:tcPr>
            <w:tcW w:w="510" w:type="dxa"/>
            <w:tcBorders>
              <w:top w:val="nil"/>
              <w:left w:val="nil"/>
              <w:bottom w:val="nil"/>
              <w:right w:val="nil"/>
            </w:tcBorders>
          </w:tcPr>
          <w:p w14:paraId="26EAB5B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154A02D4"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74.5</w:t>
            </w:r>
          </w:p>
        </w:tc>
        <w:tc>
          <w:tcPr>
            <w:tcW w:w="1277" w:type="dxa"/>
            <w:tcBorders>
              <w:top w:val="nil"/>
              <w:left w:val="nil"/>
              <w:bottom w:val="nil"/>
              <w:right w:val="single" w:sz="4" w:space="0" w:color="auto"/>
            </w:tcBorders>
          </w:tcPr>
          <w:p w14:paraId="535B2E3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0.09</w:t>
            </w:r>
          </w:p>
        </w:tc>
      </w:tr>
      <w:tr w:rsidR="00C72A59" w:rsidRPr="00404055" w14:paraId="68FB5003"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310AA409" w14:textId="54EE7208" w:rsidR="00C72A59" w:rsidRPr="002F310B" w:rsidRDefault="00C72A59" w:rsidP="002F310B">
            <w:pPr>
              <w:pStyle w:val="TableRowIndent"/>
              <w:rPr>
                <w:b w:val="0"/>
              </w:rPr>
            </w:pPr>
            <w:r w:rsidRPr="002F310B">
              <w:rPr>
                <w:b w:val="0"/>
              </w:rPr>
              <w:t>Highest level of education</w:t>
            </w:r>
          </w:p>
        </w:tc>
        <w:tc>
          <w:tcPr>
            <w:tcW w:w="510" w:type="dxa"/>
            <w:tcBorders>
              <w:top w:val="nil"/>
              <w:left w:val="nil"/>
              <w:bottom w:val="nil"/>
              <w:right w:val="nil"/>
            </w:tcBorders>
          </w:tcPr>
          <w:p w14:paraId="0043CC8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335</w:t>
            </w:r>
          </w:p>
        </w:tc>
        <w:tc>
          <w:tcPr>
            <w:tcW w:w="510" w:type="dxa"/>
            <w:tcBorders>
              <w:top w:val="nil"/>
              <w:left w:val="nil"/>
              <w:bottom w:val="nil"/>
              <w:right w:val="nil"/>
            </w:tcBorders>
          </w:tcPr>
          <w:p w14:paraId="4409458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32BD55F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24989C2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370</w:t>
            </w:r>
          </w:p>
        </w:tc>
        <w:tc>
          <w:tcPr>
            <w:tcW w:w="510" w:type="dxa"/>
            <w:tcBorders>
              <w:top w:val="nil"/>
              <w:left w:val="nil"/>
              <w:bottom w:val="nil"/>
              <w:right w:val="nil"/>
            </w:tcBorders>
          </w:tcPr>
          <w:p w14:paraId="0DAA9A4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64EE163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277" w:type="dxa"/>
            <w:tcBorders>
              <w:top w:val="nil"/>
              <w:left w:val="nil"/>
              <w:bottom w:val="nil"/>
              <w:right w:val="single" w:sz="4" w:space="0" w:color="auto"/>
            </w:tcBorders>
          </w:tcPr>
          <w:p w14:paraId="1CD66C0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0.67</w:t>
            </w:r>
          </w:p>
        </w:tc>
      </w:tr>
      <w:tr w:rsidR="00C72A59" w:rsidRPr="00404055" w14:paraId="4D4C8FD5"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0C396C84" w14:textId="6BC50A64" w:rsidR="00C72A59" w:rsidRPr="002F310B" w:rsidRDefault="00C72A59" w:rsidP="0097278B">
            <w:pPr>
              <w:pStyle w:val="TableRowIndent"/>
              <w:ind w:left="171"/>
              <w:rPr>
                <w:b w:val="0"/>
              </w:rPr>
            </w:pPr>
            <w:r w:rsidRPr="002F310B">
              <w:rPr>
                <w:b w:val="0"/>
              </w:rPr>
              <w:t>Less than Year 12</w:t>
            </w:r>
          </w:p>
        </w:tc>
        <w:tc>
          <w:tcPr>
            <w:tcW w:w="510" w:type="dxa"/>
            <w:tcBorders>
              <w:top w:val="nil"/>
              <w:left w:val="nil"/>
              <w:bottom w:val="nil"/>
              <w:right w:val="nil"/>
            </w:tcBorders>
          </w:tcPr>
          <w:p w14:paraId="1204CD3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5D4242F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56</w:t>
            </w:r>
          </w:p>
        </w:tc>
        <w:tc>
          <w:tcPr>
            <w:tcW w:w="1021" w:type="dxa"/>
            <w:tcBorders>
              <w:top w:val="nil"/>
              <w:left w:val="nil"/>
              <w:bottom w:val="nil"/>
              <w:right w:val="nil"/>
            </w:tcBorders>
          </w:tcPr>
          <w:p w14:paraId="5211266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16.7</w:t>
            </w:r>
          </w:p>
        </w:tc>
        <w:tc>
          <w:tcPr>
            <w:tcW w:w="510" w:type="dxa"/>
            <w:tcBorders>
              <w:top w:val="nil"/>
              <w:left w:val="nil"/>
              <w:bottom w:val="nil"/>
              <w:right w:val="nil"/>
            </w:tcBorders>
          </w:tcPr>
          <w:p w14:paraId="76FBEBC0"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399021E2"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70</w:t>
            </w:r>
          </w:p>
        </w:tc>
        <w:tc>
          <w:tcPr>
            <w:tcW w:w="1021" w:type="dxa"/>
            <w:tcBorders>
              <w:top w:val="nil"/>
              <w:left w:val="nil"/>
              <w:bottom w:val="nil"/>
              <w:right w:val="nil"/>
            </w:tcBorders>
          </w:tcPr>
          <w:p w14:paraId="69709BC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18.9</w:t>
            </w:r>
          </w:p>
        </w:tc>
        <w:tc>
          <w:tcPr>
            <w:tcW w:w="1277" w:type="dxa"/>
            <w:tcBorders>
              <w:top w:val="nil"/>
              <w:left w:val="nil"/>
              <w:bottom w:val="nil"/>
              <w:right w:val="single" w:sz="4" w:space="0" w:color="auto"/>
            </w:tcBorders>
          </w:tcPr>
          <w:p w14:paraId="20147EAE"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01ACD253"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0D36C82E" w14:textId="24218351" w:rsidR="00C72A59" w:rsidRPr="002F310B" w:rsidRDefault="00C72A59" w:rsidP="0097278B">
            <w:pPr>
              <w:pStyle w:val="TableRowIndent"/>
              <w:ind w:left="171"/>
              <w:rPr>
                <w:b w:val="0"/>
              </w:rPr>
            </w:pPr>
            <w:r w:rsidRPr="002F310B">
              <w:rPr>
                <w:b w:val="0"/>
              </w:rPr>
              <w:t>Year 12</w:t>
            </w:r>
          </w:p>
        </w:tc>
        <w:tc>
          <w:tcPr>
            <w:tcW w:w="510" w:type="dxa"/>
            <w:tcBorders>
              <w:top w:val="nil"/>
              <w:left w:val="nil"/>
              <w:bottom w:val="nil"/>
              <w:right w:val="nil"/>
            </w:tcBorders>
          </w:tcPr>
          <w:p w14:paraId="09AA527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662AA38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48</w:t>
            </w:r>
          </w:p>
        </w:tc>
        <w:tc>
          <w:tcPr>
            <w:tcW w:w="1021" w:type="dxa"/>
            <w:tcBorders>
              <w:top w:val="nil"/>
              <w:left w:val="nil"/>
              <w:bottom w:val="nil"/>
              <w:right w:val="nil"/>
            </w:tcBorders>
          </w:tcPr>
          <w:p w14:paraId="0CD14FE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14.3</w:t>
            </w:r>
          </w:p>
        </w:tc>
        <w:tc>
          <w:tcPr>
            <w:tcW w:w="510" w:type="dxa"/>
            <w:tcBorders>
              <w:top w:val="nil"/>
              <w:left w:val="nil"/>
              <w:bottom w:val="nil"/>
              <w:right w:val="nil"/>
            </w:tcBorders>
          </w:tcPr>
          <w:p w14:paraId="54F26E0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73734BEB"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43</w:t>
            </w:r>
          </w:p>
        </w:tc>
        <w:tc>
          <w:tcPr>
            <w:tcW w:w="1021" w:type="dxa"/>
            <w:tcBorders>
              <w:top w:val="nil"/>
              <w:left w:val="nil"/>
              <w:bottom w:val="nil"/>
              <w:right w:val="nil"/>
            </w:tcBorders>
          </w:tcPr>
          <w:p w14:paraId="2934669E"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11.6</w:t>
            </w:r>
          </w:p>
        </w:tc>
        <w:tc>
          <w:tcPr>
            <w:tcW w:w="1277" w:type="dxa"/>
            <w:tcBorders>
              <w:top w:val="nil"/>
              <w:left w:val="nil"/>
              <w:bottom w:val="nil"/>
              <w:right w:val="single" w:sz="4" w:space="0" w:color="auto"/>
            </w:tcBorders>
          </w:tcPr>
          <w:p w14:paraId="5A5172C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3B50B4AA" w14:textId="77777777" w:rsidTr="00D6187B">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E0D7D10" w14:textId="7D16E78B" w:rsidR="00C72A59" w:rsidRPr="002F310B" w:rsidRDefault="00C72A59" w:rsidP="0097278B">
            <w:pPr>
              <w:pStyle w:val="TableRowIndent"/>
              <w:ind w:left="171"/>
              <w:rPr>
                <w:b w:val="0"/>
              </w:rPr>
            </w:pPr>
            <w:r w:rsidRPr="002F310B">
              <w:rPr>
                <w:b w:val="0"/>
              </w:rPr>
              <w:t>Vocational</w:t>
            </w:r>
          </w:p>
        </w:tc>
        <w:tc>
          <w:tcPr>
            <w:tcW w:w="510" w:type="dxa"/>
            <w:tcBorders>
              <w:top w:val="nil"/>
              <w:left w:val="nil"/>
              <w:bottom w:val="nil"/>
              <w:right w:val="nil"/>
            </w:tcBorders>
          </w:tcPr>
          <w:p w14:paraId="4683B085"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4517C9C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113</w:t>
            </w:r>
          </w:p>
        </w:tc>
        <w:tc>
          <w:tcPr>
            <w:tcW w:w="1021" w:type="dxa"/>
            <w:tcBorders>
              <w:top w:val="nil"/>
              <w:left w:val="nil"/>
              <w:bottom w:val="nil"/>
              <w:right w:val="nil"/>
            </w:tcBorders>
          </w:tcPr>
          <w:p w14:paraId="3CA429D0"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33.7</w:t>
            </w:r>
          </w:p>
        </w:tc>
        <w:tc>
          <w:tcPr>
            <w:tcW w:w="510" w:type="dxa"/>
            <w:tcBorders>
              <w:top w:val="nil"/>
              <w:left w:val="nil"/>
              <w:bottom w:val="nil"/>
              <w:right w:val="nil"/>
            </w:tcBorders>
          </w:tcPr>
          <w:p w14:paraId="00E4E09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6788B40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129</w:t>
            </w:r>
          </w:p>
        </w:tc>
        <w:tc>
          <w:tcPr>
            <w:tcW w:w="1021" w:type="dxa"/>
            <w:tcBorders>
              <w:top w:val="nil"/>
              <w:left w:val="nil"/>
              <w:bottom w:val="nil"/>
              <w:right w:val="nil"/>
            </w:tcBorders>
          </w:tcPr>
          <w:p w14:paraId="026F731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34.9</w:t>
            </w:r>
          </w:p>
        </w:tc>
        <w:tc>
          <w:tcPr>
            <w:tcW w:w="1277" w:type="dxa"/>
            <w:tcBorders>
              <w:top w:val="nil"/>
              <w:left w:val="nil"/>
              <w:bottom w:val="nil"/>
              <w:right w:val="single" w:sz="4" w:space="0" w:color="auto"/>
            </w:tcBorders>
          </w:tcPr>
          <w:p w14:paraId="089E4884"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740D2C1D" w14:textId="77777777" w:rsidTr="00D6187B">
        <w:trPr>
          <w:trHeight w:val="27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222FBDE2" w14:textId="7426BB08" w:rsidR="00C72A59" w:rsidRPr="002F310B" w:rsidRDefault="00C72A59" w:rsidP="0097278B">
            <w:pPr>
              <w:pStyle w:val="TableRowIndent"/>
              <w:ind w:left="171"/>
              <w:rPr>
                <w:b w:val="0"/>
              </w:rPr>
            </w:pPr>
            <w:r w:rsidRPr="002F310B">
              <w:rPr>
                <w:b w:val="0"/>
              </w:rPr>
              <w:t>Tertiary</w:t>
            </w:r>
          </w:p>
        </w:tc>
        <w:tc>
          <w:tcPr>
            <w:tcW w:w="510" w:type="dxa"/>
            <w:tcBorders>
              <w:top w:val="nil"/>
              <w:left w:val="nil"/>
              <w:bottom w:val="nil"/>
              <w:right w:val="nil"/>
            </w:tcBorders>
          </w:tcPr>
          <w:p w14:paraId="1C94536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014F86A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118</w:t>
            </w:r>
          </w:p>
        </w:tc>
        <w:tc>
          <w:tcPr>
            <w:tcW w:w="1021" w:type="dxa"/>
            <w:tcBorders>
              <w:top w:val="nil"/>
              <w:left w:val="nil"/>
              <w:bottom w:val="nil"/>
              <w:right w:val="nil"/>
            </w:tcBorders>
          </w:tcPr>
          <w:p w14:paraId="62ECB8E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35.2</w:t>
            </w:r>
          </w:p>
        </w:tc>
        <w:tc>
          <w:tcPr>
            <w:tcW w:w="510" w:type="dxa"/>
            <w:tcBorders>
              <w:top w:val="nil"/>
              <w:left w:val="nil"/>
              <w:bottom w:val="nil"/>
              <w:right w:val="nil"/>
            </w:tcBorders>
          </w:tcPr>
          <w:p w14:paraId="2E7DB39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27603021"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128</w:t>
            </w:r>
          </w:p>
        </w:tc>
        <w:tc>
          <w:tcPr>
            <w:tcW w:w="1021" w:type="dxa"/>
            <w:tcBorders>
              <w:top w:val="nil"/>
              <w:left w:val="nil"/>
              <w:bottom w:val="nil"/>
              <w:right w:val="nil"/>
            </w:tcBorders>
          </w:tcPr>
          <w:p w14:paraId="30232E4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34.6</w:t>
            </w:r>
          </w:p>
        </w:tc>
        <w:tc>
          <w:tcPr>
            <w:tcW w:w="1277" w:type="dxa"/>
            <w:tcBorders>
              <w:top w:val="nil"/>
              <w:left w:val="nil"/>
              <w:bottom w:val="nil"/>
              <w:right w:val="single" w:sz="4" w:space="0" w:color="auto"/>
            </w:tcBorders>
          </w:tcPr>
          <w:p w14:paraId="50B2BD1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005C4D62" w14:textId="77777777" w:rsidTr="00D6187B">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shd w:val="clear" w:color="auto" w:fill="D9E2F3" w:themeFill="accent1" w:themeFillTint="33"/>
          </w:tcPr>
          <w:p w14:paraId="3862520A" w14:textId="77777777" w:rsidR="00C72A59" w:rsidRPr="00404055" w:rsidRDefault="00C72A59" w:rsidP="00D6187B">
            <w:pPr>
              <w:pStyle w:val="TableHeader2"/>
              <w:ind w:left="0"/>
              <w:rPr>
                <w:b/>
              </w:rPr>
            </w:pPr>
            <w:r w:rsidRPr="00404055">
              <w:rPr>
                <w:b/>
              </w:rPr>
              <w:t>Family characteristic</w:t>
            </w:r>
          </w:p>
        </w:tc>
        <w:tc>
          <w:tcPr>
            <w:tcW w:w="510" w:type="dxa"/>
            <w:tcBorders>
              <w:top w:val="nil"/>
              <w:left w:val="nil"/>
              <w:bottom w:val="nil"/>
              <w:right w:val="nil"/>
            </w:tcBorders>
            <w:shd w:val="clear" w:color="auto" w:fill="D9E2F3" w:themeFill="accent1" w:themeFillTint="33"/>
          </w:tcPr>
          <w:p w14:paraId="2EF22D10"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1BB79A14"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6D9EADE1"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7B818EEA"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3454A2B7"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2DF31C20"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c>
          <w:tcPr>
            <w:tcW w:w="1277" w:type="dxa"/>
            <w:tcBorders>
              <w:top w:val="nil"/>
              <w:left w:val="nil"/>
              <w:bottom w:val="nil"/>
              <w:right w:val="single" w:sz="4" w:space="0" w:color="auto"/>
            </w:tcBorders>
            <w:shd w:val="clear" w:color="auto" w:fill="D9E2F3" w:themeFill="accent1" w:themeFillTint="33"/>
          </w:tcPr>
          <w:p w14:paraId="628AC2B4" w14:textId="77777777" w:rsidR="00C72A59" w:rsidRPr="00404055" w:rsidRDefault="00C72A59" w:rsidP="00BC3CD1">
            <w:pPr>
              <w:pStyle w:val="TableHeader2"/>
              <w:cnfStyle w:val="000000100000" w:firstRow="0" w:lastRow="0" w:firstColumn="0" w:lastColumn="0" w:oddVBand="0" w:evenVBand="0" w:oddHBand="1" w:evenHBand="0" w:firstRowFirstColumn="0" w:firstRowLastColumn="0" w:lastRowFirstColumn="0" w:lastRowLastColumn="0"/>
            </w:pPr>
          </w:p>
        </w:tc>
      </w:tr>
      <w:tr w:rsidR="00C72A59" w:rsidRPr="00404055" w14:paraId="1F7CD974" w14:textId="77777777" w:rsidTr="00D6187B">
        <w:trPr>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701161D8" w14:textId="77777777" w:rsidR="00C72A59" w:rsidRPr="002F310B" w:rsidRDefault="00C72A59" w:rsidP="002F310B">
            <w:pPr>
              <w:pStyle w:val="TableRowIndent"/>
              <w:rPr>
                <w:b w:val="0"/>
              </w:rPr>
            </w:pPr>
            <w:r w:rsidRPr="002F310B">
              <w:rPr>
                <w:b w:val="0"/>
              </w:rPr>
              <w:t>SEIFA quintile</w:t>
            </w:r>
          </w:p>
        </w:tc>
        <w:tc>
          <w:tcPr>
            <w:tcW w:w="510" w:type="dxa"/>
            <w:tcBorders>
              <w:top w:val="nil"/>
              <w:left w:val="nil"/>
              <w:bottom w:val="nil"/>
              <w:right w:val="nil"/>
            </w:tcBorders>
          </w:tcPr>
          <w:p w14:paraId="65E392FB"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572</w:t>
            </w:r>
          </w:p>
        </w:tc>
        <w:tc>
          <w:tcPr>
            <w:tcW w:w="510" w:type="dxa"/>
            <w:tcBorders>
              <w:top w:val="nil"/>
              <w:left w:val="nil"/>
              <w:bottom w:val="nil"/>
              <w:right w:val="nil"/>
            </w:tcBorders>
          </w:tcPr>
          <w:p w14:paraId="668A849E"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6B0E8EA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2883235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667</w:t>
            </w:r>
          </w:p>
        </w:tc>
        <w:tc>
          <w:tcPr>
            <w:tcW w:w="510" w:type="dxa"/>
            <w:tcBorders>
              <w:top w:val="nil"/>
              <w:left w:val="nil"/>
              <w:bottom w:val="nil"/>
              <w:right w:val="nil"/>
            </w:tcBorders>
          </w:tcPr>
          <w:p w14:paraId="49EF7A8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033C502F"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277" w:type="dxa"/>
            <w:tcBorders>
              <w:top w:val="nil"/>
              <w:left w:val="nil"/>
              <w:bottom w:val="nil"/>
              <w:right w:val="single" w:sz="4" w:space="0" w:color="auto"/>
            </w:tcBorders>
          </w:tcPr>
          <w:p w14:paraId="3BDCC4F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0.13</w:t>
            </w:r>
          </w:p>
        </w:tc>
      </w:tr>
      <w:tr w:rsidR="00C72A59" w:rsidRPr="00404055" w14:paraId="7CFD56B4" w14:textId="77777777" w:rsidTr="00D6187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13AEF795" w14:textId="593AE9D1" w:rsidR="00C72A59" w:rsidRPr="002F310B" w:rsidRDefault="00C72A59" w:rsidP="0097278B">
            <w:pPr>
              <w:pStyle w:val="TableRowIndent"/>
              <w:ind w:left="171"/>
              <w:rPr>
                <w:b w:val="0"/>
              </w:rPr>
            </w:pPr>
            <w:r w:rsidRPr="002F310B">
              <w:rPr>
                <w:b w:val="0"/>
              </w:rPr>
              <w:t>1st quintile (most disadvantaged)</w:t>
            </w:r>
          </w:p>
        </w:tc>
        <w:tc>
          <w:tcPr>
            <w:tcW w:w="510" w:type="dxa"/>
            <w:tcBorders>
              <w:top w:val="nil"/>
              <w:left w:val="nil"/>
              <w:bottom w:val="nil"/>
              <w:right w:val="nil"/>
            </w:tcBorders>
          </w:tcPr>
          <w:p w14:paraId="3A5CCAB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14D8F804"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70</w:t>
            </w:r>
          </w:p>
        </w:tc>
        <w:tc>
          <w:tcPr>
            <w:tcW w:w="1021" w:type="dxa"/>
            <w:tcBorders>
              <w:top w:val="nil"/>
              <w:left w:val="nil"/>
              <w:bottom w:val="nil"/>
              <w:right w:val="nil"/>
            </w:tcBorders>
          </w:tcPr>
          <w:p w14:paraId="62AF73C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12.2</w:t>
            </w:r>
          </w:p>
        </w:tc>
        <w:tc>
          <w:tcPr>
            <w:tcW w:w="510" w:type="dxa"/>
            <w:tcBorders>
              <w:top w:val="nil"/>
              <w:left w:val="nil"/>
              <w:bottom w:val="nil"/>
              <w:right w:val="nil"/>
            </w:tcBorders>
          </w:tcPr>
          <w:p w14:paraId="7FF8F686"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0D16681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97</w:t>
            </w:r>
          </w:p>
        </w:tc>
        <w:tc>
          <w:tcPr>
            <w:tcW w:w="1021" w:type="dxa"/>
            <w:tcBorders>
              <w:top w:val="nil"/>
              <w:left w:val="nil"/>
              <w:bottom w:val="nil"/>
              <w:right w:val="nil"/>
            </w:tcBorders>
          </w:tcPr>
          <w:p w14:paraId="2FA42C7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14.5</w:t>
            </w:r>
          </w:p>
        </w:tc>
        <w:tc>
          <w:tcPr>
            <w:tcW w:w="1277" w:type="dxa"/>
            <w:tcBorders>
              <w:top w:val="nil"/>
              <w:left w:val="nil"/>
              <w:bottom w:val="nil"/>
              <w:right w:val="single" w:sz="4" w:space="0" w:color="auto"/>
            </w:tcBorders>
          </w:tcPr>
          <w:p w14:paraId="484AE9E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3BE4A943" w14:textId="77777777" w:rsidTr="00D6187B">
        <w:trPr>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1DF43247" w14:textId="6D2B5D61" w:rsidR="00C72A59" w:rsidRPr="002F310B" w:rsidRDefault="00C72A59" w:rsidP="0097278B">
            <w:pPr>
              <w:pStyle w:val="TableRowIndent"/>
              <w:ind w:left="171"/>
              <w:rPr>
                <w:b w:val="0"/>
              </w:rPr>
            </w:pPr>
            <w:r w:rsidRPr="002F310B">
              <w:rPr>
                <w:b w:val="0"/>
              </w:rPr>
              <w:t>2nd quintile</w:t>
            </w:r>
          </w:p>
        </w:tc>
        <w:tc>
          <w:tcPr>
            <w:tcW w:w="510" w:type="dxa"/>
            <w:tcBorders>
              <w:top w:val="nil"/>
              <w:left w:val="nil"/>
              <w:bottom w:val="nil"/>
              <w:right w:val="nil"/>
            </w:tcBorders>
          </w:tcPr>
          <w:p w14:paraId="3C397D1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04800CF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41</w:t>
            </w:r>
          </w:p>
        </w:tc>
        <w:tc>
          <w:tcPr>
            <w:tcW w:w="1021" w:type="dxa"/>
            <w:tcBorders>
              <w:top w:val="nil"/>
              <w:left w:val="nil"/>
              <w:bottom w:val="nil"/>
              <w:right w:val="nil"/>
            </w:tcBorders>
          </w:tcPr>
          <w:p w14:paraId="3F7ED32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7.2</w:t>
            </w:r>
          </w:p>
        </w:tc>
        <w:tc>
          <w:tcPr>
            <w:tcW w:w="510" w:type="dxa"/>
            <w:tcBorders>
              <w:top w:val="nil"/>
              <w:left w:val="nil"/>
              <w:bottom w:val="nil"/>
              <w:right w:val="nil"/>
            </w:tcBorders>
          </w:tcPr>
          <w:p w14:paraId="7F781E9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3E3A7E5E"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68</w:t>
            </w:r>
          </w:p>
        </w:tc>
        <w:tc>
          <w:tcPr>
            <w:tcW w:w="1021" w:type="dxa"/>
            <w:tcBorders>
              <w:top w:val="nil"/>
              <w:left w:val="nil"/>
              <w:bottom w:val="nil"/>
              <w:right w:val="nil"/>
            </w:tcBorders>
          </w:tcPr>
          <w:p w14:paraId="650EAB3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10.2</w:t>
            </w:r>
          </w:p>
        </w:tc>
        <w:tc>
          <w:tcPr>
            <w:tcW w:w="1277" w:type="dxa"/>
            <w:tcBorders>
              <w:top w:val="nil"/>
              <w:left w:val="nil"/>
              <w:bottom w:val="nil"/>
              <w:right w:val="single" w:sz="4" w:space="0" w:color="auto"/>
            </w:tcBorders>
          </w:tcPr>
          <w:p w14:paraId="7ECA8F3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6BF4FA1F" w14:textId="77777777" w:rsidTr="00D6187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4E3E546B" w14:textId="28AAE4E8" w:rsidR="00C72A59" w:rsidRPr="002F310B" w:rsidRDefault="00C72A59" w:rsidP="0097278B">
            <w:pPr>
              <w:pStyle w:val="TableRowIndent"/>
              <w:ind w:left="171"/>
              <w:rPr>
                <w:b w:val="0"/>
              </w:rPr>
            </w:pPr>
            <w:r w:rsidRPr="002F310B">
              <w:rPr>
                <w:b w:val="0"/>
              </w:rPr>
              <w:t>3rd quintile</w:t>
            </w:r>
          </w:p>
        </w:tc>
        <w:tc>
          <w:tcPr>
            <w:tcW w:w="510" w:type="dxa"/>
            <w:tcBorders>
              <w:top w:val="nil"/>
              <w:left w:val="nil"/>
              <w:bottom w:val="nil"/>
              <w:right w:val="nil"/>
            </w:tcBorders>
          </w:tcPr>
          <w:p w14:paraId="483967F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5D57039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99</w:t>
            </w:r>
          </w:p>
        </w:tc>
        <w:tc>
          <w:tcPr>
            <w:tcW w:w="1021" w:type="dxa"/>
            <w:tcBorders>
              <w:top w:val="nil"/>
              <w:left w:val="nil"/>
              <w:bottom w:val="nil"/>
              <w:right w:val="nil"/>
            </w:tcBorders>
          </w:tcPr>
          <w:p w14:paraId="6E3197E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17.3</w:t>
            </w:r>
          </w:p>
        </w:tc>
        <w:tc>
          <w:tcPr>
            <w:tcW w:w="510" w:type="dxa"/>
            <w:tcBorders>
              <w:top w:val="nil"/>
              <w:left w:val="nil"/>
              <w:bottom w:val="nil"/>
              <w:right w:val="nil"/>
            </w:tcBorders>
          </w:tcPr>
          <w:p w14:paraId="7F9DC09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61F2B0A1"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95</w:t>
            </w:r>
          </w:p>
        </w:tc>
        <w:tc>
          <w:tcPr>
            <w:tcW w:w="1021" w:type="dxa"/>
            <w:tcBorders>
              <w:top w:val="nil"/>
              <w:left w:val="nil"/>
              <w:bottom w:val="nil"/>
              <w:right w:val="nil"/>
            </w:tcBorders>
          </w:tcPr>
          <w:p w14:paraId="366F04D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14.2</w:t>
            </w:r>
          </w:p>
        </w:tc>
        <w:tc>
          <w:tcPr>
            <w:tcW w:w="1277" w:type="dxa"/>
            <w:tcBorders>
              <w:top w:val="nil"/>
              <w:left w:val="nil"/>
              <w:bottom w:val="nil"/>
              <w:right w:val="single" w:sz="4" w:space="0" w:color="auto"/>
            </w:tcBorders>
          </w:tcPr>
          <w:p w14:paraId="5C19FC6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17CCD106" w14:textId="77777777" w:rsidTr="00D6187B">
        <w:trPr>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302C5705" w14:textId="3C7638EF" w:rsidR="00C72A59" w:rsidRPr="002F310B" w:rsidRDefault="00C72A59" w:rsidP="0097278B">
            <w:pPr>
              <w:pStyle w:val="TableRowIndent"/>
              <w:ind w:left="171"/>
              <w:rPr>
                <w:b w:val="0"/>
              </w:rPr>
            </w:pPr>
            <w:r w:rsidRPr="002F310B">
              <w:rPr>
                <w:b w:val="0"/>
              </w:rPr>
              <w:t>4th quintile</w:t>
            </w:r>
          </w:p>
        </w:tc>
        <w:tc>
          <w:tcPr>
            <w:tcW w:w="510" w:type="dxa"/>
            <w:tcBorders>
              <w:top w:val="nil"/>
              <w:left w:val="nil"/>
              <w:bottom w:val="nil"/>
              <w:right w:val="nil"/>
            </w:tcBorders>
          </w:tcPr>
          <w:p w14:paraId="30133A0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6CA6D96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168</w:t>
            </w:r>
          </w:p>
        </w:tc>
        <w:tc>
          <w:tcPr>
            <w:tcW w:w="1021" w:type="dxa"/>
            <w:tcBorders>
              <w:top w:val="nil"/>
              <w:left w:val="nil"/>
              <w:bottom w:val="nil"/>
              <w:right w:val="nil"/>
            </w:tcBorders>
          </w:tcPr>
          <w:p w14:paraId="57EEB4E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29.4</w:t>
            </w:r>
          </w:p>
        </w:tc>
        <w:tc>
          <w:tcPr>
            <w:tcW w:w="510" w:type="dxa"/>
            <w:tcBorders>
              <w:top w:val="nil"/>
              <w:left w:val="nil"/>
              <w:bottom w:val="nil"/>
              <w:right w:val="nil"/>
            </w:tcBorders>
          </w:tcPr>
          <w:p w14:paraId="7B9F118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2071564B"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178</w:t>
            </w:r>
          </w:p>
        </w:tc>
        <w:tc>
          <w:tcPr>
            <w:tcW w:w="1021" w:type="dxa"/>
            <w:tcBorders>
              <w:top w:val="nil"/>
              <w:left w:val="nil"/>
              <w:bottom w:val="nil"/>
              <w:right w:val="nil"/>
            </w:tcBorders>
          </w:tcPr>
          <w:p w14:paraId="37084FB1"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26.7</w:t>
            </w:r>
          </w:p>
        </w:tc>
        <w:tc>
          <w:tcPr>
            <w:tcW w:w="1277" w:type="dxa"/>
            <w:tcBorders>
              <w:top w:val="nil"/>
              <w:left w:val="nil"/>
              <w:bottom w:val="nil"/>
              <w:right w:val="single" w:sz="4" w:space="0" w:color="auto"/>
            </w:tcBorders>
          </w:tcPr>
          <w:p w14:paraId="54E607F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6596AA42" w14:textId="77777777" w:rsidTr="00D6187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277B866F" w14:textId="3A5D0669" w:rsidR="00C72A59" w:rsidRPr="002F310B" w:rsidRDefault="00C72A59" w:rsidP="0097278B">
            <w:pPr>
              <w:pStyle w:val="TableRowIndent"/>
              <w:ind w:left="171"/>
              <w:rPr>
                <w:b w:val="0"/>
              </w:rPr>
            </w:pPr>
            <w:r w:rsidRPr="002F310B">
              <w:rPr>
                <w:b w:val="0"/>
              </w:rPr>
              <w:t>5th quintile (most advantaged)</w:t>
            </w:r>
          </w:p>
        </w:tc>
        <w:tc>
          <w:tcPr>
            <w:tcW w:w="510" w:type="dxa"/>
            <w:tcBorders>
              <w:top w:val="nil"/>
              <w:left w:val="nil"/>
              <w:bottom w:val="nil"/>
              <w:right w:val="nil"/>
            </w:tcBorders>
          </w:tcPr>
          <w:p w14:paraId="48E10D1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7CC0111B"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194</w:t>
            </w:r>
          </w:p>
        </w:tc>
        <w:tc>
          <w:tcPr>
            <w:tcW w:w="1021" w:type="dxa"/>
            <w:tcBorders>
              <w:top w:val="nil"/>
              <w:left w:val="nil"/>
              <w:bottom w:val="nil"/>
              <w:right w:val="nil"/>
            </w:tcBorders>
          </w:tcPr>
          <w:p w14:paraId="6F5D2C45"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33.9</w:t>
            </w:r>
          </w:p>
        </w:tc>
        <w:tc>
          <w:tcPr>
            <w:tcW w:w="510" w:type="dxa"/>
            <w:tcBorders>
              <w:top w:val="nil"/>
              <w:left w:val="nil"/>
              <w:bottom w:val="nil"/>
              <w:right w:val="nil"/>
            </w:tcBorders>
          </w:tcPr>
          <w:p w14:paraId="64784FD2"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769B15C2"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229</w:t>
            </w:r>
          </w:p>
        </w:tc>
        <w:tc>
          <w:tcPr>
            <w:tcW w:w="1021" w:type="dxa"/>
            <w:tcBorders>
              <w:top w:val="nil"/>
              <w:left w:val="nil"/>
              <w:bottom w:val="nil"/>
              <w:right w:val="nil"/>
            </w:tcBorders>
          </w:tcPr>
          <w:p w14:paraId="369EB7F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34.3</w:t>
            </w:r>
          </w:p>
        </w:tc>
        <w:tc>
          <w:tcPr>
            <w:tcW w:w="1277" w:type="dxa"/>
            <w:tcBorders>
              <w:top w:val="nil"/>
              <w:left w:val="nil"/>
              <w:bottom w:val="nil"/>
              <w:right w:val="single" w:sz="4" w:space="0" w:color="auto"/>
            </w:tcBorders>
          </w:tcPr>
          <w:p w14:paraId="0203C484"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34A38FFA" w14:textId="77777777" w:rsidTr="00D6187B">
        <w:trPr>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600E898F" w14:textId="77777777" w:rsidR="00C72A59" w:rsidRPr="002F310B" w:rsidRDefault="00C72A59" w:rsidP="002F310B">
            <w:pPr>
              <w:pStyle w:val="TableRowIndent"/>
              <w:rPr>
                <w:b w:val="0"/>
              </w:rPr>
            </w:pPr>
            <w:r w:rsidRPr="002F310B">
              <w:rPr>
                <w:b w:val="0"/>
              </w:rPr>
              <w:t>Language spoken at home</w:t>
            </w:r>
          </w:p>
        </w:tc>
        <w:tc>
          <w:tcPr>
            <w:tcW w:w="510" w:type="dxa"/>
            <w:tcBorders>
              <w:top w:val="nil"/>
              <w:left w:val="nil"/>
              <w:bottom w:val="nil"/>
              <w:right w:val="nil"/>
            </w:tcBorders>
          </w:tcPr>
          <w:p w14:paraId="28C00CC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429</w:t>
            </w:r>
          </w:p>
        </w:tc>
        <w:tc>
          <w:tcPr>
            <w:tcW w:w="510" w:type="dxa"/>
            <w:tcBorders>
              <w:top w:val="nil"/>
              <w:left w:val="nil"/>
              <w:bottom w:val="nil"/>
              <w:right w:val="nil"/>
            </w:tcBorders>
          </w:tcPr>
          <w:p w14:paraId="6AB7730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1AC5B97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2E694B8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506</w:t>
            </w:r>
          </w:p>
        </w:tc>
        <w:tc>
          <w:tcPr>
            <w:tcW w:w="510" w:type="dxa"/>
            <w:tcBorders>
              <w:top w:val="nil"/>
              <w:left w:val="nil"/>
              <w:bottom w:val="nil"/>
              <w:right w:val="nil"/>
            </w:tcBorders>
          </w:tcPr>
          <w:p w14:paraId="1884059D"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021" w:type="dxa"/>
            <w:tcBorders>
              <w:top w:val="nil"/>
              <w:left w:val="nil"/>
              <w:bottom w:val="nil"/>
              <w:right w:val="nil"/>
            </w:tcBorders>
          </w:tcPr>
          <w:p w14:paraId="1BD82404"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1277" w:type="dxa"/>
            <w:tcBorders>
              <w:top w:val="nil"/>
              <w:left w:val="nil"/>
              <w:bottom w:val="nil"/>
              <w:right w:val="single" w:sz="4" w:space="0" w:color="auto"/>
            </w:tcBorders>
          </w:tcPr>
          <w:p w14:paraId="4DEA67F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0.09</w:t>
            </w:r>
          </w:p>
        </w:tc>
      </w:tr>
      <w:tr w:rsidR="00C72A59" w:rsidRPr="00404055" w14:paraId="20DD2B12" w14:textId="77777777" w:rsidTr="00D6187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01D73F78" w14:textId="299B3537" w:rsidR="00C72A59" w:rsidRPr="002F310B" w:rsidRDefault="00C72A59" w:rsidP="0097278B">
            <w:pPr>
              <w:pStyle w:val="TableRowIndent"/>
              <w:ind w:left="171"/>
              <w:rPr>
                <w:b w:val="0"/>
              </w:rPr>
            </w:pPr>
            <w:r w:rsidRPr="002F310B">
              <w:rPr>
                <w:b w:val="0"/>
              </w:rPr>
              <w:t>English only</w:t>
            </w:r>
          </w:p>
        </w:tc>
        <w:tc>
          <w:tcPr>
            <w:tcW w:w="510" w:type="dxa"/>
            <w:tcBorders>
              <w:top w:val="nil"/>
              <w:left w:val="nil"/>
              <w:bottom w:val="nil"/>
              <w:right w:val="nil"/>
            </w:tcBorders>
          </w:tcPr>
          <w:p w14:paraId="39AA834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5D7C47B0"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363</w:t>
            </w:r>
          </w:p>
        </w:tc>
        <w:tc>
          <w:tcPr>
            <w:tcW w:w="1021" w:type="dxa"/>
            <w:tcBorders>
              <w:top w:val="nil"/>
              <w:left w:val="nil"/>
              <w:bottom w:val="nil"/>
              <w:right w:val="nil"/>
            </w:tcBorders>
          </w:tcPr>
          <w:p w14:paraId="03D7218E"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84.6</w:t>
            </w:r>
          </w:p>
        </w:tc>
        <w:tc>
          <w:tcPr>
            <w:tcW w:w="510" w:type="dxa"/>
            <w:tcBorders>
              <w:top w:val="nil"/>
              <w:left w:val="nil"/>
              <w:bottom w:val="nil"/>
              <w:right w:val="nil"/>
            </w:tcBorders>
          </w:tcPr>
          <w:p w14:paraId="6F2EE64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75460E22"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428</w:t>
            </w:r>
          </w:p>
        </w:tc>
        <w:tc>
          <w:tcPr>
            <w:tcW w:w="1021" w:type="dxa"/>
            <w:tcBorders>
              <w:top w:val="nil"/>
              <w:left w:val="nil"/>
              <w:bottom w:val="nil"/>
              <w:right w:val="nil"/>
            </w:tcBorders>
          </w:tcPr>
          <w:p w14:paraId="1B99196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84.6</w:t>
            </w:r>
          </w:p>
        </w:tc>
        <w:tc>
          <w:tcPr>
            <w:tcW w:w="1277" w:type="dxa"/>
            <w:tcBorders>
              <w:top w:val="nil"/>
              <w:left w:val="nil"/>
              <w:bottom w:val="nil"/>
              <w:right w:val="single" w:sz="4" w:space="0" w:color="auto"/>
            </w:tcBorders>
          </w:tcPr>
          <w:p w14:paraId="5B7133CD"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16077D6A" w14:textId="77777777" w:rsidTr="00D6187B">
        <w:trPr>
          <w:trHeight w:val="87"/>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FCA2515" w14:textId="5F799F3E" w:rsidR="00C72A59" w:rsidRPr="002F310B" w:rsidRDefault="00C72A59" w:rsidP="0097278B">
            <w:pPr>
              <w:pStyle w:val="TableRowIndent"/>
              <w:ind w:left="171"/>
              <w:rPr>
                <w:b w:val="0"/>
              </w:rPr>
            </w:pPr>
            <w:r w:rsidRPr="002F310B">
              <w:rPr>
                <w:b w:val="0"/>
              </w:rPr>
              <w:t>English and another language</w:t>
            </w:r>
          </w:p>
        </w:tc>
        <w:tc>
          <w:tcPr>
            <w:tcW w:w="510" w:type="dxa"/>
            <w:tcBorders>
              <w:top w:val="nil"/>
              <w:left w:val="nil"/>
              <w:bottom w:val="nil"/>
              <w:right w:val="nil"/>
            </w:tcBorders>
          </w:tcPr>
          <w:p w14:paraId="68FD84C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60DB7A3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10</w:t>
            </w:r>
          </w:p>
        </w:tc>
        <w:tc>
          <w:tcPr>
            <w:tcW w:w="1021" w:type="dxa"/>
            <w:tcBorders>
              <w:top w:val="nil"/>
              <w:left w:val="nil"/>
              <w:bottom w:val="nil"/>
              <w:right w:val="nil"/>
            </w:tcBorders>
          </w:tcPr>
          <w:p w14:paraId="5EEC8B7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2.3</w:t>
            </w:r>
          </w:p>
        </w:tc>
        <w:tc>
          <w:tcPr>
            <w:tcW w:w="510" w:type="dxa"/>
            <w:tcBorders>
              <w:top w:val="nil"/>
              <w:left w:val="nil"/>
              <w:bottom w:val="nil"/>
              <w:right w:val="nil"/>
            </w:tcBorders>
          </w:tcPr>
          <w:p w14:paraId="33AF14E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5EC165AA"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24</w:t>
            </w:r>
          </w:p>
        </w:tc>
        <w:tc>
          <w:tcPr>
            <w:tcW w:w="1021" w:type="dxa"/>
            <w:tcBorders>
              <w:top w:val="nil"/>
              <w:left w:val="nil"/>
              <w:bottom w:val="nil"/>
              <w:right w:val="nil"/>
            </w:tcBorders>
          </w:tcPr>
          <w:p w14:paraId="3C6607BF"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4.7</w:t>
            </w:r>
          </w:p>
        </w:tc>
        <w:tc>
          <w:tcPr>
            <w:tcW w:w="1277" w:type="dxa"/>
            <w:tcBorders>
              <w:top w:val="nil"/>
              <w:left w:val="nil"/>
              <w:bottom w:val="nil"/>
              <w:right w:val="single" w:sz="4" w:space="0" w:color="auto"/>
            </w:tcBorders>
          </w:tcPr>
          <w:p w14:paraId="3143EDD3"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579BC032" w14:textId="77777777" w:rsidTr="00D6187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3863031B" w14:textId="21949BF6" w:rsidR="00C72A59" w:rsidRPr="002F310B" w:rsidRDefault="00C72A59" w:rsidP="0097278B">
            <w:pPr>
              <w:pStyle w:val="TableRowIndent"/>
              <w:ind w:left="171"/>
              <w:rPr>
                <w:b w:val="0"/>
              </w:rPr>
            </w:pPr>
            <w:r w:rsidRPr="002F310B">
              <w:rPr>
                <w:b w:val="0"/>
              </w:rPr>
              <w:t>Another language only</w:t>
            </w:r>
          </w:p>
        </w:tc>
        <w:tc>
          <w:tcPr>
            <w:tcW w:w="510" w:type="dxa"/>
            <w:tcBorders>
              <w:top w:val="nil"/>
              <w:left w:val="nil"/>
              <w:bottom w:val="nil"/>
              <w:right w:val="nil"/>
            </w:tcBorders>
          </w:tcPr>
          <w:p w14:paraId="497AF41B"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0CF38CB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56</w:t>
            </w:r>
          </w:p>
        </w:tc>
        <w:tc>
          <w:tcPr>
            <w:tcW w:w="1021" w:type="dxa"/>
            <w:tcBorders>
              <w:top w:val="nil"/>
              <w:left w:val="nil"/>
              <w:bottom w:val="nil"/>
              <w:right w:val="nil"/>
            </w:tcBorders>
          </w:tcPr>
          <w:p w14:paraId="766A51A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13.1</w:t>
            </w:r>
          </w:p>
        </w:tc>
        <w:tc>
          <w:tcPr>
            <w:tcW w:w="510" w:type="dxa"/>
            <w:tcBorders>
              <w:top w:val="nil"/>
              <w:left w:val="nil"/>
              <w:bottom w:val="nil"/>
              <w:right w:val="nil"/>
            </w:tcBorders>
          </w:tcPr>
          <w:p w14:paraId="67CC23B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1D83744F"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54</w:t>
            </w:r>
          </w:p>
        </w:tc>
        <w:tc>
          <w:tcPr>
            <w:tcW w:w="1021" w:type="dxa"/>
            <w:tcBorders>
              <w:top w:val="nil"/>
              <w:left w:val="nil"/>
              <w:bottom w:val="nil"/>
              <w:right w:val="nil"/>
            </w:tcBorders>
          </w:tcPr>
          <w:p w14:paraId="5711B71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10.7</w:t>
            </w:r>
          </w:p>
        </w:tc>
        <w:tc>
          <w:tcPr>
            <w:tcW w:w="1277" w:type="dxa"/>
            <w:tcBorders>
              <w:top w:val="nil"/>
              <w:left w:val="nil"/>
              <w:bottom w:val="nil"/>
              <w:right w:val="single" w:sz="4" w:space="0" w:color="auto"/>
            </w:tcBorders>
          </w:tcPr>
          <w:p w14:paraId="5DA9D6A1"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4D632E09" w14:textId="77777777" w:rsidTr="00D6187B">
        <w:trPr>
          <w:trHeight w:val="26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shd w:val="clear" w:color="auto" w:fill="D9E2F3" w:themeFill="accent1" w:themeFillTint="33"/>
          </w:tcPr>
          <w:p w14:paraId="0D29129D" w14:textId="77777777" w:rsidR="00C72A59" w:rsidRPr="00404055" w:rsidRDefault="00C72A59" w:rsidP="00BC3CD1">
            <w:pPr>
              <w:pStyle w:val="TableHeader2"/>
              <w:rPr>
                <w:b/>
              </w:rPr>
            </w:pPr>
            <w:r w:rsidRPr="00404055">
              <w:rPr>
                <w:b/>
              </w:rPr>
              <w:t>School characteristic</w:t>
            </w:r>
          </w:p>
        </w:tc>
        <w:tc>
          <w:tcPr>
            <w:tcW w:w="510" w:type="dxa"/>
            <w:tcBorders>
              <w:top w:val="nil"/>
              <w:left w:val="nil"/>
              <w:bottom w:val="nil"/>
              <w:right w:val="nil"/>
            </w:tcBorders>
            <w:shd w:val="clear" w:color="auto" w:fill="D9E2F3" w:themeFill="accent1" w:themeFillTint="33"/>
          </w:tcPr>
          <w:p w14:paraId="7BBBB958"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6BC25A87"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1A17ED19"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22EF9BE5"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510" w:type="dxa"/>
            <w:tcBorders>
              <w:top w:val="nil"/>
              <w:left w:val="nil"/>
              <w:bottom w:val="nil"/>
              <w:right w:val="nil"/>
            </w:tcBorders>
            <w:shd w:val="clear" w:color="auto" w:fill="D9E2F3" w:themeFill="accent1" w:themeFillTint="33"/>
          </w:tcPr>
          <w:p w14:paraId="5D3C626D"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021" w:type="dxa"/>
            <w:tcBorders>
              <w:top w:val="nil"/>
              <w:left w:val="nil"/>
              <w:bottom w:val="nil"/>
              <w:right w:val="nil"/>
            </w:tcBorders>
            <w:shd w:val="clear" w:color="auto" w:fill="D9E2F3" w:themeFill="accent1" w:themeFillTint="33"/>
          </w:tcPr>
          <w:p w14:paraId="7098DF50"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c>
          <w:tcPr>
            <w:tcW w:w="1277" w:type="dxa"/>
            <w:tcBorders>
              <w:top w:val="nil"/>
              <w:left w:val="nil"/>
              <w:bottom w:val="nil"/>
              <w:right w:val="single" w:sz="4" w:space="0" w:color="auto"/>
            </w:tcBorders>
            <w:shd w:val="clear" w:color="auto" w:fill="D9E2F3" w:themeFill="accent1" w:themeFillTint="33"/>
          </w:tcPr>
          <w:p w14:paraId="33BBF999" w14:textId="77777777" w:rsidR="00C72A59" w:rsidRPr="00404055" w:rsidRDefault="00C72A59" w:rsidP="00BC3CD1">
            <w:pPr>
              <w:pStyle w:val="TableHeader2"/>
              <w:cnfStyle w:val="000000000000" w:firstRow="0" w:lastRow="0" w:firstColumn="0" w:lastColumn="0" w:oddVBand="0" w:evenVBand="0" w:oddHBand="0" w:evenHBand="0" w:firstRowFirstColumn="0" w:firstRowLastColumn="0" w:lastRowFirstColumn="0" w:lastRowLastColumn="0"/>
            </w:pPr>
          </w:p>
        </w:tc>
      </w:tr>
      <w:tr w:rsidR="00C72A59" w:rsidRPr="00404055" w14:paraId="710B6872" w14:textId="77777777" w:rsidTr="00D6187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70E9E5BC" w14:textId="77777777" w:rsidR="00C72A59" w:rsidRPr="002F310B" w:rsidRDefault="00C72A59" w:rsidP="002F310B">
            <w:pPr>
              <w:pStyle w:val="TableRowIndent"/>
              <w:rPr>
                <w:b w:val="0"/>
              </w:rPr>
            </w:pPr>
            <w:r w:rsidRPr="002F310B">
              <w:rPr>
                <w:b w:val="0"/>
              </w:rPr>
              <w:t>Education sector</w:t>
            </w:r>
          </w:p>
        </w:tc>
        <w:tc>
          <w:tcPr>
            <w:tcW w:w="510" w:type="dxa"/>
            <w:tcBorders>
              <w:top w:val="nil"/>
              <w:left w:val="nil"/>
              <w:bottom w:val="nil"/>
              <w:right w:val="nil"/>
            </w:tcBorders>
          </w:tcPr>
          <w:p w14:paraId="581F4EA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572</w:t>
            </w:r>
          </w:p>
        </w:tc>
        <w:tc>
          <w:tcPr>
            <w:tcW w:w="510" w:type="dxa"/>
            <w:tcBorders>
              <w:top w:val="nil"/>
              <w:left w:val="nil"/>
              <w:bottom w:val="nil"/>
              <w:right w:val="nil"/>
            </w:tcBorders>
          </w:tcPr>
          <w:p w14:paraId="4419A2D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26896FE5"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019670D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667</w:t>
            </w:r>
          </w:p>
        </w:tc>
        <w:tc>
          <w:tcPr>
            <w:tcW w:w="510" w:type="dxa"/>
            <w:tcBorders>
              <w:top w:val="nil"/>
              <w:left w:val="nil"/>
              <w:bottom w:val="nil"/>
              <w:right w:val="nil"/>
            </w:tcBorders>
          </w:tcPr>
          <w:p w14:paraId="0373E158"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021" w:type="dxa"/>
            <w:tcBorders>
              <w:top w:val="nil"/>
              <w:left w:val="nil"/>
              <w:bottom w:val="nil"/>
              <w:right w:val="nil"/>
            </w:tcBorders>
          </w:tcPr>
          <w:p w14:paraId="0F989C67"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1277" w:type="dxa"/>
            <w:tcBorders>
              <w:top w:val="nil"/>
              <w:left w:val="nil"/>
              <w:bottom w:val="nil"/>
              <w:right w:val="single" w:sz="4" w:space="0" w:color="auto"/>
            </w:tcBorders>
          </w:tcPr>
          <w:p w14:paraId="6CB4D990"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0.04</w:t>
            </w:r>
          </w:p>
        </w:tc>
      </w:tr>
      <w:tr w:rsidR="00C72A59" w:rsidRPr="00404055" w14:paraId="692DFEBA" w14:textId="77777777" w:rsidTr="00D6187B">
        <w:trPr>
          <w:trHeight w:val="245"/>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5DB2C87C" w14:textId="62B4C00F" w:rsidR="00C72A59" w:rsidRPr="002F310B" w:rsidRDefault="00C72A59" w:rsidP="0097278B">
            <w:pPr>
              <w:pStyle w:val="TableRowIndent"/>
              <w:ind w:left="171"/>
              <w:rPr>
                <w:b w:val="0"/>
              </w:rPr>
            </w:pPr>
            <w:r w:rsidRPr="002F310B">
              <w:rPr>
                <w:b w:val="0"/>
              </w:rPr>
              <w:t>Government</w:t>
            </w:r>
          </w:p>
        </w:tc>
        <w:tc>
          <w:tcPr>
            <w:tcW w:w="510" w:type="dxa"/>
            <w:tcBorders>
              <w:top w:val="nil"/>
              <w:left w:val="nil"/>
              <w:bottom w:val="nil"/>
              <w:right w:val="nil"/>
            </w:tcBorders>
          </w:tcPr>
          <w:p w14:paraId="2EC22C9E"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6A366EA1"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399</w:t>
            </w:r>
          </w:p>
        </w:tc>
        <w:tc>
          <w:tcPr>
            <w:tcW w:w="1021" w:type="dxa"/>
            <w:tcBorders>
              <w:top w:val="nil"/>
              <w:left w:val="nil"/>
              <w:bottom w:val="nil"/>
              <w:right w:val="nil"/>
            </w:tcBorders>
          </w:tcPr>
          <w:p w14:paraId="453F106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69.8</w:t>
            </w:r>
          </w:p>
        </w:tc>
        <w:tc>
          <w:tcPr>
            <w:tcW w:w="510" w:type="dxa"/>
            <w:tcBorders>
              <w:top w:val="nil"/>
              <w:left w:val="nil"/>
              <w:bottom w:val="nil"/>
              <w:right w:val="nil"/>
            </w:tcBorders>
          </w:tcPr>
          <w:p w14:paraId="1F64E0D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nil"/>
              <w:right w:val="nil"/>
            </w:tcBorders>
          </w:tcPr>
          <w:p w14:paraId="7C124C07"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494</w:t>
            </w:r>
          </w:p>
        </w:tc>
        <w:tc>
          <w:tcPr>
            <w:tcW w:w="1021" w:type="dxa"/>
            <w:tcBorders>
              <w:top w:val="nil"/>
              <w:left w:val="nil"/>
              <w:bottom w:val="nil"/>
              <w:right w:val="nil"/>
            </w:tcBorders>
          </w:tcPr>
          <w:p w14:paraId="64FBA406"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74.1</w:t>
            </w:r>
          </w:p>
        </w:tc>
        <w:tc>
          <w:tcPr>
            <w:tcW w:w="1277" w:type="dxa"/>
            <w:tcBorders>
              <w:top w:val="nil"/>
              <w:left w:val="nil"/>
              <w:bottom w:val="nil"/>
              <w:right w:val="single" w:sz="4" w:space="0" w:color="auto"/>
            </w:tcBorders>
          </w:tcPr>
          <w:p w14:paraId="24D0613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r w:rsidR="00C72A59" w:rsidRPr="00404055" w14:paraId="1F1BB11F" w14:textId="77777777" w:rsidTr="00D6187B">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nil"/>
            </w:tcBorders>
          </w:tcPr>
          <w:p w14:paraId="2492028F" w14:textId="628C942B" w:rsidR="00C72A59" w:rsidRPr="002F310B" w:rsidRDefault="00C72A59" w:rsidP="0097278B">
            <w:pPr>
              <w:pStyle w:val="TableRowIndent"/>
              <w:ind w:left="171"/>
              <w:rPr>
                <w:b w:val="0"/>
              </w:rPr>
            </w:pPr>
            <w:r w:rsidRPr="002F310B">
              <w:rPr>
                <w:b w:val="0"/>
              </w:rPr>
              <w:t>Catholic</w:t>
            </w:r>
          </w:p>
        </w:tc>
        <w:tc>
          <w:tcPr>
            <w:tcW w:w="510" w:type="dxa"/>
            <w:tcBorders>
              <w:top w:val="nil"/>
              <w:left w:val="nil"/>
              <w:bottom w:val="nil"/>
              <w:right w:val="nil"/>
            </w:tcBorders>
          </w:tcPr>
          <w:p w14:paraId="1078EB63"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09EAFAB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152</w:t>
            </w:r>
          </w:p>
        </w:tc>
        <w:tc>
          <w:tcPr>
            <w:tcW w:w="1021" w:type="dxa"/>
            <w:tcBorders>
              <w:top w:val="nil"/>
              <w:left w:val="nil"/>
              <w:bottom w:val="nil"/>
              <w:right w:val="nil"/>
            </w:tcBorders>
          </w:tcPr>
          <w:p w14:paraId="16A1692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26.6</w:t>
            </w:r>
          </w:p>
        </w:tc>
        <w:tc>
          <w:tcPr>
            <w:tcW w:w="510" w:type="dxa"/>
            <w:tcBorders>
              <w:top w:val="nil"/>
              <w:left w:val="nil"/>
              <w:bottom w:val="nil"/>
              <w:right w:val="nil"/>
            </w:tcBorders>
          </w:tcPr>
          <w:p w14:paraId="494C67EB"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c>
          <w:tcPr>
            <w:tcW w:w="510" w:type="dxa"/>
            <w:tcBorders>
              <w:top w:val="nil"/>
              <w:left w:val="nil"/>
              <w:bottom w:val="nil"/>
              <w:right w:val="nil"/>
            </w:tcBorders>
          </w:tcPr>
          <w:p w14:paraId="133B7F49"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139</w:t>
            </w:r>
          </w:p>
        </w:tc>
        <w:tc>
          <w:tcPr>
            <w:tcW w:w="1021" w:type="dxa"/>
            <w:tcBorders>
              <w:top w:val="nil"/>
              <w:left w:val="nil"/>
              <w:bottom w:val="nil"/>
              <w:right w:val="nil"/>
            </w:tcBorders>
          </w:tcPr>
          <w:p w14:paraId="6C8ECFFC"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r w:rsidRPr="00404055">
              <w:rPr>
                <w:lang w:val="en-GB"/>
              </w:rPr>
              <w:t>20.8</w:t>
            </w:r>
          </w:p>
        </w:tc>
        <w:tc>
          <w:tcPr>
            <w:tcW w:w="1277" w:type="dxa"/>
            <w:tcBorders>
              <w:top w:val="nil"/>
              <w:left w:val="nil"/>
              <w:bottom w:val="nil"/>
              <w:right w:val="single" w:sz="4" w:space="0" w:color="auto"/>
            </w:tcBorders>
          </w:tcPr>
          <w:p w14:paraId="3DCDE6CA" w14:textId="77777777" w:rsidR="00C72A59" w:rsidRPr="00404055" w:rsidRDefault="00C72A59" w:rsidP="00BC3CD1">
            <w:pPr>
              <w:pStyle w:val="TableBody"/>
              <w:cnfStyle w:val="000000100000" w:firstRow="0" w:lastRow="0" w:firstColumn="0" w:lastColumn="0" w:oddVBand="0" w:evenVBand="0" w:oddHBand="1" w:evenHBand="0" w:firstRowFirstColumn="0" w:firstRowLastColumn="0" w:lastRowFirstColumn="0" w:lastRowLastColumn="0"/>
              <w:rPr>
                <w:lang w:val="en-GB"/>
              </w:rPr>
            </w:pPr>
          </w:p>
        </w:tc>
      </w:tr>
      <w:tr w:rsidR="00C72A59" w:rsidRPr="00404055" w14:paraId="23544A4E" w14:textId="77777777" w:rsidTr="00D6187B">
        <w:trPr>
          <w:trHeight w:val="281"/>
          <w:jc w:val="center"/>
        </w:trPr>
        <w:tc>
          <w:tcPr>
            <w:cnfStyle w:val="001000000000" w:firstRow="0" w:lastRow="0" w:firstColumn="1" w:lastColumn="0" w:oddVBand="0" w:evenVBand="0" w:oddHBand="0" w:evenHBand="0" w:firstRowFirstColumn="0" w:firstRowLastColumn="0" w:lastRowFirstColumn="0" w:lastRowLastColumn="0"/>
            <w:tcW w:w="3287" w:type="dxa"/>
            <w:tcBorders>
              <w:top w:val="nil"/>
              <w:left w:val="single" w:sz="4" w:space="0" w:color="auto"/>
              <w:bottom w:val="single" w:sz="4" w:space="0" w:color="auto"/>
            </w:tcBorders>
          </w:tcPr>
          <w:p w14:paraId="0466AEA8" w14:textId="676D8AEE" w:rsidR="00C72A59" w:rsidRPr="002F310B" w:rsidRDefault="00C72A59" w:rsidP="0097278B">
            <w:pPr>
              <w:pStyle w:val="TableRowIndent"/>
              <w:ind w:left="171"/>
              <w:rPr>
                <w:b w:val="0"/>
              </w:rPr>
            </w:pPr>
            <w:r w:rsidRPr="002F310B">
              <w:rPr>
                <w:b w:val="0"/>
              </w:rPr>
              <w:t>Independent</w:t>
            </w:r>
          </w:p>
        </w:tc>
        <w:tc>
          <w:tcPr>
            <w:tcW w:w="510" w:type="dxa"/>
            <w:tcBorders>
              <w:top w:val="nil"/>
              <w:left w:val="nil"/>
              <w:bottom w:val="single" w:sz="4" w:space="0" w:color="auto"/>
              <w:right w:val="nil"/>
            </w:tcBorders>
          </w:tcPr>
          <w:p w14:paraId="724725F1"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single" w:sz="4" w:space="0" w:color="auto"/>
              <w:right w:val="nil"/>
            </w:tcBorders>
          </w:tcPr>
          <w:p w14:paraId="2E87704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21</w:t>
            </w:r>
          </w:p>
        </w:tc>
        <w:tc>
          <w:tcPr>
            <w:tcW w:w="1021" w:type="dxa"/>
            <w:tcBorders>
              <w:top w:val="nil"/>
              <w:left w:val="nil"/>
              <w:bottom w:val="single" w:sz="4" w:space="0" w:color="auto"/>
              <w:right w:val="nil"/>
            </w:tcBorders>
          </w:tcPr>
          <w:p w14:paraId="1CEA686C"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3.7</w:t>
            </w:r>
          </w:p>
        </w:tc>
        <w:tc>
          <w:tcPr>
            <w:tcW w:w="510" w:type="dxa"/>
            <w:tcBorders>
              <w:top w:val="nil"/>
              <w:left w:val="nil"/>
              <w:bottom w:val="single" w:sz="4" w:space="0" w:color="auto"/>
              <w:right w:val="nil"/>
            </w:tcBorders>
          </w:tcPr>
          <w:p w14:paraId="67B4C5E8"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c>
          <w:tcPr>
            <w:tcW w:w="510" w:type="dxa"/>
            <w:tcBorders>
              <w:top w:val="nil"/>
              <w:left w:val="nil"/>
              <w:bottom w:val="single" w:sz="4" w:space="0" w:color="auto"/>
              <w:right w:val="nil"/>
            </w:tcBorders>
          </w:tcPr>
          <w:p w14:paraId="1D194AD9"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34</w:t>
            </w:r>
          </w:p>
        </w:tc>
        <w:tc>
          <w:tcPr>
            <w:tcW w:w="1021" w:type="dxa"/>
            <w:tcBorders>
              <w:top w:val="nil"/>
              <w:left w:val="nil"/>
              <w:bottom w:val="single" w:sz="4" w:space="0" w:color="auto"/>
              <w:right w:val="nil"/>
            </w:tcBorders>
          </w:tcPr>
          <w:p w14:paraId="6E591A15"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r w:rsidRPr="00404055">
              <w:rPr>
                <w:lang w:val="en-GB"/>
              </w:rPr>
              <w:t>5.1</w:t>
            </w:r>
          </w:p>
        </w:tc>
        <w:tc>
          <w:tcPr>
            <w:tcW w:w="1277" w:type="dxa"/>
            <w:tcBorders>
              <w:top w:val="nil"/>
              <w:left w:val="nil"/>
              <w:bottom w:val="single" w:sz="4" w:space="0" w:color="auto"/>
              <w:right w:val="single" w:sz="4" w:space="0" w:color="auto"/>
            </w:tcBorders>
          </w:tcPr>
          <w:p w14:paraId="6B4A7AC2" w14:textId="77777777" w:rsidR="00C72A59" w:rsidRPr="00404055" w:rsidRDefault="00C72A59" w:rsidP="00BC3CD1">
            <w:pPr>
              <w:pStyle w:val="TableBody"/>
              <w:cnfStyle w:val="000000000000" w:firstRow="0" w:lastRow="0" w:firstColumn="0" w:lastColumn="0" w:oddVBand="0" w:evenVBand="0" w:oddHBand="0" w:evenHBand="0" w:firstRowFirstColumn="0" w:firstRowLastColumn="0" w:lastRowFirstColumn="0" w:lastRowLastColumn="0"/>
              <w:rPr>
                <w:lang w:val="en-GB"/>
              </w:rPr>
            </w:pPr>
          </w:p>
        </w:tc>
      </w:tr>
    </w:tbl>
    <w:p w14:paraId="73B3667A" w14:textId="77777777" w:rsidR="00C72A59" w:rsidRPr="00C831DB" w:rsidRDefault="00C72A59" w:rsidP="003F04C9">
      <w:pPr>
        <w:pStyle w:val="Belowtablecaption"/>
        <w:ind w:left="142"/>
      </w:pPr>
      <w:r w:rsidRPr="00C831DB">
        <w:t>N number of responses for item.</w:t>
      </w:r>
      <w:r>
        <w:t xml:space="preserve"> </w:t>
      </w:r>
      <w:r w:rsidRPr="00C831DB">
        <w:t>All values are percentages unless specified.</w:t>
      </w:r>
      <w:r>
        <w:br/>
      </w:r>
      <w:proofErr w:type="spellStart"/>
      <w:r w:rsidRPr="00C831DB">
        <w:rPr>
          <w:vertAlign w:val="superscript"/>
        </w:rPr>
        <w:t>a</w:t>
      </w:r>
      <w:r w:rsidRPr="00C831DB">
        <w:t>Between</w:t>
      </w:r>
      <w:proofErr w:type="spellEnd"/>
      <w:r w:rsidRPr="00C831DB">
        <w:t xml:space="preserve"> gender differences were tested using Chi-squared tests for categorical variables an</w:t>
      </w:r>
      <w:r>
        <w:t>d independent-samples t tests for</w:t>
      </w:r>
      <w:r w:rsidRPr="00C831DB">
        <w:t xml:space="preserve"> continuous variables</w:t>
      </w:r>
    </w:p>
    <w:p w14:paraId="22047D4F" w14:textId="77777777" w:rsidR="00103CF7" w:rsidRDefault="00103CF7">
      <w:pPr>
        <w:spacing w:after="0" w:line="240" w:lineRule="auto"/>
        <w:rPr>
          <w:rFonts w:eastAsiaTheme="majorEastAsia" w:cstheme="majorBidi"/>
          <w:b/>
          <w:sz w:val="24"/>
          <w:szCs w:val="24"/>
        </w:rPr>
      </w:pPr>
      <w:bookmarkStart w:id="136" w:name="_Toc328838902"/>
      <w:bookmarkStart w:id="137" w:name="_Toc501120758"/>
      <w:r>
        <w:br w:type="page"/>
      </w:r>
    </w:p>
    <w:p w14:paraId="446F55D9" w14:textId="6A1E287F" w:rsidR="00C72A59" w:rsidRPr="00493C91" w:rsidRDefault="00C72A59" w:rsidP="0025203E">
      <w:pPr>
        <w:pStyle w:val="Heading2"/>
        <w:spacing w:before="0" w:after="120"/>
      </w:pPr>
      <w:r w:rsidRPr="00493C91">
        <w:t>Sample maintenance</w:t>
      </w:r>
      <w:bookmarkEnd w:id="136"/>
      <w:bookmarkEnd w:id="137"/>
    </w:p>
    <w:p w14:paraId="1BEF8415" w14:textId="77777777" w:rsidR="006A36B8" w:rsidRDefault="00C72A59" w:rsidP="006A36B8">
      <w:pPr>
        <w:spacing w:after="0"/>
      </w:pPr>
      <w:r w:rsidRPr="0013322A">
        <w:t xml:space="preserve">To assist with follow up, parents are asked </w:t>
      </w:r>
      <w:r>
        <w:t xml:space="preserve">at the start of the study </w:t>
      </w:r>
      <w:r w:rsidRPr="0013322A">
        <w:t xml:space="preserve">to provide contact details of two additional friends or relatives. These contacts are used </w:t>
      </w:r>
      <w:r>
        <w:t xml:space="preserve">when required </w:t>
      </w:r>
      <w:r w:rsidRPr="0013322A">
        <w:t>to help</w:t>
      </w:r>
      <w:r>
        <w:t xml:space="preserve"> trace participants</w:t>
      </w:r>
      <w:r w:rsidRPr="0013322A">
        <w:t xml:space="preserve">. At the conclusion of Wave 4 </w:t>
      </w:r>
      <w:r>
        <w:t>participating students and parents</w:t>
      </w:r>
      <w:r w:rsidRPr="0013322A">
        <w:t xml:space="preserve"> provided information about the secondary school enrolment and </w:t>
      </w:r>
      <w:r>
        <w:t>provided</w:t>
      </w:r>
      <w:r w:rsidRPr="0013322A">
        <w:t xml:space="preserve"> the contact details of students.</w:t>
      </w:r>
    </w:p>
    <w:p w14:paraId="7E3D45A9" w14:textId="4EAACA42" w:rsidR="00C72A59" w:rsidRDefault="00C72A59" w:rsidP="006A36B8">
      <w:pPr>
        <w:spacing w:after="0"/>
      </w:pPr>
      <w:r w:rsidRPr="0013322A">
        <w:t xml:space="preserve"> </w:t>
      </w:r>
    </w:p>
    <w:p w14:paraId="0FA670D0" w14:textId="77777777" w:rsidR="00C72A59" w:rsidRPr="0013322A" w:rsidRDefault="00C72A59" w:rsidP="00932892">
      <w:pPr>
        <w:spacing w:after="0"/>
      </w:pPr>
      <w:r w:rsidRPr="0013322A">
        <w:t xml:space="preserve">In an effort to maintain contact with CATS participants, thank you cards, birthday cards, newsletters and ‘change of address’ forms are sent at regular intervals to participants. A short video </w:t>
      </w:r>
      <w:proofErr w:type="gramStart"/>
      <w:r w:rsidRPr="0013322A">
        <w:t>has also been created</w:t>
      </w:r>
      <w:proofErr w:type="gramEnd"/>
      <w:r w:rsidRPr="0013322A">
        <w:t xml:space="preserve"> for the study with the primary aim of enhancing participant engagement: </w:t>
      </w:r>
      <w:hyperlink r:id="rId32" w:history="1">
        <w:r w:rsidRPr="00B85301">
          <w:rPr>
            <w:rStyle w:val="Hyperlink"/>
          </w:rPr>
          <w:t>https://cats.mcri.edu.au/resources/</w:t>
        </w:r>
      </w:hyperlink>
      <w:r w:rsidRPr="0013322A">
        <w:rPr>
          <w:rFonts w:eastAsiaTheme="minorEastAsia" w:cs="ArialMT"/>
        </w:rPr>
        <w:fldChar w:fldCharType="begin"/>
      </w:r>
      <w:r w:rsidRPr="0013322A">
        <w:instrText xml:space="preserve"> HYPERLINK "http://www.mcri.edu.au/truthaboutcats" </w:instrText>
      </w:r>
      <w:r w:rsidRPr="0013322A">
        <w:rPr>
          <w:rFonts w:eastAsiaTheme="minorEastAsia" w:cs="ArialMT"/>
        </w:rPr>
        <w:fldChar w:fldCharType="separate"/>
      </w:r>
      <w:r w:rsidRPr="0013322A">
        <w:t>.</w:t>
      </w:r>
    </w:p>
    <w:p w14:paraId="2B25A846" w14:textId="77777777" w:rsidR="00932892" w:rsidRDefault="00C72A59" w:rsidP="00932892">
      <w:pPr>
        <w:pStyle w:val="Heading2"/>
        <w:spacing w:before="0" w:after="0"/>
        <w:rPr>
          <w:rFonts w:cstheme="minorHAnsi"/>
        </w:rPr>
      </w:pPr>
      <w:r w:rsidRPr="0013322A">
        <w:rPr>
          <w:rFonts w:cstheme="minorHAnsi"/>
        </w:rPr>
        <w:fldChar w:fldCharType="end"/>
      </w:r>
      <w:bookmarkStart w:id="138" w:name="_Toc328838903"/>
      <w:bookmarkStart w:id="139" w:name="_Toc501120759"/>
    </w:p>
    <w:p w14:paraId="7F429E52" w14:textId="5EB541E5" w:rsidR="00C72A59" w:rsidRPr="008E34A6" w:rsidRDefault="00C72A59" w:rsidP="0025203E">
      <w:pPr>
        <w:pStyle w:val="Heading2"/>
        <w:spacing w:before="0" w:after="120"/>
      </w:pPr>
      <w:r w:rsidRPr="008E34A6">
        <w:t>Data collection</w:t>
      </w:r>
      <w:bookmarkEnd w:id="138"/>
      <w:bookmarkEnd w:id="139"/>
      <w:r w:rsidRPr="008E34A6">
        <w:t xml:space="preserve"> </w:t>
      </w:r>
    </w:p>
    <w:p w14:paraId="39C0A9EC" w14:textId="77777777" w:rsidR="00C72A59" w:rsidRDefault="00C72A59" w:rsidP="006A36B8">
      <w:pPr>
        <w:spacing w:after="0"/>
      </w:pPr>
      <w:r>
        <w:t>Data collection is conducted annually. Data are collected using parent, teacher and student self-report questionnaires. Additionally, students take part in anthropometric assessments (height, weight and waist circumference). During primary school, student data collection was conducted in a class setting during school hours. Students were provided with iPads on which they read the questions and completed their answers. At Waves 1 and 2, the SQ items were read aloud by a Research Assistant (RA), following a standard script. In subsequent waves students completed the survey in a class setting under the supervision of an RA who did not read out the items but was available to answer questions.</w:t>
      </w:r>
    </w:p>
    <w:p w14:paraId="561AE889" w14:textId="77777777" w:rsidR="006A36B8" w:rsidRDefault="006A36B8" w:rsidP="006A36B8">
      <w:pPr>
        <w:spacing w:after="0"/>
      </w:pPr>
    </w:p>
    <w:p w14:paraId="2F439F92" w14:textId="77777777" w:rsidR="00C72A59" w:rsidRDefault="00C72A59" w:rsidP="006A36B8">
      <w:pPr>
        <w:spacing w:after="0"/>
      </w:pPr>
      <w:r>
        <w:t>If three or more students were absent on the day of the survey a second data collection session at school was scheduled. If this was not possible, families were offered home visits or were invited to the Royal Children’s Hospital or to a dedicated assessment session in local areas. If families had moved outside of metropolitan Melbourne, they were sent paper questionnaires by post along with a protocol for parent collection of the anthropometric measurements.</w:t>
      </w:r>
    </w:p>
    <w:p w14:paraId="2F30BC55" w14:textId="77777777" w:rsidR="006A36B8" w:rsidRDefault="006A36B8" w:rsidP="006A36B8">
      <w:pPr>
        <w:spacing w:after="0"/>
      </w:pPr>
    </w:p>
    <w:p w14:paraId="504D7FE7" w14:textId="18071CAF" w:rsidR="00C72A59" w:rsidRDefault="00C72A59" w:rsidP="006A36B8">
      <w:pPr>
        <w:spacing w:after="0"/>
      </w:pPr>
      <w:r>
        <w:t xml:space="preserve">Wave 5 was conducted when students were in Year 7, the first year of </w:t>
      </w:r>
      <w:r>
        <w:rPr>
          <w:rFonts w:cs="Calibri"/>
          <w:color w:val="000000" w:themeColor="text1"/>
        </w:rPr>
        <w:t>secondary</w:t>
      </w:r>
      <w:r w:rsidRPr="0075009C">
        <w:rPr>
          <w:rFonts w:cs="Calibri"/>
          <w:color w:val="000000" w:themeColor="text1"/>
        </w:rPr>
        <w:t xml:space="preserve"> school</w:t>
      </w:r>
      <w:r>
        <w:t>. Now that students had moved to more than 250 secondary schools, school</w:t>
      </w:r>
      <w:r w:rsidR="008D7569">
        <w:t>-</w:t>
      </w:r>
      <w:r>
        <w:t>based data collection was not feasible for the entire cohort. T</w:t>
      </w:r>
      <w:r w:rsidRPr="00AF0FFB">
        <w:t xml:space="preserve">o maximise efficiencies, </w:t>
      </w:r>
      <w:r>
        <w:t>secondary</w:t>
      </w:r>
      <w:r w:rsidRPr="00AF0FFB">
        <w:t xml:space="preserve"> schools with large clusters of students enrolled (i.e. ten or more) were identified, recruited and enrolled into the study. The first schools recruited had ten or more students, and once these schools were recruited, additional schools with large clusters of students (not quite ten)</w:t>
      </w:r>
      <w:r>
        <w:t xml:space="preserve"> were identified and </w:t>
      </w:r>
      <w:r w:rsidRPr="00AF0FFB">
        <w:t>school</w:t>
      </w:r>
      <w:r w:rsidR="008D7569">
        <w:t>-</w:t>
      </w:r>
      <w:r w:rsidRPr="00AF0FFB">
        <w:t>based data collection</w:t>
      </w:r>
      <w:r>
        <w:t xml:space="preserve"> conducted.</w:t>
      </w:r>
    </w:p>
    <w:p w14:paraId="6B8FC613" w14:textId="77777777" w:rsidR="006A36B8" w:rsidRPr="002C3490" w:rsidRDefault="006A36B8" w:rsidP="006A36B8">
      <w:pPr>
        <w:spacing w:after="0"/>
      </w:pPr>
    </w:p>
    <w:p w14:paraId="48308EEB" w14:textId="77777777" w:rsidR="00C72A59" w:rsidRDefault="00C72A59" w:rsidP="006A36B8">
      <w:pPr>
        <w:spacing w:after="0"/>
      </w:pPr>
      <w:r>
        <w:t>Prior to the commencement of school data collection</w:t>
      </w:r>
      <w:r w:rsidRPr="00AF0FFB">
        <w:t>, all students were emailed (preferentially) or posted (if no known email address) the Wave 5 Student</w:t>
      </w:r>
      <w:r>
        <w:t xml:space="preserve"> SQ</w:t>
      </w:r>
      <w:r w:rsidRPr="00AF0FFB">
        <w:t>. Reminder emails and postal packs</w:t>
      </w:r>
      <w:r>
        <w:t>, as well as SMS messages and phone call reminders were conducted for the following four months.</w:t>
      </w:r>
    </w:p>
    <w:p w14:paraId="774721F2" w14:textId="77777777" w:rsidR="006A36B8" w:rsidRDefault="006A36B8" w:rsidP="006A36B8">
      <w:pPr>
        <w:spacing w:after="0"/>
      </w:pPr>
    </w:p>
    <w:p w14:paraId="09E7AA96" w14:textId="77777777" w:rsidR="00C72A59" w:rsidRDefault="00C72A59" w:rsidP="006A36B8">
      <w:pPr>
        <w:spacing w:after="0"/>
      </w:pPr>
      <w:r>
        <w:t>If a student had completed their SQ at home, prior to the school session, they only completed the anthropometric measures (height and weight, only). For all other students, they completed the SQ and anthropometric measures at the school data collection session.</w:t>
      </w:r>
    </w:p>
    <w:p w14:paraId="00D57D30" w14:textId="77777777" w:rsidR="006A36B8" w:rsidRDefault="006A36B8" w:rsidP="006A36B8">
      <w:pPr>
        <w:spacing w:after="0"/>
      </w:pPr>
    </w:p>
    <w:p w14:paraId="1787EE79" w14:textId="77777777" w:rsidR="00C72A59" w:rsidRDefault="00C72A59" w:rsidP="006A36B8">
      <w:pPr>
        <w:spacing w:after="0"/>
      </w:pPr>
      <w:r>
        <w:t>In September, all parents (regardless of whether or not their child had completed the SQ) were sent the Parent Questionnaire (PQ) and those students who had not been seen at a school session were sent a ‘DIY’ home measurement kit. The kit included detailed instructions on how to measure height and weight, as well as a tape measure and a link to an online demonstration.</w:t>
      </w:r>
    </w:p>
    <w:p w14:paraId="6FB423F3" w14:textId="77777777" w:rsidR="006A36B8" w:rsidRDefault="006A36B8" w:rsidP="006A36B8">
      <w:pPr>
        <w:spacing w:after="0"/>
      </w:pPr>
    </w:p>
    <w:p w14:paraId="54D4515A" w14:textId="77777777" w:rsidR="00C72A59" w:rsidRDefault="00C72A59" w:rsidP="006A36B8">
      <w:pPr>
        <w:spacing w:after="0"/>
      </w:pPr>
      <w:r>
        <w:t>For all student and/or parent questionnaires not completed by November, participants were called and the questionnaire(s) was conducted by Computer Assisted Telephone Interview (CATI) by a trained RA. The student CATIs were conducted after school hours and on weekends. Parent CATIs took five minutes and were conducted at a suitable time for the parent. The PQ included questions around the child’s transition to school. More detailed demographic questions were administered in Wave 1, at which point parents were asked to complete it and return it along with the consent form.</w:t>
      </w:r>
    </w:p>
    <w:p w14:paraId="62FC4F91" w14:textId="77777777" w:rsidR="006A36B8" w:rsidRDefault="006A36B8" w:rsidP="006A36B8">
      <w:pPr>
        <w:spacing w:after="0"/>
      </w:pPr>
    </w:p>
    <w:p w14:paraId="7041C8C7" w14:textId="77777777" w:rsidR="00C72A59" w:rsidRPr="005001CC" w:rsidRDefault="00C72A59" w:rsidP="00D52B12">
      <w:bookmarkStart w:id="140" w:name="_msoanchor_1"/>
      <w:bookmarkStart w:id="141" w:name="_msoanchor_2"/>
      <w:bookmarkStart w:id="142" w:name="_msoanchor_3"/>
      <w:bookmarkStart w:id="143" w:name="_msoanchor_4"/>
      <w:bookmarkStart w:id="144" w:name="_msoanchor_5"/>
      <w:bookmarkEnd w:id="140"/>
      <w:bookmarkEnd w:id="141"/>
      <w:bookmarkEnd w:id="142"/>
      <w:bookmarkEnd w:id="143"/>
      <w:bookmarkEnd w:id="144"/>
      <w:r>
        <w:t>The class teachers of all participating students were invited to complete a brief paper questionnaire at each wave of data collection in primary school (Waves 1 to 4). This was a very short questionnaire, taking about two minutes per student to complete and asked questions about the student’s overall academic ability, absences from school, and an overview of the student’s behavioural and emotional functioning. In Wave 4, teachers also responded to the same questions as parents regarding anticipated adjustment to secondary school.</w:t>
      </w:r>
    </w:p>
    <w:p w14:paraId="26C06764" w14:textId="77777777" w:rsidR="00C72A59" w:rsidRPr="00CD394B" w:rsidRDefault="00C72A59" w:rsidP="00D52B12"/>
    <w:p w14:paraId="3E4B2CC9" w14:textId="77777777" w:rsidR="00C72A59" w:rsidRPr="00190EB5" w:rsidRDefault="00C72A59" w:rsidP="00D52B12"/>
    <w:p w14:paraId="770DCD22" w14:textId="2BC8F783" w:rsidR="00CB69BE" w:rsidRDefault="00CB69BE" w:rsidP="00D52B12">
      <w:r>
        <w:br w:type="page"/>
      </w:r>
    </w:p>
    <w:p w14:paraId="4E542286" w14:textId="77777777" w:rsidR="00CB69BE" w:rsidRDefault="00CB69BE" w:rsidP="0031784D">
      <w:pPr>
        <w:pStyle w:val="Heading1"/>
        <w:spacing w:before="0"/>
      </w:pPr>
      <w:bookmarkStart w:id="145" w:name="_Toc501120760"/>
      <w:r>
        <w:t>Appendix 2: Technical notes</w:t>
      </w:r>
      <w:bookmarkEnd w:id="145"/>
    </w:p>
    <w:p w14:paraId="5496C7DC" w14:textId="77777777" w:rsidR="00CB69BE" w:rsidRPr="007F3FEB" w:rsidRDefault="00CB69BE" w:rsidP="0031784D">
      <w:pPr>
        <w:pStyle w:val="Heading2"/>
        <w:spacing w:before="0" w:after="120"/>
      </w:pPr>
      <w:bookmarkStart w:id="146" w:name="_Toc501120761"/>
      <w:r>
        <w:t>Data linkage</w:t>
      </w:r>
      <w:bookmarkEnd w:id="146"/>
    </w:p>
    <w:p w14:paraId="377E1831" w14:textId="249698E5" w:rsidR="00CB69BE" w:rsidRPr="007746B4" w:rsidRDefault="00CB69BE" w:rsidP="00D52B12">
      <w:r w:rsidRPr="00404D5B">
        <w:t>In September 2017, the CATS data set (</w:t>
      </w:r>
      <w:r>
        <w:t>W</w:t>
      </w:r>
      <w:r w:rsidRPr="00404D5B">
        <w:t xml:space="preserve">aves 1 to 5, Years 3 to 7) was linked at </w:t>
      </w:r>
      <w:r>
        <w:t>the</w:t>
      </w:r>
      <w:r w:rsidRPr="00404D5B">
        <w:t xml:space="preserve"> individual </w:t>
      </w:r>
      <w:r>
        <w:t xml:space="preserve">student </w:t>
      </w:r>
      <w:r w:rsidRPr="00404D5B">
        <w:t>le</w:t>
      </w:r>
      <w:r w:rsidR="0097278B">
        <w:t xml:space="preserve">vel to the 2009 AEDC database. </w:t>
      </w:r>
      <w:r w:rsidRPr="00404D5B">
        <w:t xml:space="preserve">The Australian Institute of Health and Welfare (AIHW) performed the linkage </w:t>
      </w:r>
      <w:r>
        <w:t xml:space="preserve">of CATS and AEDC student identifiers </w:t>
      </w:r>
      <w:r w:rsidRPr="00404D5B">
        <w:t xml:space="preserve">and the AEDC data was then obtained </w:t>
      </w:r>
      <w:r w:rsidRPr="007746B4">
        <w:t xml:space="preserve">from the Social Research Centre (SRC; Melbourne, Victoria). </w:t>
      </w:r>
    </w:p>
    <w:p w14:paraId="7B72DE66" w14:textId="3A238390" w:rsidR="00CB69BE" w:rsidRPr="007746B4" w:rsidRDefault="00CB69BE" w:rsidP="00D52B12">
      <w:r w:rsidRPr="007746B4">
        <w:t>Data were successfully linked for a total of 1085 of the 1239 children recruited to the CATS study (87.6%). On the 2012 (CATS wave 1; Year 3) characteristics, the linked cohort was similar to those not linked in terms of</w:t>
      </w:r>
      <w:r w:rsidR="005C0169" w:rsidRPr="007746B4">
        <w:t xml:space="preserve"> gender (54.2% versus 51.3% male</w:t>
      </w:r>
      <w:r w:rsidRPr="007746B4">
        <w:t xml:space="preserve">). However, those linked were slightly younger (9.0 vs 9.1 years) and were from areas of greater advantage (SEIFA Index of Relative Socio-economic Advantage and </w:t>
      </w:r>
      <w:r w:rsidR="00457C85" w:rsidRPr="007746B4">
        <w:t>Disadvantage score: 1013 vs 999</w:t>
      </w:r>
      <w:r w:rsidRPr="007746B4">
        <w:t>).</w:t>
      </w:r>
    </w:p>
    <w:p w14:paraId="1DAEEC8D" w14:textId="1ADD26DD" w:rsidR="00C6643A" w:rsidRDefault="00C6643A" w:rsidP="006A36B8">
      <w:pPr>
        <w:spacing w:after="0"/>
      </w:pPr>
      <w:r w:rsidRPr="007746B4">
        <w:t xml:space="preserve">The DV1 variable was available for n = 1042 of the CATS participants </w:t>
      </w:r>
      <w:r w:rsidRPr="005265DE">
        <w:t>(96</w:t>
      </w:r>
      <w:r w:rsidR="00017545" w:rsidRPr="005265DE">
        <w:t>.0</w:t>
      </w:r>
      <w:r w:rsidRPr="005265DE">
        <w:t>%</w:t>
      </w:r>
      <w:r w:rsidRPr="007746B4">
        <w:t xml:space="preserve"> of the n = 1085 linked CATS participants; 84.1% of the n = 1239 recruited CATS participants).</w:t>
      </w:r>
    </w:p>
    <w:p w14:paraId="5574B548" w14:textId="77777777" w:rsidR="006A36B8" w:rsidRDefault="006A36B8" w:rsidP="006A36B8">
      <w:pPr>
        <w:spacing w:after="0"/>
      </w:pPr>
    </w:p>
    <w:p w14:paraId="5968ED63" w14:textId="77777777" w:rsidR="00CB69BE" w:rsidRDefault="00CB69BE" w:rsidP="0031784D">
      <w:pPr>
        <w:pStyle w:val="Heading2"/>
        <w:spacing w:before="0" w:after="120"/>
      </w:pPr>
      <w:bookmarkStart w:id="147" w:name="_Toc501120762"/>
      <w:r>
        <w:t>Measurements</w:t>
      </w:r>
      <w:bookmarkEnd w:id="147"/>
    </w:p>
    <w:p w14:paraId="1198A30E" w14:textId="77777777" w:rsidR="00CB69BE" w:rsidRPr="00717214" w:rsidRDefault="00CB69BE" w:rsidP="0031784D">
      <w:pPr>
        <w:pStyle w:val="Heading3"/>
        <w:spacing w:before="0" w:after="120"/>
      </w:pPr>
      <w:r>
        <w:rPr>
          <w:shd w:val="clear" w:color="auto" w:fill="FFFFFF"/>
        </w:rPr>
        <w:t>Learning</w:t>
      </w:r>
    </w:p>
    <w:p w14:paraId="27B3F7F3" w14:textId="77777777" w:rsidR="00CB69BE" w:rsidRPr="007746B4" w:rsidRDefault="00CB69BE" w:rsidP="006A36B8">
      <w:pPr>
        <w:spacing w:after="0"/>
      </w:pPr>
      <w:r w:rsidRPr="00555B8F">
        <w:t>Academic performance was assessed via linkage with the National Assessment Programme – Literacy and Numeracy (NAPLAN) in Years 3, 5 and 7. NAPLAN assesses academic performance on four domains - reading, writing, numeracy, and language conventions (spelling, grammar and punctuation). The reading and numeracy domains used in this report are the most reliable domains</w:t>
      </w:r>
      <w:r>
        <w:t xml:space="preserve"> </w:t>
      </w:r>
      <w:r w:rsidRPr="007746B4">
        <w:t>for measurement of academic performance. NAPLAN data were provided by the Victorian Curriculum and Assessment Authority (VCAA) for students whose parents had provided additional optional consent at recruitment for data linkage (n=1146, 93%).</w:t>
      </w:r>
    </w:p>
    <w:p w14:paraId="34103A50" w14:textId="77777777" w:rsidR="006A36B8" w:rsidRPr="007746B4" w:rsidRDefault="006A36B8" w:rsidP="006A36B8">
      <w:pPr>
        <w:spacing w:after="0"/>
      </w:pPr>
    </w:p>
    <w:p w14:paraId="3E3BF108" w14:textId="2B95C632" w:rsidR="00CB69BE" w:rsidRDefault="00CB69BE" w:rsidP="006A36B8">
      <w:pPr>
        <w:spacing w:after="0"/>
      </w:pPr>
      <w:r w:rsidRPr="007746B4">
        <w:t>NAPLAN scoring is designed to be consistent over time and is reported on a single scale. The</w:t>
      </w:r>
      <w:r w:rsidRPr="00555B8F">
        <w:t xml:space="preserve"> NAPLAN tests therefore measure students’ achievement gain between testing years, expressed as NAPLAN gain scores. The national report released each year by the Australian Curriculum Assessment and Reporting Authority (ACARA)</w:t>
      </w:r>
      <w:r>
        <w:t xml:space="preserve"> </w:t>
      </w:r>
      <w:r w:rsidR="00B22107">
        <w:fldChar w:fldCharType="begin"/>
      </w:r>
      <w:r w:rsidR="00545FD3">
        <w:instrText xml:space="preserve"> ADDIN EN.CITE &lt;EndNote&gt;&lt;Cite&gt;&lt;Author&gt;Australian Curriculum Assessment and Reporting Authority&lt;/Author&gt;&lt;Year&gt;2016&lt;/Year&gt;&lt;RecNum&gt;1324&lt;/RecNum&gt;&lt;DisplayText&gt;[7]&lt;/DisplayText&gt;&lt;record&gt;&lt;rec-number&gt;1324&lt;/rec-number&gt;&lt;foreign-keys&gt;&lt;key app="EN" db-id="fztfxtw2kew9raetd235rfx625vrvpf9e0df" timestamp="1513905861"&gt;1324&lt;/key&gt;&lt;key app="ENWeb" db-id=""&gt;0&lt;/key&gt;&lt;/foreign-keys&gt;&lt;ref-type name="Report"&gt;27&lt;/ref-type&gt;&lt;contributors&gt;&lt;authors&gt;&lt;author&gt;Australian Curriculum Assessment and Reporting Authority,&lt;/author&gt;&lt;/authors&gt;&lt;/contributors&gt;&lt;titles&gt;&lt;title&gt;NAPLAN Achievement in Reading, Writing, Language Conventions and Numeracy: National Report for 2016&lt;/title&gt;&lt;/titles&gt;&lt;dates&gt;&lt;year&gt;2016&lt;/year&gt;&lt;/dates&gt;&lt;pub-location&gt;Sydney&lt;/pub-location&gt;&lt;publisher&gt;ACARA&lt;/publisher&gt;&lt;urls&gt;&lt;/urls&gt;&lt;/record&gt;&lt;/Cite&gt;&lt;/EndNote&gt;</w:instrText>
      </w:r>
      <w:r w:rsidR="00B22107">
        <w:fldChar w:fldCharType="separate"/>
      </w:r>
      <w:r w:rsidR="00545FD3">
        <w:rPr>
          <w:noProof/>
        </w:rPr>
        <w:t>[7]</w:t>
      </w:r>
      <w:r w:rsidR="00B22107">
        <w:fldChar w:fldCharType="end"/>
      </w:r>
      <w:r w:rsidR="00BF474D">
        <w:t xml:space="preserve"> </w:t>
      </w:r>
      <w:r w:rsidRPr="00555B8F">
        <w:t>presents figures for cohort gains in NAPLAN scores. These are the differences between average NAPLAN scores for a given population or cohort in a certain domain. These can be two, four or six years apart.</w:t>
      </w:r>
    </w:p>
    <w:p w14:paraId="40F01F27" w14:textId="77777777" w:rsidR="006A36B8" w:rsidRPr="00555B8F" w:rsidRDefault="006A36B8" w:rsidP="006A36B8">
      <w:pPr>
        <w:spacing w:after="0"/>
      </w:pPr>
    </w:p>
    <w:p w14:paraId="1C9A8BE3" w14:textId="2A931A25" w:rsidR="00CB69BE" w:rsidRPr="00555B8F" w:rsidRDefault="00CB69BE" w:rsidP="00D52B12">
      <w:r w:rsidRPr="00555B8F">
        <w:t>Use of this approach to compare students’ academic growth has been called into question</w:t>
      </w:r>
      <w:r>
        <w:t xml:space="preserve"> </w:t>
      </w:r>
      <w:r w:rsidR="00B22107">
        <w:fldChar w:fldCharType="begin"/>
      </w:r>
      <w:r w:rsidR="00545FD3">
        <w:instrText xml:space="preserve"> ADDIN EN.CITE &lt;EndNote&gt;&lt;Cite&gt;&lt;Author&gt;Goss&lt;/Author&gt;&lt;Year&gt;2016&lt;/Year&gt;&lt;RecNum&gt;1188&lt;/RecNum&gt;&lt;DisplayText&gt;[9]&lt;/DisplayText&gt;&lt;record&gt;&lt;rec-number&gt;1188&lt;/rec-number&gt;&lt;foreign-keys&gt;&lt;key app="EN" db-id="fztfxtw2kew9raetd235rfx625vrvpf9e0df" timestamp="1513905462"&gt;1188&lt;/key&gt;&lt;/foreign-keys&gt;&lt;ref-type name="Report"&gt;27&lt;/ref-type&gt;&lt;contributors&gt;&lt;authors&gt;&lt;author&gt;Goss, P&lt;/author&gt;&lt;author&gt;Sonnemann, J&lt;/author&gt;&lt;author&gt;Chisholm, C&lt;/author&gt;&lt;author&gt;Nelson, L&lt;/author&gt;&lt;/authors&gt;&lt;/contributors&gt;&lt;titles&gt;&lt;title&gt;Widening gaps: What NAPLAN tells us about student progress&lt;/title&gt;&lt;/titles&gt;&lt;dates&gt;&lt;year&gt;2016&lt;/year&gt;&lt;/dates&gt;&lt;publisher&gt;Grattan Institute&lt;/publisher&gt;&lt;urls&gt;&lt;related-urls&gt;&lt;url&gt;https://grattan.edu.au/wp-content/uploads/2016/03/937-Widening-gaps.pdf&lt;/url&gt;&lt;/related-urls&gt;&lt;/urls&gt;&lt;/record&gt;&lt;/Cite&gt;&lt;/EndNote&gt;</w:instrText>
      </w:r>
      <w:r w:rsidR="00B22107">
        <w:fldChar w:fldCharType="separate"/>
      </w:r>
      <w:r w:rsidR="00545FD3">
        <w:rPr>
          <w:noProof/>
        </w:rPr>
        <w:t>[9]</w:t>
      </w:r>
      <w:r w:rsidR="00B22107">
        <w:fldChar w:fldCharType="end"/>
      </w:r>
      <w:r>
        <w:t xml:space="preserve">. </w:t>
      </w:r>
      <w:r w:rsidRPr="00555B8F">
        <w:t xml:space="preserve">Comparison of NAPLAN gain scores assumes that the growth (rate of increase) in NAPLAN scores occurs at a steady pace throughout the school </w:t>
      </w:r>
      <w:r>
        <w:t>years</w:t>
      </w:r>
      <w:r w:rsidRPr="00555B8F">
        <w:t xml:space="preserve">. This is not the case – students generally show greater gains in the earlier years of schooling compared to later years, a pattern that has been observed in assessment programs around the world. It </w:t>
      </w:r>
      <w:proofErr w:type="gramStart"/>
      <w:r w:rsidRPr="00555B8F">
        <w:t>is generally understood</w:t>
      </w:r>
      <w:proofErr w:type="gramEnd"/>
      <w:r w:rsidRPr="00555B8F">
        <w:t xml:space="preserve"> that students achieve larger educational milestones lower on the assessment scale compared to more subtle milestones further along the assessment scale. As a result, scaled score increases do not always reflect a student’s level of relative growth. The growth in NAPLAN score between assessments therefore differs according to the initial score i.e. students with lower NAPLAN scores in the first assessment show greater gains than students with a higher starting score. This has important implications for policy makers who are using NAPLAN data to allocate resources and balance priorities.</w:t>
      </w:r>
    </w:p>
    <w:p w14:paraId="6FF53DFB" w14:textId="77777777" w:rsidR="00CB69BE" w:rsidRDefault="00CB69BE" w:rsidP="006A36B8">
      <w:pPr>
        <w:spacing w:after="0"/>
      </w:pPr>
      <w:r w:rsidRPr="00555B8F">
        <w:t>In this report, NAPLAN Scale Scores (NSS) for numeracy and reading are converted to Equivalent Years of Learning (EYL) scores using a conversion table provided by Peter Goss at the Grattan Institute. The EYL is the year level at which a typical Australian student would be expected to achieve a given NSS. The conversion table was based on 2014 Australian national data for numeracy and reading and was generated by producing a fitted curve through the median scale score at Years 3, 5, 7 and 9</w:t>
      </w:r>
      <w:r>
        <w:t>.</w:t>
      </w:r>
      <w:r w:rsidRPr="00555B8F">
        <w:t xml:space="preserve"> Estimates below Year 3 and above Year 9 are via interpolation and have lower accuracy. Note, CATS data for Year 3 were collected in 2012 and for Year 5 in 2014 and Year 7 in 2016. Any differences in the median scores between 2012, 2014 and 2016 will slightly impact our conversions.</w:t>
      </w:r>
    </w:p>
    <w:p w14:paraId="7958F9D5" w14:textId="77777777" w:rsidR="006A36B8" w:rsidRPr="00555B8F" w:rsidRDefault="006A36B8" w:rsidP="006A36B8">
      <w:pPr>
        <w:spacing w:after="0"/>
      </w:pPr>
    </w:p>
    <w:p w14:paraId="2E57C111" w14:textId="77777777" w:rsidR="00CB69BE" w:rsidRDefault="00CB69BE" w:rsidP="0031784D">
      <w:pPr>
        <w:pStyle w:val="Heading3"/>
        <w:spacing w:before="0" w:after="120"/>
      </w:pPr>
      <w:r>
        <w:t>School disengagement</w:t>
      </w:r>
    </w:p>
    <w:p w14:paraId="638C095E" w14:textId="77777777" w:rsidR="00CB69BE" w:rsidRPr="00CE4CE5" w:rsidRDefault="00CB69BE" w:rsidP="00D52B12">
      <w:pPr>
        <w:rPr>
          <w:rFonts w:eastAsia="MS Mincho"/>
        </w:rPr>
      </w:pPr>
      <w:r w:rsidRPr="00CE4CE5">
        <w:t>Disengagement was assessed in Years 4 and 5 by responses to 3 items in the CATS student survey:</w:t>
      </w:r>
    </w:p>
    <w:p w14:paraId="0E50354A" w14:textId="104CEAD5" w:rsidR="00CB69BE" w:rsidRPr="00CE4CE5" w:rsidRDefault="00CB69BE" w:rsidP="006327A0">
      <w:pPr>
        <w:ind w:left="709"/>
      </w:pPr>
      <w:r w:rsidRPr="00CE4CE5">
        <w:t>Item 1 ‘</w:t>
      </w:r>
      <w:r w:rsidRPr="00CE4CE5">
        <w:rPr>
          <w:i/>
          <w:iCs/>
        </w:rPr>
        <w:t>How much do you like school</w:t>
      </w:r>
      <w:r w:rsidRPr="00CE4CE5">
        <w:t xml:space="preserve">?’ (not at all = disengaged; a bit/a lot = not </w:t>
      </w:r>
      <w:r w:rsidR="006327A0">
        <w:t>d</w:t>
      </w:r>
      <w:r w:rsidRPr="00CE4CE5">
        <w:t xml:space="preserve">isengaged) </w:t>
      </w:r>
    </w:p>
    <w:p w14:paraId="36191F11" w14:textId="77777777" w:rsidR="00CB69BE" w:rsidRPr="00CE4CE5" w:rsidRDefault="00CB69BE" w:rsidP="006327A0">
      <w:pPr>
        <w:ind w:left="709"/>
      </w:pPr>
      <w:r w:rsidRPr="00CE4CE5">
        <w:t>Item 2 ‘</w:t>
      </w:r>
      <w:r w:rsidRPr="00CE4CE5">
        <w:rPr>
          <w:i/>
          <w:iCs/>
        </w:rPr>
        <w:t>How much do you like your school teacher</w:t>
      </w:r>
      <w:r w:rsidRPr="00CE4CE5">
        <w:t xml:space="preserve">?’ (not at all = disengaged; a bit/a lot = not disengaged) </w:t>
      </w:r>
    </w:p>
    <w:p w14:paraId="7CC99814" w14:textId="77777777" w:rsidR="00CB69BE" w:rsidRDefault="00CB69BE" w:rsidP="006A36B8">
      <w:pPr>
        <w:spacing w:after="0"/>
        <w:ind w:left="709"/>
      </w:pPr>
      <w:r w:rsidRPr="00CE4CE5">
        <w:t>Item 3 ‘</w:t>
      </w:r>
      <w:r w:rsidRPr="00CE4CE5">
        <w:rPr>
          <w:i/>
          <w:iCs/>
        </w:rPr>
        <w:t>How often do you try your best at school</w:t>
      </w:r>
      <w:r w:rsidRPr="00CE4CE5">
        <w:t xml:space="preserve">?’ (never/a little = disengaged; most of the time/all of the time = not disengaged). </w:t>
      </w:r>
    </w:p>
    <w:p w14:paraId="4BBA0C38" w14:textId="77777777" w:rsidR="006A36B8" w:rsidRPr="00CE4CE5" w:rsidRDefault="006A36B8" w:rsidP="006A36B8">
      <w:pPr>
        <w:spacing w:after="0"/>
        <w:ind w:left="709"/>
      </w:pPr>
    </w:p>
    <w:p w14:paraId="5CDC2D5A" w14:textId="77777777" w:rsidR="00CB69BE" w:rsidRDefault="00CB69BE" w:rsidP="006A36B8">
      <w:pPr>
        <w:spacing w:after="0"/>
      </w:pPr>
      <w:r>
        <w:t xml:space="preserve">Subsequently, a </w:t>
      </w:r>
      <w:r w:rsidRPr="00CE4CE5">
        <w:t xml:space="preserve">summary measure was generated at both year levels to indicate if the student was disengaged at school. For example, in order to be classified as disengaged in Year 4 a student needed to select ‘not at all’ for item 1 and/or ‘not at all’ for item 2 and/or ‘never/a little’ for item 3. </w:t>
      </w:r>
    </w:p>
    <w:p w14:paraId="47D83C8A" w14:textId="77777777" w:rsidR="006A36B8" w:rsidRPr="007A38C4" w:rsidRDefault="006A36B8" w:rsidP="006A36B8">
      <w:pPr>
        <w:spacing w:after="0"/>
      </w:pPr>
    </w:p>
    <w:p w14:paraId="05C4B9BA" w14:textId="369B0402" w:rsidR="00CB69BE" w:rsidRDefault="00CB69BE" w:rsidP="006A36B8">
      <w:pPr>
        <w:spacing w:after="0"/>
      </w:pPr>
      <w:r w:rsidRPr="00CE4CE5">
        <w:t xml:space="preserve">In Years 6 and 7, a more comprehensive measure of student engagement was assessed via self-report on seven items adapted from the Beyond Blue “Your School” survey </w:t>
      </w:r>
      <w:r w:rsidR="00B22107">
        <w:fldChar w:fldCharType="begin"/>
      </w:r>
      <w:r w:rsidR="00B22107">
        <w:instrText xml:space="preserve"> ADDIN EN.CITE &lt;EndNote&gt;&lt;Cite&gt;&lt;Author&gt;Spence&lt;/Author&gt;&lt;Year&gt;2005&lt;/Year&gt;&lt;RecNum&gt;1066&lt;/RecNum&gt;&lt;DisplayText&gt;[45]&lt;/DisplayText&gt;&lt;record&gt;&lt;rec-number&gt;1066&lt;/rec-number&gt;&lt;foreign-keys&gt;&lt;key app="EN" db-id="fztfxtw2kew9raetd235rfx625vrvpf9e0df" timestamp="1513905450"&gt;1066&lt;/key&gt;&lt;/foreign-keys&gt;&lt;ref-type name="Journal Article"&gt;17&lt;/ref-type&gt;&lt;contributors&gt;&lt;authors&gt;&lt;author&gt;Spence, Susan&lt;/author&gt;&lt;author&gt;Burns, Jane&lt;/author&gt;&lt;author&gt;Boucher, Susan&lt;/author&gt;&lt;author&gt;Glover, Sara&lt;/author&gt;&lt;author&gt;Graetz, Brian&lt;/author&gt;&lt;author&gt;Kay, Debra&lt;/author&gt;&lt;author&gt;Patton, George&lt;/author&gt;&lt;author&gt;Sawyer, Michael&lt;/author&gt;&lt;/authors&gt;&lt;/contributors&gt;&lt;titles&gt;&lt;title&gt;The beyondblue Schools Research Initiative: conceptual framework and intervention&lt;/title&gt;&lt;secondary-title&gt;Australasian Psychiatry&lt;/secondary-title&gt;&lt;/titles&gt;&lt;periodical&gt;&lt;full-title&gt;Australasian Psychiatry&lt;/full-title&gt;&lt;/periodical&gt;&lt;pages&gt;159-164&lt;/pages&gt;&lt;volume&gt;13&lt;/volume&gt;&lt;number&gt;2&lt;/number&gt;&lt;dates&gt;&lt;year&gt;2005&lt;/year&gt;&lt;/dates&gt;&lt;isbn&gt;1039-8562&lt;/isbn&gt;&lt;urls&gt;&lt;/urls&gt;&lt;/record&gt;&lt;/Cite&gt;&lt;/EndNote&gt;</w:instrText>
      </w:r>
      <w:r w:rsidR="00B22107">
        <w:fldChar w:fldCharType="separate"/>
      </w:r>
      <w:r w:rsidR="00B22107">
        <w:rPr>
          <w:noProof/>
        </w:rPr>
        <w:t>[45]</w:t>
      </w:r>
      <w:r w:rsidR="00B22107">
        <w:fldChar w:fldCharType="end"/>
      </w:r>
      <w:r w:rsidRPr="00CE4CE5">
        <w:t xml:space="preserve">. Students were asked the following items: </w:t>
      </w:r>
    </w:p>
    <w:p w14:paraId="5720D1D2" w14:textId="77777777" w:rsidR="006A36B8" w:rsidRPr="00CE4CE5" w:rsidRDefault="006A36B8" w:rsidP="006A36B8">
      <w:pPr>
        <w:spacing w:after="0"/>
      </w:pPr>
    </w:p>
    <w:p w14:paraId="6715DADA" w14:textId="77777777" w:rsidR="00CB69BE" w:rsidRPr="00CE4CE5" w:rsidRDefault="00CB69BE" w:rsidP="006327A0">
      <w:pPr>
        <w:ind w:left="709"/>
      </w:pPr>
      <w:r w:rsidRPr="00CE4CE5">
        <w:t xml:space="preserve">How much do you like school? </w:t>
      </w:r>
    </w:p>
    <w:p w14:paraId="4C79C592" w14:textId="77777777" w:rsidR="00CB69BE" w:rsidRPr="00CE4CE5" w:rsidRDefault="00CB69BE" w:rsidP="006327A0">
      <w:pPr>
        <w:ind w:left="709"/>
      </w:pPr>
      <w:r w:rsidRPr="00CE4CE5">
        <w:t xml:space="preserve">How often do you misbehave or cause trouble in class? </w:t>
      </w:r>
    </w:p>
    <w:p w14:paraId="769D4CD9" w14:textId="77777777" w:rsidR="00CB69BE" w:rsidRPr="00CE4CE5" w:rsidRDefault="00CB69BE" w:rsidP="006327A0">
      <w:pPr>
        <w:ind w:left="709"/>
      </w:pPr>
      <w:r w:rsidRPr="00CE4CE5">
        <w:t xml:space="preserve">Teachers notice when I'm doing a good job and let me know about it </w:t>
      </w:r>
    </w:p>
    <w:p w14:paraId="0B9A26BB" w14:textId="77777777" w:rsidR="00CB69BE" w:rsidRPr="00CE4CE5" w:rsidRDefault="00CB69BE" w:rsidP="006327A0">
      <w:pPr>
        <w:ind w:left="709"/>
      </w:pPr>
      <w:r w:rsidRPr="00CE4CE5">
        <w:t xml:space="preserve">There's at least one teacher or other adult at this school I can talk to if I have a problem </w:t>
      </w:r>
    </w:p>
    <w:p w14:paraId="33CC9E30" w14:textId="77777777" w:rsidR="00CB69BE" w:rsidRPr="00CE4CE5" w:rsidRDefault="00CB69BE" w:rsidP="006327A0">
      <w:pPr>
        <w:ind w:left="709"/>
      </w:pPr>
      <w:r w:rsidRPr="00CE4CE5">
        <w:t xml:space="preserve">Doing well in school is important to me </w:t>
      </w:r>
    </w:p>
    <w:p w14:paraId="4BDD7180" w14:textId="77777777" w:rsidR="00CB69BE" w:rsidRPr="00CE4CE5" w:rsidRDefault="00CB69BE" w:rsidP="006327A0">
      <w:pPr>
        <w:ind w:left="709"/>
      </w:pPr>
      <w:r w:rsidRPr="00CE4CE5">
        <w:t xml:space="preserve">I feel like I belong at this school </w:t>
      </w:r>
    </w:p>
    <w:p w14:paraId="09582215" w14:textId="77777777" w:rsidR="00CB69BE" w:rsidRDefault="00CB69BE" w:rsidP="006A36B8">
      <w:pPr>
        <w:spacing w:after="0"/>
        <w:ind w:left="709"/>
      </w:pPr>
      <w:r w:rsidRPr="00CE4CE5">
        <w:t xml:space="preserve">In the last year, did you deliberately skip a lesson or leave school without permission? </w:t>
      </w:r>
    </w:p>
    <w:p w14:paraId="211E414E" w14:textId="77777777" w:rsidR="006A36B8" w:rsidRPr="00CE4CE5" w:rsidRDefault="006A36B8" w:rsidP="006A36B8">
      <w:pPr>
        <w:spacing w:after="0"/>
        <w:ind w:left="709"/>
      </w:pPr>
    </w:p>
    <w:p w14:paraId="1520264B" w14:textId="77777777" w:rsidR="00CB69BE" w:rsidRDefault="00CB69BE" w:rsidP="006A36B8">
      <w:pPr>
        <w:spacing w:after="0"/>
      </w:pPr>
      <w:r w:rsidRPr="00CE4CE5">
        <w:t>All items were converted so their response set was on a scale of 1 (low engagement) to 4 (high engagement). An overall scale score was derived by calculating the average of the item values if 5 or more items were completed. The Cronbach’s alpha (internal consistency) for the scale was acceptable (α=0.74 in Year 6). At each year level</w:t>
      </w:r>
      <w:r>
        <w:t xml:space="preserve"> (Years 6 and 7)</w:t>
      </w:r>
      <w:r w:rsidRPr="00CE4CE5">
        <w:t>, disengagement was defined as below the 15th percentile on the overall scale score.</w:t>
      </w:r>
    </w:p>
    <w:p w14:paraId="011E66B4" w14:textId="77777777" w:rsidR="006A36B8" w:rsidRDefault="006A36B8" w:rsidP="006A36B8">
      <w:pPr>
        <w:spacing w:after="0"/>
      </w:pPr>
    </w:p>
    <w:p w14:paraId="02C8C1CF" w14:textId="200C5F33" w:rsidR="00C6643A" w:rsidRDefault="00C6643A" w:rsidP="006A36B8">
      <w:pPr>
        <w:spacing w:after="0"/>
      </w:pPr>
      <w:r w:rsidRPr="00C6643A">
        <w:t>The school disengagement indicator (Years 4 and 5) was generated to indicate if a student was disengaged from school (as described above) at neither of the two year levels, or at one or both of the year levels (1 or 2 years).</w:t>
      </w:r>
    </w:p>
    <w:p w14:paraId="6C54DB3F" w14:textId="77777777" w:rsidR="006A36B8" w:rsidRDefault="006A36B8" w:rsidP="006A36B8">
      <w:pPr>
        <w:spacing w:after="0"/>
      </w:pPr>
    </w:p>
    <w:p w14:paraId="30F3E0C5" w14:textId="77777777" w:rsidR="00CB69BE" w:rsidRPr="00CE4CE5" w:rsidRDefault="00CB69BE" w:rsidP="0031784D">
      <w:pPr>
        <w:pStyle w:val="Heading3"/>
        <w:spacing w:before="0" w:after="120"/>
      </w:pPr>
      <w:r w:rsidRPr="00CE4CE5">
        <w:t>Wellbeing</w:t>
      </w:r>
    </w:p>
    <w:p w14:paraId="5F9E08A4" w14:textId="77777777" w:rsidR="00CB69BE" w:rsidRDefault="00CB69BE" w:rsidP="006A36B8">
      <w:pPr>
        <w:pStyle w:val="Heading4"/>
        <w:spacing w:after="120"/>
      </w:pPr>
      <w:r w:rsidRPr="00E1164F">
        <w:t>Emotional problems</w:t>
      </w:r>
    </w:p>
    <w:p w14:paraId="4CBE6800" w14:textId="77777777" w:rsidR="00CB69BE" w:rsidRDefault="00CB69BE" w:rsidP="006A36B8">
      <w:pPr>
        <w:spacing w:after="0"/>
      </w:pPr>
      <w:r w:rsidRPr="00CE4CE5">
        <w:t xml:space="preserve">At each wave students completed a survey in which they were asked about symptoms of depression and anxiety. </w:t>
      </w:r>
    </w:p>
    <w:p w14:paraId="174CCC11" w14:textId="77777777" w:rsidR="006A36B8" w:rsidRPr="00CE4CE5" w:rsidRDefault="006A36B8" w:rsidP="006A36B8">
      <w:pPr>
        <w:spacing w:after="0"/>
      </w:pPr>
    </w:p>
    <w:p w14:paraId="3FA89B78" w14:textId="00B0A194" w:rsidR="00CB69BE" w:rsidRDefault="00CB69BE" w:rsidP="006A36B8">
      <w:pPr>
        <w:spacing w:after="0"/>
      </w:pPr>
      <w:r w:rsidRPr="00CE4CE5">
        <w:t xml:space="preserve">Depressive symptoms were measured using two items adapted from the Short Mood and Feelings Questionnaire (SMFQ; ‘I felt miserable and unhappy’ and ‘I didn’t enjoy anything at all’) </w:t>
      </w:r>
      <w:r w:rsidR="00B22107">
        <w:fldChar w:fldCharType="begin"/>
      </w:r>
      <w:r w:rsidR="00B22107">
        <w:instrText xml:space="preserve"> ADDIN EN.CITE &lt;EndNote&gt;&lt;Cite&gt;&lt;Author&gt;Angold&lt;/Author&gt;&lt;Year&gt;1995&lt;/Year&gt;&lt;RecNum&gt;67&lt;/RecNum&gt;&lt;DisplayText&gt;[46]&lt;/DisplayText&gt;&lt;record&gt;&lt;rec-number&gt;67&lt;/rec-number&gt;&lt;foreign-keys&gt;&lt;key app="EN" db-id="fztfxtw2kew9raetd235rfx625vrvpf9e0df" timestamp="1513903508"&gt;67&lt;/key&gt;&lt;key app="ENWeb" db-id=""&gt;0&lt;/key&gt;&lt;/foreign-keys&gt;&lt;ref-type name="Journal Article"&gt;17&lt;/ref-type&gt;&lt;contributors&gt;&lt;authors&gt;&lt;author&gt;Angold, A.&lt;/author&gt;&lt;author&gt;Costello, E. J.&lt;/author&gt;&lt;author&gt;Pickles, A.&lt;/author&gt;&lt;author&gt;Winder, F.&lt;/author&gt;&lt;author&gt;Silver, D.&lt;/author&gt;&lt;/authors&gt;&lt;/contributors&gt;&lt;titles&gt;&lt;title&gt;Development of a short questionnaire for use in epidemiological studies of depression in children and adolescents&lt;/title&gt;&lt;secondary-title&gt;International Journal of Methods in Psychiatric Research&lt;/secondary-title&gt;&lt;/titles&gt;&lt;periodical&gt;&lt;full-title&gt;International Journal of Methods in Psychiatric Research&lt;/full-title&gt;&lt;/periodical&gt;&lt;pages&gt;237-249&lt;/pages&gt;&lt;volume&gt;5&lt;/volume&gt;&lt;dates&gt;&lt;year&gt;1995&lt;/year&gt;&lt;/dates&gt;&lt;urls&gt;&lt;/urls&gt;&lt;/record&gt;&lt;/Cite&gt;&lt;/EndNote&gt;</w:instrText>
      </w:r>
      <w:r w:rsidR="00B22107">
        <w:fldChar w:fldCharType="separate"/>
      </w:r>
      <w:r w:rsidR="00B22107">
        <w:rPr>
          <w:noProof/>
        </w:rPr>
        <w:t>[46]</w:t>
      </w:r>
      <w:r w:rsidR="00B22107">
        <w:fldChar w:fldCharType="end"/>
      </w:r>
      <w:r w:rsidRPr="00CE4CE5">
        <w:t xml:space="preserve">, which have been shown to have reasonable validity as markers of depressive symptoms in similar age groups </w:t>
      </w:r>
      <w:r w:rsidR="00B22107">
        <w:fldChar w:fldCharType="begin"/>
      </w:r>
      <w:r w:rsidR="00B22107">
        <w:instrText xml:space="preserve"> ADDIN EN.CITE &lt;EndNote&gt;&lt;Cite&gt;&lt;Author&gt;Rhew&lt;/Author&gt;&lt;Year&gt;2010&lt;/Year&gt;&lt;RecNum&gt;1130&lt;/RecNum&gt;&lt;DisplayText&gt;[47]&lt;/DisplayText&gt;&lt;record&gt;&lt;rec-number&gt;1130&lt;/rec-number&gt;&lt;foreign-keys&gt;&lt;key app="EN" db-id="fztfxtw2kew9raetd235rfx625vrvpf9e0df" timestamp="1513905456"&gt;1130&lt;/key&gt;&lt;/foreign-keys&gt;&lt;ref-type name="Journal Article"&gt;17&lt;/ref-type&gt;&lt;contributors&gt;&lt;authors&gt;&lt;author&gt;Rhew, Isaac C&lt;/author&gt;&lt;author&gt;Simpson, Kate&lt;/author&gt;&lt;author&gt;Tracy, Melissa&lt;/author&gt;&lt;author&gt;Lymp, James&lt;/author&gt;&lt;author&gt;McCauley, Elizabeth&lt;/author&gt;&lt;author&gt;Tsuang, Debby&lt;/author&gt;&lt;author&gt;Vander Stoep, Ann&lt;/author&gt;&lt;/authors&gt;&lt;/contributors&gt;&lt;titles&gt;&lt;title&gt;Criterion validity of the Short Mood and Feelings Questionnaire and one-and two-item depression screens in young adolescents&lt;/title&gt;&lt;secondary-title&gt;Child and Adolescent Psychiatry and Mental Health&lt;/secondary-title&gt;&lt;/titles&gt;&lt;periodical&gt;&lt;full-title&gt;Child and Adolescent Psychiatry and Mental Health&lt;/full-title&gt;&lt;/periodical&gt;&lt;pages&gt;1&lt;/pages&gt;&lt;volume&gt;4&lt;/volume&gt;&lt;number&gt;1&lt;/number&gt;&lt;dates&gt;&lt;year&gt;2010&lt;/year&gt;&lt;/dates&gt;&lt;isbn&gt;1753-2000&lt;/isbn&gt;&lt;urls&gt;&lt;/urls&gt;&lt;/record&gt;&lt;/Cite&gt;&lt;/EndNote&gt;</w:instrText>
      </w:r>
      <w:r w:rsidR="00B22107">
        <w:fldChar w:fldCharType="separate"/>
      </w:r>
      <w:r w:rsidR="00B22107">
        <w:rPr>
          <w:noProof/>
        </w:rPr>
        <w:t>[47]</w:t>
      </w:r>
      <w:r w:rsidR="00B22107">
        <w:fldChar w:fldCharType="end"/>
      </w:r>
      <w:r w:rsidRPr="00CE4CE5">
        <w:t xml:space="preserve">. These items were scored on a 5-point Likert scale, ranging from 0 (never) to 4 (almost always). Items were then recoded on to a 3-point scale, (0 (not true); 1 (sometimes true); 2 (true)), to match the original scoring of the </w:t>
      </w:r>
      <w:r w:rsidRPr="004A73F6">
        <w:t xml:space="preserve">SMFQ. The sum of the two recoded items was calculated to generate a total score (ranging from 0 to 4), which was then dichotomised to generate a binary variable using the cut-point identified by </w:t>
      </w:r>
      <w:proofErr w:type="spellStart"/>
      <w:r w:rsidRPr="004A73F6">
        <w:t>Rhew</w:t>
      </w:r>
      <w:proofErr w:type="spellEnd"/>
      <w:r w:rsidRPr="004A73F6">
        <w:t xml:space="preserve"> and colleagues</w:t>
      </w:r>
      <w:r w:rsidR="00545FD3" w:rsidRPr="004A73F6">
        <w:t xml:space="preserve"> </w:t>
      </w:r>
      <w:r w:rsidR="00545FD3" w:rsidRPr="004A73F6">
        <w:fldChar w:fldCharType="begin"/>
      </w:r>
      <w:r w:rsidR="00545FD3" w:rsidRPr="004A73F6">
        <w:instrText xml:space="preserve"> ADDIN EN.CITE &lt;EndNote&gt;&lt;Cite&gt;&lt;Author&gt;Rhew&lt;/Author&gt;&lt;Year&gt;2010&lt;/Year&gt;&lt;RecNum&gt;1130&lt;/RecNum&gt;&lt;DisplayText&gt;[47]&lt;/DisplayText&gt;&lt;record&gt;&lt;rec-number&gt;1130&lt;/rec-number&gt;&lt;foreign-keys&gt;&lt;key app="EN" db-id="fztfxtw2kew9raetd235rfx625vrvpf9e0df" timestamp="1513905456"&gt;1130&lt;/key&gt;&lt;/foreign-keys&gt;&lt;ref-type name="Journal Article"&gt;17&lt;/ref-type&gt;&lt;contributors&gt;&lt;authors&gt;&lt;author&gt;Rhew, Isaac C&lt;/author&gt;&lt;author&gt;Simpson, Kate&lt;/author&gt;&lt;author&gt;Tracy, Melissa&lt;/author&gt;&lt;author&gt;Lymp, James&lt;/author&gt;&lt;author&gt;McCauley, Elizabeth&lt;/author&gt;&lt;author&gt;Tsuang, Debby&lt;/author&gt;&lt;author&gt;Vander Stoep, Ann&lt;/author&gt;&lt;/authors&gt;&lt;/contributors&gt;&lt;titles&gt;&lt;title&gt;Criterion validity of the Short Mood and Feelings Questionnaire and one-and two-item depression screens in young adolescents&lt;/title&gt;&lt;secondary-title&gt;Child and Adolescent Psychiatry and Mental Health&lt;/secondary-title&gt;&lt;/titles&gt;&lt;periodical&gt;&lt;full-title&gt;Child and Adolescent Psychiatry and Mental Health&lt;/full-title&gt;&lt;/periodical&gt;&lt;pages&gt;1&lt;/pages&gt;&lt;volume&gt;4&lt;/volume&gt;&lt;number&gt;1&lt;/number&gt;&lt;dates&gt;&lt;year&gt;2010&lt;/year&gt;&lt;/dates&gt;&lt;isbn&gt;1753-2000&lt;/isbn&gt;&lt;urls&gt;&lt;/urls&gt;&lt;/record&gt;&lt;/Cite&gt;&lt;/EndNote&gt;</w:instrText>
      </w:r>
      <w:r w:rsidR="00545FD3" w:rsidRPr="004A73F6">
        <w:fldChar w:fldCharType="separate"/>
      </w:r>
      <w:r w:rsidR="00545FD3" w:rsidRPr="004A73F6">
        <w:rPr>
          <w:noProof/>
        </w:rPr>
        <w:t>[47]</w:t>
      </w:r>
      <w:r w:rsidR="00545FD3" w:rsidRPr="004A73F6">
        <w:fldChar w:fldCharType="end"/>
      </w:r>
      <w:r w:rsidRPr="004A73F6">
        <w:t>: no depressive symptoms (≤1) versus depressive symptoms (&gt;1).</w:t>
      </w:r>
      <w:r w:rsidRPr="00CE4CE5">
        <w:t xml:space="preserve"> </w:t>
      </w:r>
    </w:p>
    <w:p w14:paraId="5EAB2127" w14:textId="77777777" w:rsidR="006A36B8" w:rsidRPr="00CE4CE5" w:rsidRDefault="006A36B8" w:rsidP="006A36B8">
      <w:pPr>
        <w:spacing w:after="0"/>
      </w:pPr>
    </w:p>
    <w:p w14:paraId="426131C5" w14:textId="10B66222" w:rsidR="00CB69BE" w:rsidRDefault="00CB69BE" w:rsidP="006A36B8">
      <w:pPr>
        <w:spacing w:after="0"/>
      </w:pPr>
      <w:r w:rsidRPr="00CE4CE5">
        <w:t xml:space="preserve">Anxiety symptoms were assessed using two items selected from the Spence Children’s Anxiety Scale (SCAS; ‘I worry about things’ and ‘I feel afraid’) </w:t>
      </w:r>
      <w:r w:rsidR="00B22107">
        <w:fldChar w:fldCharType="begin"/>
      </w:r>
      <w:r w:rsidR="00B22107">
        <w:instrText xml:space="preserve"> ADDIN EN.CITE &lt;EndNote&gt;&lt;Cite&gt;&lt;Author&gt;Spence&lt;/Author&gt;&lt;Year&gt;2003&lt;/Year&gt;&lt;RecNum&gt;200&lt;/RecNum&gt;&lt;DisplayText&gt;[48]&lt;/DisplayText&gt;&lt;record&gt;&lt;rec-number&gt;200&lt;/rec-number&gt;&lt;foreign-keys&gt;&lt;key app="EN" db-id="fztfxtw2kew9raetd235rfx625vrvpf9e0df" timestamp="1513903729"&gt;200&lt;/key&gt;&lt;key app="ENWeb" db-id=""&gt;0&lt;/key&gt;&lt;/foreign-keys&gt;&lt;ref-type name="Journal Article"&gt;17&lt;/ref-type&gt;&lt;contributors&gt;&lt;authors&gt;&lt;author&gt;Spence, Susan H&lt;/author&gt;&lt;author&gt;Barrett, Paula M&lt;/author&gt;&lt;author&gt;Turner, Cynthia M&lt;/author&gt;&lt;/authors&gt;&lt;/contributors&gt;&lt;titles&gt;&lt;title&gt;Psychometric properties of the Spence Children’s Anxiety Scale with young adolescents&lt;/title&gt;&lt;secondary-title&gt;Journal of Anxiety Disorders&lt;/secondary-title&gt;&lt;/titles&gt;&lt;periodical&gt;&lt;full-title&gt;Journal of Anxiety Disorders&lt;/full-title&gt;&lt;/periodical&gt;&lt;pages&gt;605-625&lt;/pages&gt;&lt;volume&gt;17&lt;/volume&gt;&lt;number&gt;6&lt;/number&gt;&lt;dates&gt;&lt;year&gt;2003&lt;/year&gt;&lt;/dates&gt;&lt;isbn&gt;08876185&lt;/isbn&gt;&lt;urls&gt;&lt;/urls&gt;&lt;electronic-resource-num&gt;10.1016/s0887-6185(02)00236-0&lt;/electronic-resource-num&gt;&lt;/record&gt;&lt;/Cite&gt;&lt;/EndNote&gt;</w:instrText>
      </w:r>
      <w:r w:rsidR="00B22107">
        <w:fldChar w:fldCharType="separate"/>
      </w:r>
      <w:r w:rsidR="00B22107">
        <w:rPr>
          <w:noProof/>
        </w:rPr>
        <w:t>[48]</w:t>
      </w:r>
      <w:r w:rsidR="00B22107">
        <w:fldChar w:fldCharType="end"/>
      </w:r>
      <w:r w:rsidRPr="00CE4CE5">
        <w:t xml:space="preserve">. These items were scored on a 5-point Likert scale, ranging from 0 (never), to 4 (almost always). Items were then recoded on to a 4-point scale, ranging from 0 (never) to 3 (always), to match the original scoring of the SCAS. The sum of the two recoded items was calculated to generate a total score (ranging from 0 to 6), which was then dichotomised to generate a binary variable: no anxiety symptoms (≤2) versus anxiety symptoms (&gt;2). </w:t>
      </w:r>
    </w:p>
    <w:p w14:paraId="2316CB4C" w14:textId="77777777" w:rsidR="006A36B8" w:rsidRPr="00CE4CE5" w:rsidRDefault="006A36B8" w:rsidP="006A36B8">
      <w:pPr>
        <w:spacing w:after="0"/>
      </w:pPr>
    </w:p>
    <w:p w14:paraId="612C000B" w14:textId="77777777" w:rsidR="006A36B8" w:rsidRDefault="00CB69BE" w:rsidP="006A36B8">
      <w:pPr>
        <w:spacing w:after="0"/>
      </w:pPr>
      <w:r w:rsidRPr="00CE4CE5">
        <w:t xml:space="preserve">A summary measure was generated at each of the waves to indicate if a student had </w:t>
      </w:r>
      <w:r w:rsidR="00C6643A">
        <w:t>emotional problems (</w:t>
      </w:r>
      <w:r w:rsidRPr="00CE4CE5">
        <w:t>depressive and/or anxiety symptoms</w:t>
      </w:r>
      <w:r w:rsidR="00C6643A">
        <w:t>)</w:t>
      </w:r>
      <w:r w:rsidRPr="00CE4CE5">
        <w:t>. For example, a student with depressive symptoms at Wave 1 (but without symptoms of anxiety symptoms at Wave 1), was classified as having emotional problems at Wave 1.</w:t>
      </w:r>
    </w:p>
    <w:p w14:paraId="212E3CF7" w14:textId="77777777" w:rsidR="006A36B8" w:rsidRDefault="006A36B8" w:rsidP="006A36B8">
      <w:pPr>
        <w:spacing w:after="0"/>
      </w:pPr>
    </w:p>
    <w:p w14:paraId="6EA2F3ED" w14:textId="700A91BE" w:rsidR="00C6643A" w:rsidRDefault="00C6643A" w:rsidP="006A36B8">
      <w:pPr>
        <w:spacing w:after="0"/>
      </w:pPr>
      <w:r w:rsidRPr="00C6643A">
        <w:t>The emotional problems indicator (Years 3 to 5) was generated to indicate if a student had emotional problems (as described above) at none of the three year levels, at one year level only (single episode), or at two or three year levels (persistent).</w:t>
      </w:r>
    </w:p>
    <w:p w14:paraId="55B703D8" w14:textId="77777777" w:rsidR="006A36B8" w:rsidRPr="00CE4CE5" w:rsidRDefault="006A36B8" w:rsidP="006A36B8">
      <w:pPr>
        <w:spacing w:after="0"/>
      </w:pPr>
    </w:p>
    <w:p w14:paraId="32C6BB91" w14:textId="77777777" w:rsidR="00CB69BE" w:rsidRPr="00CE4CE5" w:rsidRDefault="00CB69BE" w:rsidP="006A36B8">
      <w:pPr>
        <w:pStyle w:val="Heading4"/>
        <w:spacing w:after="120"/>
      </w:pPr>
      <w:r w:rsidRPr="00CE4CE5">
        <w:t>Behaviour problems</w:t>
      </w:r>
    </w:p>
    <w:p w14:paraId="0D166DDD" w14:textId="31F0E251" w:rsidR="00CB69BE" w:rsidRPr="00CE4CE5" w:rsidRDefault="00CB69BE" w:rsidP="00D52B12">
      <w:r w:rsidRPr="00CE4CE5">
        <w:t>The class teachers of all participating students were asked to complete a brief questionnaire in Year</w:t>
      </w:r>
      <w:r w:rsidR="005C0169">
        <w:t>s</w:t>
      </w:r>
      <w:r w:rsidRPr="00CE4CE5">
        <w:t xml:space="preserve"> 3 to 6. The following item was included in the questionnaire: ‘Overall, how would you rate this child on the following: Disruptive in class’. This item was scores on a 5-point Likert scale, ranging from 1 (never) to 5 (always). </w:t>
      </w:r>
    </w:p>
    <w:p w14:paraId="30817600" w14:textId="77777777" w:rsidR="00CB69BE" w:rsidRDefault="00CB69BE" w:rsidP="00D52B12">
      <w:r w:rsidRPr="00CE4CE5">
        <w:t>At each of the waves, responses were dichotomised to generate binary variables: ‘never’ or ‘rarely’ = no behaviour problems; ‘sometimes’ or ‘often’ or ‘always’ = behaviour problems present.</w:t>
      </w:r>
    </w:p>
    <w:p w14:paraId="7E958181" w14:textId="4C088437" w:rsidR="00C6643A" w:rsidRDefault="00C6643A" w:rsidP="006A36B8">
      <w:pPr>
        <w:spacing w:after="0"/>
      </w:pPr>
      <w:r w:rsidRPr="00C6643A">
        <w:t>The behaviour problems indicator (Years 3 to 5) was generated to indicate if a student had behaviour problems (as described above) at none of the three year levels, at one year level only (single episode), or at two or three year levels (persistent).</w:t>
      </w:r>
    </w:p>
    <w:p w14:paraId="6C4A73CF" w14:textId="77777777" w:rsidR="006A36B8" w:rsidRPr="00CE4CE5" w:rsidRDefault="006A36B8" w:rsidP="006A36B8">
      <w:pPr>
        <w:spacing w:after="0"/>
      </w:pPr>
    </w:p>
    <w:p w14:paraId="7198B91C" w14:textId="77777777" w:rsidR="00CB69BE" w:rsidRPr="00CE4CE5" w:rsidRDefault="00CB69BE" w:rsidP="006A36B8">
      <w:pPr>
        <w:pStyle w:val="Heading4"/>
        <w:spacing w:after="120"/>
      </w:pPr>
      <w:r w:rsidRPr="00CE4CE5">
        <w:t>Low subjective wellbeing</w:t>
      </w:r>
    </w:p>
    <w:p w14:paraId="0B026295" w14:textId="0F6B4158" w:rsidR="00CB69BE" w:rsidRDefault="00CB69BE" w:rsidP="006A36B8">
      <w:pPr>
        <w:spacing w:after="0"/>
      </w:pPr>
      <w:r w:rsidRPr="00CE4CE5">
        <w:t>Low subjective wellbeing was measured via child self-report at each wave with selected items from the Paediatric Quality of Life-General Well-being Scale (</w:t>
      </w:r>
      <w:proofErr w:type="spellStart"/>
      <w:r w:rsidRPr="00CE4CE5">
        <w:t>PedsQL</w:t>
      </w:r>
      <w:proofErr w:type="spellEnd"/>
      <w:r w:rsidRPr="00CE4CE5">
        <w:t>), a widely used brief measure of health-related quality of life</w:t>
      </w:r>
      <w:r>
        <w:t xml:space="preserve"> </w:t>
      </w:r>
      <w:r w:rsidR="00B22107">
        <w:fldChar w:fldCharType="begin">
          <w:fldData xml:space="preserve">PEVuZE5vdGU+PENpdGU+PEF1dGhvcj5WYXJuaTwvQXV0aG9yPjxZZWFyPjE5OTk8L1llYXI+PFJl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==
</w:fldData>
        </w:fldChar>
      </w:r>
      <w:r w:rsidR="00B22107">
        <w:instrText xml:space="preserve"> ADDIN EN.CITE </w:instrText>
      </w:r>
      <w:r w:rsidR="00B22107">
        <w:fldChar w:fldCharType="begin">
          <w:fldData xml:space="preserve">PEVuZE5vdGU+PENpdGU+PEF1dGhvcj5WYXJuaTwvQXV0aG9yPjxZZWFyPjE5OTk8L1llYXI+PFJl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==
</w:fldData>
        </w:fldChar>
      </w:r>
      <w:r w:rsidR="00B22107">
        <w:instrText xml:space="preserve"> ADDIN EN.CITE.DATA </w:instrText>
      </w:r>
      <w:r w:rsidR="00B22107">
        <w:fldChar w:fldCharType="end"/>
      </w:r>
      <w:r w:rsidR="00B22107">
        <w:fldChar w:fldCharType="separate"/>
      </w:r>
      <w:r w:rsidR="00B22107">
        <w:rPr>
          <w:noProof/>
        </w:rPr>
        <w:t>[49, 50]</w:t>
      </w:r>
      <w:r w:rsidR="00B22107">
        <w:fldChar w:fldCharType="end"/>
      </w:r>
      <w:r>
        <w:t xml:space="preserve"> </w:t>
      </w:r>
      <w:r w:rsidRPr="00CE4CE5">
        <w:t xml:space="preserve">. These items were: ‘I feel happy’, ‘I feel good about myself’, and ‘I think good things will happen to me’. Items were scored on a 5-point Likert scale, ranging from 0 (never) to 4 (almost always). They were then linearly transformed to a 0-100 scale as follows: 0 = 0, 1 = 25, 2 = 50, 3 = 75, 4 = 100. A total score was generated by calculating the mean score of the three items. </w:t>
      </w:r>
    </w:p>
    <w:p w14:paraId="6D825FD6" w14:textId="77777777" w:rsidR="006A36B8" w:rsidRPr="00CE4CE5" w:rsidRDefault="006A36B8" w:rsidP="006A36B8">
      <w:pPr>
        <w:spacing w:after="0"/>
      </w:pPr>
    </w:p>
    <w:p w14:paraId="4642A8EC" w14:textId="77777777" w:rsidR="006A36B8" w:rsidRDefault="00CB69BE" w:rsidP="006A36B8">
      <w:pPr>
        <w:spacing w:after="0"/>
      </w:pPr>
      <w:r w:rsidRPr="00CE4CE5">
        <w:t>A binary measure of low subjective wellbeing was generated at each wave defined as being below the 15</w:t>
      </w:r>
      <w:r w:rsidRPr="00CE4CE5">
        <w:rPr>
          <w:vertAlign w:val="superscript"/>
        </w:rPr>
        <w:t>th</w:t>
      </w:r>
      <w:r w:rsidRPr="00CE4CE5">
        <w:t xml:space="preserve"> percentile of the total score distribution. </w:t>
      </w:r>
    </w:p>
    <w:p w14:paraId="002D2CE0" w14:textId="77777777" w:rsidR="006A36B8" w:rsidRDefault="006A36B8" w:rsidP="006A36B8">
      <w:pPr>
        <w:spacing w:after="0"/>
      </w:pPr>
    </w:p>
    <w:p w14:paraId="0CCD78AB" w14:textId="065739A8" w:rsidR="00C6643A" w:rsidRDefault="00C6643A" w:rsidP="006A36B8">
      <w:pPr>
        <w:spacing w:after="0"/>
      </w:pPr>
      <w:r w:rsidRPr="00C6643A">
        <w:t>The low subjective wellbeing indicator (Years 3 to 5) was generated to indicate if a student had low subjective wellbeing (as described above) at none of the three year levels, at one year level only (single episode), or at two or three year levels (persistent).</w:t>
      </w:r>
    </w:p>
    <w:p w14:paraId="04B608B1" w14:textId="77777777" w:rsidR="006A36B8" w:rsidRPr="00CE4CE5" w:rsidRDefault="006A36B8" w:rsidP="006A36B8">
      <w:pPr>
        <w:spacing w:after="0"/>
      </w:pPr>
    </w:p>
    <w:p w14:paraId="3011FE1E" w14:textId="77777777" w:rsidR="00CB69BE" w:rsidRPr="00E62BE5" w:rsidRDefault="00CB69BE" w:rsidP="0031784D">
      <w:pPr>
        <w:pStyle w:val="Heading3"/>
        <w:spacing w:before="0" w:after="120"/>
      </w:pPr>
      <w:r w:rsidRPr="00E62BE5">
        <w:t>Peer relationships</w:t>
      </w:r>
    </w:p>
    <w:p w14:paraId="3D4E9D8A" w14:textId="799603B2" w:rsidR="00CB69BE" w:rsidRPr="00E62BE5" w:rsidRDefault="009C423A" w:rsidP="006A36B8">
      <w:pPr>
        <w:pStyle w:val="Heading4"/>
        <w:spacing w:after="120"/>
      </w:pPr>
      <w:r>
        <w:t>Peer support</w:t>
      </w:r>
    </w:p>
    <w:p w14:paraId="4477C3E8" w14:textId="77777777" w:rsidR="006A36B8" w:rsidRDefault="00CB69BE" w:rsidP="006A36B8">
      <w:pPr>
        <w:spacing w:after="0"/>
      </w:pPr>
      <w:r w:rsidRPr="00E62BE5">
        <w:t xml:space="preserve">At each wave the students completed a survey in which they were asked about peer friendships. The following item was included in the questionnaire: ‘How many friends do you have?’ This item was scored on a 3-point scale: 1 (not many), 2 (some), and 3 (lots). </w:t>
      </w:r>
    </w:p>
    <w:p w14:paraId="38328807" w14:textId="77777777" w:rsidR="006A36B8" w:rsidRDefault="006A36B8" w:rsidP="006A36B8">
      <w:pPr>
        <w:spacing w:after="0"/>
      </w:pPr>
    </w:p>
    <w:p w14:paraId="3F5D1A05" w14:textId="41A37E56" w:rsidR="00CB69BE" w:rsidRPr="00E62BE5" w:rsidRDefault="00CB69BE" w:rsidP="006A36B8">
      <w:pPr>
        <w:spacing w:after="0"/>
      </w:pPr>
      <w:r w:rsidRPr="00E62BE5">
        <w:t>At each wave, responses were dichotomised to generate a binary variable: ‘not many’ or ‘some’ = no peer support; ‘lots = peer support.</w:t>
      </w:r>
    </w:p>
    <w:p w14:paraId="059945C5" w14:textId="77777777" w:rsidR="006A36B8" w:rsidRDefault="006A36B8" w:rsidP="006A36B8">
      <w:pPr>
        <w:spacing w:after="0"/>
      </w:pPr>
    </w:p>
    <w:p w14:paraId="4E6E01DA" w14:textId="77777777" w:rsidR="00C6643A" w:rsidRDefault="00C6643A" w:rsidP="006A36B8">
      <w:pPr>
        <w:spacing w:after="0"/>
      </w:pPr>
      <w:r w:rsidRPr="00C6643A">
        <w:t>The peer support indicator (Years 3 to 5) was generated to indicate if a student had peer support (as described above) at none of the three year levels, at one year level only (single episode), or at two or three year levels (persistent).</w:t>
      </w:r>
    </w:p>
    <w:p w14:paraId="4E7CEFDB" w14:textId="77777777" w:rsidR="006A36B8" w:rsidRDefault="006A36B8" w:rsidP="006A36B8">
      <w:pPr>
        <w:spacing w:after="0"/>
        <w:rPr>
          <w:i/>
          <w:iCs/>
        </w:rPr>
      </w:pPr>
    </w:p>
    <w:p w14:paraId="53747C18" w14:textId="6D49E255" w:rsidR="00CB69BE" w:rsidRPr="00E62BE5" w:rsidRDefault="009C423A" w:rsidP="006A36B8">
      <w:pPr>
        <w:pStyle w:val="Heading4"/>
        <w:spacing w:after="120"/>
      </w:pPr>
      <w:r>
        <w:t>Bullying</w:t>
      </w:r>
      <w:r w:rsidR="00CB69BE" w:rsidRPr="00E62BE5">
        <w:t xml:space="preserve"> </w:t>
      </w:r>
    </w:p>
    <w:p w14:paraId="56FF0F67" w14:textId="77777777" w:rsidR="00C6643A" w:rsidRDefault="00C6643A" w:rsidP="006A36B8">
      <w:pPr>
        <w:spacing w:after="0"/>
      </w:pPr>
      <w:r w:rsidRPr="00C6643A">
        <w:t>Bullying victimisation was measured via child self-report at each wave with selected items from the Gatehouse Bullying Scale, which is a short, reliable scale for</w:t>
      </w:r>
      <w:r>
        <w:t xml:space="preserve"> measuring bullying in schools</w:t>
      </w:r>
      <w:r w:rsidRPr="00C6643A">
        <w:t>. These items assessed physical victimisation (have you been hurt like being h</w:t>
      </w:r>
      <w:r>
        <w:t>it or kicked by another student in the past month</w:t>
      </w:r>
      <w:r w:rsidRPr="00C6643A">
        <w:t>?) and verbal victimisation (has anyone teased you or call</w:t>
      </w:r>
      <w:r>
        <w:t>ed you names in the past month</w:t>
      </w:r>
      <w:r w:rsidRPr="00C6643A">
        <w:t>?)</w:t>
      </w:r>
      <w:r>
        <w:t>.</w:t>
      </w:r>
      <w:r w:rsidRPr="00C6643A">
        <w:t xml:space="preserve"> Students responding ‘yes’ were then asked how often they had each experience (response options ‘less than once a week’, ‘about once a week’, ‘most days’). In line with previous research, children were classified as ‘frequently physically bullied’ if they reported facing physical victimisation ‘about once a week’ or on ‘most days’. Children were classified as ‘frequently verbally bullied’ if they reported being verbally victimised about ‘once a week’ or on ‘most days’. </w:t>
      </w:r>
    </w:p>
    <w:p w14:paraId="17F50F77" w14:textId="77777777" w:rsidR="006A36B8" w:rsidRDefault="006A36B8" w:rsidP="006A36B8">
      <w:pPr>
        <w:spacing w:after="0"/>
      </w:pPr>
    </w:p>
    <w:p w14:paraId="72021251" w14:textId="77777777" w:rsidR="00041DAB" w:rsidRDefault="00CB69BE" w:rsidP="00041DAB">
      <w:pPr>
        <w:spacing w:after="0"/>
      </w:pPr>
      <w:r w:rsidRPr="00E62BE5">
        <w:t>A summary measure was generated at each of the waves to indicate if a student had been frequently physically and/or verbally victimised. For example, a student who was frequently verbally bullied at Wave 1 (but not frequently physically bullied at Wave 1), was classified as having been bullied at Wave 1.</w:t>
      </w:r>
    </w:p>
    <w:p w14:paraId="2303BFD0" w14:textId="77777777" w:rsidR="00041DAB" w:rsidRDefault="00041DAB" w:rsidP="00041DAB">
      <w:pPr>
        <w:spacing w:after="0"/>
      </w:pPr>
    </w:p>
    <w:p w14:paraId="052B2109" w14:textId="54859786" w:rsidR="00CB69BE" w:rsidRDefault="00C6643A" w:rsidP="00041DAB">
      <w:pPr>
        <w:spacing w:after="0"/>
      </w:pPr>
      <w:r w:rsidRPr="00C6643A">
        <w:t>The bullying indicator (Years 3 to 5) was generated to indicate if a student had been bullied (as described above) at none of the three year levels, at one year level only (single episode), or at two or three year levels (persistent).</w:t>
      </w:r>
    </w:p>
    <w:p w14:paraId="61E25A50" w14:textId="77777777" w:rsidR="00041DAB" w:rsidRPr="00B80DE1" w:rsidRDefault="00041DAB" w:rsidP="00041DAB">
      <w:pPr>
        <w:spacing w:after="0"/>
      </w:pPr>
    </w:p>
    <w:p w14:paraId="0987FE99" w14:textId="77777777" w:rsidR="00CB69BE" w:rsidRPr="00717214" w:rsidRDefault="00CB69BE" w:rsidP="0031784D">
      <w:pPr>
        <w:pStyle w:val="Heading2"/>
        <w:spacing w:before="0" w:after="120"/>
      </w:pPr>
      <w:bookmarkStart w:id="148" w:name="_Toc501120763"/>
      <w:r>
        <w:t>Data analysis</w:t>
      </w:r>
      <w:bookmarkEnd w:id="148"/>
    </w:p>
    <w:p w14:paraId="413EEA0E" w14:textId="6C8667D4" w:rsidR="00CB69BE" w:rsidRDefault="00CB69BE" w:rsidP="00041DAB">
      <w:pPr>
        <w:spacing w:after="0"/>
      </w:pPr>
      <w:r>
        <w:t>Analyses</w:t>
      </w:r>
      <w:r w:rsidRPr="00407C22">
        <w:t xml:space="preserve"> were </w:t>
      </w:r>
      <w:r>
        <w:t>conducted</w:t>
      </w:r>
      <w:r w:rsidRPr="00407C22">
        <w:t xml:space="preserve"> using Stata </w:t>
      </w:r>
      <w:r>
        <w:t xml:space="preserve">software, release </w:t>
      </w:r>
      <w:r w:rsidRPr="00407C22">
        <w:t>15</w:t>
      </w:r>
      <w:r>
        <w:t xml:space="preserve">.0 </w:t>
      </w:r>
      <w:r w:rsidR="00B22107">
        <w:fldChar w:fldCharType="begin"/>
      </w:r>
      <w:r w:rsidR="00B22107">
        <w:instrText xml:space="preserve"> ADDIN EN.CITE &lt;EndNote&gt;&lt;Cite&gt;&lt;Author&gt;StataCorp&lt;/Author&gt;&lt;Year&gt;2017&lt;/Year&gt;&lt;RecNum&gt;1249&lt;/RecNum&gt;&lt;DisplayText&gt;[51]&lt;/DisplayText&gt;&lt;record&gt;&lt;rec-number&gt;1249&lt;/rec-number&gt;&lt;foreign-keys&gt;&lt;key app="EN" db-id="fztfxtw2kew9raetd235rfx625vrvpf9e0df" timestamp="1513905575"&gt;1249&lt;/key&gt;&lt;/foreign-keys&gt;&lt;ref-type name="Computer Program"&gt;9&lt;/ref-type&gt;&lt;contributors&gt;&lt;authors&gt;&lt;author&gt;StataCorp&lt;/author&gt;&lt;/authors&gt;&lt;/contributors&gt;&lt;titles&gt;&lt;title&gt;Stata Statistical Software: Release 15&lt;/title&gt;&lt;/titles&gt;&lt;dates&gt;&lt;year&gt;2017&lt;/year&gt;&lt;/dates&gt;&lt;pub-location&gt;College Station, TX&lt;/pub-location&gt;&lt;publisher&gt;StataCorp LLC&lt;/publisher&gt;&lt;urls&gt;&lt;/urls&gt;&lt;/record&gt;&lt;/Cite&gt;&lt;Cite&gt;&lt;Author&gt;StataCorp&lt;/Author&gt;&lt;Year&gt;2017&lt;/Year&gt;&lt;RecNum&gt;1249&lt;/RecNum&gt;&lt;record&gt;&lt;rec-number&gt;1249&lt;/rec-number&gt;&lt;foreign-keys&gt;&lt;key app="EN" db-id="fztfxtw2kew9raetd235rfx625vrvpf9e0df" timestamp="1513905575"&gt;1249&lt;/key&gt;&lt;/foreign-keys&gt;&lt;ref-type name="Computer Program"&gt;9&lt;/ref-type&gt;&lt;contributors&gt;&lt;authors&gt;&lt;author&gt;StataCorp&lt;/author&gt;&lt;/authors&gt;&lt;/contributors&gt;&lt;titles&gt;&lt;title&gt;Stata Statistical Software: Release 15&lt;/title&gt;&lt;/titles&gt;&lt;dates&gt;&lt;year&gt;2017&lt;/year&gt;&lt;/dates&gt;&lt;pub-location&gt;College Station, TX&lt;/pub-location&gt;&lt;publisher&gt;StataCorp LLC&lt;/publisher&gt;&lt;urls&gt;&lt;/urls&gt;&lt;/record&gt;&lt;/Cite&gt;&lt;/EndNote&gt;</w:instrText>
      </w:r>
      <w:r w:rsidR="00B22107">
        <w:fldChar w:fldCharType="separate"/>
      </w:r>
      <w:r w:rsidR="00B22107">
        <w:rPr>
          <w:noProof/>
        </w:rPr>
        <w:t>[51]</w:t>
      </w:r>
      <w:r w:rsidR="00B22107">
        <w:fldChar w:fldCharType="end"/>
      </w:r>
      <w:r>
        <w:t>.</w:t>
      </w:r>
    </w:p>
    <w:p w14:paraId="1603D77F" w14:textId="77777777" w:rsidR="00041DAB" w:rsidRDefault="00041DAB" w:rsidP="00041DAB">
      <w:pPr>
        <w:spacing w:after="0"/>
      </w:pPr>
    </w:p>
    <w:p w14:paraId="6AFF9647" w14:textId="7FFA3E16" w:rsidR="00CB69BE" w:rsidRDefault="0043740D" w:rsidP="00041DAB">
      <w:pPr>
        <w:spacing w:after="0"/>
      </w:pPr>
      <w:r>
        <w:rPr>
          <w:rFonts w:eastAsia="TimesNewRoman"/>
        </w:rPr>
        <w:fldChar w:fldCharType="begin"/>
      </w:r>
      <w:r>
        <w:rPr>
          <w:rFonts w:eastAsia="TimesNewRoman"/>
        </w:rPr>
        <w:instrText xml:space="preserve"> REF _Ref501028284 \h </w:instrText>
      </w:r>
      <w:r w:rsidR="00C6643A">
        <w:rPr>
          <w:rFonts w:eastAsia="TimesNewRoman"/>
        </w:rPr>
        <w:instrText xml:space="preserve"> \* MERGEFORMAT </w:instrText>
      </w:r>
      <w:r>
        <w:rPr>
          <w:rFonts w:eastAsia="TimesNewRoman"/>
        </w:rPr>
      </w:r>
      <w:r>
        <w:rPr>
          <w:rFonts w:eastAsia="TimesNewRoman"/>
        </w:rPr>
        <w:fldChar w:fldCharType="separate"/>
      </w:r>
      <w:r w:rsidR="004C27B3" w:rsidRPr="007746B4">
        <w:t xml:space="preserve">Table </w:t>
      </w:r>
      <w:r w:rsidR="004C27B3">
        <w:rPr>
          <w:noProof/>
        </w:rPr>
        <w:t>14</w:t>
      </w:r>
      <w:r>
        <w:rPr>
          <w:rFonts w:eastAsia="TimesNewRoman"/>
        </w:rPr>
        <w:fldChar w:fldCharType="end"/>
      </w:r>
      <w:r>
        <w:rPr>
          <w:rFonts w:eastAsia="TimesNewRoman"/>
        </w:rPr>
        <w:t xml:space="preserve"> </w:t>
      </w:r>
      <w:r w:rsidR="00CB69BE">
        <w:rPr>
          <w:rFonts w:eastAsia="TimesNewRoman"/>
        </w:rPr>
        <w:t xml:space="preserve">summarises the amount of observed data for key variables included in this report. </w:t>
      </w:r>
      <w:r w:rsidR="00CB69BE" w:rsidRPr="00407C22">
        <w:rPr>
          <w:rFonts w:eastAsia="TimesNewRoman"/>
        </w:rPr>
        <w:t xml:space="preserve">Missing data were </w:t>
      </w:r>
      <w:r w:rsidR="00CB69BE" w:rsidRPr="00407C22">
        <w:t xml:space="preserve">handled using multiple imputation. A total of 20 complete data sets were </w:t>
      </w:r>
      <w:r w:rsidR="00CB69BE">
        <w:t>produced by imputing missing values</w:t>
      </w:r>
      <w:r w:rsidR="00CB69BE" w:rsidRPr="00407C22">
        <w:t xml:space="preserve"> using multiple imputation by chained equations</w:t>
      </w:r>
      <w:r w:rsidR="00CB69BE">
        <w:t xml:space="preserve"> and these were used for all regression analyses. </w:t>
      </w:r>
      <w:r w:rsidR="00CB69BE" w:rsidRPr="00407C22">
        <w:t xml:space="preserve">Linear regression </w:t>
      </w:r>
      <w:r w:rsidR="00CB69BE" w:rsidRPr="00C6643A">
        <w:t xml:space="preserve">was used to impute the continuous variables, logistic regression was used to impute the binary variables, and ordinal logistic </w:t>
      </w:r>
      <w:r w:rsidR="00CB69BE" w:rsidRPr="00407C22">
        <w:t>regression was used to impute the ordinal variable</w:t>
      </w:r>
      <w:r w:rsidR="00CB69BE">
        <w:t xml:space="preserve"> (child age)</w:t>
      </w:r>
      <w:r w:rsidR="00CB69BE" w:rsidRPr="00407C22">
        <w:t>; in each case including all other analysis variables as predictors</w:t>
      </w:r>
      <w:r w:rsidR="00CB69BE">
        <w:t xml:space="preserve"> (see</w:t>
      </w:r>
      <w:r>
        <w:t xml:space="preserve"> </w:t>
      </w:r>
      <w:r>
        <w:fldChar w:fldCharType="begin"/>
      </w:r>
      <w:r>
        <w:instrText xml:space="preserve"> REF _Ref501114706 \h </w:instrText>
      </w:r>
      <w:r w:rsidR="00C6643A">
        <w:instrText xml:space="preserve"> \* MERGEFORMAT </w:instrText>
      </w:r>
      <w:r>
        <w:fldChar w:fldCharType="separate"/>
      </w:r>
      <w:r w:rsidR="004C27B3">
        <w:t xml:space="preserve">Table </w:t>
      </w:r>
      <w:r w:rsidR="004C27B3">
        <w:rPr>
          <w:noProof/>
        </w:rPr>
        <w:t>15</w:t>
      </w:r>
      <w:r>
        <w:fldChar w:fldCharType="end"/>
      </w:r>
      <w:r w:rsidR="00CB69BE">
        <w:t xml:space="preserve"> </w:t>
      </w:r>
      <w:r w:rsidR="00CB69BE" w:rsidRPr="00407C22">
        <w:t>for a list of the variables included in the imputation model</w:t>
      </w:r>
      <w:r w:rsidR="00CB69BE">
        <w:t>)</w:t>
      </w:r>
      <w:r w:rsidR="00CB69BE" w:rsidRPr="00407C22">
        <w:t xml:space="preserve">. </w:t>
      </w:r>
    </w:p>
    <w:p w14:paraId="1E08CD45" w14:textId="77777777" w:rsidR="00041DAB" w:rsidRPr="00407C22" w:rsidRDefault="00041DAB" w:rsidP="00041DAB">
      <w:pPr>
        <w:spacing w:after="0"/>
      </w:pPr>
    </w:p>
    <w:p w14:paraId="70CC0551" w14:textId="503ACF19" w:rsidR="00404055" w:rsidRDefault="00404055" w:rsidP="0031784D">
      <w:pPr>
        <w:pStyle w:val="Caption"/>
        <w:spacing w:before="0"/>
      </w:pPr>
      <w:bookmarkStart w:id="149" w:name="_Ref501028284"/>
      <w:bookmarkStart w:id="150" w:name="_Toc501014932"/>
      <w:bookmarkStart w:id="151" w:name="_Toc503780754"/>
      <w:r w:rsidRPr="007746B4">
        <w:t xml:space="preserve">Table </w:t>
      </w:r>
      <w:r w:rsidRPr="00057A30">
        <w:fldChar w:fldCharType="begin"/>
      </w:r>
      <w:r w:rsidRPr="007746B4">
        <w:instrText xml:space="preserve"> SEQ Table \* ARABIC </w:instrText>
      </w:r>
      <w:r w:rsidRPr="00057A30">
        <w:fldChar w:fldCharType="separate"/>
      </w:r>
      <w:r w:rsidR="004C27B3">
        <w:rPr>
          <w:noProof/>
        </w:rPr>
        <w:t>14</w:t>
      </w:r>
      <w:r w:rsidRPr="00057A30">
        <w:fldChar w:fldCharType="end"/>
      </w:r>
      <w:bookmarkEnd w:id="149"/>
      <w:r w:rsidRPr="007746B4">
        <w:t>. Amount of observed data for key variables included in this report.</w:t>
      </w:r>
      <w:bookmarkEnd w:id="150"/>
      <w:bookmarkEnd w:id="151"/>
    </w:p>
    <w:tbl>
      <w:tblPr>
        <w:tblStyle w:val="TableGrid"/>
        <w:tblpPr w:leftFromText="180" w:rightFromText="180" w:vertAnchor="text" w:tblpXSpec="center" w:tblpY="1"/>
        <w:tblOverlap w:val="never"/>
        <w:tblW w:w="0" w:type="auto"/>
        <w:tblBorders>
          <w:insideH w:val="none" w:sz="0" w:space="0" w:color="auto"/>
          <w:insideV w:val="none" w:sz="0" w:space="0" w:color="auto"/>
        </w:tblBorders>
        <w:tblLook w:val="04A0" w:firstRow="1" w:lastRow="0" w:firstColumn="1" w:lastColumn="0" w:noHBand="0" w:noVBand="1"/>
        <w:tblCaption w:val="Table 14. Amount of observable data for key variables included in this report"/>
        <w:tblDescription w:val="Tabular representation of the BLAH BLAH characteristics of the participants in the CATS survey, columns from left to right: Characteristic, N for Boys, n for Boys, Value for Boys, N for Girls, n for girls, Value for Girls and Between gender difference.&#10;This table extends onto a second page."/>
      </w:tblPr>
      <w:tblGrid>
        <w:gridCol w:w="3363"/>
        <w:gridCol w:w="236"/>
        <w:gridCol w:w="1280"/>
        <w:gridCol w:w="1280"/>
      </w:tblGrid>
      <w:tr w:rsidR="00CB69BE" w:rsidRPr="00404055" w14:paraId="0D430205" w14:textId="77777777" w:rsidTr="000C664C">
        <w:trPr>
          <w:tblHeader/>
        </w:trPr>
        <w:tc>
          <w:tcPr>
            <w:tcW w:w="3363" w:type="dxa"/>
            <w:shd w:val="clear" w:color="auto" w:fill="0070C0"/>
          </w:tcPr>
          <w:p w14:paraId="21735627" w14:textId="77777777" w:rsidR="00CB69BE" w:rsidRPr="00404055" w:rsidRDefault="00CB69BE" w:rsidP="00785532">
            <w:pPr>
              <w:pStyle w:val="TableHeader1"/>
            </w:pPr>
          </w:p>
        </w:tc>
        <w:tc>
          <w:tcPr>
            <w:tcW w:w="236" w:type="dxa"/>
            <w:shd w:val="clear" w:color="auto" w:fill="0070C0"/>
          </w:tcPr>
          <w:p w14:paraId="60BCCEE3" w14:textId="77777777" w:rsidR="00CB69BE" w:rsidRPr="00404055" w:rsidRDefault="00CB69BE" w:rsidP="00785532">
            <w:pPr>
              <w:pStyle w:val="TableHeader1"/>
            </w:pPr>
          </w:p>
        </w:tc>
        <w:tc>
          <w:tcPr>
            <w:tcW w:w="1280" w:type="dxa"/>
            <w:shd w:val="clear" w:color="auto" w:fill="0070C0"/>
          </w:tcPr>
          <w:p w14:paraId="4659C78F" w14:textId="77777777" w:rsidR="00CB69BE" w:rsidRPr="00404055" w:rsidRDefault="00CB69BE" w:rsidP="00785532">
            <w:pPr>
              <w:pStyle w:val="TableHeader1"/>
            </w:pPr>
            <w:r w:rsidRPr="00404055">
              <w:t>N (%)</w:t>
            </w:r>
            <w:r w:rsidRPr="00404055">
              <w:rPr>
                <w:vertAlign w:val="superscript"/>
              </w:rPr>
              <w:t xml:space="preserve">a </w:t>
            </w:r>
          </w:p>
        </w:tc>
        <w:tc>
          <w:tcPr>
            <w:tcW w:w="1280" w:type="dxa"/>
            <w:shd w:val="clear" w:color="auto" w:fill="0070C0"/>
          </w:tcPr>
          <w:p w14:paraId="7D49A4C5" w14:textId="77777777" w:rsidR="00CB69BE" w:rsidRPr="00404055" w:rsidRDefault="00CB69BE" w:rsidP="00785532">
            <w:pPr>
              <w:pStyle w:val="TableHeader1"/>
            </w:pPr>
            <w:r w:rsidRPr="00404055">
              <w:t>N (%)</w:t>
            </w:r>
            <w:r w:rsidRPr="00404055">
              <w:rPr>
                <w:vertAlign w:val="superscript"/>
              </w:rPr>
              <w:t>b</w:t>
            </w:r>
          </w:p>
        </w:tc>
      </w:tr>
      <w:tr w:rsidR="00CB69BE" w:rsidRPr="00404055" w14:paraId="5AEE51C7" w14:textId="77777777" w:rsidTr="000C664C">
        <w:trPr>
          <w:tblHeader/>
        </w:trPr>
        <w:tc>
          <w:tcPr>
            <w:tcW w:w="3363" w:type="dxa"/>
            <w:shd w:val="clear" w:color="auto" w:fill="0070C0"/>
          </w:tcPr>
          <w:p w14:paraId="5EB13562" w14:textId="77777777" w:rsidR="00CB69BE" w:rsidRPr="00404055" w:rsidRDefault="00CB69BE" w:rsidP="00785532">
            <w:pPr>
              <w:pStyle w:val="TableHeader1"/>
            </w:pPr>
            <w:r w:rsidRPr="00404055">
              <w:t xml:space="preserve">Learning outcomes </w:t>
            </w:r>
          </w:p>
        </w:tc>
        <w:tc>
          <w:tcPr>
            <w:tcW w:w="236" w:type="dxa"/>
            <w:shd w:val="clear" w:color="auto" w:fill="0070C0"/>
          </w:tcPr>
          <w:p w14:paraId="4F59D9F3" w14:textId="77777777" w:rsidR="00CB69BE" w:rsidRPr="00404055" w:rsidRDefault="00CB69BE" w:rsidP="00785532">
            <w:pPr>
              <w:pStyle w:val="TableHeader1"/>
            </w:pPr>
          </w:p>
        </w:tc>
        <w:tc>
          <w:tcPr>
            <w:tcW w:w="1280" w:type="dxa"/>
            <w:shd w:val="clear" w:color="auto" w:fill="0070C0"/>
          </w:tcPr>
          <w:p w14:paraId="450B27F4" w14:textId="77777777" w:rsidR="00CB69BE" w:rsidRPr="00404055" w:rsidRDefault="00CB69BE" w:rsidP="00785532">
            <w:pPr>
              <w:pStyle w:val="TableHeader1"/>
            </w:pPr>
          </w:p>
        </w:tc>
        <w:tc>
          <w:tcPr>
            <w:tcW w:w="1280" w:type="dxa"/>
            <w:shd w:val="clear" w:color="auto" w:fill="0070C0"/>
          </w:tcPr>
          <w:p w14:paraId="58088BF6" w14:textId="77777777" w:rsidR="00CB69BE" w:rsidRPr="00404055" w:rsidRDefault="00CB69BE" w:rsidP="00785532">
            <w:pPr>
              <w:pStyle w:val="TableHeader1"/>
            </w:pPr>
          </w:p>
        </w:tc>
      </w:tr>
      <w:tr w:rsidR="00CB69BE" w:rsidRPr="00404055" w14:paraId="5BB93DA4" w14:textId="77777777" w:rsidTr="000D4819">
        <w:tc>
          <w:tcPr>
            <w:tcW w:w="3363" w:type="dxa"/>
            <w:shd w:val="clear" w:color="auto" w:fill="D9E2F3" w:themeFill="accent1" w:themeFillTint="33"/>
          </w:tcPr>
          <w:p w14:paraId="03C43156" w14:textId="77777777" w:rsidR="00CB69BE" w:rsidRPr="00404055" w:rsidRDefault="00CB69BE" w:rsidP="005C0169">
            <w:pPr>
              <w:pStyle w:val="TableHeader2"/>
              <w:ind w:left="0"/>
            </w:pPr>
            <w:r w:rsidRPr="00404055">
              <w:t>NAPLAN numeracy score</w:t>
            </w:r>
          </w:p>
        </w:tc>
        <w:tc>
          <w:tcPr>
            <w:tcW w:w="236" w:type="dxa"/>
            <w:shd w:val="clear" w:color="auto" w:fill="D9E2F3" w:themeFill="accent1" w:themeFillTint="33"/>
          </w:tcPr>
          <w:p w14:paraId="18A57541" w14:textId="77777777" w:rsidR="00CB69BE" w:rsidRPr="00404055" w:rsidRDefault="00CB69BE" w:rsidP="00BC3CD1">
            <w:pPr>
              <w:pStyle w:val="TableHeader2"/>
            </w:pPr>
          </w:p>
        </w:tc>
        <w:tc>
          <w:tcPr>
            <w:tcW w:w="1280" w:type="dxa"/>
            <w:shd w:val="clear" w:color="auto" w:fill="D9E2F3" w:themeFill="accent1" w:themeFillTint="33"/>
          </w:tcPr>
          <w:p w14:paraId="1E8FFD41" w14:textId="77777777" w:rsidR="00CB69BE" w:rsidRPr="00404055" w:rsidRDefault="00CB69BE" w:rsidP="00BC3CD1">
            <w:pPr>
              <w:pStyle w:val="TableHeader2"/>
            </w:pPr>
          </w:p>
        </w:tc>
        <w:tc>
          <w:tcPr>
            <w:tcW w:w="1280" w:type="dxa"/>
            <w:shd w:val="clear" w:color="auto" w:fill="D9E2F3" w:themeFill="accent1" w:themeFillTint="33"/>
          </w:tcPr>
          <w:p w14:paraId="14F37AC3" w14:textId="77777777" w:rsidR="00CB69BE" w:rsidRPr="00404055" w:rsidRDefault="00CB69BE" w:rsidP="00BC3CD1">
            <w:pPr>
              <w:pStyle w:val="TableHeader2"/>
            </w:pPr>
          </w:p>
        </w:tc>
      </w:tr>
      <w:tr w:rsidR="00CB69BE" w:rsidRPr="00404055" w14:paraId="3213C7D6" w14:textId="77777777" w:rsidTr="000C664C">
        <w:tc>
          <w:tcPr>
            <w:tcW w:w="3363" w:type="dxa"/>
          </w:tcPr>
          <w:p w14:paraId="6C7E9C42" w14:textId="40201D46" w:rsidR="00CB69BE" w:rsidRPr="003F04C9" w:rsidRDefault="00CB69BE" w:rsidP="00BC3CD1">
            <w:pPr>
              <w:pStyle w:val="TableRowIndent"/>
            </w:pPr>
            <w:r w:rsidRPr="003F04C9">
              <w:t>Year 3</w:t>
            </w:r>
          </w:p>
        </w:tc>
        <w:tc>
          <w:tcPr>
            <w:tcW w:w="236" w:type="dxa"/>
          </w:tcPr>
          <w:p w14:paraId="503D8E74" w14:textId="77777777" w:rsidR="00CB69BE" w:rsidRPr="00404055" w:rsidRDefault="00CB69BE" w:rsidP="00BC3CD1">
            <w:pPr>
              <w:pStyle w:val="TableBody"/>
            </w:pPr>
          </w:p>
        </w:tc>
        <w:tc>
          <w:tcPr>
            <w:tcW w:w="1280" w:type="dxa"/>
          </w:tcPr>
          <w:p w14:paraId="648EE95B" w14:textId="77777777" w:rsidR="00CB69BE" w:rsidRPr="00404055" w:rsidRDefault="00CB69BE" w:rsidP="00BC3CD1">
            <w:pPr>
              <w:pStyle w:val="TableBody"/>
            </w:pPr>
            <w:r w:rsidRPr="00404055">
              <w:t>1020 (82.3)</w:t>
            </w:r>
          </w:p>
        </w:tc>
        <w:tc>
          <w:tcPr>
            <w:tcW w:w="1280" w:type="dxa"/>
          </w:tcPr>
          <w:p w14:paraId="599B3381" w14:textId="77777777" w:rsidR="00CB69BE" w:rsidRPr="00404055" w:rsidRDefault="00CB69BE" w:rsidP="00BC3CD1">
            <w:pPr>
              <w:pStyle w:val="TableBody"/>
            </w:pPr>
            <w:r w:rsidRPr="00404055">
              <w:t>888 (85.2)</w:t>
            </w:r>
          </w:p>
        </w:tc>
      </w:tr>
      <w:tr w:rsidR="00CB69BE" w:rsidRPr="00404055" w14:paraId="580E9C01" w14:textId="77777777" w:rsidTr="000C664C">
        <w:tc>
          <w:tcPr>
            <w:tcW w:w="3363" w:type="dxa"/>
          </w:tcPr>
          <w:p w14:paraId="3BE62CC4" w14:textId="518C40BF" w:rsidR="00CB69BE" w:rsidRPr="003F04C9" w:rsidRDefault="00CB69BE" w:rsidP="00BC3CD1">
            <w:pPr>
              <w:pStyle w:val="TableRowIndent"/>
            </w:pPr>
            <w:r w:rsidRPr="003F04C9">
              <w:t>Year 5</w:t>
            </w:r>
          </w:p>
        </w:tc>
        <w:tc>
          <w:tcPr>
            <w:tcW w:w="236" w:type="dxa"/>
          </w:tcPr>
          <w:p w14:paraId="085034BF" w14:textId="77777777" w:rsidR="00CB69BE" w:rsidRPr="00404055" w:rsidRDefault="00CB69BE" w:rsidP="00BC3CD1">
            <w:pPr>
              <w:pStyle w:val="TableBody"/>
            </w:pPr>
          </w:p>
        </w:tc>
        <w:tc>
          <w:tcPr>
            <w:tcW w:w="1280" w:type="dxa"/>
          </w:tcPr>
          <w:p w14:paraId="08043930" w14:textId="77777777" w:rsidR="00CB69BE" w:rsidRPr="00404055" w:rsidRDefault="00CB69BE" w:rsidP="00BC3CD1">
            <w:pPr>
              <w:pStyle w:val="TableBody"/>
            </w:pPr>
            <w:r w:rsidRPr="00404055">
              <w:t>993 (80.1)</w:t>
            </w:r>
          </w:p>
        </w:tc>
        <w:tc>
          <w:tcPr>
            <w:tcW w:w="1280" w:type="dxa"/>
          </w:tcPr>
          <w:p w14:paraId="2512A9F3" w14:textId="77777777" w:rsidR="00CB69BE" w:rsidRPr="00404055" w:rsidRDefault="00CB69BE" w:rsidP="00BC3CD1">
            <w:pPr>
              <w:pStyle w:val="TableBody"/>
            </w:pPr>
            <w:r w:rsidRPr="00404055">
              <w:t>860 (82.4)</w:t>
            </w:r>
          </w:p>
        </w:tc>
      </w:tr>
      <w:tr w:rsidR="00CB69BE" w:rsidRPr="00404055" w14:paraId="399CD127" w14:textId="77777777" w:rsidTr="000C664C">
        <w:tc>
          <w:tcPr>
            <w:tcW w:w="3363" w:type="dxa"/>
          </w:tcPr>
          <w:p w14:paraId="4383AC34" w14:textId="4A73C1A5" w:rsidR="00CB69BE" w:rsidRPr="003F04C9" w:rsidRDefault="00CB69BE" w:rsidP="00BC3CD1">
            <w:pPr>
              <w:pStyle w:val="TableRowIndent"/>
            </w:pPr>
            <w:r w:rsidRPr="003F04C9">
              <w:t>Year 7</w:t>
            </w:r>
          </w:p>
        </w:tc>
        <w:tc>
          <w:tcPr>
            <w:tcW w:w="236" w:type="dxa"/>
          </w:tcPr>
          <w:p w14:paraId="2D721890" w14:textId="77777777" w:rsidR="00CB69BE" w:rsidRPr="00404055" w:rsidRDefault="00CB69BE" w:rsidP="00BC3CD1">
            <w:pPr>
              <w:pStyle w:val="TableBody"/>
            </w:pPr>
          </w:p>
        </w:tc>
        <w:tc>
          <w:tcPr>
            <w:tcW w:w="1280" w:type="dxa"/>
          </w:tcPr>
          <w:p w14:paraId="0D2525B5" w14:textId="77777777" w:rsidR="00CB69BE" w:rsidRPr="00404055" w:rsidRDefault="00CB69BE" w:rsidP="00BC3CD1">
            <w:pPr>
              <w:pStyle w:val="TableBody"/>
            </w:pPr>
            <w:r w:rsidRPr="00404055">
              <w:t>943 (76.1)</w:t>
            </w:r>
          </w:p>
        </w:tc>
        <w:tc>
          <w:tcPr>
            <w:tcW w:w="1280" w:type="dxa"/>
          </w:tcPr>
          <w:p w14:paraId="6524389D" w14:textId="77777777" w:rsidR="00CB69BE" w:rsidRPr="00404055" w:rsidRDefault="00CB69BE" w:rsidP="00BC3CD1">
            <w:pPr>
              <w:pStyle w:val="TableBody"/>
            </w:pPr>
            <w:r w:rsidRPr="00404055">
              <w:t>821 (78.8)</w:t>
            </w:r>
          </w:p>
        </w:tc>
      </w:tr>
      <w:tr w:rsidR="00CB69BE" w:rsidRPr="00404055" w14:paraId="74E44A23" w14:textId="77777777" w:rsidTr="000D4819">
        <w:tc>
          <w:tcPr>
            <w:tcW w:w="3363" w:type="dxa"/>
            <w:shd w:val="clear" w:color="auto" w:fill="D9E2F3" w:themeFill="accent1" w:themeFillTint="33"/>
          </w:tcPr>
          <w:p w14:paraId="50109125" w14:textId="77777777" w:rsidR="00CB69BE" w:rsidRPr="00404055" w:rsidRDefault="00CB69BE" w:rsidP="005C0169">
            <w:pPr>
              <w:pStyle w:val="TableHeader2"/>
              <w:ind w:left="0"/>
            </w:pPr>
            <w:r w:rsidRPr="00404055">
              <w:t>NAPLAN reading score</w:t>
            </w:r>
          </w:p>
        </w:tc>
        <w:tc>
          <w:tcPr>
            <w:tcW w:w="236" w:type="dxa"/>
            <w:shd w:val="clear" w:color="auto" w:fill="D9E2F3" w:themeFill="accent1" w:themeFillTint="33"/>
          </w:tcPr>
          <w:p w14:paraId="269D1953" w14:textId="77777777" w:rsidR="00CB69BE" w:rsidRPr="00404055" w:rsidRDefault="00CB69BE" w:rsidP="00BC3CD1">
            <w:pPr>
              <w:pStyle w:val="TableHeader2"/>
            </w:pPr>
          </w:p>
        </w:tc>
        <w:tc>
          <w:tcPr>
            <w:tcW w:w="1280" w:type="dxa"/>
            <w:shd w:val="clear" w:color="auto" w:fill="D9E2F3" w:themeFill="accent1" w:themeFillTint="33"/>
          </w:tcPr>
          <w:p w14:paraId="73E159AB" w14:textId="77777777" w:rsidR="00CB69BE" w:rsidRPr="00404055" w:rsidRDefault="00CB69BE" w:rsidP="00BC3CD1">
            <w:pPr>
              <w:pStyle w:val="TableHeader2"/>
            </w:pPr>
          </w:p>
        </w:tc>
        <w:tc>
          <w:tcPr>
            <w:tcW w:w="1280" w:type="dxa"/>
            <w:shd w:val="clear" w:color="auto" w:fill="D9E2F3" w:themeFill="accent1" w:themeFillTint="33"/>
          </w:tcPr>
          <w:p w14:paraId="2739F121" w14:textId="77777777" w:rsidR="00CB69BE" w:rsidRPr="00404055" w:rsidRDefault="00CB69BE" w:rsidP="00BC3CD1">
            <w:pPr>
              <w:pStyle w:val="TableHeader2"/>
            </w:pPr>
          </w:p>
        </w:tc>
      </w:tr>
      <w:tr w:rsidR="00CB69BE" w:rsidRPr="00404055" w14:paraId="00A9B1E9" w14:textId="77777777" w:rsidTr="000C664C">
        <w:tc>
          <w:tcPr>
            <w:tcW w:w="3363" w:type="dxa"/>
          </w:tcPr>
          <w:p w14:paraId="74FD2808" w14:textId="48959214" w:rsidR="00CB69BE" w:rsidRPr="00404055" w:rsidRDefault="00CB69BE" w:rsidP="00BC3CD1">
            <w:pPr>
              <w:pStyle w:val="TableRowIndent"/>
            </w:pPr>
            <w:r w:rsidRPr="00404055">
              <w:t>Year 3</w:t>
            </w:r>
          </w:p>
        </w:tc>
        <w:tc>
          <w:tcPr>
            <w:tcW w:w="236" w:type="dxa"/>
          </w:tcPr>
          <w:p w14:paraId="2EF5BCE9" w14:textId="77777777" w:rsidR="00CB69BE" w:rsidRPr="00404055" w:rsidRDefault="00CB69BE" w:rsidP="00BC3CD1">
            <w:pPr>
              <w:pStyle w:val="TableBody"/>
            </w:pPr>
          </w:p>
        </w:tc>
        <w:tc>
          <w:tcPr>
            <w:tcW w:w="1280" w:type="dxa"/>
          </w:tcPr>
          <w:p w14:paraId="245CEFD1" w14:textId="77777777" w:rsidR="00CB69BE" w:rsidRPr="00404055" w:rsidRDefault="00CB69BE" w:rsidP="00BC3CD1">
            <w:pPr>
              <w:pStyle w:val="TableBody"/>
            </w:pPr>
            <w:r w:rsidRPr="00404055">
              <w:t>1034 (83.5)</w:t>
            </w:r>
          </w:p>
        </w:tc>
        <w:tc>
          <w:tcPr>
            <w:tcW w:w="1280" w:type="dxa"/>
          </w:tcPr>
          <w:p w14:paraId="1C68EF1B" w14:textId="77777777" w:rsidR="00CB69BE" w:rsidRPr="00404055" w:rsidRDefault="00CB69BE" w:rsidP="00BC3CD1">
            <w:pPr>
              <w:pStyle w:val="TableBody"/>
            </w:pPr>
            <w:r w:rsidRPr="00404055">
              <w:t>898 (86.2)</w:t>
            </w:r>
          </w:p>
        </w:tc>
      </w:tr>
      <w:tr w:rsidR="00CB69BE" w:rsidRPr="00404055" w14:paraId="702D5762" w14:textId="77777777" w:rsidTr="000C664C">
        <w:tc>
          <w:tcPr>
            <w:tcW w:w="3363" w:type="dxa"/>
          </w:tcPr>
          <w:p w14:paraId="091AD59F" w14:textId="3A1BCFA8" w:rsidR="00CB69BE" w:rsidRPr="00404055" w:rsidRDefault="00CB69BE" w:rsidP="00BC3CD1">
            <w:pPr>
              <w:pStyle w:val="TableRowIndent"/>
            </w:pPr>
            <w:r w:rsidRPr="00404055">
              <w:t>Year 5</w:t>
            </w:r>
          </w:p>
        </w:tc>
        <w:tc>
          <w:tcPr>
            <w:tcW w:w="236" w:type="dxa"/>
          </w:tcPr>
          <w:p w14:paraId="6581DB0D" w14:textId="77777777" w:rsidR="00CB69BE" w:rsidRPr="00404055" w:rsidRDefault="00CB69BE" w:rsidP="00BC3CD1">
            <w:pPr>
              <w:pStyle w:val="TableBody"/>
            </w:pPr>
          </w:p>
        </w:tc>
        <w:tc>
          <w:tcPr>
            <w:tcW w:w="1280" w:type="dxa"/>
          </w:tcPr>
          <w:p w14:paraId="41BD6018" w14:textId="77777777" w:rsidR="00CB69BE" w:rsidRPr="00404055" w:rsidRDefault="00CB69BE" w:rsidP="00BC3CD1">
            <w:pPr>
              <w:pStyle w:val="TableBody"/>
            </w:pPr>
            <w:r w:rsidRPr="00404055">
              <w:t>993 (80.1)</w:t>
            </w:r>
          </w:p>
        </w:tc>
        <w:tc>
          <w:tcPr>
            <w:tcW w:w="1280" w:type="dxa"/>
          </w:tcPr>
          <w:p w14:paraId="191C5D20" w14:textId="77777777" w:rsidR="00CB69BE" w:rsidRPr="00404055" w:rsidRDefault="00CB69BE" w:rsidP="00BC3CD1">
            <w:pPr>
              <w:pStyle w:val="TableBody"/>
            </w:pPr>
            <w:r w:rsidRPr="00404055">
              <w:t>859 (82.4)</w:t>
            </w:r>
          </w:p>
        </w:tc>
      </w:tr>
      <w:tr w:rsidR="00CB69BE" w:rsidRPr="00404055" w14:paraId="4BFCBE65" w14:textId="77777777" w:rsidTr="000C664C">
        <w:tc>
          <w:tcPr>
            <w:tcW w:w="3363" w:type="dxa"/>
          </w:tcPr>
          <w:p w14:paraId="167E44BD" w14:textId="51AF38AA" w:rsidR="00CB69BE" w:rsidRPr="00404055" w:rsidRDefault="00CB69BE" w:rsidP="00BC3CD1">
            <w:pPr>
              <w:pStyle w:val="TableRowIndent"/>
            </w:pPr>
            <w:r w:rsidRPr="00404055">
              <w:t>Year 7</w:t>
            </w:r>
          </w:p>
        </w:tc>
        <w:tc>
          <w:tcPr>
            <w:tcW w:w="236" w:type="dxa"/>
          </w:tcPr>
          <w:p w14:paraId="051FBD23" w14:textId="77777777" w:rsidR="00CB69BE" w:rsidRPr="00404055" w:rsidRDefault="00CB69BE" w:rsidP="00BC3CD1">
            <w:pPr>
              <w:pStyle w:val="TableBody"/>
            </w:pPr>
          </w:p>
        </w:tc>
        <w:tc>
          <w:tcPr>
            <w:tcW w:w="1280" w:type="dxa"/>
          </w:tcPr>
          <w:p w14:paraId="2DA79D37" w14:textId="77777777" w:rsidR="00CB69BE" w:rsidRPr="00404055" w:rsidRDefault="00CB69BE" w:rsidP="00BC3CD1">
            <w:pPr>
              <w:pStyle w:val="TableBody"/>
            </w:pPr>
            <w:r w:rsidRPr="00404055">
              <w:t>943 (76.1)</w:t>
            </w:r>
          </w:p>
        </w:tc>
        <w:tc>
          <w:tcPr>
            <w:tcW w:w="1280" w:type="dxa"/>
          </w:tcPr>
          <w:p w14:paraId="124714FC" w14:textId="77777777" w:rsidR="00CB69BE" w:rsidRPr="00404055" w:rsidRDefault="00CB69BE" w:rsidP="00BC3CD1">
            <w:pPr>
              <w:pStyle w:val="TableBody"/>
            </w:pPr>
            <w:r w:rsidRPr="00404055">
              <w:t>821 (78.8)</w:t>
            </w:r>
          </w:p>
        </w:tc>
      </w:tr>
      <w:tr w:rsidR="00CB69BE" w:rsidRPr="00404055" w14:paraId="2DBB445A" w14:textId="77777777" w:rsidTr="000D4819">
        <w:tc>
          <w:tcPr>
            <w:tcW w:w="3363" w:type="dxa"/>
            <w:shd w:val="clear" w:color="auto" w:fill="D9E2F3" w:themeFill="accent1" w:themeFillTint="33"/>
          </w:tcPr>
          <w:p w14:paraId="3A210108" w14:textId="08ECC3DE" w:rsidR="00CB69BE" w:rsidRPr="00404055" w:rsidRDefault="00CB69BE" w:rsidP="005C0169">
            <w:pPr>
              <w:pStyle w:val="TableHeader2"/>
              <w:ind w:left="0"/>
            </w:pPr>
            <w:r w:rsidRPr="00404055">
              <w:t>S</w:t>
            </w:r>
            <w:r w:rsidR="003F04C9">
              <w:t>c</w:t>
            </w:r>
            <w:r w:rsidRPr="00404055">
              <w:t xml:space="preserve">hool disengagement </w:t>
            </w:r>
          </w:p>
        </w:tc>
        <w:tc>
          <w:tcPr>
            <w:tcW w:w="236" w:type="dxa"/>
            <w:shd w:val="clear" w:color="auto" w:fill="D9E2F3" w:themeFill="accent1" w:themeFillTint="33"/>
          </w:tcPr>
          <w:p w14:paraId="1F316FAB" w14:textId="77777777" w:rsidR="00CB69BE" w:rsidRPr="00404055" w:rsidRDefault="00CB69BE" w:rsidP="00BC3CD1">
            <w:pPr>
              <w:pStyle w:val="TableHeader2"/>
            </w:pPr>
          </w:p>
        </w:tc>
        <w:tc>
          <w:tcPr>
            <w:tcW w:w="1280" w:type="dxa"/>
            <w:shd w:val="clear" w:color="auto" w:fill="D9E2F3" w:themeFill="accent1" w:themeFillTint="33"/>
          </w:tcPr>
          <w:p w14:paraId="4695ABD7" w14:textId="77777777" w:rsidR="00CB69BE" w:rsidRPr="00404055" w:rsidRDefault="00CB69BE" w:rsidP="00BC3CD1">
            <w:pPr>
              <w:pStyle w:val="TableHeader2"/>
            </w:pPr>
          </w:p>
        </w:tc>
        <w:tc>
          <w:tcPr>
            <w:tcW w:w="1280" w:type="dxa"/>
            <w:shd w:val="clear" w:color="auto" w:fill="D9E2F3" w:themeFill="accent1" w:themeFillTint="33"/>
          </w:tcPr>
          <w:p w14:paraId="76EE4433" w14:textId="77777777" w:rsidR="00CB69BE" w:rsidRPr="00404055" w:rsidRDefault="00CB69BE" w:rsidP="00BC3CD1">
            <w:pPr>
              <w:pStyle w:val="TableHeader2"/>
            </w:pPr>
          </w:p>
        </w:tc>
      </w:tr>
      <w:tr w:rsidR="00CB69BE" w:rsidRPr="00404055" w14:paraId="2D0A2EF2" w14:textId="77777777" w:rsidTr="000C664C">
        <w:tc>
          <w:tcPr>
            <w:tcW w:w="3363" w:type="dxa"/>
          </w:tcPr>
          <w:p w14:paraId="0439F2DC" w14:textId="2F8D65E4" w:rsidR="00CB69BE" w:rsidRPr="00404055" w:rsidRDefault="00CB69BE" w:rsidP="00BC3CD1">
            <w:pPr>
              <w:pStyle w:val="TableRowIndent"/>
            </w:pPr>
            <w:r w:rsidRPr="00404055">
              <w:t>Year 3</w:t>
            </w:r>
          </w:p>
        </w:tc>
        <w:tc>
          <w:tcPr>
            <w:tcW w:w="236" w:type="dxa"/>
          </w:tcPr>
          <w:p w14:paraId="3E26A44F" w14:textId="77777777" w:rsidR="00CB69BE" w:rsidRPr="00404055" w:rsidRDefault="00CB69BE" w:rsidP="00BC3CD1">
            <w:pPr>
              <w:pStyle w:val="TableBody"/>
            </w:pPr>
          </w:p>
        </w:tc>
        <w:tc>
          <w:tcPr>
            <w:tcW w:w="1280" w:type="dxa"/>
          </w:tcPr>
          <w:p w14:paraId="6B7A41FD" w14:textId="77777777" w:rsidR="00CB69BE" w:rsidRPr="00404055" w:rsidRDefault="00CB69BE" w:rsidP="00BC3CD1">
            <w:pPr>
              <w:pStyle w:val="TableBody"/>
            </w:pPr>
            <w:r w:rsidRPr="00404055">
              <w:t>-</w:t>
            </w:r>
          </w:p>
        </w:tc>
        <w:tc>
          <w:tcPr>
            <w:tcW w:w="1280" w:type="dxa"/>
          </w:tcPr>
          <w:p w14:paraId="4C427834" w14:textId="77777777" w:rsidR="00CB69BE" w:rsidRPr="00404055" w:rsidRDefault="00CB69BE" w:rsidP="00BC3CD1">
            <w:pPr>
              <w:pStyle w:val="TableBody"/>
            </w:pPr>
            <w:r w:rsidRPr="00404055">
              <w:t>-</w:t>
            </w:r>
          </w:p>
        </w:tc>
      </w:tr>
      <w:tr w:rsidR="00CB69BE" w:rsidRPr="00404055" w14:paraId="3B52B51A" w14:textId="77777777" w:rsidTr="000C664C">
        <w:tc>
          <w:tcPr>
            <w:tcW w:w="3363" w:type="dxa"/>
          </w:tcPr>
          <w:p w14:paraId="7AB7BB66" w14:textId="7019C5D9" w:rsidR="00CB69BE" w:rsidRPr="00404055" w:rsidRDefault="00CB69BE" w:rsidP="00BC3CD1">
            <w:pPr>
              <w:pStyle w:val="TableRowIndent"/>
            </w:pPr>
            <w:r w:rsidRPr="00404055">
              <w:t>Year 4</w:t>
            </w:r>
          </w:p>
        </w:tc>
        <w:tc>
          <w:tcPr>
            <w:tcW w:w="236" w:type="dxa"/>
          </w:tcPr>
          <w:p w14:paraId="759D2ED0" w14:textId="77777777" w:rsidR="00CB69BE" w:rsidRPr="00404055" w:rsidRDefault="00CB69BE" w:rsidP="00BC3CD1">
            <w:pPr>
              <w:pStyle w:val="TableBody"/>
            </w:pPr>
          </w:p>
        </w:tc>
        <w:tc>
          <w:tcPr>
            <w:tcW w:w="1280" w:type="dxa"/>
          </w:tcPr>
          <w:p w14:paraId="2A19DE05" w14:textId="77777777" w:rsidR="00CB69BE" w:rsidRPr="00404055" w:rsidRDefault="00CB69BE" w:rsidP="00BC3CD1">
            <w:pPr>
              <w:pStyle w:val="TableBody"/>
            </w:pPr>
            <w:r w:rsidRPr="00404055">
              <w:t>1156 (93.3)</w:t>
            </w:r>
          </w:p>
        </w:tc>
        <w:tc>
          <w:tcPr>
            <w:tcW w:w="1280" w:type="dxa"/>
          </w:tcPr>
          <w:p w14:paraId="3D67346B" w14:textId="77777777" w:rsidR="00CB69BE" w:rsidRPr="00404055" w:rsidRDefault="00CB69BE" w:rsidP="00BC3CD1">
            <w:pPr>
              <w:pStyle w:val="TableBody"/>
            </w:pPr>
            <w:r w:rsidRPr="00404055">
              <w:t>979 (94.0)</w:t>
            </w:r>
          </w:p>
        </w:tc>
      </w:tr>
      <w:tr w:rsidR="00CB69BE" w:rsidRPr="00404055" w14:paraId="3F4CFC6A" w14:textId="77777777" w:rsidTr="000C664C">
        <w:tc>
          <w:tcPr>
            <w:tcW w:w="3363" w:type="dxa"/>
          </w:tcPr>
          <w:p w14:paraId="6EFA842E" w14:textId="7DBB4E21" w:rsidR="00CB69BE" w:rsidRPr="00404055" w:rsidRDefault="00CB69BE" w:rsidP="00BC3CD1">
            <w:pPr>
              <w:pStyle w:val="TableRowIndent"/>
            </w:pPr>
            <w:r w:rsidRPr="00404055">
              <w:t>Year 5</w:t>
            </w:r>
          </w:p>
        </w:tc>
        <w:tc>
          <w:tcPr>
            <w:tcW w:w="236" w:type="dxa"/>
          </w:tcPr>
          <w:p w14:paraId="1BADBB78" w14:textId="77777777" w:rsidR="00CB69BE" w:rsidRPr="00404055" w:rsidRDefault="00CB69BE" w:rsidP="00BC3CD1">
            <w:pPr>
              <w:pStyle w:val="TableBody"/>
            </w:pPr>
          </w:p>
        </w:tc>
        <w:tc>
          <w:tcPr>
            <w:tcW w:w="1280" w:type="dxa"/>
          </w:tcPr>
          <w:p w14:paraId="72FDADA7" w14:textId="77777777" w:rsidR="00CB69BE" w:rsidRPr="00404055" w:rsidRDefault="00CB69BE" w:rsidP="00BC3CD1">
            <w:pPr>
              <w:pStyle w:val="TableBody"/>
            </w:pPr>
            <w:r w:rsidRPr="00404055">
              <w:t>1113 (89.8)</w:t>
            </w:r>
          </w:p>
        </w:tc>
        <w:tc>
          <w:tcPr>
            <w:tcW w:w="1280" w:type="dxa"/>
          </w:tcPr>
          <w:p w14:paraId="08FBCF51" w14:textId="77777777" w:rsidR="00CB69BE" w:rsidRPr="00404055" w:rsidRDefault="00CB69BE" w:rsidP="00BC3CD1">
            <w:pPr>
              <w:pStyle w:val="TableBody"/>
            </w:pPr>
            <w:r w:rsidRPr="00404055">
              <w:t>944 (90.6)</w:t>
            </w:r>
          </w:p>
        </w:tc>
      </w:tr>
      <w:tr w:rsidR="00CB69BE" w:rsidRPr="00404055" w14:paraId="050EB8C8" w14:textId="77777777" w:rsidTr="000C664C">
        <w:tc>
          <w:tcPr>
            <w:tcW w:w="3363" w:type="dxa"/>
          </w:tcPr>
          <w:p w14:paraId="077C4BDF" w14:textId="28B490DC" w:rsidR="00CB69BE" w:rsidRPr="00404055" w:rsidRDefault="00CB69BE" w:rsidP="00BC3CD1">
            <w:pPr>
              <w:pStyle w:val="TableRowIndent"/>
            </w:pPr>
            <w:r w:rsidRPr="00404055">
              <w:t>Year 6</w:t>
            </w:r>
          </w:p>
        </w:tc>
        <w:tc>
          <w:tcPr>
            <w:tcW w:w="236" w:type="dxa"/>
          </w:tcPr>
          <w:p w14:paraId="467769ED" w14:textId="77777777" w:rsidR="00CB69BE" w:rsidRPr="00404055" w:rsidRDefault="00CB69BE" w:rsidP="00BC3CD1">
            <w:pPr>
              <w:pStyle w:val="TableBody"/>
            </w:pPr>
          </w:p>
        </w:tc>
        <w:tc>
          <w:tcPr>
            <w:tcW w:w="1280" w:type="dxa"/>
          </w:tcPr>
          <w:p w14:paraId="6E27809D" w14:textId="77777777" w:rsidR="00CB69BE" w:rsidRPr="00404055" w:rsidRDefault="00CB69BE" w:rsidP="00BC3CD1">
            <w:pPr>
              <w:pStyle w:val="TableBody"/>
            </w:pPr>
            <w:r w:rsidRPr="00404055">
              <w:t>1067 (86.1)</w:t>
            </w:r>
          </w:p>
        </w:tc>
        <w:tc>
          <w:tcPr>
            <w:tcW w:w="1280" w:type="dxa"/>
          </w:tcPr>
          <w:p w14:paraId="7C7DE6DD" w14:textId="77777777" w:rsidR="00CB69BE" w:rsidRPr="00404055" w:rsidRDefault="00CB69BE" w:rsidP="00BC3CD1">
            <w:pPr>
              <w:pStyle w:val="TableBody"/>
            </w:pPr>
            <w:r w:rsidRPr="00404055">
              <w:t>908 (87.1)</w:t>
            </w:r>
          </w:p>
        </w:tc>
      </w:tr>
      <w:tr w:rsidR="00CB69BE" w:rsidRPr="00404055" w14:paraId="34BA04B3" w14:textId="77777777" w:rsidTr="000C664C">
        <w:tc>
          <w:tcPr>
            <w:tcW w:w="3363" w:type="dxa"/>
          </w:tcPr>
          <w:p w14:paraId="20D373F3" w14:textId="5AEF1282" w:rsidR="00CB69BE" w:rsidRPr="00404055" w:rsidRDefault="00CB69BE" w:rsidP="00BC3CD1">
            <w:pPr>
              <w:pStyle w:val="TableRowIndent"/>
            </w:pPr>
            <w:r w:rsidRPr="00404055">
              <w:t>Year 7</w:t>
            </w:r>
          </w:p>
        </w:tc>
        <w:tc>
          <w:tcPr>
            <w:tcW w:w="236" w:type="dxa"/>
          </w:tcPr>
          <w:p w14:paraId="6B13F9F5" w14:textId="77777777" w:rsidR="00CB69BE" w:rsidRPr="00404055" w:rsidRDefault="00CB69BE" w:rsidP="00BC3CD1">
            <w:pPr>
              <w:pStyle w:val="TableBody"/>
            </w:pPr>
          </w:p>
        </w:tc>
        <w:tc>
          <w:tcPr>
            <w:tcW w:w="1280" w:type="dxa"/>
          </w:tcPr>
          <w:p w14:paraId="78690D2F" w14:textId="77777777" w:rsidR="00CB69BE" w:rsidRPr="00404055" w:rsidRDefault="00CB69BE" w:rsidP="00BC3CD1">
            <w:pPr>
              <w:pStyle w:val="TableBody"/>
            </w:pPr>
            <w:r w:rsidRPr="00404055">
              <w:t>990 (79.9)</w:t>
            </w:r>
          </w:p>
        </w:tc>
        <w:tc>
          <w:tcPr>
            <w:tcW w:w="1280" w:type="dxa"/>
          </w:tcPr>
          <w:p w14:paraId="712BB48A" w14:textId="77777777" w:rsidR="00CB69BE" w:rsidRPr="00404055" w:rsidRDefault="00CB69BE" w:rsidP="00BC3CD1">
            <w:pPr>
              <w:pStyle w:val="TableBody"/>
            </w:pPr>
            <w:r w:rsidRPr="00404055">
              <w:t>844 (81.0)</w:t>
            </w:r>
          </w:p>
        </w:tc>
      </w:tr>
      <w:tr w:rsidR="00CB69BE" w:rsidRPr="00404055" w14:paraId="2D775D2B" w14:textId="77777777" w:rsidTr="000C664C">
        <w:tc>
          <w:tcPr>
            <w:tcW w:w="3363" w:type="dxa"/>
          </w:tcPr>
          <w:p w14:paraId="5F531686" w14:textId="2EAB2AB8" w:rsidR="00CB69BE" w:rsidRPr="00404055" w:rsidRDefault="00CB69BE" w:rsidP="00BC3CD1">
            <w:pPr>
              <w:pStyle w:val="TableRowIndent"/>
            </w:pPr>
            <w:r w:rsidRPr="00404055">
              <w:t>Year 4-5 indicator</w:t>
            </w:r>
          </w:p>
        </w:tc>
        <w:tc>
          <w:tcPr>
            <w:tcW w:w="236" w:type="dxa"/>
          </w:tcPr>
          <w:p w14:paraId="1194082C" w14:textId="77777777" w:rsidR="00CB69BE" w:rsidRPr="00404055" w:rsidRDefault="00CB69BE" w:rsidP="00BC3CD1">
            <w:pPr>
              <w:pStyle w:val="TableBody"/>
            </w:pPr>
          </w:p>
        </w:tc>
        <w:tc>
          <w:tcPr>
            <w:tcW w:w="1280" w:type="dxa"/>
          </w:tcPr>
          <w:p w14:paraId="770A2C44" w14:textId="77777777" w:rsidR="00CB69BE" w:rsidRPr="00404055" w:rsidRDefault="00CB69BE" w:rsidP="00BC3CD1">
            <w:pPr>
              <w:pStyle w:val="TableBody"/>
            </w:pPr>
            <w:r w:rsidRPr="00404055">
              <w:t>1094 (88.3)</w:t>
            </w:r>
          </w:p>
        </w:tc>
        <w:tc>
          <w:tcPr>
            <w:tcW w:w="1280" w:type="dxa"/>
          </w:tcPr>
          <w:p w14:paraId="5C5113F4" w14:textId="77777777" w:rsidR="00CB69BE" w:rsidRPr="00404055" w:rsidRDefault="00CB69BE" w:rsidP="00BC3CD1">
            <w:pPr>
              <w:pStyle w:val="TableBody"/>
            </w:pPr>
            <w:r w:rsidRPr="00404055">
              <w:t>926 (88.9)</w:t>
            </w:r>
          </w:p>
        </w:tc>
      </w:tr>
      <w:tr w:rsidR="00CB69BE" w:rsidRPr="00404055" w14:paraId="4F937D48" w14:textId="77777777" w:rsidTr="000D4819">
        <w:tc>
          <w:tcPr>
            <w:tcW w:w="3363" w:type="dxa"/>
            <w:shd w:val="clear" w:color="auto" w:fill="D9E2F3" w:themeFill="accent1" w:themeFillTint="33"/>
          </w:tcPr>
          <w:p w14:paraId="573E192E" w14:textId="77777777" w:rsidR="00CB69BE" w:rsidRPr="00404055" w:rsidRDefault="00CB69BE" w:rsidP="005C0169">
            <w:pPr>
              <w:pStyle w:val="TableHeader2"/>
              <w:ind w:left="0"/>
            </w:pPr>
            <w:r w:rsidRPr="00404055">
              <w:t xml:space="preserve">Wellbeing: emotional problems </w:t>
            </w:r>
          </w:p>
        </w:tc>
        <w:tc>
          <w:tcPr>
            <w:tcW w:w="236" w:type="dxa"/>
            <w:shd w:val="clear" w:color="auto" w:fill="D9E2F3" w:themeFill="accent1" w:themeFillTint="33"/>
          </w:tcPr>
          <w:p w14:paraId="0458DC65" w14:textId="77777777" w:rsidR="00CB69BE" w:rsidRPr="00404055" w:rsidRDefault="00CB69BE" w:rsidP="00BC3CD1">
            <w:pPr>
              <w:pStyle w:val="TableHeader2"/>
            </w:pPr>
          </w:p>
        </w:tc>
        <w:tc>
          <w:tcPr>
            <w:tcW w:w="1280" w:type="dxa"/>
            <w:shd w:val="clear" w:color="auto" w:fill="D9E2F3" w:themeFill="accent1" w:themeFillTint="33"/>
          </w:tcPr>
          <w:p w14:paraId="600BCAA2" w14:textId="77777777" w:rsidR="00CB69BE" w:rsidRPr="00404055" w:rsidRDefault="00CB69BE" w:rsidP="00BC3CD1">
            <w:pPr>
              <w:pStyle w:val="TableHeader2"/>
            </w:pPr>
          </w:p>
        </w:tc>
        <w:tc>
          <w:tcPr>
            <w:tcW w:w="1280" w:type="dxa"/>
            <w:shd w:val="clear" w:color="auto" w:fill="D9E2F3" w:themeFill="accent1" w:themeFillTint="33"/>
          </w:tcPr>
          <w:p w14:paraId="3F698EAE" w14:textId="77777777" w:rsidR="00CB69BE" w:rsidRPr="00404055" w:rsidRDefault="00CB69BE" w:rsidP="00BC3CD1">
            <w:pPr>
              <w:pStyle w:val="TableHeader2"/>
            </w:pPr>
          </w:p>
        </w:tc>
      </w:tr>
      <w:tr w:rsidR="00CB69BE" w:rsidRPr="00404055" w14:paraId="763DB43E" w14:textId="77777777" w:rsidTr="000C664C">
        <w:tc>
          <w:tcPr>
            <w:tcW w:w="3363" w:type="dxa"/>
          </w:tcPr>
          <w:p w14:paraId="683A055A" w14:textId="183E8C0A" w:rsidR="00CB69BE" w:rsidRPr="00404055" w:rsidRDefault="00CB69BE" w:rsidP="00BC3CD1">
            <w:pPr>
              <w:pStyle w:val="TableRowIndent"/>
            </w:pPr>
            <w:r w:rsidRPr="00404055">
              <w:t>Year 3</w:t>
            </w:r>
          </w:p>
        </w:tc>
        <w:tc>
          <w:tcPr>
            <w:tcW w:w="236" w:type="dxa"/>
          </w:tcPr>
          <w:p w14:paraId="14EC3181" w14:textId="77777777" w:rsidR="00CB69BE" w:rsidRPr="00404055" w:rsidRDefault="00CB69BE" w:rsidP="00BC3CD1">
            <w:pPr>
              <w:pStyle w:val="TableBody"/>
            </w:pPr>
          </w:p>
        </w:tc>
        <w:tc>
          <w:tcPr>
            <w:tcW w:w="1280" w:type="dxa"/>
          </w:tcPr>
          <w:p w14:paraId="4433D33E" w14:textId="77777777" w:rsidR="00CB69BE" w:rsidRPr="00404055" w:rsidRDefault="00CB69BE" w:rsidP="00BC3CD1">
            <w:pPr>
              <w:pStyle w:val="TableBody"/>
            </w:pPr>
            <w:r w:rsidRPr="00404055">
              <w:t>1159 (93.5)</w:t>
            </w:r>
          </w:p>
        </w:tc>
        <w:tc>
          <w:tcPr>
            <w:tcW w:w="1280" w:type="dxa"/>
          </w:tcPr>
          <w:p w14:paraId="133BBFE7" w14:textId="77777777" w:rsidR="00CB69BE" w:rsidRPr="00404055" w:rsidRDefault="00CB69BE" w:rsidP="00BC3CD1">
            <w:pPr>
              <w:pStyle w:val="TableBody"/>
            </w:pPr>
            <w:r w:rsidRPr="00404055">
              <w:t>978 (93.9)</w:t>
            </w:r>
          </w:p>
        </w:tc>
      </w:tr>
      <w:tr w:rsidR="00CB69BE" w:rsidRPr="00404055" w14:paraId="55D55C70" w14:textId="77777777" w:rsidTr="000C664C">
        <w:tc>
          <w:tcPr>
            <w:tcW w:w="3363" w:type="dxa"/>
          </w:tcPr>
          <w:p w14:paraId="3838989F" w14:textId="0F8387C2" w:rsidR="00CB69BE" w:rsidRPr="00404055" w:rsidRDefault="00CB69BE" w:rsidP="00BC3CD1">
            <w:pPr>
              <w:pStyle w:val="TableRowIndent"/>
            </w:pPr>
            <w:r w:rsidRPr="00404055">
              <w:t>Year 4</w:t>
            </w:r>
          </w:p>
        </w:tc>
        <w:tc>
          <w:tcPr>
            <w:tcW w:w="236" w:type="dxa"/>
          </w:tcPr>
          <w:p w14:paraId="6E43ED64" w14:textId="77777777" w:rsidR="00CB69BE" w:rsidRPr="00404055" w:rsidRDefault="00CB69BE" w:rsidP="00BC3CD1">
            <w:pPr>
              <w:pStyle w:val="TableBody"/>
            </w:pPr>
          </w:p>
        </w:tc>
        <w:tc>
          <w:tcPr>
            <w:tcW w:w="1280" w:type="dxa"/>
          </w:tcPr>
          <w:p w14:paraId="3EF7092B" w14:textId="77777777" w:rsidR="00CB69BE" w:rsidRPr="00404055" w:rsidRDefault="00CB69BE" w:rsidP="00BC3CD1">
            <w:pPr>
              <w:pStyle w:val="TableBody"/>
            </w:pPr>
            <w:r w:rsidRPr="00404055">
              <w:t>1122 (90.6)</w:t>
            </w:r>
          </w:p>
        </w:tc>
        <w:tc>
          <w:tcPr>
            <w:tcW w:w="1280" w:type="dxa"/>
          </w:tcPr>
          <w:p w14:paraId="26278992" w14:textId="77777777" w:rsidR="00CB69BE" w:rsidRPr="00404055" w:rsidRDefault="00CB69BE" w:rsidP="00BC3CD1">
            <w:pPr>
              <w:pStyle w:val="TableBody"/>
            </w:pPr>
            <w:r w:rsidRPr="00404055">
              <w:t>955 (91.7)</w:t>
            </w:r>
          </w:p>
        </w:tc>
      </w:tr>
      <w:tr w:rsidR="00CB69BE" w:rsidRPr="00404055" w14:paraId="64E8F58F" w14:textId="77777777" w:rsidTr="000C664C">
        <w:tc>
          <w:tcPr>
            <w:tcW w:w="3363" w:type="dxa"/>
          </w:tcPr>
          <w:p w14:paraId="75480994" w14:textId="28E052CB" w:rsidR="00CB69BE" w:rsidRPr="00404055" w:rsidRDefault="00CB69BE" w:rsidP="00BC3CD1">
            <w:pPr>
              <w:pStyle w:val="TableRowIndent"/>
            </w:pPr>
            <w:r w:rsidRPr="00404055">
              <w:t>Year 5</w:t>
            </w:r>
          </w:p>
        </w:tc>
        <w:tc>
          <w:tcPr>
            <w:tcW w:w="236" w:type="dxa"/>
          </w:tcPr>
          <w:p w14:paraId="67A46B40" w14:textId="77777777" w:rsidR="00CB69BE" w:rsidRPr="00404055" w:rsidRDefault="00CB69BE" w:rsidP="00BC3CD1">
            <w:pPr>
              <w:pStyle w:val="TableBody"/>
            </w:pPr>
          </w:p>
        </w:tc>
        <w:tc>
          <w:tcPr>
            <w:tcW w:w="1280" w:type="dxa"/>
          </w:tcPr>
          <w:p w14:paraId="29B35316" w14:textId="77777777" w:rsidR="00CB69BE" w:rsidRPr="00404055" w:rsidRDefault="00CB69BE" w:rsidP="00BC3CD1">
            <w:pPr>
              <w:pStyle w:val="TableBody"/>
            </w:pPr>
            <w:r w:rsidRPr="00404055">
              <w:t>1113 (89.8)</w:t>
            </w:r>
          </w:p>
        </w:tc>
        <w:tc>
          <w:tcPr>
            <w:tcW w:w="1280" w:type="dxa"/>
          </w:tcPr>
          <w:p w14:paraId="5F874EDA" w14:textId="77777777" w:rsidR="00CB69BE" w:rsidRPr="00404055" w:rsidRDefault="00CB69BE" w:rsidP="00BC3CD1">
            <w:pPr>
              <w:pStyle w:val="TableBody"/>
            </w:pPr>
            <w:r w:rsidRPr="00404055">
              <w:t>945 (90.7)</w:t>
            </w:r>
          </w:p>
        </w:tc>
      </w:tr>
      <w:tr w:rsidR="00CB69BE" w:rsidRPr="00404055" w14:paraId="104FDD38" w14:textId="77777777" w:rsidTr="000C664C">
        <w:tc>
          <w:tcPr>
            <w:tcW w:w="3363" w:type="dxa"/>
          </w:tcPr>
          <w:p w14:paraId="58214C29" w14:textId="6457759B" w:rsidR="00CB69BE" w:rsidRPr="00404055" w:rsidRDefault="00CB69BE" w:rsidP="00BC3CD1">
            <w:pPr>
              <w:pStyle w:val="TableRowIndent"/>
            </w:pPr>
            <w:r w:rsidRPr="00404055">
              <w:t>Year 6</w:t>
            </w:r>
          </w:p>
        </w:tc>
        <w:tc>
          <w:tcPr>
            <w:tcW w:w="236" w:type="dxa"/>
          </w:tcPr>
          <w:p w14:paraId="1073993D" w14:textId="77777777" w:rsidR="00CB69BE" w:rsidRPr="00404055" w:rsidRDefault="00CB69BE" w:rsidP="00BC3CD1">
            <w:pPr>
              <w:pStyle w:val="TableBody"/>
            </w:pPr>
          </w:p>
        </w:tc>
        <w:tc>
          <w:tcPr>
            <w:tcW w:w="1280" w:type="dxa"/>
          </w:tcPr>
          <w:p w14:paraId="3DCA728E" w14:textId="77777777" w:rsidR="00CB69BE" w:rsidRPr="00404055" w:rsidRDefault="00CB69BE" w:rsidP="00BC3CD1">
            <w:pPr>
              <w:pStyle w:val="TableBody"/>
            </w:pPr>
            <w:r w:rsidRPr="00404055">
              <w:t>1057 (85.3)</w:t>
            </w:r>
          </w:p>
        </w:tc>
        <w:tc>
          <w:tcPr>
            <w:tcW w:w="1280" w:type="dxa"/>
          </w:tcPr>
          <w:p w14:paraId="1A9990AC" w14:textId="77777777" w:rsidR="00CB69BE" w:rsidRPr="00404055" w:rsidRDefault="00CB69BE" w:rsidP="00BC3CD1">
            <w:pPr>
              <w:pStyle w:val="TableBody"/>
            </w:pPr>
            <w:r w:rsidRPr="00404055">
              <w:t>899 (86.3)</w:t>
            </w:r>
          </w:p>
        </w:tc>
      </w:tr>
      <w:tr w:rsidR="00CB69BE" w:rsidRPr="00404055" w14:paraId="7967C0B3" w14:textId="77777777" w:rsidTr="000C664C">
        <w:tc>
          <w:tcPr>
            <w:tcW w:w="3363" w:type="dxa"/>
          </w:tcPr>
          <w:p w14:paraId="62E672CD" w14:textId="47D29766" w:rsidR="00CB69BE" w:rsidRPr="00404055" w:rsidRDefault="00CB69BE" w:rsidP="00BC3CD1">
            <w:pPr>
              <w:pStyle w:val="TableRowIndent"/>
            </w:pPr>
            <w:r w:rsidRPr="00404055">
              <w:t>Year 7</w:t>
            </w:r>
          </w:p>
        </w:tc>
        <w:tc>
          <w:tcPr>
            <w:tcW w:w="236" w:type="dxa"/>
          </w:tcPr>
          <w:p w14:paraId="3DCF0AEC" w14:textId="77777777" w:rsidR="00CB69BE" w:rsidRPr="00404055" w:rsidRDefault="00CB69BE" w:rsidP="00BC3CD1">
            <w:pPr>
              <w:pStyle w:val="TableBody"/>
            </w:pPr>
          </w:p>
        </w:tc>
        <w:tc>
          <w:tcPr>
            <w:tcW w:w="1280" w:type="dxa"/>
          </w:tcPr>
          <w:p w14:paraId="4AE2E184" w14:textId="77777777" w:rsidR="00CB69BE" w:rsidRPr="00404055" w:rsidRDefault="00CB69BE" w:rsidP="00BC3CD1">
            <w:pPr>
              <w:pStyle w:val="TableBody"/>
            </w:pPr>
            <w:r w:rsidRPr="00404055">
              <w:t>989 (79.8)</w:t>
            </w:r>
          </w:p>
        </w:tc>
        <w:tc>
          <w:tcPr>
            <w:tcW w:w="1280" w:type="dxa"/>
          </w:tcPr>
          <w:p w14:paraId="7CF2605D" w14:textId="77777777" w:rsidR="00CB69BE" w:rsidRPr="00404055" w:rsidRDefault="00CB69BE" w:rsidP="00BC3CD1">
            <w:pPr>
              <w:pStyle w:val="TableBody"/>
            </w:pPr>
            <w:r w:rsidRPr="00404055">
              <w:t>843 (80.9)</w:t>
            </w:r>
          </w:p>
        </w:tc>
      </w:tr>
      <w:tr w:rsidR="00CB69BE" w:rsidRPr="00404055" w14:paraId="729B24E2" w14:textId="77777777" w:rsidTr="000C664C">
        <w:tc>
          <w:tcPr>
            <w:tcW w:w="3363" w:type="dxa"/>
          </w:tcPr>
          <w:p w14:paraId="1C58890B" w14:textId="5D0670FC" w:rsidR="00CB69BE" w:rsidRPr="00404055" w:rsidRDefault="00CB69BE" w:rsidP="00BC3CD1">
            <w:pPr>
              <w:pStyle w:val="TableRowIndent"/>
            </w:pPr>
            <w:r w:rsidRPr="00404055">
              <w:t>Year 3-5 indicator</w:t>
            </w:r>
          </w:p>
        </w:tc>
        <w:tc>
          <w:tcPr>
            <w:tcW w:w="236" w:type="dxa"/>
          </w:tcPr>
          <w:p w14:paraId="0B8E21C6" w14:textId="77777777" w:rsidR="00CB69BE" w:rsidRPr="00404055" w:rsidRDefault="00CB69BE" w:rsidP="00BC3CD1">
            <w:pPr>
              <w:pStyle w:val="TableBody"/>
            </w:pPr>
          </w:p>
        </w:tc>
        <w:tc>
          <w:tcPr>
            <w:tcW w:w="1280" w:type="dxa"/>
          </w:tcPr>
          <w:p w14:paraId="66B253F0" w14:textId="77777777" w:rsidR="00CB69BE" w:rsidRPr="00404055" w:rsidRDefault="00CB69BE" w:rsidP="00BC3CD1">
            <w:pPr>
              <w:pStyle w:val="TableBody"/>
            </w:pPr>
            <w:r w:rsidRPr="00404055">
              <w:t>1011 (81.6)</w:t>
            </w:r>
          </w:p>
        </w:tc>
        <w:tc>
          <w:tcPr>
            <w:tcW w:w="1280" w:type="dxa"/>
          </w:tcPr>
          <w:p w14:paraId="624B0211" w14:textId="77777777" w:rsidR="00CB69BE" w:rsidRPr="00404055" w:rsidRDefault="00CB69BE" w:rsidP="00BC3CD1">
            <w:pPr>
              <w:pStyle w:val="TableBody"/>
            </w:pPr>
            <w:r w:rsidRPr="00404055">
              <w:t>858 (82.3)</w:t>
            </w:r>
          </w:p>
        </w:tc>
      </w:tr>
      <w:tr w:rsidR="00CB69BE" w:rsidRPr="00404055" w14:paraId="0E76D5D5" w14:textId="77777777" w:rsidTr="000D4819">
        <w:tc>
          <w:tcPr>
            <w:tcW w:w="3363" w:type="dxa"/>
            <w:shd w:val="clear" w:color="auto" w:fill="D9E2F3" w:themeFill="accent1" w:themeFillTint="33"/>
          </w:tcPr>
          <w:p w14:paraId="44E2E2B8" w14:textId="77777777" w:rsidR="00CB69BE" w:rsidRPr="00404055" w:rsidRDefault="00CB69BE" w:rsidP="005C0169">
            <w:pPr>
              <w:pStyle w:val="TableHeader2"/>
              <w:ind w:left="0"/>
            </w:pPr>
            <w:r w:rsidRPr="00404055">
              <w:t xml:space="preserve">Wellbeing: behaviour problems </w:t>
            </w:r>
          </w:p>
        </w:tc>
        <w:tc>
          <w:tcPr>
            <w:tcW w:w="236" w:type="dxa"/>
            <w:shd w:val="clear" w:color="auto" w:fill="D9E2F3" w:themeFill="accent1" w:themeFillTint="33"/>
          </w:tcPr>
          <w:p w14:paraId="4F2086FB" w14:textId="77777777" w:rsidR="00CB69BE" w:rsidRPr="00404055" w:rsidRDefault="00CB69BE" w:rsidP="00BC3CD1">
            <w:pPr>
              <w:pStyle w:val="TableHeader2"/>
            </w:pPr>
          </w:p>
        </w:tc>
        <w:tc>
          <w:tcPr>
            <w:tcW w:w="1280" w:type="dxa"/>
            <w:shd w:val="clear" w:color="auto" w:fill="D9E2F3" w:themeFill="accent1" w:themeFillTint="33"/>
          </w:tcPr>
          <w:p w14:paraId="2DE738BB" w14:textId="77777777" w:rsidR="00CB69BE" w:rsidRPr="00404055" w:rsidRDefault="00CB69BE" w:rsidP="00BC3CD1">
            <w:pPr>
              <w:pStyle w:val="TableHeader2"/>
            </w:pPr>
          </w:p>
        </w:tc>
        <w:tc>
          <w:tcPr>
            <w:tcW w:w="1280" w:type="dxa"/>
            <w:shd w:val="clear" w:color="auto" w:fill="D9E2F3" w:themeFill="accent1" w:themeFillTint="33"/>
          </w:tcPr>
          <w:p w14:paraId="1A7826D7" w14:textId="77777777" w:rsidR="00CB69BE" w:rsidRPr="00404055" w:rsidRDefault="00CB69BE" w:rsidP="00BC3CD1">
            <w:pPr>
              <w:pStyle w:val="TableHeader2"/>
            </w:pPr>
          </w:p>
        </w:tc>
      </w:tr>
      <w:tr w:rsidR="00CB69BE" w:rsidRPr="00404055" w14:paraId="64FA8B74" w14:textId="77777777" w:rsidTr="000C664C">
        <w:tc>
          <w:tcPr>
            <w:tcW w:w="3363" w:type="dxa"/>
          </w:tcPr>
          <w:p w14:paraId="7FF60A0B" w14:textId="45D6941B" w:rsidR="00CB69BE" w:rsidRPr="00404055" w:rsidRDefault="00CB69BE" w:rsidP="00BC3CD1">
            <w:pPr>
              <w:pStyle w:val="TableRowIndent"/>
            </w:pPr>
            <w:r w:rsidRPr="00404055">
              <w:t>Year 3</w:t>
            </w:r>
          </w:p>
        </w:tc>
        <w:tc>
          <w:tcPr>
            <w:tcW w:w="236" w:type="dxa"/>
          </w:tcPr>
          <w:p w14:paraId="1CEC34A5" w14:textId="77777777" w:rsidR="00CB69BE" w:rsidRPr="00404055" w:rsidRDefault="00CB69BE" w:rsidP="00BC3CD1">
            <w:pPr>
              <w:pStyle w:val="TableBody"/>
            </w:pPr>
          </w:p>
        </w:tc>
        <w:tc>
          <w:tcPr>
            <w:tcW w:w="1280" w:type="dxa"/>
          </w:tcPr>
          <w:p w14:paraId="2CAC601B" w14:textId="77777777" w:rsidR="00CB69BE" w:rsidRPr="00404055" w:rsidRDefault="00CB69BE" w:rsidP="00BC3CD1">
            <w:pPr>
              <w:pStyle w:val="TableBody"/>
            </w:pPr>
            <w:r w:rsidRPr="00404055">
              <w:t>1141 (92.1)</w:t>
            </w:r>
          </w:p>
        </w:tc>
        <w:tc>
          <w:tcPr>
            <w:tcW w:w="1280" w:type="dxa"/>
          </w:tcPr>
          <w:p w14:paraId="6BEFAE31" w14:textId="77777777" w:rsidR="00CB69BE" w:rsidRPr="00404055" w:rsidRDefault="00CB69BE" w:rsidP="00BC3CD1">
            <w:pPr>
              <w:pStyle w:val="TableBody"/>
            </w:pPr>
            <w:r w:rsidRPr="00404055">
              <w:t>957 (91.8)</w:t>
            </w:r>
          </w:p>
        </w:tc>
      </w:tr>
      <w:tr w:rsidR="00CB69BE" w:rsidRPr="00404055" w14:paraId="0856FC5B" w14:textId="77777777" w:rsidTr="000C664C">
        <w:tc>
          <w:tcPr>
            <w:tcW w:w="3363" w:type="dxa"/>
          </w:tcPr>
          <w:p w14:paraId="7AC4D281" w14:textId="1FC5C178" w:rsidR="00CB69BE" w:rsidRPr="00404055" w:rsidRDefault="00CB69BE" w:rsidP="00BC3CD1">
            <w:pPr>
              <w:pStyle w:val="TableRowIndent"/>
            </w:pPr>
            <w:r w:rsidRPr="00404055">
              <w:t>Year 4</w:t>
            </w:r>
          </w:p>
        </w:tc>
        <w:tc>
          <w:tcPr>
            <w:tcW w:w="236" w:type="dxa"/>
          </w:tcPr>
          <w:p w14:paraId="6BCC983F" w14:textId="77777777" w:rsidR="00CB69BE" w:rsidRPr="00404055" w:rsidRDefault="00CB69BE" w:rsidP="00BC3CD1">
            <w:pPr>
              <w:pStyle w:val="TableBody"/>
            </w:pPr>
          </w:p>
        </w:tc>
        <w:tc>
          <w:tcPr>
            <w:tcW w:w="1280" w:type="dxa"/>
          </w:tcPr>
          <w:p w14:paraId="22F98C9E" w14:textId="77777777" w:rsidR="00CB69BE" w:rsidRPr="00404055" w:rsidRDefault="00CB69BE" w:rsidP="00BC3CD1">
            <w:pPr>
              <w:pStyle w:val="TableBody"/>
            </w:pPr>
            <w:r w:rsidRPr="00404055">
              <w:t>1077 (86.9)</w:t>
            </w:r>
          </w:p>
        </w:tc>
        <w:tc>
          <w:tcPr>
            <w:tcW w:w="1280" w:type="dxa"/>
          </w:tcPr>
          <w:p w14:paraId="5A945A3F" w14:textId="77777777" w:rsidR="00CB69BE" w:rsidRPr="00404055" w:rsidRDefault="00CB69BE" w:rsidP="00BC3CD1">
            <w:pPr>
              <w:pStyle w:val="TableBody"/>
            </w:pPr>
            <w:r w:rsidRPr="00404055">
              <w:t>907 (87.0)</w:t>
            </w:r>
          </w:p>
        </w:tc>
      </w:tr>
      <w:tr w:rsidR="00CB69BE" w:rsidRPr="00404055" w14:paraId="0DE936AC" w14:textId="77777777" w:rsidTr="000C664C">
        <w:tc>
          <w:tcPr>
            <w:tcW w:w="3363" w:type="dxa"/>
          </w:tcPr>
          <w:p w14:paraId="0C1BDDE4" w14:textId="4B688C4C" w:rsidR="00CB69BE" w:rsidRPr="00404055" w:rsidRDefault="00CB69BE" w:rsidP="00BC3CD1">
            <w:pPr>
              <w:pStyle w:val="TableRowIndent"/>
            </w:pPr>
            <w:r w:rsidRPr="00404055">
              <w:t>Year 5</w:t>
            </w:r>
          </w:p>
        </w:tc>
        <w:tc>
          <w:tcPr>
            <w:tcW w:w="236" w:type="dxa"/>
          </w:tcPr>
          <w:p w14:paraId="241C3B76" w14:textId="77777777" w:rsidR="00CB69BE" w:rsidRPr="00404055" w:rsidRDefault="00CB69BE" w:rsidP="00BC3CD1">
            <w:pPr>
              <w:pStyle w:val="TableBody"/>
            </w:pPr>
          </w:p>
        </w:tc>
        <w:tc>
          <w:tcPr>
            <w:tcW w:w="1280" w:type="dxa"/>
          </w:tcPr>
          <w:p w14:paraId="6A21EA38" w14:textId="77777777" w:rsidR="00CB69BE" w:rsidRPr="00404055" w:rsidRDefault="00CB69BE" w:rsidP="00BC3CD1">
            <w:pPr>
              <w:pStyle w:val="TableBody"/>
            </w:pPr>
            <w:r w:rsidRPr="00404055">
              <w:t>1091 (88.1)</w:t>
            </w:r>
          </w:p>
        </w:tc>
        <w:tc>
          <w:tcPr>
            <w:tcW w:w="1280" w:type="dxa"/>
          </w:tcPr>
          <w:p w14:paraId="322343B5" w14:textId="77777777" w:rsidR="00CB69BE" w:rsidRPr="00404055" w:rsidRDefault="00CB69BE" w:rsidP="00BC3CD1">
            <w:pPr>
              <w:pStyle w:val="TableBody"/>
            </w:pPr>
            <w:r w:rsidRPr="00404055">
              <w:t>927 (89.0)</w:t>
            </w:r>
          </w:p>
        </w:tc>
      </w:tr>
      <w:tr w:rsidR="00CB69BE" w:rsidRPr="00404055" w14:paraId="1AA4C42C" w14:textId="77777777" w:rsidTr="000C664C">
        <w:tc>
          <w:tcPr>
            <w:tcW w:w="3363" w:type="dxa"/>
          </w:tcPr>
          <w:p w14:paraId="46E315A3" w14:textId="4C9A4794" w:rsidR="00CB69BE" w:rsidRPr="00404055" w:rsidRDefault="00CB69BE" w:rsidP="00BC3CD1">
            <w:pPr>
              <w:pStyle w:val="TableRowIndent"/>
            </w:pPr>
            <w:r w:rsidRPr="00404055">
              <w:t>Year 6</w:t>
            </w:r>
          </w:p>
        </w:tc>
        <w:tc>
          <w:tcPr>
            <w:tcW w:w="236" w:type="dxa"/>
          </w:tcPr>
          <w:p w14:paraId="10C1EE0D" w14:textId="77777777" w:rsidR="00CB69BE" w:rsidRPr="00404055" w:rsidRDefault="00CB69BE" w:rsidP="00BC3CD1">
            <w:pPr>
              <w:pStyle w:val="TableBody"/>
            </w:pPr>
          </w:p>
        </w:tc>
        <w:tc>
          <w:tcPr>
            <w:tcW w:w="1280" w:type="dxa"/>
          </w:tcPr>
          <w:p w14:paraId="7AD62869" w14:textId="77777777" w:rsidR="00CB69BE" w:rsidRPr="00404055" w:rsidRDefault="00CB69BE" w:rsidP="00BC3CD1">
            <w:pPr>
              <w:pStyle w:val="TableBody"/>
            </w:pPr>
            <w:r w:rsidRPr="00404055">
              <w:t>1057 (85.3)</w:t>
            </w:r>
          </w:p>
        </w:tc>
        <w:tc>
          <w:tcPr>
            <w:tcW w:w="1280" w:type="dxa"/>
          </w:tcPr>
          <w:p w14:paraId="04D92D1F" w14:textId="77777777" w:rsidR="00CB69BE" w:rsidRPr="00404055" w:rsidRDefault="00CB69BE" w:rsidP="00BC3CD1">
            <w:pPr>
              <w:pStyle w:val="TableBody"/>
            </w:pPr>
            <w:r w:rsidRPr="00404055">
              <w:t>906 (87.0)</w:t>
            </w:r>
          </w:p>
        </w:tc>
      </w:tr>
      <w:tr w:rsidR="00CB69BE" w:rsidRPr="00404055" w14:paraId="581597F6" w14:textId="77777777" w:rsidTr="000C664C">
        <w:tc>
          <w:tcPr>
            <w:tcW w:w="3363" w:type="dxa"/>
          </w:tcPr>
          <w:p w14:paraId="3E069185" w14:textId="3C64AC8E" w:rsidR="00CB69BE" w:rsidRPr="00404055" w:rsidRDefault="00CB69BE" w:rsidP="00BC3CD1">
            <w:pPr>
              <w:pStyle w:val="TableRowIndent"/>
            </w:pPr>
            <w:r w:rsidRPr="00404055">
              <w:t>Year 7</w:t>
            </w:r>
          </w:p>
        </w:tc>
        <w:tc>
          <w:tcPr>
            <w:tcW w:w="236" w:type="dxa"/>
          </w:tcPr>
          <w:p w14:paraId="1D096460" w14:textId="77777777" w:rsidR="00CB69BE" w:rsidRPr="00404055" w:rsidRDefault="00CB69BE" w:rsidP="00BC3CD1">
            <w:pPr>
              <w:pStyle w:val="TableBody"/>
            </w:pPr>
          </w:p>
        </w:tc>
        <w:tc>
          <w:tcPr>
            <w:tcW w:w="1280" w:type="dxa"/>
          </w:tcPr>
          <w:p w14:paraId="0C5C6E2D" w14:textId="77777777" w:rsidR="00CB69BE" w:rsidRPr="00404055" w:rsidRDefault="00CB69BE" w:rsidP="00BC3CD1">
            <w:pPr>
              <w:pStyle w:val="TableBody"/>
            </w:pPr>
            <w:r w:rsidRPr="00404055">
              <w:t>-</w:t>
            </w:r>
          </w:p>
        </w:tc>
        <w:tc>
          <w:tcPr>
            <w:tcW w:w="1280" w:type="dxa"/>
          </w:tcPr>
          <w:p w14:paraId="50FB69C5" w14:textId="77777777" w:rsidR="00CB69BE" w:rsidRPr="00404055" w:rsidRDefault="00CB69BE" w:rsidP="00BC3CD1">
            <w:pPr>
              <w:pStyle w:val="TableBody"/>
            </w:pPr>
            <w:r w:rsidRPr="00404055">
              <w:t>-</w:t>
            </w:r>
          </w:p>
        </w:tc>
      </w:tr>
      <w:tr w:rsidR="00CB69BE" w:rsidRPr="00404055" w14:paraId="6D761FDD" w14:textId="77777777" w:rsidTr="000C664C">
        <w:tc>
          <w:tcPr>
            <w:tcW w:w="3363" w:type="dxa"/>
          </w:tcPr>
          <w:p w14:paraId="4F7399B3" w14:textId="35C0F478" w:rsidR="00CB69BE" w:rsidRPr="00404055" w:rsidRDefault="00CB69BE" w:rsidP="00BC3CD1">
            <w:pPr>
              <w:pStyle w:val="TableRowIndent"/>
            </w:pPr>
            <w:r w:rsidRPr="00404055">
              <w:t>Year 3-5 indicator</w:t>
            </w:r>
          </w:p>
        </w:tc>
        <w:tc>
          <w:tcPr>
            <w:tcW w:w="236" w:type="dxa"/>
          </w:tcPr>
          <w:p w14:paraId="20DC3FFF" w14:textId="77777777" w:rsidR="00CB69BE" w:rsidRPr="00404055" w:rsidRDefault="00CB69BE" w:rsidP="00BC3CD1">
            <w:pPr>
              <w:pStyle w:val="TableBody"/>
            </w:pPr>
          </w:p>
        </w:tc>
        <w:tc>
          <w:tcPr>
            <w:tcW w:w="1280" w:type="dxa"/>
          </w:tcPr>
          <w:p w14:paraId="3C8FD68E" w14:textId="77777777" w:rsidR="00CB69BE" w:rsidRPr="00404055" w:rsidRDefault="00CB69BE" w:rsidP="00BC3CD1">
            <w:pPr>
              <w:pStyle w:val="TableBody"/>
            </w:pPr>
            <w:r w:rsidRPr="00404055">
              <w:t>968 (78.1)</w:t>
            </w:r>
          </w:p>
        </w:tc>
        <w:tc>
          <w:tcPr>
            <w:tcW w:w="1280" w:type="dxa"/>
          </w:tcPr>
          <w:p w14:paraId="7526D2E9" w14:textId="77777777" w:rsidR="00CB69BE" w:rsidRPr="00404055" w:rsidRDefault="00CB69BE" w:rsidP="00BC3CD1">
            <w:pPr>
              <w:pStyle w:val="TableBody"/>
            </w:pPr>
            <w:r w:rsidRPr="00404055">
              <w:t>817 (78.4)</w:t>
            </w:r>
          </w:p>
        </w:tc>
      </w:tr>
      <w:tr w:rsidR="00CB69BE" w:rsidRPr="00404055" w14:paraId="612C37AA" w14:textId="77777777" w:rsidTr="000D4819">
        <w:tc>
          <w:tcPr>
            <w:tcW w:w="3363" w:type="dxa"/>
            <w:shd w:val="clear" w:color="auto" w:fill="D9E2F3" w:themeFill="accent1" w:themeFillTint="33"/>
          </w:tcPr>
          <w:p w14:paraId="67B15ECA" w14:textId="77777777" w:rsidR="00CB69BE" w:rsidRPr="00404055" w:rsidRDefault="00CB69BE" w:rsidP="005C0169">
            <w:pPr>
              <w:pStyle w:val="TableHeader2"/>
              <w:ind w:left="0"/>
            </w:pPr>
            <w:r w:rsidRPr="00404055">
              <w:t>Wellbeing: low subjective wellbeing</w:t>
            </w:r>
          </w:p>
        </w:tc>
        <w:tc>
          <w:tcPr>
            <w:tcW w:w="236" w:type="dxa"/>
            <w:shd w:val="clear" w:color="auto" w:fill="D9E2F3" w:themeFill="accent1" w:themeFillTint="33"/>
          </w:tcPr>
          <w:p w14:paraId="1A8E4ED1" w14:textId="77777777" w:rsidR="00CB69BE" w:rsidRPr="00404055" w:rsidRDefault="00CB69BE" w:rsidP="00BC3CD1">
            <w:pPr>
              <w:pStyle w:val="TableBody"/>
            </w:pPr>
          </w:p>
        </w:tc>
        <w:tc>
          <w:tcPr>
            <w:tcW w:w="1280" w:type="dxa"/>
            <w:shd w:val="clear" w:color="auto" w:fill="D9E2F3" w:themeFill="accent1" w:themeFillTint="33"/>
          </w:tcPr>
          <w:p w14:paraId="60725CD3" w14:textId="77777777" w:rsidR="00CB69BE" w:rsidRPr="00404055" w:rsidRDefault="00CB69BE" w:rsidP="00BC3CD1">
            <w:pPr>
              <w:pStyle w:val="TableBody"/>
            </w:pPr>
          </w:p>
        </w:tc>
        <w:tc>
          <w:tcPr>
            <w:tcW w:w="1280" w:type="dxa"/>
            <w:shd w:val="clear" w:color="auto" w:fill="D9E2F3" w:themeFill="accent1" w:themeFillTint="33"/>
          </w:tcPr>
          <w:p w14:paraId="1E5FEDA3" w14:textId="77777777" w:rsidR="00CB69BE" w:rsidRPr="00404055" w:rsidRDefault="00CB69BE" w:rsidP="00BC3CD1">
            <w:pPr>
              <w:pStyle w:val="TableBody"/>
            </w:pPr>
          </w:p>
        </w:tc>
      </w:tr>
      <w:tr w:rsidR="00CB69BE" w:rsidRPr="00404055" w14:paraId="2EBD1F2D" w14:textId="77777777" w:rsidTr="000C664C">
        <w:tc>
          <w:tcPr>
            <w:tcW w:w="3363" w:type="dxa"/>
          </w:tcPr>
          <w:p w14:paraId="78607076" w14:textId="42BEA602" w:rsidR="00CB69BE" w:rsidRPr="00404055" w:rsidRDefault="00CB69BE" w:rsidP="00BC3CD1">
            <w:pPr>
              <w:pStyle w:val="TableRowIndent"/>
              <w:rPr>
                <w:b/>
              </w:rPr>
            </w:pPr>
            <w:r w:rsidRPr="00404055">
              <w:t>Year 3</w:t>
            </w:r>
          </w:p>
        </w:tc>
        <w:tc>
          <w:tcPr>
            <w:tcW w:w="236" w:type="dxa"/>
          </w:tcPr>
          <w:p w14:paraId="26C75ACD" w14:textId="77777777" w:rsidR="00CB69BE" w:rsidRPr="00404055" w:rsidRDefault="00CB69BE" w:rsidP="00BC3CD1">
            <w:pPr>
              <w:pStyle w:val="TableBody"/>
            </w:pPr>
          </w:p>
        </w:tc>
        <w:tc>
          <w:tcPr>
            <w:tcW w:w="1280" w:type="dxa"/>
          </w:tcPr>
          <w:p w14:paraId="48F32EBB" w14:textId="77777777" w:rsidR="00CB69BE" w:rsidRPr="00404055" w:rsidRDefault="00CB69BE" w:rsidP="00BC3CD1">
            <w:pPr>
              <w:pStyle w:val="TableBody"/>
            </w:pPr>
            <w:r w:rsidRPr="00404055">
              <w:t>1163 (93.9)</w:t>
            </w:r>
          </w:p>
        </w:tc>
        <w:tc>
          <w:tcPr>
            <w:tcW w:w="1280" w:type="dxa"/>
          </w:tcPr>
          <w:p w14:paraId="3454A7FB" w14:textId="77777777" w:rsidR="00CB69BE" w:rsidRPr="00404055" w:rsidRDefault="00CB69BE" w:rsidP="00BC3CD1">
            <w:pPr>
              <w:pStyle w:val="TableBody"/>
            </w:pPr>
            <w:r w:rsidRPr="00404055">
              <w:t>980 (94.0)</w:t>
            </w:r>
          </w:p>
        </w:tc>
      </w:tr>
      <w:tr w:rsidR="00CB69BE" w:rsidRPr="00404055" w14:paraId="6E56EE1D" w14:textId="77777777" w:rsidTr="000C664C">
        <w:tc>
          <w:tcPr>
            <w:tcW w:w="3363" w:type="dxa"/>
          </w:tcPr>
          <w:p w14:paraId="2861D6C5" w14:textId="0305D09A" w:rsidR="00CB69BE" w:rsidRPr="00404055" w:rsidRDefault="00CB69BE" w:rsidP="00BC3CD1">
            <w:pPr>
              <w:pStyle w:val="TableRowIndent"/>
              <w:rPr>
                <w:b/>
              </w:rPr>
            </w:pPr>
            <w:r w:rsidRPr="00404055">
              <w:t>Year 4</w:t>
            </w:r>
          </w:p>
        </w:tc>
        <w:tc>
          <w:tcPr>
            <w:tcW w:w="236" w:type="dxa"/>
          </w:tcPr>
          <w:p w14:paraId="4C78F9BD" w14:textId="77777777" w:rsidR="00CB69BE" w:rsidRPr="00404055" w:rsidRDefault="00CB69BE" w:rsidP="00BC3CD1">
            <w:pPr>
              <w:pStyle w:val="TableBody"/>
            </w:pPr>
          </w:p>
        </w:tc>
        <w:tc>
          <w:tcPr>
            <w:tcW w:w="1280" w:type="dxa"/>
          </w:tcPr>
          <w:p w14:paraId="5811AE03" w14:textId="77777777" w:rsidR="00CB69BE" w:rsidRPr="00404055" w:rsidRDefault="00CB69BE" w:rsidP="00BC3CD1">
            <w:pPr>
              <w:pStyle w:val="TableBody"/>
            </w:pPr>
            <w:r w:rsidRPr="00404055">
              <w:t>1142 (92.2)</w:t>
            </w:r>
          </w:p>
        </w:tc>
        <w:tc>
          <w:tcPr>
            <w:tcW w:w="1280" w:type="dxa"/>
          </w:tcPr>
          <w:p w14:paraId="394D8793" w14:textId="77777777" w:rsidR="00CB69BE" w:rsidRPr="00404055" w:rsidRDefault="00CB69BE" w:rsidP="00BC3CD1">
            <w:pPr>
              <w:pStyle w:val="TableBody"/>
            </w:pPr>
            <w:r w:rsidRPr="00404055">
              <w:t>968 (92.9)</w:t>
            </w:r>
          </w:p>
        </w:tc>
      </w:tr>
      <w:tr w:rsidR="00CB69BE" w:rsidRPr="00404055" w14:paraId="3EBF0B44" w14:textId="77777777" w:rsidTr="000C664C">
        <w:tc>
          <w:tcPr>
            <w:tcW w:w="3363" w:type="dxa"/>
          </w:tcPr>
          <w:p w14:paraId="17F9B4F7" w14:textId="7EB55AFE" w:rsidR="00CB69BE" w:rsidRPr="00404055" w:rsidRDefault="00CB69BE" w:rsidP="00BC3CD1">
            <w:pPr>
              <w:pStyle w:val="TableRowIndent"/>
              <w:rPr>
                <w:b/>
              </w:rPr>
            </w:pPr>
            <w:r w:rsidRPr="00404055">
              <w:t>Year 5</w:t>
            </w:r>
          </w:p>
        </w:tc>
        <w:tc>
          <w:tcPr>
            <w:tcW w:w="236" w:type="dxa"/>
          </w:tcPr>
          <w:p w14:paraId="61A026E5" w14:textId="77777777" w:rsidR="00CB69BE" w:rsidRPr="00404055" w:rsidRDefault="00CB69BE" w:rsidP="00BC3CD1">
            <w:pPr>
              <w:pStyle w:val="TableBody"/>
            </w:pPr>
          </w:p>
        </w:tc>
        <w:tc>
          <w:tcPr>
            <w:tcW w:w="1280" w:type="dxa"/>
          </w:tcPr>
          <w:p w14:paraId="5800FDC0" w14:textId="77777777" w:rsidR="00CB69BE" w:rsidRPr="00404055" w:rsidRDefault="00CB69BE" w:rsidP="00BC3CD1">
            <w:pPr>
              <w:pStyle w:val="TableBody"/>
            </w:pPr>
            <w:r w:rsidRPr="00404055">
              <w:t>1113 (89.8)</w:t>
            </w:r>
          </w:p>
        </w:tc>
        <w:tc>
          <w:tcPr>
            <w:tcW w:w="1280" w:type="dxa"/>
          </w:tcPr>
          <w:p w14:paraId="3913916E" w14:textId="77777777" w:rsidR="00CB69BE" w:rsidRPr="00404055" w:rsidRDefault="00CB69BE" w:rsidP="00BC3CD1">
            <w:pPr>
              <w:pStyle w:val="TableBody"/>
            </w:pPr>
            <w:r w:rsidRPr="00404055">
              <w:t>944 (90.6)</w:t>
            </w:r>
          </w:p>
        </w:tc>
      </w:tr>
      <w:tr w:rsidR="00CB69BE" w:rsidRPr="00404055" w14:paraId="23B9A138" w14:textId="77777777" w:rsidTr="000C664C">
        <w:tc>
          <w:tcPr>
            <w:tcW w:w="3363" w:type="dxa"/>
          </w:tcPr>
          <w:p w14:paraId="42201588" w14:textId="1E876B7C" w:rsidR="00CB69BE" w:rsidRPr="00404055" w:rsidRDefault="00CB69BE" w:rsidP="00BC3CD1">
            <w:pPr>
              <w:pStyle w:val="TableRowIndent"/>
              <w:rPr>
                <w:b/>
              </w:rPr>
            </w:pPr>
            <w:r w:rsidRPr="00404055">
              <w:t>Year 6</w:t>
            </w:r>
          </w:p>
        </w:tc>
        <w:tc>
          <w:tcPr>
            <w:tcW w:w="236" w:type="dxa"/>
          </w:tcPr>
          <w:p w14:paraId="63E6D679" w14:textId="77777777" w:rsidR="00CB69BE" w:rsidRPr="00404055" w:rsidRDefault="00CB69BE" w:rsidP="00BC3CD1">
            <w:pPr>
              <w:pStyle w:val="TableBody"/>
            </w:pPr>
          </w:p>
        </w:tc>
        <w:tc>
          <w:tcPr>
            <w:tcW w:w="1280" w:type="dxa"/>
          </w:tcPr>
          <w:p w14:paraId="29BED885" w14:textId="77777777" w:rsidR="00CB69BE" w:rsidRPr="00404055" w:rsidRDefault="00CB69BE" w:rsidP="00BC3CD1">
            <w:pPr>
              <w:pStyle w:val="TableBody"/>
            </w:pPr>
            <w:r w:rsidRPr="00404055">
              <w:t>1066 (86.0)</w:t>
            </w:r>
          </w:p>
        </w:tc>
        <w:tc>
          <w:tcPr>
            <w:tcW w:w="1280" w:type="dxa"/>
          </w:tcPr>
          <w:p w14:paraId="198523C3" w14:textId="77777777" w:rsidR="00CB69BE" w:rsidRPr="00404055" w:rsidRDefault="00CB69BE" w:rsidP="00BC3CD1">
            <w:pPr>
              <w:pStyle w:val="TableBody"/>
            </w:pPr>
            <w:r w:rsidRPr="00404055">
              <w:t>907 (87.0)</w:t>
            </w:r>
          </w:p>
        </w:tc>
      </w:tr>
      <w:tr w:rsidR="00CB69BE" w:rsidRPr="00404055" w14:paraId="6B06519C" w14:textId="77777777" w:rsidTr="000C664C">
        <w:tc>
          <w:tcPr>
            <w:tcW w:w="3363" w:type="dxa"/>
          </w:tcPr>
          <w:p w14:paraId="236AAFB9" w14:textId="00D04431" w:rsidR="00CB69BE" w:rsidRPr="00404055" w:rsidRDefault="00CB69BE" w:rsidP="00BC3CD1">
            <w:pPr>
              <w:pStyle w:val="TableRowIndent"/>
              <w:rPr>
                <w:b/>
              </w:rPr>
            </w:pPr>
            <w:r w:rsidRPr="00404055">
              <w:t>Year 7</w:t>
            </w:r>
          </w:p>
        </w:tc>
        <w:tc>
          <w:tcPr>
            <w:tcW w:w="236" w:type="dxa"/>
          </w:tcPr>
          <w:p w14:paraId="4EE3FF88" w14:textId="77777777" w:rsidR="00CB69BE" w:rsidRPr="00404055" w:rsidRDefault="00CB69BE" w:rsidP="00BC3CD1">
            <w:pPr>
              <w:pStyle w:val="TableBody"/>
            </w:pPr>
          </w:p>
        </w:tc>
        <w:tc>
          <w:tcPr>
            <w:tcW w:w="1280" w:type="dxa"/>
          </w:tcPr>
          <w:p w14:paraId="1BCEEE82" w14:textId="77777777" w:rsidR="00CB69BE" w:rsidRPr="00404055" w:rsidRDefault="00CB69BE" w:rsidP="00BC3CD1">
            <w:pPr>
              <w:pStyle w:val="TableBody"/>
            </w:pPr>
            <w:r w:rsidRPr="00404055">
              <w:t>982 (79.3)</w:t>
            </w:r>
          </w:p>
        </w:tc>
        <w:tc>
          <w:tcPr>
            <w:tcW w:w="1280" w:type="dxa"/>
          </w:tcPr>
          <w:p w14:paraId="6CA0AC7E" w14:textId="77777777" w:rsidR="00CB69BE" w:rsidRPr="00404055" w:rsidRDefault="00CB69BE" w:rsidP="00BC3CD1">
            <w:pPr>
              <w:pStyle w:val="TableBody"/>
            </w:pPr>
            <w:r w:rsidRPr="00404055">
              <w:t>837 (89.9)</w:t>
            </w:r>
          </w:p>
        </w:tc>
      </w:tr>
      <w:tr w:rsidR="00CB69BE" w:rsidRPr="00404055" w14:paraId="4E1EB697" w14:textId="77777777" w:rsidTr="000C664C">
        <w:tc>
          <w:tcPr>
            <w:tcW w:w="3363" w:type="dxa"/>
          </w:tcPr>
          <w:p w14:paraId="6C75C6FA" w14:textId="6F164A81" w:rsidR="00CB69BE" w:rsidRPr="00404055" w:rsidRDefault="00CB69BE" w:rsidP="00BC3CD1">
            <w:pPr>
              <w:pStyle w:val="TableRowIndent"/>
            </w:pPr>
            <w:r w:rsidRPr="00404055">
              <w:t>Year 3-5 indicator</w:t>
            </w:r>
          </w:p>
        </w:tc>
        <w:tc>
          <w:tcPr>
            <w:tcW w:w="236" w:type="dxa"/>
          </w:tcPr>
          <w:p w14:paraId="7D5F6804" w14:textId="77777777" w:rsidR="00CB69BE" w:rsidRPr="00404055" w:rsidRDefault="00CB69BE" w:rsidP="00BC3CD1">
            <w:pPr>
              <w:pStyle w:val="TableBody"/>
            </w:pPr>
          </w:p>
        </w:tc>
        <w:tc>
          <w:tcPr>
            <w:tcW w:w="1280" w:type="dxa"/>
          </w:tcPr>
          <w:p w14:paraId="502663C1" w14:textId="77777777" w:rsidR="00CB69BE" w:rsidRPr="00404055" w:rsidRDefault="00CB69BE" w:rsidP="00BC3CD1">
            <w:pPr>
              <w:pStyle w:val="TableBody"/>
            </w:pPr>
            <w:r w:rsidRPr="00404055">
              <w:t>1020 (82.3)</w:t>
            </w:r>
          </w:p>
        </w:tc>
        <w:tc>
          <w:tcPr>
            <w:tcW w:w="1280" w:type="dxa"/>
          </w:tcPr>
          <w:p w14:paraId="6BCDB828" w14:textId="77777777" w:rsidR="00CB69BE" w:rsidRPr="00404055" w:rsidRDefault="00CB69BE" w:rsidP="00BC3CD1">
            <w:pPr>
              <w:pStyle w:val="TableBody"/>
            </w:pPr>
            <w:r w:rsidRPr="00404055">
              <w:t>865 (69.8)</w:t>
            </w:r>
          </w:p>
        </w:tc>
      </w:tr>
      <w:tr w:rsidR="00CB69BE" w:rsidRPr="00404055" w14:paraId="3F4660ED" w14:textId="77777777" w:rsidTr="000D4819">
        <w:tc>
          <w:tcPr>
            <w:tcW w:w="3363" w:type="dxa"/>
            <w:shd w:val="clear" w:color="auto" w:fill="D9E2F3" w:themeFill="accent1" w:themeFillTint="33"/>
          </w:tcPr>
          <w:p w14:paraId="0B4F939A" w14:textId="77777777" w:rsidR="00CB69BE" w:rsidRPr="00404055" w:rsidRDefault="00CB69BE" w:rsidP="005C0169">
            <w:pPr>
              <w:pStyle w:val="TableHeader2"/>
              <w:ind w:left="0"/>
            </w:pPr>
            <w:r w:rsidRPr="00404055">
              <w:t>Peer relationships: peer support</w:t>
            </w:r>
          </w:p>
        </w:tc>
        <w:tc>
          <w:tcPr>
            <w:tcW w:w="236" w:type="dxa"/>
            <w:shd w:val="clear" w:color="auto" w:fill="D9E2F3" w:themeFill="accent1" w:themeFillTint="33"/>
          </w:tcPr>
          <w:p w14:paraId="06DE3F22" w14:textId="77777777" w:rsidR="00CB69BE" w:rsidRPr="00404055" w:rsidRDefault="00CB69BE" w:rsidP="00BC3CD1">
            <w:pPr>
              <w:pStyle w:val="TableHeader2"/>
            </w:pPr>
          </w:p>
        </w:tc>
        <w:tc>
          <w:tcPr>
            <w:tcW w:w="1280" w:type="dxa"/>
            <w:shd w:val="clear" w:color="auto" w:fill="D9E2F3" w:themeFill="accent1" w:themeFillTint="33"/>
          </w:tcPr>
          <w:p w14:paraId="1728BA12" w14:textId="77777777" w:rsidR="00CB69BE" w:rsidRPr="00404055" w:rsidRDefault="00CB69BE" w:rsidP="00BC3CD1">
            <w:pPr>
              <w:pStyle w:val="TableHeader2"/>
            </w:pPr>
          </w:p>
        </w:tc>
        <w:tc>
          <w:tcPr>
            <w:tcW w:w="1280" w:type="dxa"/>
            <w:shd w:val="clear" w:color="auto" w:fill="D9E2F3" w:themeFill="accent1" w:themeFillTint="33"/>
          </w:tcPr>
          <w:p w14:paraId="1076F94B" w14:textId="77777777" w:rsidR="00CB69BE" w:rsidRPr="00404055" w:rsidRDefault="00CB69BE" w:rsidP="00BC3CD1">
            <w:pPr>
              <w:pStyle w:val="TableHeader2"/>
            </w:pPr>
          </w:p>
        </w:tc>
      </w:tr>
      <w:tr w:rsidR="00CB69BE" w:rsidRPr="00404055" w14:paraId="27694344" w14:textId="77777777" w:rsidTr="000C664C">
        <w:tc>
          <w:tcPr>
            <w:tcW w:w="3363" w:type="dxa"/>
          </w:tcPr>
          <w:p w14:paraId="0A014429" w14:textId="7C9E1C7B" w:rsidR="00CB69BE" w:rsidRPr="00404055" w:rsidRDefault="00CB69BE" w:rsidP="00BC3CD1">
            <w:pPr>
              <w:pStyle w:val="TableRowIndent"/>
            </w:pPr>
            <w:r w:rsidRPr="00404055">
              <w:t>Year 3</w:t>
            </w:r>
          </w:p>
        </w:tc>
        <w:tc>
          <w:tcPr>
            <w:tcW w:w="236" w:type="dxa"/>
          </w:tcPr>
          <w:p w14:paraId="6DA0871F" w14:textId="77777777" w:rsidR="00CB69BE" w:rsidRPr="00404055" w:rsidRDefault="00CB69BE" w:rsidP="00BC3CD1">
            <w:pPr>
              <w:pStyle w:val="TableBody"/>
            </w:pPr>
          </w:p>
        </w:tc>
        <w:tc>
          <w:tcPr>
            <w:tcW w:w="1280" w:type="dxa"/>
          </w:tcPr>
          <w:p w14:paraId="426CB33D" w14:textId="77777777" w:rsidR="00CB69BE" w:rsidRPr="00404055" w:rsidRDefault="00CB69BE" w:rsidP="00BC3CD1">
            <w:pPr>
              <w:pStyle w:val="TableBody"/>
            </w:pPr>
            <w:r w:rsidRPr="00404055">
              <w:t>1191 (96.1)</w:t>
            </w:r>
          </w:p>
        </w:tc>
        <w:tc>
          <w:tcPr>
            <w:tcW w:w="1280" w:type="dxa"/>
          </w:tcPr>
          <w:p w14:paraId="5F24F21E" w14:textId="77777777" w:rsidR="00CB69BE" w:rsidRPr="00404055" w:rsidRDefault="00CB69BE" w:rsidP="00BC3CD1">
            <w:pPr>
              <w:pStyle w:val="TableBody"/>
            </w:pPr>
            <w:r w:rsidRPr="00404055">
              <w:t>1003 (96.3)</w:t>
            </w:r>
          </w:p>
        </w:tc>
      </w:tr>
      <w:tr w:rsidR="00CB69BE" w:rsidRPr="00404055" w14:paraId="7B163E31" w14:textId="77777777" w:rsidTr="000C664C">
        <w:tc>
          <w:tcPr>
            <w:tcW w:w="3363" w:type="dxa"/>
          </w:tcPr>
          <w:p w14:paraId="0C463D6E" w14:textId="2B42E822" w:rsidR="00CB69BE" w:rsidRPr="00404055" w:rsidRDefault="00CB69BE" w:rsidP="00BC3CD1">
            <w:pPr>
              <w:pStyle w:val="TableRowIndent"/>
            </w:pPr>
            <w:r w:rsidRPr="00404055">
              <w:t>Year 4</w:t>
            </w:r>
          </w:p>
        </w:tc>
        <w:tc>
          <w:tcPr>
            <w:tcW w:w="236" w:type="dxa"/>
          </w:tcPr>
          <w:p w14:paraId="7DAF6180" w14:textId="77777777" w:rsidR="00CB69BE" w:rsidRPr="00404055" w:rsidRDefault="00CB69BE" w:rsidP="00BC3CD1">
            <w:pPr>
              <w:pStyle w:val="TableBody"/>
            </w:pPr>
          </w:p>
        </w:tc>
        <w:tc>
          <w:tcPr>
            <w:tcW w:w="1280" w:type="dxa"/>
          </w:tcPr>
          <w:p w14:paraId="4C3C62B6" w14:textId="77777777" w:rsidR="00CB69BE" w:rsidRPr="00404055" w:rsidRDefault="00CB69BE" w:rsidP="00BC3CD1">
            <w:pPr>
              <w:pStyle w:val="TableBody"/>
            </w:pPr>
            <w:r w:rsidRPr="00404055">
              <w:t>1154 (93.1)</w:t>
            </w:r>
          </w:p>
        </w:tc>
        <w:tc>
          <w:tcPr>
            <w:tcW w:w="1280" w:type="dxa"/>
          </w:tcPr>
          <w:p w14:paraId="43A3B9A8" w14:textId="77777777" w:rsidR="00CB69BE" w:rsidRPr="00404055" w:rsidRDefault="00CB69BE" w:rsidP="00BC3CD1">
            <w:pPr>
              <w:pStyle w:val="TableBody"/>
            </w:pPr>
            <w:r w:rsidRPr="00404055">
              <w:t>978 (93.9)</w:t>
            </w:r>
          </w:p>
        </w:tc>
      </w:tr>
      <w:tr w:rsidR="00CB69BE" w:rsidRPr="00404055" w14:paraId="3D2990C2" w14:textId="77777777" w:rsidTr="000C664C">
        <w:tc>
          <w:tcPr>
            <w:tcW w:w="3363" w:type="dxa"/>
          </w:tcPr>
          <w:p w14:paraId="1F5CC7AD" w14:textId="05D1F616" w:rsidR="00CB69BE" w:rsidRPr="00404055" w:rsidRDefault="00CB69BE" w:rsidP="00BC3CD1">
            <w:pPr>
              <w:pStyle w:val="TableRowIndent"/>
            </w:pPr>
            <w:r w:rsidRPr="00404055">
              <w:t>Year 5</w:t>
            </w:r>
          </w:p>
        </w:tc>
        <w:tc>
          <w:tcPr>
            <w:tcW w:w="236" w:type="dxa"/>
          </w:tcPr>
          <w:p w14:paraId="456504A6" w14:textId="77777777" w:rsidR="00CB69BE" w:rsidRPr="00404055" w:rsidRDefault="00CB69BE" w:rsidP="00BC3CD1">
            <w:pPr>
              <w:pStyle w:val="TableBody"/>
            </w:pPr>
          </w:p>
        </w:tc>
        <w:tc>
          <w:tcPr>
            <w:tcW w:w="1280" w:type="dxa"/>
          </w:tcPr>
          <w:p w14:paraId="4F70351D" w14:textId="77777777" w:rsidR="00CB69BE" w:rsidRPr="00404055" w:rsidRDefault="00CB69BE" w:rsidP="00BC3CD1">
            <w:pPr>
              <w:pStyle w:val="TableBody"/>
            </w:pPr>
            <w:r w:rsidRPr="00404055">
              <w:t>1118 (90.2)</w:t>
            </w:r>
          </w:p>
        </w:tc>
        <w:tc>
          <w:tcPr>
            <w:tcW w:w="1280" w:type="dxa"/>
          </w:tcPr>
          <w:p w14:paraId="1EB26717" w14:textId="77777777" w:rsidR="00CB69BE" w:rsidRPr="00404055" w:rsidRDefault="00CB69BE" w:rsidP="00BC3CD1">
            <w:pPr>
              <w:pStyle w:val="TableBody"/>
            </w:pPr>
            <w:r w:rsidRPr="00404055">
              <w:t>949 (91.1)</w:t>
            </w:r>
          </w:p>
        </w:tc>
      </w:tr>
      <w:tr w:rsidR="00CB69BE" w:rsidRPr="00404055" w14:paraId="4093334A" w14:textId="77777777" w:rsidTr="000C664C">
        <w:tc>
          <w:tcPr>
            <w:tcW w:w="3363" w:type="dxa"/>
          </w:tcPr>
          <w:p w14:paraId="7EA32D2D" w14:textId="276345CB" w:rsidR="00CB69BE" w:rsidRPr="00404055" w:rsidRDefault="00CB69BE" w:rsidP="00BC3CD1">
            <w:pPr>
              <w:pStyle w:val="TableRowIndent"/>
            </w:pPr>
            <w:r w:rsidRPr="00404055">
              <w:t>Year 6</w:t>
            </w:r>
          </w:p>
        </w:tc>
        <w:tc>
          <w:tcPr>
            <w:tcW w:w="236" w:type="dxa"/>
          </w:tcPr>
          <w:p w14:paraId="55091B38" w14:textId="77777777" w:rsidR="00CB69BE" w:rsidRPr="00404055" w:rsidRDefault="00CB69BE" w:rsidP="00BC3CD1">
            <w:pPr>
              <w:pStyle w:val="TableBody"/>
            </w:pPr>
          </w:p>
        </w:tc>
        <w:tc>
          <w:tcPr>
            <w:tcW w:w="1280" w:type="dxa"/>
          </w:tcPr>
          <w:p w14:paraId="5966278E" w14:textId="77777777" w:rsidR="00CB69BE" w:rsidRPr="00404055" w:rsidRDefault="00CB69BE" w:rsidP="00BC3CD1">
            <w:pPr>
              <w:pStyle w:val="TableBody"/>
            </w:pPr>
            <w:r w:rsidRPr="00404055">
              <w:t>1067 (86.1)</w:t>
            </w:r>
          </w:p>
        </w:tc>
        <w:tc>
          <w:tcPr>
            <w:tcW w:w="1280" w:type="dxa"/>
          </w:tcPr>
          <w:p w14:paraId="3F086839" w14:textId="77777777" w:rsidR="00CB69BE" w:rsidRPr="00404055" w:rsidRDefault="00CB69BE" w:rsidP="00BC3CD1">
            <w:pPr>
              <w:pStyle w:val="TableBody"/>
            </w:pPr>
            <w:r w:rsidRPr="00404055">
              <w:t>908 (87.1)</w:t>
            </w:r>
          </w:p>
        </w:tc>
      </w:tr>
      <w:tr w:rsidR="00CB69BE" w:rsidRPr="00404055" w14:paraId="017447F0" w14:textId="77777777" w:rsidTr="000C664C">
        <w:tc>
          <w:tcPr>
            <w:tcW w:w="3363" w:type="dxa"/>
          </w:tcPr>
          <w:p w14:paraId="6A237CE4" w14:textId="578779E4" w:rsidR="00CB69BE" w:rsidRPr="00404055" w:rsidRDefault="00CB69BE" w:rsidP="00BC3CD1">
            <w:pPr>
              <w:pStyle w:val="TableRowIndent"/>
            </w:pPr>
            <w:r w:rsidRPr="00404055">
              <w:t>Year 7</w:t>
            </w:r>
          </w:p>
        </w:tc>
        <w:tc>
          <w:tcPr>
            <w:tcW w:w="236" w:type="dxa"/>
          </w:tcPr>
          <w:p w14:paraId="6E7B1CF4" w14:textId="77777777" w:rsidR="00CB69BE" w:rsidRPr="00404055" w:rsidRDefault="00CB69BE" w:rsidP="00BC3CD1">
            <w:pPr>
              <w:pStyle w:val="TableBody"/>
            </w:pPr>
          </w:p>
        </w:tc>
        <w:tc>
          <w:tcPr>
            <w:tcW w:w="1280" w:type="dxa"/>
          </w:tcPr>
          <w:p w14:paraId="0412AC96" w14:textId="77777777" w:rsidR="00CB69BE" w:rsidRPr="00404055" w:rsidRDefault="00CB69BE" w:rsidP="00BC3CD1">
            <w:pPr>
              <w:pStyle w:val="TableBody"/>
            </w:pPr>
            <w:r w:rsidRPr="00404055">
              <w:t>989 (79.8)</w:t>
            </w:r>
          </w:p>
        </w:tc>
        <w:tc>
          <w:tcPr>
            <w:tcW w:w="1280" w:type="dxa"/>
          </w:tcPr>
          <w:p w14:paraId="5B73B85A" w14:textId="77777777" w:rsidR="00CB69BE" w:rsidRPr="00404055" w:rsidRDefault="00CB69BE" w:rsidP="00BC3CD1">
            <w:pPr>
              <w:pStyle w:val="TableBody"/>
            </w:pPr>
            <w:r w:rsidRPr="00404055">
              <w:t>842 (80.8)</w:t>
            </w:r>
          </w:p>
        </w:tc>
      </w:tr>
      <w:tr w:rsidR="00CB69BE" w:rsidRPr="00404055" w14:paraId="39B58864" w14:textId="77777777" w:rsidTr="000C664C">
        <w:tc>
          <w:tcPr>
            <w:tcW w:w="3363" w:type="dxa"/>
          </w:tcPr>
          <w:p w14:paraId="64F88399" w14:textId="40ED4657" w:rsidR="00CB69BE" w:rsidRPr="00404055" w:rsidRDefault="00CB69BE" w:rsidP="00BC3CD1">
            <w:pPr>
              <w:pStyle w:val="TableRowIndent"/>
            </w:pPr>
            <w:r w:rsidRPr="00404055">
              <w:t>Year 3-5 indicator</w:t>
            </w:r>
          </w:p>
        </w:tc>
        <w:tc>
          <w:tcPr>
            <w:tcW w:w="236" w:type="dxa"/>
          </w:tcPr>
          <w:p w14:paraId="2CDD7461" w14:textId="77777777" w:rsidR="00CB69BE" w:rsidRPr="00404055" w:rsidRDefault="00CB69BE" w:rsidP="00BC3CD1">
            <w:pPr>
              <w:pStyle w:val="TableBody"/>
            </w:pPr>
          </w:p>
        </w:tc>
        <w:tc>
          <w:tcPr>
            <w:tcW w:w="1280" w:type="dxa"/>
          </w:tcPr>
          <w:p w14:paraId="46C66C7A" w14:textId="77777777" w:rsidR="00CB69BE" w:rsidRPr="00404055" w:rsidRDefault="00CB69BE" w:rsidP="00BC3CD1">
            <w:pPr>
              <w:pStyle w:val="TableBody"/>
            </w:pPr>
            <w:r w:rsidRPr="00404055">
              <w:t>1111 (89.7)</w:t>
            </w:r>
          </w:p>
        </w:tc>
        <w:tc>
          <w:tcPr>
            <w:tcW w:w="1280" w:type="dxa"/>
          </w:tcPr>
          <w:p w14:paraId="453C69D9" w14:textId="77777777" w:rsidR="00CB69BE" w:rsidRPr="00404055" w:rsidRDefault="00CB69BE" w:rsidP="00BC3CD1">
            <w:pPr>
              <w:pStyle w:val="TableBody"/>
            </w:pPr>
            <w:r w:rsidRPr="00404055">
              <w:t>944 (90.6)</w:t>
            </w:r>
          </w:p>
        </w:tc>
      </w:tr>
      <w:tr w:rsidR="00CB69BE" w:rsidRPr="00404055" w14:paraId="132BA259" w14:textId="77777777" w:rsidTr="000D4819">
        <w:tc>
          <w:tcPr>
            <w:tcW w:w="3363" w:type="dxa"/>
            <w:shd w:val="clear" w:color="auto" w:fill="D9E2F3" w:themeFill="accent1" w:themeFillTint="33"/>
          </w:tcPr>
          <w:p w14:paraId="043E4703" w14:textId="77777777" w:rsidR="00CB69BE" w:rsidRPr="00404055" w:rsidRDefault="00CB69BE" w:rsidP="005C0169">
            <w:pPr>
              <w:pStyle w:val="TableHeader2"/>
              <w:ind w:left="0"/>
            </w:pPr>
            <w:r w:rsidRPr="00404055">
              <w:t>Peer relationships: bullying</w:t>
            </w:r>
          </w:p>
        </w:tc>
        <w:tc>
          <w:tcPr>
            <w:tcW w:w="236" w:type="dxa"/>
            <w:shd w:val="clear" w:color="auto" w:fill="D9E2F3" w:themeFill="accent1" w:themeFillTint="33"/>
          </w:tcPr>
          <w:p w14:paraId="6436FA08" w14:textId="77777777" w:rsidR="00CB69BE" w:rsidRPr="00404055" w:rsidRDefault="00CB69BE" w:rsidP="00BC3CD1">
            <w:pPr>
              <w:pStyle w:val="TableHeader2"/>
            </w:pPr>
          </w:p>
        </w:tc>
        <w:tc>
          <w:tcPr>
            <w:tcW w:w="1280" w:type="dxa"/>
            <w:shd w:val="clear" w:color="auto" w:fill="D9E2F3" w:themeFill="accent1" w:themeFillTint="33"/>
          </w:tcPr>
          <w:p w14:paraId="2C22EABC" w14:textId="77777777" w:rsidR="00CB69BE" w:rsidRPr="00404055" w:rsidRDefault="00CB69BE" w:rsidP="00BC3CD1">
            <w:pPr>
              <w:pStyle w:val="TableHeader2"/>
            </w:pPr>
          </w:p>
        </w:tc>
        <w:tc>
          <w:tcPr>
            <w:tcW w:w="1280" w:type="dxa"/>
            <w:shd w:val="clear" w:color="auto" w:fill="D9E2F3" w:themeFill="accent1" w:themeFillTint="33"/>
          </w:tcPr>
          <w:p w14:paraId="5294025E" w14:textId="77777777" w:rsidR="00CB69BE" w:rsidRPr="00404055" w:rsidRDefault="00CB69BE" w:rsidP="00BC3CD1">
            <w:pPr>
              <w:pStyle w:val="TableHeader2"/>
            </w:pPr>
          </w:p>
        </w:tc>
      </w:tr>
      <w:tr w:rsidR="00CB69BE" w:rsidRPr="00404055" w14:paraId="1BDB3797" w14:textId="77777777" w:rsidTr="000C664C">
        <w:tc>
          <w:tcPr>
            <w:tcW w:w="3363" w:type="dxa"/>
          </w:tcPr>
          <w:p w14:paraId="0BFFEDC7" w14:textId="623DA01F" w:rsidR="00CB69BE" w:rsidRPr="00404055" w:rsidRDefault="00CB69BE" w:rsidP="00BC3CD1">
            <w:pPr>
              <w:pStyle w:val="TableRowIndent"/>
            </w:pPr>
            <w:r w:rsidRPr="00404055">
              <w:t>Year 3</w:t>
            </w:r>
          </w:p>
        </w:tc>
        <w:tc>
          <w:tcPr>
            <w:tcW w:w="236" w:type="dxa"/>
          </w:tcPr>
          <w:p w14:paraId="74519CAB" w14:textId="77777777" w:rsidR="00CB69BE" w:rsidRPr="00404055" w:rsidRDefault="00CB69BE" w:rsidP="00BC3CD1">
            <w:pPr>
              <w:pStyle w:val="TableBody"/>
            </w:pPr>
          </w:p>
        </w:tc>
        <w:tc>
          <w:tcPr>
            <w:tcW w:w="1280" w:type="dxa"/>
          </w:tcPr>
          <w:p w14:paraId="79F440DB" w14:textId="77777777" w:rsidR="00CB69BE" w:rsidRPr="00404055" w:rsidRDefault="00CB69BE" w:rsidP="00BC3CD1">
            <w:pPr>
              <w:pStyle w:val="TableBody"/>
            </w:pPr>
            <w:r w:rsidRPr="00404055">
              <w:t>1179 (95.2)</w:t>
            </w:r>
          </w:p>
        </w:tc>
        <w:tc>
          <w:tcPr>
            <w:tcW w:w="1280" w:type="dxa"/>
          </w:tcPr>
          <w:p w14:paraId="2A6911C3" w14:textId="77777777" w:rsidR="00CB69BE" w:rsidRPr="00404055" w:rsidRDefault="00CB69BE" w:rsidP="00BC3CD1">
            <w:pPr>
              <w:pStyle w:val="TableBody"/>
            </w:pPr>
            <w:r w:rsidRPr="00404055">
              <w:t>994 (95.4)</w:t>
            </w:r>
          </w:p>
        </w:tc>
      </w:tr>
      <w:tr w:rsidR="00CB69BE" w:rsidRPr="00404055" w14:paraId="15397746" w14:textId="77777777" w:rsidTr="000C664C">
        <w:tc>
          <w:tcPr>
            <w:tcW w:w="3363" w:type="dxa"/>
          </w:tcPr>
          <w:p w14:paraId="43F055DA" w14:textId="2BCCB715" w:rsidR="00CB69BE" w:rsidRPr="00404055" w:rsidRDefault="00CB69BE" w:rsidP="00BC3CD1">
            <w:pPr>
              <w:pStyle w:val="TableRowIndent"/>
            </w:pPr>
            <w:r w:rsidRPr="00404055">
              <w:t>Year 4</w:t>
            </w:r>
          </w:p>
        </w:tc>
        <w:tc>
          <w:tcPr>
            <w:tcW w:w="236" w:type="dxa"/>
          </w:tcPr>
          <w:p w14:paraId="761A564C" w14:textId="77777777" w:rsidR="00CB69BE" w:rsidRPr="00404055" w:rsidRDefault="00CB69BE" w:rsidP="00BC3CD1">
            <w:pPr>
              <w:pStyle w:val="TableBody"/>
            </w:pPr>
          </w:p>
        </w:tc>
        <w:tc>
          <w:tcPr>
            <w:tcW w:w="1280" w:type="dxa"/>
          </w:tcPr>
          <w:p w14:paraId="6B6D9419" w14:textId="77777777" w:rsidR="00CB69BE" w:rsidRPr="00404055" w:rsidRDefault="00CB69BE" w:rsidP="00BC3CD1">
            <w:pPr>
              <w:pStyle w:val="TableBody"/>
            </w:pPr>
            <w:r w:rsidRPr="00404055">
              <w:t>1153 (93.1)</w:t>
            </w:r>
          </w:p>
        </w:tc>
        <w:tc>
          <w:tcPr>
            <w:tcW w:w="1280" w:type="dxa"/>
          </w:tcPr>
          <w:p w14:paraId="65D771E6" w14:textId="77777777" w:rsidR="00CB69BE" w:rsidRPr="00404055" w:rsidRDefault="00CB69BE" w:rsidP="00BC3CD1">
            <w:pPr>
              <w:pStyle w:val="TableBody"/>
            </w:pPr>
            <w:r w:rsidRPr="00404055">
              <w:t>976 (93.7)</w:t>
            </w:r>
          </w:p>
        </w:tc>
      </w:tr>
      <w:tr w:rsidR="00CB69BE" w:rsidRPr="00404055" w14:paraId="570F4972" w14:textId="77777777" w:rsidTr="000C664C">
        <w:tc>
          <w:tcPr>
            <w:tcW w:w="3363" w:type="dxa"/>
          </w:tcPr>
          <w:p w14:paraId="58A16F6D" w14:textId="0119C761" w:rsidR="00CB69BE" w:rsidRPr="00404055" w:rsidRDefault="00CB69BE" w:rsidP="00BC3CD1">
            <w:pPr>
              <w:pStyle w:val="TableRowIndent"/>
            </w:pPr>
            <w:r w:rsidRPr="00404055">
              <w:t>Year 5</w:t>
            </w:r>
          </w:p>
        </w:tc>
        <w:tc>
          <w:tcPr>
            <w:tcW w:w="236" w:type="dxa"/>
          </w:tcPr>
          <w:p w14:paraId="443C8EE0" w14:textId="77777777" w:rsidR="00CB69BE" w:rsidRPr="00404055" w:rsidRDefault="00CB69BE" w:rsidP="00BC3CD1">
            <w:pPr>
              <w:pStyle w:val="TableBody"/>
            </w:pPr>
          </w:p>
        </w:tc>
        <w:tc>
          <w:tcPr>
            <w:tcW w:w="1280" w:type="dxa"/>
          </w:tcPr>
          <w:p w14:paraId="6241FEE4" w14:textId="77777777" w:rsidR="00CB69BE" w:rsidRPr="00404055" w:rsidRDefault="00CB69BE" w:rsidP="00BC3CD1">
            <w:pPr>
              <w:pStyle w:val="TableBody"/>
            </w:pPr>
            <w:r w:rsidRPr="00404055">
              <w:t>1111 (89.7)</w:t>
            </w:r>
          </w:p>
        </w:tc>
        <w:tc>
          <w:tcPr>
            <w:tcW w:w="1280" w:type="dxa"/>
          </w:tcPr>
          <w:p w14:paraId="18DC50AA" w14:textId="77777777" w:rsidR="00CB69BE" w:rsidRPr="00404055" w:rsidRDefault="00CB69BE" w:rsidP="00BC3CD1">
            <w:pPr>
              <w:pStyle w:val="TableBody"/>
            </w:pPr>
            <w:r w:rsidRPr="00404055">
              <w:t>942 (90.4)</w:t>
            </w:r>
          </w:p>
        </w:tc>
      </w:tr>
      <w:tr w:rsidR="00CB69BE" w:rsidRPr="00404055" w14:paraId="1D0D5D7C" w14:textId="77777777" w:rsidTr="000C664C">
        <w:tc>
          <w:tcPr>
            <w:tcW w:w="3363" w:type="dxa"/>
          </w:tcPr>
          <w:p w14:paraId="00818365" w14:textId="6B3DA874" w:rsidR="00CB69BE" w:rsidRPr="00404055" w:rsidRDefault="00CB69BE" w:rsidP="00BC3CD1">
            <w:pPr>
              <w:pStyle w:val="TableRowIndent"/>
            </w:pPr>
            <w:r w:rsidRPr="00404055">
              <w:t>Year 6</w:t>
            </w:r>
          </w:p>
        </w:tc>
        <w:tc>
          <w:tcPr>
            <w:tcW w:w="236" w:type="dxa"/>
          </w:tcPr>
          <w:p w14:paraId="039A592A" w14:textId="77777777" w:rsidR="00CB69BE" w:rsidRPr="00404055" w:rsidRDefault="00CB69BE" w:rsidP="00BC3CD1">
            <w:pPr>
              <w:pStyle w:val="TableBody"/>
            </w:pPr>
          </w:p>
        </w:tc>
        <w:tc>
          <w:tcPr>
            <w:tcW w:w="1280" w:type="dxa"/>
          </w:tcPr>
          <w:p w14:paraId="535B5ED3" w14:textId="77777777" w:rsidR="00CB69BE" w:rsidRPr="00404055" w:rsidRDefault="00CB69BE" w:rsidP="00BC3CD1">
            <w:pPr>
              <w:pStyle w:val="TableBody"/>
            </w:pPr>
            <w:r w:rsidRPr="00404055">
              <w:t>1066 (86.0)</w:t>
            </w:r>
          </w:p>
        </w:tc>
        <w:tc>
          <w:tcPr>
            <w:tcW w:w="1280" w:type="dxa"/>
          </w:tcPr>
          <w:p w14:paraId="73519D53" w14:textId="77777777" w:rsidR="00CB69BE" w:rsidRPr="00404055" w:rsidRDefault="00CB69BE" w:rsidP="00BC3CD1">
            <w:pPr>
              <w:pStyle w:val="TableBody"/>
            </w:pPr>
            <w:r w:rsidRPr="00404055">
              <w:t>908 (87.1)</w:t>
            </w:r>
          </w:p>
        </w:tc>
      </w:tr>
      <w:tr w:rsidR="00CB69BE" w:rsidRPr="00404055" w14:paraId="10D5C06D" w14:textId="77777777" w:rsidTr="000C664C">
        <w:tc>
          <w:tcPr>
            <w:tcW w:w="3363" w:type="dxa"/>
          </w:tcPr>
          <w:p w14:paraId="24C819EB" w14:textId="45A44CAB" w:rsidR="00CB69BE" w:rsidRPr="00404055" w:rsidRDefault="00CB69BE" w:rsidP="00BC3CD1">
            <w:pPr>
              <w:pStyle w:val="TableRowIndent"/>
            </w:pPr>
            <w:r w:rsidRPr="00404055">
              <w:t>Year 7</w:t>
            </w:r>
          </w:p>
        </w:tc>
        <w:tc>
          <w:tcPr>
            <w:tcW w:w="236" w:type="dxa"/>
          </w:tcPr>
          <w:p w14:paraId="2B9704DE" w14:textId="77777777" w:rsidR="00CB69BE" w:rsidRPr="00404055" w:rsidRDefault="00CB69BE" w:rsidP="00BC3CD1">
            <w:pPr>
              <w:pStyle w:val="TableBody"/>
            </w:pPr>
          </w:p>
        </w:tc>
        <w:tc>
          <w:tcPr>
            <w:tcW w:w="1280" w:type="dxa"/>
          </w:tcPr>
          <w:p w14:paraId="5BA290D6" w14:textId="77777777" w:rsidR="00CB69BE" w:rsidRPr="00404055" w:rsidRDefault="00CB69BE" w:rsidP="00BC3CD1">
            <w:pPr>
              <w:pStyle w:val="TableBody"/>
            </w:pPr>
            <w:r w:rsidRPr="00404055">
              <w:t>975 (78.7)</w:t>
            </w:r>
          </w:p>
        </w:tc>
        <w:tc>
          <w:tcPr>
            <w:tcW w:w="1280" w:type="dxa"/>
          </w:tcPr>
          <w:p w14:paraId="069B59EE" w14:textId="77777777" w:rsidR="00CB69BE" w:rsidRPr="00404055" w:rsidRDefault="00CB69BE" w:rsidP="00BC3CD1">
            <w:pPr>
              <w:pStyle w:val="TableBody"/>
            </w:pPr>
            <w:r w:rsidRPr="00404055">
              <w:t>829 (79.6)</w:t>
            </w:r>
          </w:p>
        </w:tc>
      </w:tr>
      <w:tr w:rsidR="00CB69BE" w:rsidRPr="00404055" w14:paraId="47E8523E" w14:textId="77777777" w:rsidTr="000C664C">
        <w:tc>
          <w:tcPr>
            <w:tcW w:w="3363" w:type="dxa"/>
          </w:tcPr>
          <w:p w14:paraId="7343DB94" w14:textId="64E4B833" w:rsidR="00CB69BE" w:rsidRPr="00404055" w:rsidRDefault="00CB69BE" w:rsidP="00BC3CD1">
            <w:pPr>
              <w:pStyle w:val="TableRowIndent"/>
            </w:pPr>
            <w:r w:rsidRPr="00404055">
              <w:t>Year 3-5 indicator</w:t>
            </w:r>
          </w:p>
        </w:tc>
        <w:tc>
          <w:tcPr>
            <w:tcW w:w="236" w:type="dxa"/>
          </w:tcPr>
          <w:p w14:paraId="0D4BAFA2" w14:textId="77777777" w:rsidR="00CB69BE" w:rsidRPr="00404055" w:rsidRDefault="00CB69BE" w:rsidP="00BC3CD1">
            <w:pPr>
              <w:pStyle w:val="TableBody"/>
            </w:pPr>
          </w:p>
        </w:tc>
        <w:tc>
          <w:tcPr>
            <w:tcW w:w="1280" w:type="dxa"/>
          </w:tcPr>
          <w:p w14:paraId="2B9D9EDD" w14:textId="77777777" w:rsidR="00CB69BE" w:rsidRPr="00404055" w:rsidRDefault="00CB69BE" w:rsidP="00BC3CD1">
            <w:pPr>
              <w:pStyle w:val="TableBody"/>
            </w:pPr>
            <w:r w:rsidRPr="00404055">
              <w:t>1039 (83.9)</w:t>
            </w:r>
          </w:p>
        </w:tc>
        <w:tc>
          <w:tcPr>
            <w:tcW w:w="1280" w:type="dxa"/>
          </w:tcPr>
          <w:p w14:paraId="58E442ED" w14:textId="77777777" w:rsidR="00CB69BE" w:rsidRPr="00404055" w:rsidRDefault="00CB69BE" w:rsidP="00BC3CD1">
            <w:pPr>
              <w:pStyle w:val="TableBody"/>
            </w:pPr>
            <w:r w:rsidRPr="00404055">
              <w:t>881 (84.5)</w:t>
            </w:r>
          </w:p>
        </w:tc>
      </w:tr>
    </w:tbl>
    <w:p w14:paraId="36A7EDB0" w14:textId="76DEE626" w:rsidR="00CB69BE" w:rsidRPr="005646B2" w:rsidRDefault="00CB69BE" w:rsidP="00404055">
      <w:pPr>
        <w:pStyle w:val="Belowtablecaption"/>
        <w:ind w:left="1418" w:right="1365"/>
      </w:pPr>
      <w:r w:rsidRPr="005646B2">
        <w:rPr>
          <w:vertAlign w:val="superscript"/>
        </w:rPr>
        <w:t>a</w:t>
      </w:r>
      <w:r w:rsidRPr="005646B2">
        <w:t xml:space="preserve"> Number</w:t>
      </w:r>
      <w:r>
        <w:t xml:space="preserve"> and percent</w:t>
      </w:r>
      <w:r w:rsidRPr="005646B2">
        <w:t xml:space="preserve"> of students with a valid response (out of the n = 1239 students recruited to CATS)</w:t>
      </w:r>
    </w:p>
    <w:p w14:paraId="6356589E" w14:textId="77777777" w:rsidR="00CB69BE" w:rsidRPr="005646B2" w:rsidRDefault="00CB69BE" w:rsidP="00404055">
      <w:pPr>
        <w:pStyle w:val="Belowtablecaption"/>
        <w:ind w:left="1418" w:right="1365"/>
      </w:pPr>
      <w:r w:rsidRPr="005646B2">
        <w:rPr>
          <w:vertAlign w:val="superscript"/>
        </w:rPr>
        <w:t>b</w:t>
      </w:r>
      <w:r w:rsidRPr="005646B2">
        <w:t xml:space="preserve"> Number </w:t>
      </w:r>
      <w:r>
        <w:t xml:space="preserve">and percent </w:t>
      </w:r>
      <w:r w:rsidRPr="005646B2">
        <w:t xml:space="preserve">of </w:t>
      </w:r>
      <w:r>
        <w:t xml:space="preserve">students with a valid response </w:t>
      </w:r>
      <w:r w:rsidRPr="005646B2">
        <w:t xml:space="preserve">(out of the n = 1042 CATS students </w:t>
      </w:r>
      <w:r>
        <w:t xml:space="preserve">linked with AEDC data and </w:t>
      </w:r>
      <w:r w:rsidRPr="005646B2">
        <w:t>with</w:t>
      </w:r>
      <w:r>
        <w:t xml:space="preserve"> data on the DV1 variable)</w:t>
      </w:r>
    </w:p>
    <w:p w14:paraId="51A01C11" w14:textId="77777777" w:rsidR="009C423A" w:rsidRDefault="009C423A">
      <w:pPr>
        <w:spacing w:after="0" w:line="240" w:lineRule="auto"/>
        <w:rPr>
          <w:rFonts w:eastAsiaTheme="minorEastAsia" w:cs="ArialMT"/>
          <w:b/>
          <w:bCs/>
          <w:color w:val="222A35" w:themeColor="text2" w:themeShade="80"/>
          <w:sz w:val="18"/>
          <w:szCs w:val="18"/>
        </w:rPr>
      </w:pPr>
      <w:bookmarkStart w:id="152" w:name="_Ref501028311"/>
      <w:bookmarkStart w:id="153" w:name="_Toc501014933"/>
      <w:r>
        <w:br w:type="page"/>
      </w:r>
    </w:p>
    <w:p w14:paraId="4F5F937C" w14:textId="0B18CDE9" w:rsidR="00404055" w:rsidRDefault="00404055" w:rsidP="0031784D">
      <w:pPr>
        <w:pStyle w:val="Caption"/>
        <w:spacing w:before="0"/>
      </w:pPr>
      <w:bookmarkStart w:id="154" w:name="_Ref501114706"/>
      <w:bookmarkStart w:id="155" w:name="_Toc503780755"/>
      <w:r>
        <w:t xml:space="preserve">Table </w:t>
      </w:r>
      <w:r>
        <w:fldChar w:fldCharType="begin"/>
      </w:r>
      <w:r>
        <w:instrText xml:space="preserve"> SEQ Table \* ARABIC </w:instrText>
      </w:r>
      <w:r>
        <w:fldChar w:fldCharType="separate"/>
      </w:r>
      <w:r w:rsidR="004C27B3">
        <w:rPr>
          <w:noProof/>
        </w:rPr>
        <w:t>15</w:t>
      </w:r>
      <w:r>
        <w:fldChar w:fldCharType="end"/>
      </w:r>
      <w:bookmarkEnd w:id="152"/>
      <w:bookmarkEnd w:id="154"/>
      <w:r>
        <w:t xml:space="preserve">. </w:t>
      </w:r>
      <w:r w:rsidRPr="00EA2471">
        <w:t>List of variables included in the imputation procedure</w:t>
      </w:r>
      <w:r>
        <w:t>.</w:t>
      </w:r>
      <w:bookmarkEnd w:id="153"/>
      <w:bookmarkEnd w:id="155"/>
    </w:p>
    <w:tbl>
      <w:tblPr>
        <w:tblStyle w:val="TableGrid"/>
        <w:tblpPr w:leftFromText="180" w:rightFromText="180" w:vertAnchor="text" w:tblpXSpec="center" w:tblpY="1"/>
        <w:tblOverlap w:val="never"/>
        <w:tblW w:w="5681" w:type="dxa"/>
        <w:tblBorders>
          <w:insideH w:val="none" w:sz="0" w:space="0" w:color="auto"/>
          <w:insideV w:val="none" w:sz="0" w:space="0" w:color="auto"/>
        </w:tblBorders>
        <w:tblLook w:val="04A0" w:firstRow="1" w:lastRow="0" w:firstColumn="1" w:lastColumn="0" w:noHBand="0" w:noVBand="1"/>
        <w:tblCaption w:val="Table 15. List of variables included in the imputation procedure"/>
        <w:tblDescription w:val="Tabular representation of the variables included in the imputation procedure, with columns from left to right, Variable, and Type of variable."/>
      </w:tblPr>
      <w:tblGrid>
        <w:gridCol w:w="3454"/>
        <w:gridCol w:w="2227"/>
      </w:tblGrid>
      <w:tr w:rsidR="00CB69BE" w14:paraId="15ED963D" w14:textId="77777777" w:rsidTr="002F36CB">
        <w:tc>
          <w:tcPr>
            <w:tcW w:w="3454" w:type="dxa"/>
            <w:shd w:val="clear" w:color="auto" w:fill="0070C0"/>
          </w:tcPr>
          <w:p w14:paraId="46CDC14E" w14:textId="77777777" w:rsidR="00CB69BE" w:rsidRPr="00407C22" w:rsidRDefault="00CB69BE" w:rsidP="00D642BD">
            <w:pPr>
              <w:pStyle w:val="TableHeader1"/>
              <w:jc w:val="left"/>
            </w:pPr>
            <w:r w:rsidRPr="00407C22">
              <w:t>Variable</w:t>
            </w:r>
          </w:p>
        </w:tc>
        <w:tc>
          <w:tcPr>
            <w:tcW w:w="2227" w:type="dxa"/>
            <w:shd w:val="clear" w:color="auto" w:fill="0070C0"/>
          </w:tcPr>
          <w:p w14:paraId="5E7DA9F2" w14:textId="77777777" w:rsidR="00CB69BE" w:rsidRPr="00407C22" w:rsidRDefault="00CB69BE" w:rsidP="00D642BD">
            <w:pPr>
              <w:pStyle w:val="TableHeader1"/>
              <w:jc w:val="left"/>
            </w:pPr>
            <w:r w:rsidRPr="00407C22">
              <w:t>Type of variable</w:t>
            </w:r>
          </w:p>
        </w:tc>
      </w:tr>
      <w:tr w:rsidR="00CB69BE" w14:paraId="7C8C0616" w14:textId="77777777" w:rsidTr="002F36CB">
        <w:tc>
          <w:tcPr>
            <w:tcW w:w="3454" w:type="dxa"/>
          </w:tcPr>
          <w:p w14:paraId="56A95629" w14:textId="77777777" w:rsidR="00CB69BE" w:rsidRPr="00D642BD" w:rsidRDefault="00CB69BE" w:rsidP="00D642BD">
            <w:pPr>
              <w:pStyle w:val="TableBody"/>
              <w:jc w:val="left"/>
              <w:rPr>
                <w:bCs w:val="0"/>
              </w:rPr>
            </w:pPr>
            <w:r w:rsidRPr="00D642BD">
              <w:rPr>
                <w:bCs w:val="0"/>
              </w:rPr>
              <w:t xml:space="preserve">Child gender </w:t>
            </w:r>
          </w:p>
        </w:tc>
        <w:tc>
          <w:tcPr>
            <w:tcW w:w="2227" w:type="dxa"/>
          </w:tcPr>
          <w:p w14:paraId="395B3EFB" w14:textId="77777777" w:rsidR="00CB69BE" w:rsidRPr="00D642BD" w:rsidRDefault="00CB69BE" w:rsidP="00D642BD">
            <w:pPr>
              <w:pStyle w:val="TableBody"/>
              <w:jc w:val="left"/>
              <w:rPr>
                <w:bCs w:val="0"/>
              </w:rPr>
            </w:pPr>
            <w:proofErr w:type="spellStart"/>
            <w:r w:rsidRPr="00D642BD">
              <w:rPr>
                <w:bCs w:val="0"/>
              </w:rPr>
              <w:t>Complete</w:t>
            </w:r>
            <w:r w:rsidRPr="00D642BD">
              <w:rPr>
                <w:bCs w:val="0"/>
                <w:vertAlign w:val="superscript"/>
              </w:rPr>
              <w:t>a</w:t>
            </w:r>
            <w:proofErr w:type="spellEnd"/>
            <w:r w:rsidRPr="00D642BD">
              <w:rPr>
                <w:bCs w:val="0"/>
              </w:rPr>
              <w:t xml:space="preserve"> (binary)</w:t>
            </w:r>
          </w:p>
        </w:tc>
      </w:tr>
      <w:tr w:rsidR="00CB69BE" w14:paraId="059CA520" w14:textId="77777777" w:rsidTr="002F36CB">
        <w:tc>
          <w:tcPr>
            <w:tcW w:w="3454" w:type="dxa"/>
          </w:tcPr>
          <w:p w14:paraId="22D27135" w14:textId="77777777" w:rsidR="00CB69BE" w:rsidRPr="00D642BD" w:rsidRDefault="00CB69BE" w:rsidP="00D642BD">
            <w:pPr>
              <w:pStyle w:val="TableBody"/>
              <w:jc w:val="left"/>
              <w:rPr>
                <w:bCs w:val="0"/>
              </w:rPr>
            </w:pPr>
            <w:r w:rsidRPr="00D642BD">
              <w:rPr>
                <w:bCs w:val="0"/>
              </w:rPr>
              <w:t>Child age (2009)</w:t>
            </w:r>
          </w:p>
        </w:tc>
        <w:tc>
          <w:tcPr>
            <w:tcW w:w="2227" w:type="dxa"/>
          </w:tcPr>
          <w:p w14:paraId="7E4DB16D" w14:textId="77777777" w:rsidR="00CB69BE" w:rsidRPr="00D642BD" w:rsidRDefault="00CB69BE" w:rsidP="00D642BD">
            <w:pPr>
              <w:pStyle w:val="TableBody"/>
              <w:jc w:val="left"/>
              <w:rPr>
                <w:bCs w:val="0"/>
              </w:rPr>
            </w:pPr>
            <w:proofErr w:type="spellStart"/>
            <w:r w:rsidRPr="00D642BD">
              <w:rPr>
                <w:bCs w:val="0"/>
              </w:rPr>
              <w:t>Complete</w:t>
            </w:r>
            <w:r w:rsidRPr="00D642BD">
              <w:rPr>
                <w:bCs w:val="0"/>
                <w:vertAlign w:val="superscript"/>
              </w:rPr>
              <w:t>a</w:t>
            </w:r>
            <w:proofErr w:type="spellEnd"/>
            <w:r w:rsidRPr="00D642BD">
              <w:rPr>
                <w:bCs w:val="0"/>
                <w:vertAlign w:val="superscript"/>
              </w:rPr>
              <w:t xml:space="preserve"> </w:t>
            </w:r>
            <w:r w:rsidRPr="00D642BD">
              <w:rPr>
                <w:bCs w:val="0"/>
              </w:rPr>
              <w:t>(ordinal)</w:t>
            </w:r>
          </w:p>
        </w:tc>
      </w:tr>
      <w:tr w:rsidR="00CB69BE" w14:paraId="5F2E1BAB" w14:textId="77777777" w:rsidTr="002F36CB">
        <w:tc>
          <w:tcPr>
            <w:tcW w:w="3454" w:type="dxa"/>
          </w:tcPr>
          <w:p w14:paraId="65778049" w14:textId="77777777" w:rsidR="00CB69BE" w:rsidRPr="00D642BD" w:rsidRDefault="00CB69BE" w:rsidP="00D642BD">
            <w:pPr>
              <w:pStyle w:val="TableBody"/>
              <w:jc w:val="left"/>
              <w:rPr>
                <w:bCs w:val="0"/>
              </w:rPr>
            </w:pPr>
            <w:r w:rsidRPr="00D642BD">
              <w:rPr>
                <w:bCs w:val="0"/>
              </w:rPr>
              <w:t>SEIFA advantage/disadvantage quintile (2012)</w:t>
            </w:r>
          </w:p>
        </w:tc>
        <w:tc>
          <w:tcPr>
            <w:tcW w:w="2227" w:type="dxa"/>
          </w:tcPr>
          <w:p w14:paraId="34814B2F" w14:textId="47705079" w:rsidR="00CB69BE" w:rsidRPr="00D642BD" w:rsidRDefault="00CB69BE" w:rsidP="00D642BD">
            <w:pPr>
              <w:pStyle w:val="TableBody"/>
              <w:jc w:val="left"/>
              <w:rPr>
                <w:bCs w:val="0"/>
              </w:rPr>
            </w:pPr>
            <w:proofErr w:type="spellStart"/>
            <w:r w:rsidRPr="00D642BD">
              <w:rPr>
                <w:bCs w:val="0"/>
              </w:rPr>
              <w:t>Complete</w:t>
            </w:r>
            <w:r w:rsidRPr="00D642BD">
              <w:rPr>
                <w:bCs w:val="0"/>
                <w:vertAlign w:val="superscript"/>
              </w:rPr>
              <w:t>a</w:t>
            </w:r>
            <w:proofErr w:type="spellEnd"/>
            <w:r w:rsidR="0097278B">
              <w:rPr>
                <w:bCs w:val="0"/>
              </w:rPr>
              <w:t xml:space="preserve"> </w:t>
            </w:r>
            <w:r w:rsidRPr="00D642BD">
              <w:rPr>
                <w:bCs w:val="0"/>
              </w:rPr>
              <w:t>(ordinal)</w:t>
            </w:r>
          </w:p>
        </w:tc>
      </w:tr>
      <w:tr w:rsidR="00CB69BE" w14:paraId="653648DD" w14:textId="77777777" w:rsidTr="002F36CB">
        <w:tc>
          <w:tcPr>
            <w:tcW w:w="3454" w:type="dxa"/>
          </w:tcPr>
          <w:p w14:paraId="06E867E9" w14:textId="77777777" w:rsidR="00CB69BE" w:rsidRPr="00D642BD" w:rsidRDefault="00CB69BE" w:rsidP="00D642BD">
            <w:pPr>
              <w:pStyle w:val="TableBody"/>
              <w:jc w:val="left"/>
              <w:rPr>
                <w:bCs w:val="0"/>
              </w:rPr>
            </w:pPr>
            <w:r w:rsidRPr="00D642BD">
              <w:rPr>
                <w:bCs w:val="0"/>
              </w:rPr>
              <w:t>Developmental vulnerability (2009)</w:t>
            </w:r>
          </w:p>
        </w:tc>
        <w:tc>
          <w:tcPr>
            <w:tcW w:w="2227" w:type="dxa"/>
          </w:tcPr>
          <w:p w14:paraId="1CE701A1" w14:textId="77777777" w:rsidR="00CB69BE" w:rsidRPr="00D642BD" w:rsidRDefault="00CB69BE" w:rsidP="00D642BD">
            <w:pPr>
              <w:pStyle w:val="TableBody"/>
              <w:jc w:val="left"/>
              <w:rPr>
                <w:bCs w:val="0"/>
              </w:rPr>
            </w:pPr>
            <w:r w:rsidRPr="00D642BD">
              <w:rPr>
                <w:bCs w:val="0"/>
              </w:rPr>
              <w:t>Imputed (binary)</w:t>
            </w:r>
          </w:p>
        </w:tc>
      </w:tr>
      <w:tr w:rsidR="00CB69BE" w14:paraId="322A191C" w14:textId="77777777" w:rsidTr="002F36CB">
        <w:tc>
          <w:tcPr>
            <w:tcW w:w="3454" w:type="dxa"/>
          </w:tcPr>
          <w:p w14:paraId="6E963C25" w14:textId="77777777" w:rsidR="00CB69BE" w:rsidRPr="00D642BD" w:rsidRDefault="00CB69BE" w:rsidP="00D642BD">
            <w:pPr>
              <w:pStyle w:val="TableBody"/>
              <w:jc w:val="left"/>
              <w:rPr>
                <w:bCs w:val="0"/>
              </w:rPr>
            </w:pPr>
            <w:r w:rsidRPr="00D642BD">
              <w:rPr>
                <w:bCs w:val="0"/>
              </w:rPr>
              <w:t>NAPLAN numeracy score (Year 3)</w:t>
            </w:r>
          </w:p>
        </w:tc>
        <w:tc>
          <w:tcPr>
            <w:tcW w:w="2227" w:type="dxa"/>
          </w:tcPr>
          <w:p w14:paraId="148E4CEF" w14:textId="77777777" w:rsidR="00CB69BE" w:rsidRPr="00D642BD" w:rsidRDefault="00CB69BE" w:rsidP="00D642BD">
            <w:pPr>
              <w:pStyle w:val="TableBody"/>
              <w:jc w:val="left"/>
              <w:rPr>
                <w:bCs w:val="0"/>
              </w:rPr>
            </w:pPr>
            <w:r w:rsidRPr="00D642BD">
              <w:rPr>
                <w:bCs w:val="0"/>
              </w:rPr>
              <w:t>Imputed (continuous)</w:t>
            </w:r>
          </w:p>
        </w:tc>
      </w:tr>
      <w:tr w:rsidR="00CB69BE" w14:paraId="3914F1A4" w14:textId="77777777" w:rsidTr="002F36CB">
        <w:tc>
          <w:tcPr>
            <w:tcW w:w="3454" w:type="dxa"/>
          </w:tcPr>
          <w:p w14:paraId="14120810" w14:textId="77777777" w:rsidR="00CB69BE" w:rsidRPr="00D642BD" w:rsidRDefault="00CB69BE" w:rsidP="00D642BD">
            <w:pPr>
              <w:pStyle w:val="TableBody"/>
              <w:jc w:val="left"/>
              <w:rPr>
                <w:bCs w:val="0"/>
              </w:rPr>
            </w:pPr>
            <w:r w:rsidRPr="00D642BD">
              <w:rPr>
                <w:bCs w:val="0"/>
              </w:rPr>
              <w:t>NAPLAN numeracy score (Year 5)</w:t>
            </w:r>
          </w:p>
        </w:tc>
        <w:tc>
          <w:tcPr>
            <w:tcW w:w="2227" w:type="dxa"/>
          </w:tcPr>
          <w:p w14:paraId="12CC0CD5" w14:textId="77777777" w:rsidR="00CB69BE" w:rsidRPr="00D642BD" w:rsidRDefault="00CB69BE" w:rsidP="00D642BD">
            <w:pPr>
              <w:pStyle w:val="TableBody"/>
              <w:jc w:val="left"/>
              <w:rPr>
                <w:bCs w:val="0"/>
              </w:rPr>
            </w:pPr>
            <w:r w:rsidRPr="00D642BD">
              <w:rPr>
                <w:bCs w:val="0"/>
              </w:rPr>
              <w:t>Imputed (continuous)</w:t>
            </w:r>
          </w:p>
        </w:tc>
      </w:tr>
      <w:tr w:rsidR="00CB69BE" w14:paraId="4867B116" w14:textId="77777777" w:rsidTr="002F36CB">
        <w:tc>
          <w:tcPr>
            <w:tcW w:w="3454" w:type="dxa"/>
          </w:tcPr>
          <w:p w14:paraId="7386E522" w14:textId="77777777" w:rsidR="00CB69BE" w:rsidRPr="00D642BD" w:rsidRDefault="00CB69BE" w:rsidP="00D642BD">
            <w:pPr>
              <w:pStyle w:val="TableBody"/>
              <w:jc w:val="left"/>
              <w:rPr>
                <w:bCs w:val="0"/>
              </w:rPr>
            </w:pPr>
            <w:r w:rsidRPr="00D642BD">
              <w:rPr>
                <w:bCs w:val="0"/>
              </w:rPr>
              <w:t>NAPLAN numeracy score (Year 7)</w:t>
            </w:r>
          </w:p>
        </w:tc>
        <w:tc>
          <w:tcPr>
            <w:tcW w:w="2227" w:type="dxa"/>
          </w:tcPr>
          <w:p w14:paraId="19115146" w14:textId="77777777" w:rsidR="00CB69BE" w:rsidRPr="00D642BD" w:rsidRDefault="00CB69BE" w:rsidP="00D642BD">
            <w:pPr>
              <w:pStyle w:val="TableBody"/>
              <w:jc w:val="left"/>
              <w:rPr>
                <w:bCs w:val="0"/>
              </w:rPr>
            </w:pPr>
            <w:r w:rsidRPr="00D642BD">
              <w:rPr>
                <w:bCs w:val="0"/>
              </w:rPr>
              <w:t>Imputed (continuous)</w:t>
            </w:r>
          </w:p>
        </w:tc>
      </w:tr>
      <w:tr w:rsidR="00CB69BE" w14:paraId="0618C50B" w14:textId="77777777" w:rsidTr="002F36CB">
        <w:tc>
          <w:tcPr>
            <w:tcW w:w="3454" w:type="dxa"/>
          </w:tcPr>
          <w:p w14:paraId="4D017DD8" w14:textId="77777777" w:rsidR="00CB69BE" w:rsidRPr="00D642BD" w:rsidRDefault="00CB69BE" w:rsidP="00D642BD">
            <w:pPr>
              <w:pStyle w:val="TableBody"/>
              <w:jc w:val="left"/>
              <w:rPr>
                <w:bCs w:val="0"/>
              </w:rPr>
            </w:pPr>
            <w:r w:rsidRPr="00D642BD">
              <w:rPr>
                <w:bCs w:val="0"/>
              </w:rPr>
              <w:t>NAPLAN reading score (Year 3)</w:t>
            </w:r>
          </w:p>
        </w:tc>
        <w:tc>
          <w:tcPr>
            <w:tcW w:w="2227" w:type="dxa"/>
          </w:tcPr>
          <w:p w14:paraId="4D45B40A" w14:textId="77777777" w:rsidR="00CB69BE" w:rsidRPr="00D642BD" w:rsidRDefault="00CB69BE" w:rsidP="00D642BD">
            <w:pPr>
              <w:pStyle w:val="TableBody"/>
              <w:jc w:val="left"/>
              <w:rPr>
                <w:bCs w:val="0"/>
              </w:rPr>
            </w:pPr>
            <w:r w:rsidRPr="00D642BD">
              <w:rPr>
                <w:bCs w:val="0"/>
              </w:rPr>
              <w:t>Imputed (continuous)</w:t>
            </w:r>
          </w:p>
        </w:tc>
      </w:tr>
      <w:tr w:rsidR="00CB69BE" w14:paraId="6C861B97" w14:textId="77777777" w:rsidTr="002F36CB">
        <w:tc>
          <w:tcPr>
            <w:tcW w:w="3454" w:type="dxa"/>
          </w:tcPr>
          <w:p w14:paraId="7F4BEF90" w14:textId="77777777" w:rsidR="00CB69BE" w:rsidRPr="00D642BD" w:rsidRDefault="00CB69BE" w:rsidP="00D642BD">
            <w:pPr>
              <w:pStyle w:val="TableBody"/>
              <w:jc w:val="left"/>
              <w:rPr>
                <w:bCs w:val="0"/>
              </w:rPr>
            </w:pPr>
            <w:r w:rsidRPr="00D642BD">
              <w:rPr>
                <w:bCs w:val="0"/>
              </w:rPr>
              <w:t>NAPLAN reading score (Year 5)</w:t>
            </w:r>
          </w:p>
        </w:tc>
        <w:tc>
          <w:tcPr>
            <w:tcW w:w="2227" w:type="dxa"/>
          </w:tcPr>
          <w:p w14:paraId="1F326CD6" w14:textId="77777777" w:rsidR="00CB69BE" w:rsidRPr="00D642BD" w:rsidRDefault="00CB69BE" w:rsidP="00D642BD">
            <w:pPr>
              <w:pStyle w:val="TableBody"/>
              <w:jc w:val="left"/>
              <w:rPr>
                <w:bCs w:val="0"/>
              </w:rPr>
            </w:pPr>
            <w:r w:rsidRPr="00D642BD">
              <w:rPr>
                <w:bCs w:val="0"/>
              </w:rPr>
              <w:t>Imputed (continuous)</w:t>
            </w:r>
          </w:p>
        </w:tc>
      </w:tr>
      <w:tr w:rsidR="00CB69BE" w14:paraId="4FDB08E2" w14:textId="77777777" w:rsidTr="002F36CB">
        <w:tc>
          <w:tcPr>
            <w:tcW w:w="3454" w:type="dxa"/>
          </w:tcPr>
          <w:p w14:paraId="6FDD657E" w14:textId="77777777" w:rsidR="00CB69BE" w:rsidRPr="00D642BD" w:rsidRDefault="00CB69BE" w:rsidP="00D642BD">
            <w:pPr>
              <w:pStyle w:val="TableBody"/>
              <w:jc w:val="left"/>
              <w:rPr>
                <w:bCs w:val="0"/>
              </w:rPr>
            </w:pPr>
            <w:r w:rsidRPr="00D642BD">
              <w:rPr>
                <w:bCs w:val="0"/>
              </w:rPr>
              <w:t>NAPLAN reading score (Year 7)</w:t>
            </w:r>
          </w:p>
        </w:tc>
        <w:tc>
          <w:tcPr>
            <w:tcW w:w="2227" w:type="dxa"/>
          </w:tcPr>
          <w:p w14:paraId="1B8B7382" w14:textId="77777777" w:rsidR="00CB69BE" w:rsidRPr="00D642BD" w:rsidRDefault="00CB69BE" w:rsidP="00D642BD">
            <w:pPr>
              <w:pStyle w:val="TableBody"/>
              <w:jc w:val="left"/>
              <w:rPr>
                <w:bCs w:val="0"/>
              </w:rPr>
            </w:pPr>
            <w:r w:rsidRPr="00D642BD">
              <w:rPr>
                <w:bCs w:val="0"/>
              </w:rPr>
              <w:t>Imputed (continuous)</w:t>
            </w:r>
          </w:p>
        </w:tc>
      </w:tr>
      <w:tr w:rsidR="00CB69BE" w14:paraId="3514DC06" w14:textId="77777777" w:rsidTr="002F36CB">
        <w:tc>
          <w:tcPr>
            <w:tcW w:w="3454" w:type="dxa"/>
          </w:tcPr>
          <w:p w14:paraId="20F0AAF5" w14:textId="77777777" w:rsidR="00CB69BE" w:rsidRPr="00D642BD" w:rsidRDefault="00CB69BE" w:rsidP="00D642BD">
            <w:pPr>
              <w:pStyle w:val="TableBody"/>
              <w:jc w:val="left"/>
              <w:rPr>
                <w:bCs w:val="0"/>
              </w:rPr>
            </w:pPr>
            <w:r w:rsidRPr="00D642BD">
              <w:rPr>
                <w:bCs w:val="0"/>
              </w:rPr>
              <w:t>School disengagement (Year 4)</w:t>
            </w:r>
          </w:p>
        </w:tc>
        <w:tc>
          <w:tcPr>
            <w:tcW w:w="2227" w:type="dxa"/>
          </w:tcPr>
          <w:p w14:paraId="4BDB3F36" w14:textId="77777777" w:rsidR="00CB69BE" w:rsidRPr="00D642BD" w:rsidRDefault="00CB69BE" w:rsidP="00D642BD">
            <w:pPr>
              <w:pStyle w:val="TableBody"/>
              <w:jc w:val="left"/>
              <w:rPr>
                <w:bCs w:val="0"/>
              </w:rPr>
            </w:pPr>
            <w:r w:rsidRPr="00D642BD">
              <w:rPr>
                <w:bCs w:val="0"/>
              </w:rPr>
              <w:t>Imputed (binary)</w:t>
            </w:r>
          </w:p>
        </w:tc>
      </w:tr>
      <w:tr w:rsidR="00CB69BE" w14:paraId="0B1B6E85" w14:textId="77777777" w:rsidTr="002F36CB">
        <w:tc>
          <w:tcPr>
            <w:tcW w:w="3454" w:type="dxa"/>
          </w:tcPr>
          <w:p w14:paraId="7C49B11C" w14:textId="77777777" w:rsidR="00CB69BE" w:rsidRPr="00D642BD" w:rsidRDefault="00CB69BE" w:rsidP="00D642BD">
            <w:pPr>
              <w:pStyle w:val="TableBody"/>
              <w:jc w:val="left"/>
              <w:rPr>
                <w:bCs w:val="0"/>
              </w:rPr>
            </w:pPr>
            <w:r w:rsidRPr="00D642BD">
              <w:rPr>
                <w:bCs w:val="0"/>
              </w:rPr>
              <w:t>School disengagement (Year 5)</w:t>
            </w:r>
          </w:p>
        </w:tc>
        <w:tc>
          <w:tcPr>
            <w:tcW w:w="2227" w:type="dxa"/>
          </w:tcPr>
          <w:p w14:paraId="321C84B2" w14:textId="77777777" w:rsidR="00CB69BE" w:rsidRPr="00D642BD" w:rsidRDefault="00CB69BE" w:rsidP="00D642BD">
            <w:pPr>
              <w:pStyle w:val="TableBody"/>
              <w:jc w:val="left"/>
              <w:rPr>
                <w:bCs w:val="0"/>
              </w:rPr>
            </w:pPr>
            <w:r w:rsidRPr="00D642BD">
              <w:rPr>
                <w:bCs w:val="0"/>
              </w:rPr>
              <w:t>Imputed (binary)</w:t>
            </w:r>
          </w:p>
        </w:tc>
      </w:tr>
      <w:tr w:rsidR="00CB69BE" w14:paraId="7A0C47AC" w14:textId="77777777" w:rsidTr="002F36CB">
        <w:tc>
          <w:tcPr>
            <w:tcW w:w="3454" w:type="dxa"/>
          </w:tcPr>
          <w:p w14:paraId="366B8D3A" w14:textId="77777777" w:rsidR="00CB69BE" w:rsidRPr="00D642BD" w:rsidRDefault="00CB69BE" w:rsidP="00D642BD">
            <w:pPr>
              <w:pStyle w:val="TableBody"/>
              <w:jc w:val="left"/>
              <w:rPr>
                <w:bCs w:val="0"/>
              </w:rPr>
            </w:pPr>
            <w:r w:rsidRPr="00D642BD">
              <w:rPr>
                <w:bCs w:val="0"/>
              </w:rPr>
              <w:t>School disengagement (Year 6)</w:t>
            </w:r>
          </w:p>
        </w:tc>
        <w:tc>
          <w:tcPr>
            <w:tcW w:w="2227" w:type="dxa"/>
          </w:tcPr>
          <w:p w14:paraId="5715CAA7" w14:textId="77777777" w:rsidR="00CB69BE" w:rsidRPr="00D642BD" w:rsidRDefault="00CB69BE" w:rsidP="00D642BD">
            <w:pPr>
              <w:pStyle w:val="TableBody"/>
              <w:jc w:val="left"/>
              <w:rPr>
                <w:bCs w:val="0"/>
              </w:rPr>
            </w:pPr>
            <w:r w:rsidRPr="00D642BD">
              <w:rPr>
                <w:bCs w:val="0"/>
              </w:rPr>
              <w:t>Imputed (binary)</w:t>
            </w:r>
          </w:p>
        </w:tc>
      </w:tr>
      <w:tr w:rsidR="00CB69BE" w14:paraId="191A9601" w14:textId="77777777" w:rsidTr="002F36CB">
        <w:tc>
          <w:tcPr>
            <w:tcW w:w="3454" w:type="dxa"/>
          </w:tcPr>
          <w:p w14:paraId="44269DFA" w14:textId="77777777" w:rsidR="00CB69BE" w:rsidRPr="00D642BD" w:rsidRDefault="00CB69BE" w:rsidP="00D642BD">
            <w:pPr>
              <w:pStyle w:val="TableBody"/>
              <w:jc w:val="left"/>
              <w:rPr>
                <w:bCs w:val="0"/>
              </w:rPr>
            </w:pPr>
            <w:r w:rsidRPr="00D642BD">
              <w:rPr>
                <w:bCs w:val="0"/>
              </w:rPr>
              <w:t>School disengagement (Year 7)</w:t>
            </w:r>
          </w:p>
        </w:tc>
        <w:tc>
          <w:tcPr>
            <w:tcW w:w="2227" w:type="dxa"/>
          </w:tcPr>
          <w:p w14:paraId="1887497A" w14:textId="77777777" w:rsidR="00CB69BE" w:rsidRPr="00D642BD" w:rsidRDefault="00CB69BE" w:rsidP="00D642BD">
            <w:pPr>
              <w:pStyle w:val="TableBody"/>
              <w:jc w:val="left"/>
              <w:rPr>
                <w:bCs w:val="0"/>
              </w:rPr>
            </w:pPr>
            <w:r w:rsidRPr="00D642BD">
              <w:rPr>
                <w:bCs w:val="0"/>
              </w:rPr>
              <w:t>Imputed (binary)</w:t>
            </w:r>
          </w:p>
        </w:tc>
      </w:tr>
      <w:tr w:rsidR="00CB69BE" w14:paraId="65D1C8F7" w14:textId="77777777" w:rsidTr="002F36CB">
        <w:tc>
          <w:tcPr>
            <w:tcW w:w="3454" w:type="dxa"/>
          </w:tcPr>
          <w:p w14:paraId="2BF95F2F" w14:textId="77777777" w:rsidR="00CB69BE" w:rsidRPr="00D642BD" w:rsidRDefault="00CB69BE" w:rsidP="00D642BD">
            <w:pPr>
              <w:pStyle w:val="TableBody"/>
              <w:jc w:val="left"/>
              <w:rPr>
                <w:bCs w:val="0"/>
              </w:rPr>
            </w:pPr>
            <w:r w:rsidRPr="00D642BD">
              <w:rPr>
                <w:bCs w:val="0"/>
              </w:rPr>
              <w:t>Emotional problems (Year 3)</w:t>
            </w:r>
          </w:p>
        </w:tc>
        <w:tc>
          <w:tcPr>
            <w:tcW w:w="2227" w:type="dxa"/>
          </w:tcPr>
          <w:p w14:paraId="18C5581B" w14:textId="77777777" w:rsidR="00CB69BE" w:rsidRPr="00D642BD" w:rsidRDefault="00CB69BE" w:rsidP="00D642BD">
            <w:pPr>
              <w:pStyle w:val="TableBody"/>
              <w:jc w:val="left"/>
              <w:rPr>
                <w:bCs w:val="0"/>
              </w:rPr>
            </w:pPr>
            <w:r w:rsidRPr="00D642BD">
              <w:rPr>
                <w:bCs w:val="0"/>
              </w:rPr>
              <w:t>Imputed (binary)</w:t>
            </w:r>
          </w:p>
        </w:tc>
      </w:tr>
      <w:tr w:rsidR="00CB69BE" w14:paraId="31FBC7E1" w14:textId="77777777" w:rsidTr="002F36CB">
        <w:tc>
          <w:tcPr>
            <w:tcW w:w="3454" w:type="dxa"/>
          </w:tcPr>
          <w:p w14:paraId="3C179EAC" w14:textId="77777777" w:rsidR="00CB69BE" w:rsidRPr="00D642BD" w:rsidRDefault="00CB69BE" w:rsidP="00D642BD">
            <w:pPr>
              <w:pStyle w:val="TableBody"/>
              <w:jc w:val="left"/>
              <w:rPr>
                <w:bCs w:val="0"/>
              </w:rPr>
            </w:pPr>
            <w:r w:rsidRPr="00D642BD">
              <w:rPr>
                <w:bCs w:val="0"/>
              </w:rPr>
              <w:t>Emotional problems (Year 4)</w:t>
            </w:r>
          </w:p>
        </w:tc>
        <w:tc>
          <w:tcPr>
            <w:tcW w:w="2227" w:type="dxa"/>
          </w:tcPr>
          <w:p w14:paraId="712EF862" w14:textId="77777777" w:rsidR="00CB69BE" w:rsidRPr="00D642BD" w:rsidRDefault="00CB69BE" w:rsidP="00D642BD">
            <w:pPr>
              <w:pStyle w:val="TableBody"/>
              <w:jc w:val="left"/>
              <w:rPr>
                <w:bCs w:val="0"/>
              </w:rPr>
            </w:pPr>
            <w:r w:rsidRPr="00D642BD">
              <w:rPr>
                <w:bCs w:val="0"/>
              </w:rPr>
              <w:t>Imputed (binary)</w:t>
            </w:r>
          </w:p>
        </w:tc>
      </w:tr>
      <w:tr w:rsidR="00CB69BE" w14:paraId="5E4762D3" w14:textId="77777777" w:rsidTr="002F36CB">
        <w:tc>
          <w:tcPr>
            <w:tcW w:w="3454" w:type="dxa"/>
          </w:tcPr>
          <w:p w14:paraId="232FDB61" w14:textId="77777777" w:rsidR="00CB69BE" w:rsidRPr="00D642BD" w:rsidRDefault="00CB69BE" w:rsidP="00D642BD">
            <w:pPr>
              <w:pStyle w:val="TableBody"/>
              <w:jc w:val="left"/>
              <w:rPr>
                <w:bCs w:val="0"/>
              </w:rPr>
            </w:pPr>
            <w:r w:rsidRPr="00D642BD">
              <w:rPr>
                <w:bCs w:val="0"/>
              </w:rPr>
              <w:t>Emotional problems (Year 5)</w:t>
            </w:r>
          </w:p>
        </w:tc>
        <w:tc>
          <w:tcPr>
            <w:tcW w:w="2227" w:type="dxa"/>
          </w:tcPr>
          <w:p w14:paraId="7DFFED81" w14:textId="77777777" w:rsidR="00CB69BE" w:rsidRPr="00D642BD" w:rsidRDefault="00CB69BE" w:rsidP="00D642BD">
            <w:pPr>
              <w:pStyle w:val="TableBody"/>
              <w:jc w:val="left"/>
              <w:rPr>
                <w:bCs w:val="0"/>
              </w:rPr>
            </w:pPr>
            <w:r w:rsidRPr="00D642BD">
              <w:rPr>
                <w:bCs w:val="0"/>
              </w:rPr>
              <w:t>Imputed (binary)</w:t>
            </w:r>
          </w:p>
        </w:tc>
      </w:tr>
      <w:tr w:rsidR="00CB69BE" w14:paraId="7F221568" w14:textId="77777777" w:rsidTr="002F36CB">
        <w:tc>
          <w:tcPr>
            <w:tcW w:w="3454" w:type="dxa"/>
          </w:tcPr>
          <w:p w14:paraId="73A72752" w14:textId="77777777" w:rsidR="00CB69BE" w:rsidRPr="00D642BD" w:rsidRDefault="00CB69BE" w:rsidP="00D642BD">
            <w:pPr>
              <w:pStyle w:val="TableBody"/>
              <w:jc w:val="left"/>
              <w:rPr>
                <w:bCs w:val="0"/>
              </w:rPr>
            </w:pPr>
            <w:r w:rsidRPr="00D642BD">
              <w:rPr>
                <w:bCs w:val="0"/>
              </w:rPr>
              <w:t>Emotional problems (Year 6)</w:t>
            </w:r>
          </w:p>
        </w:tc>
        <w:tc>
          <w:tcPr>
            <w:tcW w:w="2227" w:type="dxa"/>
          </w:tcPr>
          <w:p w14:paraId="6E9C597D" w14:textId="77777777" w:rsidR="00CB69BE" w:rsidRPr="00D642BD" w:rsidRDefault="00CB69BE" w:rsidP="00D642BD">
            <w:pPr>
              <w:pStyle w:val="TableBody"/>
              <w:jc w:val="left"/>
              <w:rPr>
                <w:bCs w:val="0"/>
              </w:rPr>
            </w:pPr>
            <w:r w:rsidRPr="00D642BD">
              <w:rPr>
                <w:bCs w:val="0"/>
              </w:rPr>
              <w:t>Imputed (binary)</w:t>
            </w:r>
          </w:p>
        </w:tc>
      </w:tr>
      <w:tr w:rsidR="00CB69BE" w14:paraId="3D968D68" w14:textId="77777777" w:rsidTr="002F36CB">
        <w:tc>
          <w:tcPr>
            <w:tcW w:w="3454" w:type="dxa"/>
          </w:tcPr>
          <w:p w14:paraId="599C2081" w14:textId="77777777" w:rsidR="00CB69BE" w:rsidRPr="00D642BD" w:rsidRDefault="00CB69BE" w:rsidP="00D642BD">
            <w:pPr>
              <w:pStyle w:val="TableBody"/>
              <w:jc w:val="left"/>
              <w:rPr>
                <w:bCs w:val="0"/>
              </w:rPr>
            </w:pPr>
            <w:r w:rsidRPr="00D642BD">
              <w:rPr>
                <w:bCs w:val="0"/>
              </w:rPr>
              <w:t>Emotional problems (Year 7)</w:t>
            </w:r>
          </w:p>
        </w:tc>
        <w:tc>
          <w:tcPr>
            <w:tcW w:w="2227" w:type="dxa"/>
          </w:tcPr>
          <w:p w14:paraId="5597DA17" w14:textId="77777777" w:rsidR="00CB69BE" w:rsidRPr="00D642BD" w:rsidRDefault="00CB69BE" w:rsidP="00D642BD">
            <w:pPr>
              <w:pStyle w:val="TableBody"/>
              <w:jc w:val="left"/>
              <w:rPr>
                <w:bCs w:val="0"/>
              </w:rPr>
            </w:pPr>
            <w:r w:rsidRPr="00D642BD">
              <w:rPr>
                <w:bCs w:val="0"/>
              </w:rPr>
              <w:t>Imputed (binary)</w:t>
            </w:r>
          </w:p>
        </w:tc>
      </w:tr>
      <w:tr w:rsidR="00CB69BE" w14:paraId="156E5BBE" w14:textId="77777777" w:rsidTr="002F36CB">
        <w:tc>
          <w:tcPr>
            <w:tcW w:w="3454" w:type="dxa"/>
          </w:tcPr>
          <w:p w14:paraId="53BB9B95" w14:textId="77777777" w:rsidR="00CB69BE" w:rsidRPr="00D642BD" w:rsidRDefault="00CB69BE" w:rsidP="00D642BD">
            <w:pPr>
              <w:pStyle w:val="TableBody"/>
              <w:jc w:val="left"/>
              <w:rPr>
                <w:bCs w:val="0"/>
              </w:rPr>
            </w:pPr>
            <w:r w:rsidRPr="00D642BD">
              <w:rPr>
                <w:bCs w:val="0"/>
              </w:rPr>
              <w:t>Behaviour problems (Year 3)</w:t>
            </w:r>
          </w:p>
        </w:tc>
        <w:tc>
          <w:tcPr>
            <w:tcW w:w="2227" w:type="dxa"/>
          </w:tcPr>
          <w:p w14:paraId="5F4C83EF" w14:textId="77777777" w:rsidR="00CB69BE" w:rsidRPr="00D642BD" w:rsidRDefault="00CB69BE" w:rsidP="00D642BD">
            <w:pPr>
              <w:pStyle w:val="TableBody"/>
              <w:jc w:val="left"/>
              <w:rPr>
                <w:bCs w:val="0"/>
              </w:rPr>
            </w:pPr>
            <w:r w:rsidRPr="00D642BD">
              <w:rPr>
                <w:bCs w:val="0"/>
              </w:rPr>
              <w:t>Imputed (binary)</w:t>
            </w:r>
          </w:p>
        </w:tc>
      </w:tr>
      <w:tr w:rsidR="00CB69BE" w14:paraId="777C5A7B" w14:textId="77777777" w:rsidTr="002F36CB">
        <w:tc>
          <w:tcPr>
            <w:tcW w:w="3454" w:type="dxa"/>
          </w:tcPr>
          <w:p w14:paraId="45C23B6D" w14:textId="77777777" w:rsidR="00CB69BE" w:rsidRPr="00D642BD" w:rsidRDefault="00CB69BE" w:rsidP="00D642BD">
            <w:pPr>
              <w:pStyle w:val="TableBody"/>
              <w:jc w:val="left"/>
              <w:rPr>
                <w:bCs w:val="0"/>
              </w:rPr>
            </w:pPr>
            <w:r w:rsidRPr="00D642BD">
              <w:rPr>
                <w:bCs w:val="0"/>
              </w:rPr>
              <w:t>Behaviour problems (Year 4)</w:t>
            </w:r>
          </w:p>
        </w:tc>
        <w:tc>
          <w:tcPr>
            <w:tcW w:w="2227" w:type="dxa"/>
          </w:tcPr>
          <w:p w14:paraId="476E8F4D" w14:textId="77777777" w:rsidR="00CB69BE" w:rsidRPr="00D642BD" w:rsidRDefault="00CB69BE" w:rsidP="00D642BD">
            <w:pPr>
              <w:pStyle w:val="TableBody"/>
              <w:jc w:val="left"/>
              <w:rPr>
                <w:bCs w:val="0"/>
              </w:rPr>
            </w:pPr>
            <w:r w:rsidRPr="00D642BD">
              <w:rPr>
                <w:bCs w:val="0"/>
              </w:rPr>
              <w:t>Imputed (binary)</w:t>
            </w:r>
          </w:p>
        </w:tc>
      </w:tr>
      <w:tr w:rsidR="00CB69BE" w14:paraId="3E7BA78B" w14:textId="77777777" w:rsidTr="002F36CB">
        <w:tc>
          <w:tcPr>
            <w:tcW w:w="3454" w:type="dxa"/>
          </w:tcPr>
          <w:p w14:paraId="78A814E5" w14:textId="77777777" w:rsidR="00CB69BE" w:rsidRPr="00D642BD" w:rsidRDefault="00CB69BE" w:rsidP="00D642BD">
            <w:pPr>
              <w:pStyle w:val="TableBody"/>
              <w:jc w:val="left"/>
              <w:rPr>
                <w:bCs w:val="0"/>
              </w:rPr>
            </w:pPr>
            <w:r w:rsidRPr="00D642BD">
              <w:rPr>
                <w:bCs w:val="0"/>
              </w:rPr>
              <w:t>Behaviour problems (Year 5)</w:t>
            </w:r>
          </w:p>
        </w:tc>
        <w:tc>
          <w:tcPr>
            <w:tcW w:w="2227" w:type="dxa"/>
          </w:tcPr>
          <w:p w14:paraId="63368AE7" w14:textId="77777777" w:rsidR="00CB69BE" w:rsidRPr="00D642BD" w:rsidRDefault="00CB69BE" w:rsidP="00D642BD">
            <w:pPr>
              <w:pStyle w:val="TableBody"/>
              <w:jc w:val="left"/>
              <w:rPr>
                <w:bCs w:val="0"/>
              </w:rPr>
            </w:pPr>
            <w:r w:rsidRPr="00D642BD">
              <w:rPr>
                <w:bCs w:val="0"/>
              </w:rPr>
              <w:t>Imputed (binary)</w:t>
            </w:r>
          </w:p>
        </w:tc>
      </w:tr>
      <w:tr w:rsidR="00CB69BE" w14:paraId="507671B3" w14:textId="77777777" w:rsidTr="002F36CB">
        <w:tc>
          <w:tcPr>
            <w:tcW w:w="3454" w:type="dxa"/>
          </w:tcPr>
          <w:p w14:paraId="28D7615B" w14:textId="77777777" w:rsidR="00CB69BE" w:rsidRPr="00D642BD" w:rsidRDefault="00CB69BE" w:rsidP="00D642BD">
            <w:pPr>
              <w:pStyle w:val="TableBody"/>
              <w:jc w:val="left"/>
              <w:rPr>
                <w:bCs w:val="0"/>
              </w:rPr>
            </w:pPr>
            <w:r w:rsidRPr="00D642BD">
              <w:rPr>
                <w:bCs w:val="0"/>
              </w:rPr>
              <w:t>Behaviour problems (Year 6)</w:t>
            </w:r>
          </w:p>
        </w:tc>
        <w:tc>
          <w:tcPr>
            <w:tcW w:w="2227" w:type="dxa"/>
          </w:tcPr>
          <w:p w14:paraId="69BE9C13" w14:textId="77777777" w:rsidR="00CB69BE" w:rsidRPr="00D642BD" w:rsidRDefault="00CB69BE" w:rsidP="00D642BD">
            <w:pPr>
              <w:pStyle w:val="TableBody"/>
              <w:jc w:val="left"/>
              <w:rPr>
                <w:bCs w:val="0"/>
              </w:rPr>
            </w:pPr>
            <w:r w:rsidRPr="00D642BD">
              <w:rPr>
                <w:bCs w:val="0"/>
              </w:rPr>
              <w:t>Imputed (binary)</w:t>
            </w:r>
          </w:p>
        </w:tc>
      </w:tr>
      <w:tr w:rsidR="00CB69BE" w14:paraId="2386C8C3" w14:textId="77777777" w:rsidTr="002F36CB">
        <w:tc>
          <w:tcPr>
            <w:tcW w:w="3454" w:type="dxa"/>
          </w:tcPr>
          <w:p w14:paraId="6AF4AFF9" w14:textId="77777777" w:rsidR="00CB69BE" w:rsidRPr="00D642BD" w:rsidRDefault="00CB69BE" w:rsidP="00D642BD">
            <w:pPr>
              <w:pStyle w:val="TableBody"/>
              <w:jc w:val="left"/>
              <w:rPr>
                <w:bCs w:val="0"/>
              </w:rPr>
            </w:pPr>
            <w:r w:rsidRPr="00D642BD">
              <w:rPr>
                <w:bCs w:val="0"/>
              </w:rPr>
              <w:t>Poor subjective wellbeing (Year 3)</w:t>
            </w:r>
          </w:p>
        </w:tc>
        <w:tc>
          <w:tcPr>
            <w:tcW w:w="2227" w:type="dxa"/>
          </w:tcPr>
          <w:p w14:paraId="480FDC64" w14:textId="77777777" w:rsidR="00CB69BE" w:rsidRPr="00D642BD" w:rsidRDefault="00CB69BE" w:rsidP="00D642BD">
            <w:pPr>
              <w:pStyle w:val="TableBody"/>
              <w:jc w:val="left"/>
              <w:rPr>
                <w:bCs w:val="0"/>
              </w:rPr>
            </w:pPr>
            <w:r w:rsidRPr="00D642BD">
              <w:rPr>
                <w:bCs w:val="0"/>
              </w:rPr>
              <w:t>Imputed (binary)</w:t>
            </w:r>
          </w:p>
        </w:tc>
      </w:tr>
      <w:tr w:rsidR="00CB69BE" w14:paraId="7F2D3048" w14:textId="77777777" w:rsidTr="002F36CB">
        <w:tc>
          <w:tcPr>
            <w:tcW w:w="3454" w:type="dxa"/>
          </w:tcPr>
          <w:p w14:paraId="04D0B1EB" w14:textId="77777777" w:rsidR="00CB69BE" w:rsidRPr="00D642BD" w:rsidRDefault="00CB69BE" w:rsidP="00D642BD">
            <w:pPr>
              <w:pStyle w:val="TableBody"/>
              <w:jc w:val="left"/>
              <w:rPr>
                <w:bCs w:val="0"/>
              </w:rPr>
            </w:pPr>
            <w:r w:rsidRPr="00D642BD">
              <w:rPr>
                <w:bCs w:val="0"/>
              </w:rPr>
              <w:t>Poor subjective wellbeing (Year 4)</w:t>
            </w:r>
          </w:p>
        </w:tc>
        <w:tc>
          <w:tcPr>
            <w:tcW w:w="2227" w:type="dxa"/>
          </w:tcPr>
          <w:p w14:paraId="55462603" w14:textId="77777777" w:rsidR="00CB69BE" w:rsidRPr="00D642BD" w:rsidRDefault="00CB69BE" w:rsidP="00D642BD">
            <w:pPr>
              <w:pStyle w:val="TableBody"/>
              <w:jc w:val="left"/>
              <w:rPr>
                <w:bCs w:val="0"/>
              </w:rPr>
            </w:pPr>
            <w:r w:rsidRPr="00D642BD">
              <w:rPr>
                <w:bCs w:val="0"/>
              </w:rPr>
              <w:t>Imputed (binary)</w:t>
            </w:r>
          </w:p>
        </w:tc>
      </w:tr>
      <w:tr w:rsidR="00CB69BE" w14:paraId="153ADBE9" w14:textId="77777777" w:rsidTr="002F36CB">
        <w:tc>
          <w:tcPr>
            <w:tcW w:w="3454" w:type="dxa"/>
          </w:tcPr>
          <w:p w14:paraId="03A22947" w14:textId="77777777" w:rsidR="00CB69BE" w:rsidRPr="00D642BD" w:rsidRDefault="00CB69BE" w:rsidP="00D642BD">
            <w:pPr>
              <w:pStyle w:val="TableBody"/>
              <w:jc w:val="left"/>
              <w:rPr>
                <w:bCs w:val="0"/>
              </w:rPr>
            </w:pPr>
            <w:r w:rsidRPr="00D642BD">
              <w:rPr>
                <w:bCs w:val="0"/>
              </w:rPr>
              <w:t>Poor subjective wellbeing (Year 5)</w:t>
            </w:r>
          </w:p>
        </w:tc>
        <w:tc>
          <w:tcPr>
            <w:tcW w:w="2227" w:type="dxa"/>
          </w:tcPr>
          <w:p w14:paraId="7F164AA7" w14:textId="77777777" w:rsidR="00CB69BE" w:rsidRPr="00D642BD" w:rsidRDefault="00CB69BE" w:rsidP="00D642BD">
            <w:pPr>
              <w:pStyle w:val="TableBody"/>
              <w:jc w:val="left"/>
              <w:rPr>
                <w:bCs w:val="0"/>
              </w:rPr>
            </w:pPr>
            <w:r w:rsidRPr="00D642BD">
              <w:rPr>
                <w:bCs w:val="0"/>
              </w:rPr>
              <w:t>Imputed (binary)</w:t>
            </w:r>
          </w:p>
        </w:tc>
      </w:tr>
      <w:tr w:rsidR="00CB69BE" w14:paraId="4C09A0A8" w14:textId="77777777" w:rsidTr="002F36CB">
        <w:tc>
          <w:tcPr>
            <w:tcW w:w="3454" w:type="dxa"/>
          </w:tcPr>
          <w:p w14:paraId="0E133B36" w14:textId="77777777" w:rsidR="00CB69BE" w:rsidRPr="00D642BD" w:rsidRDefault="00CB69BE" w:rsidP="00D642BD">
            <w:pPr>
              <w:pStyle w:val="TableBody"/>
              <w:jc w:val="left"/>
              <w:rPr>
                <w:bCs w:val="0"/>
              </w:rPr>
            </w:pPr>
            <w:r w:rsidRPr="00D642BD">
              <w:rPr>
                <w:bCs w:val="0"/>
              </w:rPr>
              <w:t>Poor subjective wellbeing (Year 6)</w:t>
            </w:r>
          </w:p>
        </w:tc>
        <w:tc>
          <w:tcPr>
            <w:tcW w:w="2227" w:type="dxa"/>
          </w:tcPr>
          <w:p w14:paraId="12D337A0" w14:textId="77777777" w:rsidR="00CB69BE" w:rsidRPr="00D642BD" w:rsidRDefault="00CB69BE" w:rsidP="00D642BD">
            <w:pPr>
              <w:pStyle w:val="TableBody"/>
              <w:jc w:val="left"/>
              <w:rPr>
                <w:bCs w:val="0"/>
              </w:rPr>
            </w:pPr>
            <w:r w:rsidRPr="00D642BD">
              <w:rPr>
                <w:bCs w:val="0"/>
              </w:rPr>
              <w:t>Imputed (binary)</w:t>
            </w:r>
          </w:p>
        </w:tc>
      </w:tr>
      <w:tr w:rsidR="00CB69BE" w14:paraId="2F6AA11E" w14:textId="77777777" w:rsidTr="002F36CB">
        <w:tc>
          <w:tcPr>
            <w:tcW w:w="3454" w:type="dxa"/>
          </w:tcPr>
          <w:p w14:paraId="28653B54" w14:textId="77777777" w:rsidR="00CB69BE" w:rsidRPr="00D642BD" w:rsidRDefault="00CB69BE" w:rsidP="00D642BD">
            <w:pPr>
              <w:pStyle w:val="TableBody"/>
              <w:jc w:val="left"/>
              <w:rPr>
                <w:bCs w:val="0"/>
              </w:rPr>
            </w:pPr>
            <w:r w:rsidRPr="00D642BD">
              <w:rPr>
                <w:bCs w:val="0"/>
              </w:rPr>
              <w:t>Poor subjective wellbeing (Year 7)</w:t>
            </w:r>
          </w:p>
        </w:tc>
        <w:tc>
          <w:tcPr>
            <w:tcW w:w="2227" w:type="dxa"/>
          </w:tcPr>
          <w:p w14:paraId="4EA1C761" w14:textId="77777777" w:rsidR="00CB69BE" w:rsidRPr="00D642BD" w:rsidRDefault="00CB69BE" w:rsidP="00D642BD">
            <w:pPr>
              <w:pStyle w:val="TableBody"/>
              <w:jc w:val="left"/>
              <w:rPr>
                <w:bCs w:val="0"/>
              </w:rPr>
            </w:pPr>
            <w:r w:rsidRPr="00D642BD">
              <w:rPr>
                <w:bCs w:val="0"/>
              </w:rPr>
              <w:t>Imputed (binary)</w:t>
            </w:r>
          </w:p>
        </w:tc>
      </w:tr>
      <w:tr w:rsidR="00CB69BE" w14:paraId="4B2C0EE9" w14:textId="77777777" w:rsidTr="002F36CB">
        <w:tc>
          <w:tcPr>
            <w:tcW w:w="3454" w:type="dxa"/>
          </w:tcPr>
          <w:p w14:paraId="28B3BD50" w14:textId="77777777" w:rsidR="00CB69BE" w:rsidRPr="00D642BD" w:rsidRDefault="00CB69BE" w:rsidP="00D642BD">
            <w:pPr>
              <w:pStyle w:val="TableBody"/>
              <w:jc w:val="left"/>
              <w:rPr>
                <w:bCs w:val="0"/>
              </w:rPr>
            </w:pPr>
            <w:r w:rsidRPr="00D642BD">
              <w:rPr>
                <w:bCs w:val="0"/>
              </w:rPr>
              <w:t>Peer support (Year 3)</w:t>
            </w:r>
          </w:p>
        </w:tc>
        <w:tc>
          <w:tcPr>
            <w:tcW w:w="2227" w:type="dxa"/>
          </w:tcPr>
          <w:p w14:paraId="12726F7F" w14:textId="77777777" w:rsidR="00CB69BE" w:rsidRPr="00D642BD" w:rsidRDefault="00CB69BE" w:rsidP="00D642BD">
            <w:pPr>
              <w:pStyle w:val="TableBody"/>
              <w:jc w:val="left"/>
              <w:rPr>
                <w:bCs w:val="0"/>
              </w:rPr>
            </w:pPr>
            <w:r w:rsidRPr="00D642BD">
              <w:rPr>
                <w:bCs w:val="0"/>
              </w:rPr>
              <w:t>Imputed (binary)</w:t>
            </w:r>
          </w:p>
        </w:tc>
      </w:tr>
      <w:tr w:rsidR="00CB69BE" w14:paraId="2E0C6D8E" w14:textId="77777777" w:rsidTr="002F36CB">
        <w:tc>
          <w:tcPr>
            <w:tcW w:w="3454" w:type="dxa"/>
          </w:tcPr>
          <w:p w14:paraId="7444EE30" w14:textId="77777777" w:rsidR="00CB69BE" w:rsidRPr="00D642BD" w:rsidRDefault="00CB69BE" w:rsidP="00D642BD">
            <w:pPr>
              <w:pStyle w:val="TableBody"/>
              <w:jc w:val="left"/>
              <w:rPr>
                <w:bCs w:val="0"/>
              </w:rPr>
            </w:pPr>
            <w:r w:rsidRPr="00D642BD">
              <w:rPr>
                <w:bCs w:val="0"/>
              </w:rPr>
              <w:t>Peer support (Year 4)</w:t>
            </w:r>
          </w:p>
        </w:tc>
        <w:tc>
          <w:tcPr>
            <w:tcW w:w="2227" w:type="dxa"/>
          </w:tcPr>
          <w:p w14:paraId="137296B6" w14:textId="77777777" w:rsidR="00CB69BE" w:rsidRPr="00D642BD" w:rsidRDefault="00CB69BE" w:rsidP="00D642BD">
            <w:pPr>
              <w:pStyle w:val="TableBody"/>
              <w:jc w:val="left"/>
              <w:rPr>
                <w:bCs w:val="0"/>
              </w:rPr>
            </w:pPr>
            <w:r w:rsidRPr="00D642BD">
              <w:rPr>
                <w:bCs w:val="0"/>
              </w:rPr>
              <w:t>Imputed (binary)</w:t>
            </w:r>
          </w:p>
        </w:tc>
      </w:tr>
      <w:tr w:rsidR="00CB69BE" w14:paraId="72305665" w14:textId="77777777" w:rsidTr="002F36CB">
        <w:tc>
          <w:tcPr>
            <w:tcW w:w="3454" w:type="dxa"/>
          </w:tcPr>
          <w:p w14:paraId="2DD3A539" w14:textId="77777777" w:rsidR="00CB69BE" w:rsidRPr="00D642BD" w:rsidRDefault="00CB69BE" w:rsidP="00D642BD">
            <w:pPr>
              <w:pStyle w:val="TableBody"/>
              <w:jc w:val="left"/>
              <w:rPr>
                <w:bCs w:val="0"/>
              </w:rPr>
            </w:pPr>
            <w:r w:rsidRPr="00D642BD">
              <w:rPr>
                <w:bCs w:val="0"/>
              </w:rPr>
              <w:t>Peer support (Year 5)</w:t>
            </w:r>
          </w:p>
        </w:tc>
        <w:tc>
          <w:tcPr>
            <w:tcW w:w="2227" w:type="dxa"/>
          </w:tcPr>
          <w:p w14:paraId="2B763DDF" w14:textId="77777777" w:rsidR="00CB69BE" w:rsidRPr="00D642BD" w:rsidRDefault="00CB69BE" w:rsidP="00D642BD">
            <w:pPr>
              <w:pStyle w:val="TableBody"/>
              <w:jc w:val="left"/>
              <w:rPr>
                <w:bCs w:val="0"/>
              </w:rPr>
            </w:pPr>
            <w:r w:rsidRPr="00D642BD">
              <w:rPr>
                <w:bCs w:val="0"/>
              </w:rPr>
              <w:t>Imputed (binary)</w:t>
            </w:r>
          </w:p>
        </w:tc>
      </w:tr>
      <w:tr w:rsidR="00CB69BE" w14:paraId="21548144" w14:textId="77777777" w:rsidTr="002F36CB">
        <w:tc>
          <w:tcPr>
            <w:tcW w:w="3454" w:type="dxa"/>
          </w:tcPr>
          <w:p w14:paraId="436F5E59" w14:textId="77777777" w:rsidR="00CB69BE" w:rsidRPr="00D642BD" w:rsidRDefault="00CB69BE" w:rsidP="00D642BD">
            <w:pPr>
              <w:pStyle w:val="TableBody"/>
              <w:jc w:val="left"/>
              <w:rPr>
                <w:bCs w:val="0"/>
              </w:rPr>
            </w:pPr>
            <w:r w:rsidRPr="00D642BD">
              <w:rPr>
                <w:bCs w:val="0"/>
              </w:rPr>
              <w:t>Peer support (Year 6)</w:t>
            </w:r>
          </w:p>
        </w:tc>
        <w:tc>
          <w:tcPr>
            <w:tcW w:w="2227" w:type="dxa"/>
          </w:tcPr>
          <w:p w14:paraId="22834756" w14:textId="77777777" w:rsidR="00CB69BE" w:rsidRPr="00D642BD" w:rsidRDefault="00CB69BE" w:rsidP="00D642BD">
            <w:pPr>
              <w:pStyle w:val="TableBody"/>
              <w:jc w:val="left"/>
              <w:rPr>
                <w:bCs w:val="0"/>
              </w:rPr>
            </w:pPr>
            <w:r w:rsidRPr="00D642BD">
              <w:rPr>
                <w:bCs w:val="0"/>
              </w:rPr>
              <w:t>Imputed (binary)</w:t>
            </w:r>
          </w:p>
        </w:tc>
      </w:tr>
      <w:tr w:rsidR="00CB69BE" w14:paraId="0052C990" w14:textId="77777777" w:rsidTr="002F36CB">
        <w:tc>
          <w:tcPr>
            <w:tcW w:w="3454" w:type="dxa"/>
          </w:tcPr>
          <w:p w14:paraId="41EFCB12" w14:textId="77777777" w:rsidR="00CB69BE" w:rsidRPr="00D642BD" w:rsidRDefault="00CB69BE" w:rsidP="00D642BD">
            <w:pPr>
              <w:pStyle w:val="TableBody"/>
              <w:jc w:val="left"/>
              <w:rPr>
                <w:bCs w:val="0"/>
              </w:rPr>
            </w:pPr>
            <w:r w:rsidRPr="00D642BD">
              <w:rPr>
                <w:bCs w:val="0"/>
              </w:rPr>
              <w:t>Peer support (Year 7)</w:t>
            </w:r>
          </w:p>
        </w:tc>
        <w:tc>
          <w:tcPr>
            <w:tcW w:w="2227" w:type="dxa"/>
          </w:tcPr>
          <w:p w14:paraId="274E4250" w14:textId="77777777" w:rsidR="00CB69BE" w:rsidRPr="00D642BD" w:rsidRDefault="00CB69BE" w:rsidP="00D642BD">
            <w:pPr>
              <w:pStyle w:val="TableBody"/>
              <w:jc w:val="left"/>
              <w:rPr>
                <w:bCs w:val="0"/>
              </w:rPr>
            </w:pPr>
            <w:r w:rsidRPr="00D642BD">
              <w:rPr>
                <w:bCs w:val="0"/>
              </w:rPr>
              <w:t>Imputed (binary)</w:t>
            </w:r>
          </w:p>
        </w:tc>
      </w:tr>
      <w:tr w:rsidR="00CB69BE" w14:paraId="4A2E229D" w14:textId="77777777" w:rsidTr="002F36CB">
        <w:tc>
          <w:tcPr>
            <w:tcW w:w="3454" w:type="dxa"/>
          </w:tcPr>
          <w:p w14:paraId="030B4C45" w14:textId="77777777" w:rsidR="00CB69BE" w:rsidRPr="00D642BD" w:rsidRDefault="00CB69BE" w:rsidP="00D642BD">
            <w:pPr>
              <w:pStyle w:val="TableBody"/>
              <w:jc w:val="left"/>
              <w:rPr>
                <w:bCs w:val="0"/>
              </w:rPr>
            </w:pPr>
            <w:r w:rsidRPr="00D642BD">
              <w:rPr>
                <w:bCs w:val="0"/>
              </w:rPr>
              <w:t>Bullying (Year 3)</w:t>
            </w:r>
          </w:p>
        </w:tc>
        <w:tc>
          <w:tcPr>
            <w:tcW w:w="2227" w:type="dxa"/>
          </w:tcPr>
          <w:p w14:paraId="637993F6" w14:textId="77777777" w:rsidR="00CB69BE" w:rsidRPr="00D642BD" w:rsidRDefault="00CB69BE" w:rsidP="00D642BD">
            <w:pPr>
              <w:pStyle w:val="TableBody"/>
              <w:jc w:val="left"/>
              <w:rPr>
                <w:bCs w:val="0"/>
              </w:rPr>
            </w:pPr>
            <w:r w:rsidRPr="00D642BD">
              <w:rPr>
                <w:bCs w:val="0"/>
              </w:rPr>
              <w:t>Imputed (binary)</w:t>
            </w:r>
          </w:p>
        </w:tc>
      </w:tr>
      <w:tr w:rsidR="00CB69BE" w14:paraId="3CBDC86E" w14:textId="77777777" w:rsidTr="002F36CB">
        <w:tc>
          <w:tcPr>
            <w:tcW w:w="3454" w:type="dxa"/>
          </w:tcPr>
          <w:p w14:paraId="66F2CE47" w14:textId="77777777" w:rsidR="00CB69BE" w:rsidRPr="00D642BD" w:rsidRDefault="00CB69BE" w:rsidP="00D642BD">
            <w:pPr>
              <w:pStyle w:val="TableBody"/>
              <w:jc w:val="left"/>
              <w:rPr>
                <w:bCs w:val="0"/>
              </w:rPr>
            </w:pPr>
            <w:r w:rsidRPr="00D642BD">
              <w:rPr>
                <w:bCs w:val="0"/>
              </w:rPr>
              <w:t>Bullying (Year 4)</w:t>
            </w:r>
          </w:p>
        </w:tc>
        <w:tc>
          <w:tcPr>
            <w:tcW w:w="2227" w:type="dxa"/>
          </w:tcPr>
          <w:p w14:paraId="0BE0738E" w14:textId="77777777" w:rsidR="00CB69BE" w:rsidRPr="00D642BD" w:rsidRDefault="00CB69BE" w:rsidP="00D642BD">
            <w:pPr>
              <w:pStyle w:val="TableBody"/>
              <w:jc w:val="left"/>
              <w:rPr>
                <w:bCs w:val="0"/>
              </w:rPr>
            </w:pPr>
            <w:r w:rsidRPr="00D642BD">
              <w:rPr>
                <w:bCs w:val="0"/>
              </w:rPr>
              <w:t>Imputed (binary)</w:t>
            </w:r>
          </w:p>
        </w:tc>
      </w:tr>
      <w:tr w:rsidR="00CB69BE" w14:paraId="11052727" w14:textId="77777777" w:rsidTr="002F36CB">
        <w:tc>
          <w:tcPr>
            <w:tcW w:w="3454" w:type="dxa"/>
          </w:tcPr>
          <w:p w14:paraId="57BF067E" w14:textId="77777777" w:rsidR="00CB69BE" w:rsidRPr="00D642BD" w:rsidRDefault="00CB69BE" w:rsidP="00D642BD">
            <w:pPr>
              <w:pStyle w:val="TableBody"/>
              <w:jc w:val="left"/>
              <w:rPr>
                <w:bCs w:val="0"/>
              </w:rPr>
            </w:pPr>
            <w:r w:rsidRPr="00D642BD">
              <w:rPr>
                <w:bCs w:val="0"/>
              </w:rPr>
              <w:t>Bullying (Year 5)</w:t>
            </w:r>
          </w:p>
        </w:tc>
        <w:tc>
          <w:tcPr>
            <w:tcW w:w="2227" w:type="dxa"/>
          </w:tcPr>
          <w:p w14:paraId="5668E424" w14:textId="77777777" w:rsidR="00CB69BE" w:rsidRPr="00D642BD" w:rsidRDefault="00CB69BE" w:rsidP="00D642BD">
            <w:pPr>
              <w:pStyle w:val="TableBody"/>
              <w:jc w:val="left"/>
              <w:rPr>
                <w:bCs w:val="0"/>
              </w:rPr>
            </w:pPr>
            <w:r w:rsidRPr="00D642BD">
              <w:rPr>
                <w:bCs w:val="0"/>
              </w:rPr>
              <w:t>Imputed (binary)</w:t>
            </w:r>
          </w:p>
        </w:tc>
      </w:tr>
      <w:tr w:rsidR="00CB69BE" w14:paraId="383BC8F0" w14:textId="77777777" w:rsidTr="002F36CB">
        <w:tc>
          <w:tcPr>
            <w:tcW w:w="3454" w:type="dxa"/>
          </w:tcPr>
          <w:p w14:paraId="0DBBB021" w14:textId="77777777" w:rsidR="00CB69BE" w:rsidRPr="00D642BD" w:rsidRDefault="00CB69BE" w:rsidP="00D642BD">
            <w:pPr>
              <w:pStyle w:val="TableBody"/>
              <w:jc w:val="left"/>
              <w:rPr>
                <w:bCs w:val="0"/>
              </w:rPr>
            </w:pPr>
            <w:r w:rsidRPr="00D642BD">
              <w:rPr>
                <w:bCs w:val="0"/>
              </w:rPr>
              <w:t>Bullying (Year 6)</w:t>
            </w:r>
          </w:p>
        </w:tc>
        <w:tc>
          <w:tcPr>
            <w:tcW w:w="2227" w:type="dxa"/>
          </w:tcPr>
          <w:p w14:paraId="746094DD" w14:textId="77777777" w:rsidR="00CB69BE" w:rsidRPr="00D642BD" w:rsidRDefault="00CB69BE" w:rsidP="00D642BD">
            <w:pPr>
              <w:pStyle w:val="TableBody"/>
              <w:jc w:val="left"/>
              <w:rPr>
                <w:bCs w:val="0"/>
              </w:rPr>
            </w:pPr>
            <w:r w:rsidRPr="00D642BD">
              <w:rPr>
                <w:bCs w:val="0"/>
              </w:rPr>
              <w:t>Imputed (binary)</w:t>
            </w:r>
          </w:p>
        </w:tc>
      </w:tr>
      <w:tr w:rsidR="00CB69BE" w14:paraId="39374EAE" w14:textId="77777777" w:rsidTr="002F36CB">
        <w:tc>
          <w:tcPr>
            <w:tcW w:w="3454" w:type="dxa"/>
          </w:tcPr>
          <w:p w14:paraId="68987354" w14:textId="77777777" w:rsidR="00CB69BE" w:rsidRPr="00D642BD" w:rsidRDefault="00CB69BE" w:rsidP="00D642BD">
            <w:pPr>
              <w:pStyle w:val="TableBody"/>
              <w:jc w:val="left"/>
              <w:rPr>
                <w:bCs w:val="0"/>
              </w:rPr>
            </w:pPr>
            <w:r w:rsidRPr="00D642BD">
              <w:rPr>
                <w:bCs w:val="0"/>
              </w:rPr>
              <w:t>Bullying (Year 7)</w:t>
            </w:r>
          </w:p>
        </w:tc>
        <w:tc>
          <w:tcPr>
            <w:tcW w:w="2227" w:type="dxa"/>
          </w:tcPr>
          <w:p w14:paraId="3B8D5D0B" w14:textId="77777777" w:rsidR="00CB69BE" w:rsidRPr="00D642BD" w:rsidRDefault="00CB69BE" w:rsidP="00D642BD">
            <w:pPr>
              <w:pStyle w:val="TableBody"/>
              <w:jc w:val="left"/>
              <w:rPr>
                <w:bCs w:val="0"/>
              </w:rPr>
            </w:pPr>
            <w:r w:rsidRPr="00D642BD">
              <w:rPr>
                <w:bCs w:val="0"/>
              </w:rPr>
              <w:t>Imputed (binary)</w:t>
            </w:r>
          </w:p>
        </w:tc>
      </w:tr>
    </w:tbl>
    <w:p w14:paraId="19D24154" w14:textId="77777777" w:rsidR="00CB69BE" w:rsidRDefault="00CB69BE" w:rsidP="00D52B12">
      <w:pPr>
        <w:rPr>
          <w:vertAlign w:val="superscript"/>
        </w:rPr>
      </w:pPr>
    </w:p>
    <w:p w14:paraId="3220FE5F" w14:textId="77777777" w:rsidR="00CB69BE" w:rsidRDefault="00CB69BE" w:rsidP="00D52B12">
      <w:pPr>
        <w:rPr>
          <w:vertAlign w:val="superscript"/>
        </w:rPr>
      </w:pPr>
    </w:p>
    <w:p w14:paraId="36CB4799" w14:textId="77777777" w:rsidR="00CB69BE" w:rsidRPr="00FF71E7" w:rsidRDefault="00CB69BE" w:rsidP="009C423A">
      <w:pPr>
        <w:pStyle w:val="Belowtablecaption"/>
        <w:ind w:left="1701"/>
      </w:pPr>
      <w:r>
        <w:rPr>
          <w:vertAlign w:val="superscript"/>
        </w:rPr>
        <w:br w:type="textWrapping" w:clear="all"/>
      </w:r>
      <w:proofErr w:type="spellStart"/>
      <w:r>
        <w:rPr>
          <w:vertAlign w:val="superscript"/>
        </w:rPr>
        <w:t>a</w:t>
      </w:r>
      <w:proofErr w:type="spellEnd"/>
      <w:r>
        <w:rPr>
          <w:vertAlign w:val="superscript"/>
        </w:rPr>
        <w:t xml:space="preserve"> </w:t>
      </w:r>
      <w:r>
        <w:t>This variable has no missing data.</w:t>
      </w:r>
    </w:p>
    <w:p w14:paraId="2F867E31" w14:textId="77777777" w:rsidR="00CB69BE" w:rsidRDefault="00CB69BE" w:rsidP="00D52B12"/>
    <w:p w14:paraId="0CE79132" w14:textId="77777777" w:rsidR="00CB69BE" w:rsidRPr="00413B0E" w:rsidRDefault="00CB69BE" w:rsidP="0031784D">
      <w:pPr>
        <w:pStyle w:val="Heading3"/>
        <w:spacing w:before="0" w:after="120"/>
      </w:pPr>
      <w:r>
        <w:t>Regression analyses</w:t>
      </w:r>
      <w:r w:rsidRPr="00413B0E">
        <w:t xml:space="preserve"> – part one</w:t>
      </w:r>
    </w:p>
    <w:p w14:paraId="2AB9E0F7" w14:textId="0F889EFC" w:rsidR="00CB69BE" w:rsidRDefault="00CB69BE" w:rsidP="007D7FE9">
      <w:pPr>
        <w:spacing w:after="0"/>
      </w:pPr>
      <w:r>
        <w:t>Separate linear or l</w:t>
      </w:r>
      <w:r w:rsidRPr="00496CA1">
        <w:t xml:space="preserve">ogistic </w:t>
      </w:r>
      <w:r>
        <w:t xml:space="preserve">regression models </w:t>
      </w:r>
      <w:proofErr w:type="gramStart"/>
      <w:r>
        <w:t>were used</w:t>
      </w:r>
      <w:proofErr w:type="gramEnd"/>
      <w:r>
        <w:t xml:space="preserve"> to estimate</w:t>
      </w:r>
      <w:r w:rsidRPr="00496CA1">
        <w:t xml:space="preserve"> associations between </w:t>
      </w:r>
      <w:r>
        <w:t>DV1 status and each of the outcomes listed in</w:t>
      </w:r>
      <w:r w:rsidR="0043740D">
        <w:t xml:space="preserve"> </w:t>
      </w:r>
      <w:r w:rsidR="0043740D">
        <w:fldChar w:fldCharType="begin"/>
      </w:r>
      <w:r w:rsidR="0043740D">
        <w:instrText xml:space="preserve"> REF _Ref501028636 \h </w:instrText>
      </w:r>
      <w:r w:rsidR="0043740D">
        <w:fldChar w:fldCharType="separate"/>
      </w:r>
      <w:r w:rsidR="004C27B3">
        <w:t xml:space="preserve">Table </w:t>
      </w:r>
      <w:r w:rsidR="004C27B3">
        <w:rPr>
          <w:noProof/>
        </w:rPr>
        <w:t>16</w:t>
      </w:r>
      <w:r w:rsidR="0043740D">
        <w:fldChar w:fldCharType="end"/>
      </w:r>
      <w:r>
        <w:t>, below. Initially, all unadjusted models were fitted, from which unadjusted proportions or means, by DVI status, were estimated. Then, all models were adjusted for</w:t>
      </w:r>
      <w:r w:rsidRPr="001F56F2">
        <w:t xml:space="preserve"> </w:t>
      </w:r>
      <w:r w:rsidRPr="008971D8">
        <w:t>child age (</w:t>
      </w:r>
      <w:r>
        <w:t>measured by AEDC in 2009</w:t>
      </w:r>
      <w:r w:rsidRPr="008971D8">
        <w:t>)</w:t>
      </w:r>
      <w:r>
        <w:t>, child sex</w:t>
      </w:r>
      <w:r w:rsidRPr="008971D8">
        <w:t xml:space="preserve"> and </w:t>
      </w:r>
      <w:r>
        <w:t>S</w:t>
      </w:r>
      <w:r w:rsidRPr="008971D8">
        <w:t xml:space="preserve">EIFA </w:t>
      </w:r>
      <w:r>
        <w:t>advantage/disadvantage quintile (measure in 2012 (wave 1; Year 3)), to estimate adjusted mean differences or odds ratios.</w:t>
      </w:r>
    </w:p>
    <w:p w14:paraId="72CF058A" w14:textId="77777777" w:rsidR="00825DFD" w:rsidRDefault="00825DFD" w:rsidP="005265DE">
      <w:pPr>
        <w:spacing w:after="0"/>
      </w:pPr>
    </w:p>
    <w:p w14:paraId="60C3764B" w14:textId="2B6F35DA" w:rsidR="002F36CB" w:rsidRDefault="002F36CB" w:rsidP="0031784D">
      <w:pPr>
        <w:pStyle w:val="Caption"/>
        <w:spacing w:before="0"/>
      </w:pPr>
      <w:bookmarkStart w:id="156" w:name="_Ref501028636"/>
      <w:bookmarkStart w:id="157" w:name="_Toc501014934"/>
      <w:bookmarkStart w:id="158" w:name="_Toc503780756"/>
      <w:r>
        <w:t xml:space="preserve">Table </w:t>
      </w:r>
      <w:r>
        <w:fldChar w:fldCharType="begin"/>
      </w:r>
      <w:r>
        <w:instrText xml:space="preserve"> SEQ Table \* ARABIC </w:instrText>
      </w:r>
      <w:r>
        <w:fldChar w:fldCharType="separate"/>
      </w:r>
      <w:r w:rsidR="004C27B3">
        <w:rPr>
          <w:noProof/>
        </w:rPr>
        <w:t>16</w:t>
      </w:r>
      <w:r>
        <w:fldChar w:fldCharType="end"/>
      </w:r>
      <w:bookmarkEnd w:id="156"/>
      <w:r>
        <w:t xml:space="preserve">. </w:t>
      </w:r>
      <w:r w:rsidRPr="001B08D6">
        <w:t>List of outcome variabl</w:t>
      </w:r>
      <w:r w:rsidR="004811E5">
        <w:t xml:space="preserve">es used in regression analyses - </w:t>
      </w:r>
      <w:r w:rsidRPr="001B08D6">
        <w:t>part one</w:t>
      </w:r>
      <w:r>
        <w:t>.</w:t>
      </w:r>
      <w:bookmarkEnd w:id="157"/>
      <w:bookmarkEnd w:id="158"/>
    </w:p>
    <w:tbl>
      <w:tblPr>
        <w:tblStyle w:val="TableGrid"/>
        <w:tblW w:w="5177" w:type="dxa"/>
        <w:jc w:val="center"/>
        <w:tblLook w:val="04A0" w:firstRow="1" w:lastRow="0" w:firstColumn="1" w:lastColumn="0" w:noHBand="0" w:noVBand="1"/>
        <w:tblCaption w:val="Table 16. List of outcome variables used in regression analyses - part one"/>
      </w:tblPr>
      <w:tblGrid>
        <w:gridCol w:w="5177"/>
      </w:tblGrid>
      <w:tr w:rsidR="00CB69BE" w14:paraId="46064240" w14:textId="77777777" w:rsidTr="002F36CB">
        <w:trPr>
          <w:jc w:val="center"/>
        </w:trPr>
        <w:tc>
          <w:tcPr>
            <w:tcW w:w="5177" w:type="dxa"/>
            <w:shd w:val="clear" w:color="auto" w:fill="0070C0"/>
          </w:tcPr>
          <w:p w14:paraId="37F8273E" w14:textId="77777777" w:rsidR="00CB69BE" w:rsidRPr="00D75F2E" w:rsidRDefault="00CB69BE" w:rsidP="00D642BD">
            <w:pPr>
              <w:pStyle w:val="TableHeader1"/>
              <w:jc w:val="left"/>
            </w:pPr>
            <w:r w:rsidRPr="00D75F2E">
              <w:t>Outcome variables</w:t>
            </w:r>
          </w:p>
        </w:tc>
      </w:tr>
      <w:tr w:rsidR="00CB69BE" w14:paraId="1EA12308" w14:textId="77777777" w:rsidTr="002F36CB">
        <w:trPr>
          <w:jc w:val="center"/>
        </w:trPr>
        <w:tc>
          <w:tcPr>
            <w:tcW w:w="5177" w:type="dxa"/>
          </w:tcPr>
          <w:p w14:paraId="79286B16" w14:textId="77777777" w:rsidR="00CB69BE" w:rsidRDefault="00CB69BE" w:rsidP="00D642BD">
            <w:pPr>
              <w:pStyle w:val="TableBody"/>
              <w:jc w:val="left"/>
            </w:pPr>
            <w:r w:rsidRPr="008E4546">
              <w:t>NAPLAN numeracy score</w:t>
            </w:r>
            <w:r>
              <w:t xml:space="preserve"> (each of Years 3, 5, 7)</w:t>
            </w:r>
          </w:p>
        </w:tc>
      </w:tr>
      <w:tr w:rsidR="00CB69BE" w14:paraId="1F9C0ACB" w14:textId="77777777" w:rsidTr="002F36CB">
        <w:trPr>
          <w:jc w:val="center"/>
        </w:trPr>
        <w:tc>
          <w:tcPr>
            <w:tcW w:w="5177" w:type="dxa"/>
          </w:tcPr>
          <w:p w14:paraId="26C99D16" w14:textId="77777777" w:rsidR="00CB69BE" w:rsidRDefault="00CB69BE" w:rsidP="00D642BD">
            <w:pPr>
              <w:pStyle w:val="TableBody"/>
              <w:jc w:val="left"/>
            </w:pPr>
            <w:r w:rsidRPr="008E4546">
              <w:t xml:space="preserve">NAPLAN </w:t>
            </w:r>
            <w:r>
              <w:t xml:space="preserve">reading </w:t>
            </w:r>
            <w:r w:rsidRPr="008E4546">
              <w:t>score</w:t>
            </w:r>
            <w:r>
              <w:t xml:space="preserve"> (each of Years 3, 5, 7)</w:t>
            </w:r>
          </w:p>
        </w:tc>
      </w:tr>
      <w:tr w:rsidR="00CB69BE" w14:paraId="5DA69DB4" w14:textId="77777777" w:rsidTr="002F36CB">
        <w:trPr>
          <w:jc w:val="center"/>
        </w:trPr>
        <w:tc>
          <w:tcPr>
            <w:tcW w:w="5177" w:type="dxa"/>
          </w:tcPr>
          <w:p w14:paraId="4056D142" w14:textId="21394A50" w:rsidR="00CB69BE" w:rsidRPr="008E4546" w:rsidRDefault="0097278B" w:rsidP="00D642BD">
            <w:pPr>
              <w:pStyle w:val="TableBody"/>
              <w:jc w:val="left"/>
            </w:pPr>
            <w:r>
              <w:t>School disengagement (each of</w:t>
            </w:r>
            <w:r w:rsidR="00CB69BE">
              <w:t xml:space="preserve"> Years 4, 5, 6, 7)</w:t>
            </w:r>
          </w:p>
        </w:tc>
      </w:tr>
      <w:tr w:rsidR="00CB69BE" w14:paraId="0E99951C" w14:textId="77777777" w:rsidTr="002F36CB">
        <w:trPr>
          <w:jc w:val="center"/>
        </w:trPr>
        <w:tc>
          <w:tcPr>
            <w:tcW w:w="5177" w:type="dxa"/>
          </w:tcPr>
          <w:p w14:paraId="5BFCDC3A" w14:textId="36A834DB" w:rsidR="00CB69BE" w:rsidRDefault="00CB69BE" w:rsidP="0097278B">
            <w:pPr>
              <w:pStyle w:val="TableBody"/>
              <w:jc w:val="left"/>
            </w:pPr>
            <w:r>
              <w:t>Emotional problems (each of Years 3, 4, 5, 6, 7)</w:t>
            </w:r>
          </w:p>
        </w:tc>
      </w:tr>
      <w:tr w:rsidR="00CB69BE" w14:paraId="76CCA0C0" w14:textId="77777777" w:rsidTr="002F36CB">
        <w:trPr>
          <w:jc w:val="center"/>
        </w:trPr>
        <w:tc>
          <w:tcPr>
            <w:tcW w:w="5177" w:type="dxa"/>
          </w:tcPr>
          <w:p w14:paraId="34FA0633" w14:textId="6E007F83" w:rsidR="00CB69BE" w:rsidRDefault="00CB69BE" w:rsidP="0097278B">
            <w:pPr>
              <w:pStyle w:val="TableBody"/>
              <w:jc w:val="left"/>
            </w:pPr>
            <w:r>
              <w:t>Behaviour problems (each of Years 3, 4, 5, 6, 7)</w:t>
            </w:r>
          </w:p>
        </w:tc>
      </w:tr>
      <w:tr w:rsidR="00CB69BE" w14:paraId="63492BB3" w14:textId="77777777" w:rsidTr="002F36CB">
        <w:trPr>
          <w:jc w:val="center"/>
        </w:trPr>
        <w:tc>
          <w:tcPr>
            <w:tcW w:w="5177" w:type="dxa"/>
          </w:tcPr>
          <w:p w14:paraId="233FD7DE" w14:textId="46EDC14A" w:rsidR="00CB69BE" w:rsidRDefault="00CB69BE" w:rsidP="00D642BD">
            <w:pPr>
              <w:pStyle w:val="TableBody"/>
              <w:jc w:val="left"/>
            </w:pPr>
            <w:r>
              <w:t>Poor</w:t>
            </w:r>
            <w:r w:rsidR="0097278B">
              <w:t xml:space="preserve"> subjective wellbeing (each of </w:t>
            </w:r>
            <w:r>
              <w:t>Years 3, 4, 5, 6, 7)</w:t>
            </w:r>
          </w:p>
        </w:tc>
      </w:tr>
      <w:tr w:rsidR="00CB69BE" w14:paraId="6C6ADD22" w14:textId="77777777" w:rsidTr="002F36CB">
        <w:trPr>
          <w:jc w:val="center"/>
        </w:trPr>
        <w:tc>
          <w:tcPr>
            <w:tcW w:w="5177" w:type="dxa"/>
          </w:tcPr>
          <w:p w14:paraId="091E59E2" w14:textId="3795E487" w:rsidR="00CB69BE" w:rsidRDefault="00CB69BE" w:rsidP="0097278B">
            <w:pPr>
              <w:pStyle w:val="TableBody"/>
              <w:jc w:val="left"/>
            </w:pPr>
            <w:r>
              <w:t>Peer support (each of Years 3, 4, 5, 6, 7)</w:t>
            </w:r>
          </w:p>
        </w:tc>
      </w:tr>
      <w:tr w:rsidR="00CB69BE" w14:paraId="07C2BCDB" w14:textId="77777777" w:rsidTr="002F36CB">
        <w:trPr>
          <w:jc w:val="center"/>
        </w:trPr>
        <w:tc>
          <w:tcPr>
            <w:tcW w:w="5177" w:type="dxa"/>
          </w:tcPr>
          <w:p w14:paraId="5AB25DBB" w14:textId="0C6CD6AE" w:rsidR="00CB69BE" w:rsidRDefault="00CB69BE" w:rsidP="0097278B">
            <w:pPr>
              <w:pStyle w:val="TableBody"/>
              <w:jc w:val="left"/>
            </w:pPr>
            <w:r>
              <w:t>Bullying (each of Years 3, 4, 5, 6, 7)</w:t>
            </w:r>
          </w:p>
        </w:tc>
      </w:tr>
    </w:tbl>
    <w:p w14:paraId="30FEDFAB" w14:textId="77777777" w:rsidR="00825DFD" w:rsidRDefault="00825DFD" w:rsidP="005265DE">
      <w:pPr>
        <w:pStyle w:val="Heading3"/>
        <w:spacing w:before="0" w:after="0"/>
      </w:pPr>
    </w:p>
    <w:p w14:paraId="3C66270A" w14:textId="30D369CE" w:rsidR="00CB69BE" w:rsidRPr="00413B0E" w:rsidRDefault="00CB69BE" w:rsidP="0031784D">
      <w:pPr>
        <w:pStyle w:val="Heading3"/>
        <w:spacing w:before="0" w:after="120"/>
      </w:pPr>
      <w:r>
        <w:t>Regression analyses</w:t>
      </w:r>
      <w:r w:rsidRPr="00413B0E">
        <w:t xml:space="preserve"> – part </w:t>
      </w:r>
      <w:r>
        <w:t>two</w:t>
      </w:r>
    </w:p>
    <w:p w14:paraId="35F48AC4" w14:textId="7D301034" w:rsidR="00CB69BE" w:rsidRDefault="00CB69BE" w:rsidP="007D7FE9">
      <w:pPr>
        <w:spacing w:after="0"/>
      </w:pPr>
      <w:r>
        <w:t xml:space="preserve">Separate logistic or multinomial logistic regression models </w:t>
      </w:r>
      <w:proofErr w:type="gramStart"/>
      <w:r>
        <w:t>were used</w:t>
      </w:r>
      <w:proofErr w:type="gramEnd"/>
      <w:r>
        <w:t xml:space="preserve"> to estimate</w:t>
      </w:r>
      <w:r w:rsidRPr="00496CA1">
        <w:t xml:space="preserve"> associations between </w:t>
      </w:r>
      <w:r>
        <w:t xml:space="preserve">DV1 status and each of the indicator variables listed in </w:t>
      </w:r>
      <w:r w:rsidR="0043740D">
        <w:fldChar w:fldCharType="begin"/>
      </w:r>
      <w:r w:rsidR="0043740D">
        <w:instrText xml:space="preserve"> REF _Ref501028618 \h </w:instrText>
      </w:r>
      <w:r w:rsidR="0043740D">
        <w:fldChar w:fldCharType="separate"/>
      </w:r>
      <w:r w:rsidR="004C27B3">
        <w:t xml:space="preserve">Table </w:t>
      </w:r>
      <w:r w:rsidR="004C27B3">
        <w:rPr>
          <w:noProof/>
        </w:rPr>
        <w:t>17</w:t>
      </w:r>
      <w:r w:rsidR="0043740D">
        <w:fldChar w:fldCharType="end"/>
      </w:r>
      <w:r w:rsidR="00D642BD">
        <w:fldChar w:fldCharType="begin"/>
      </w:r>
      <w:r w:rsidR="00D642BD">
        <w:instrText xml:space="preserve"> REF _Ref501028618 \h </w:instrText>
      </w:r>
      <w:r w:rsidR="00D642BD">
        <w:fldChar w:fldCharType="separate"/>
      </w:r>
      <w:r w:rsidR="004C27B3">
        <w:t xml:space="preserve">Table </w:t>
      </w:r>
      <w:r w:rsidR="004C27B3">
        <w:rPr>
          <w:noProof/>
        </w:rPr>
        <w:t>17</w:t>
      </w:r>
      <w:r w:rsidR="00D642BD">
        <w:fldChar w:fldCharType="end"/>
      </w:r>
      <w:r>
        <w:t xml:space="preserve">, below. Models were adjusted for </w:t>
      </w:r>
      <w:r w:rsidRPr="008971D8">
        <w:t>child age (</w:t>
      </w:r>
      <w:r>
        <w:t>measured by AEDC in 2009</w:t>
      </w:r>
      <w:r w:rsidRPr="008971D8">
        <w:t>)</w:t>
      </w:r>
      <w:r>
        <w:t>, child sex</w:t>
      </w:r>
      <w:r w:rsidRPr="008971D8">
        <w:t xml:space="preserve"> and </w:t>
      </w:r>
      <w:r>
        <w:t>S</w:t>
      </w:r>
      <w:r w:rsidRPr="008971D8">
        <w:t xml:space="preserve">EIFA </w:t>
      </w:r>
      <w:r>
        <w:t>advantage/disadvantage quintile (measure in 2012 (wave 1); Year 3), to estimate adjusted odds ratios or risk ratios.</w:t>
      </w:r>
    </w:p>
    <w:p w14:paraId="3ACC8369" w14:textId="77777777" w:rsidR="00825DFD" w:rsidRDefault="00825DFD" w:rsidP="005265DE">
      <w:pPr>
        <w:spacing w:after="0"/>
      </w:pPr>
    </w:p>
    <w:p w14:paraId="329F2F01" w14:textId="7A0BB8F8" w:rsidR="002F36CB" w:rsidRDefault="002F36CB" w:rsidP="0031784D">
      <w:pPr>
        <w:pStyle w:val="Caption"/>
        <w:spacing w:before="0"/>
      </w:pPr>
      <w:bookmarkStart w:id="159" w:name="_Ref501028618"/>
      <w:bookmarkStart w:id="160" w:name="_Toc501014935"/>
      <w:bookmarkStart w:id="161" w:name="_Toc503780757"/>
      <w:r>
        <w:t xml:space="preserve">Table </w:t>
      </w:r>
      <w:r>
        <w:fldChar w:fldCharType="begin"/>
      </w:r>
      <w:r>
        <w:instrText xml:space="preserve"> SEQ Table \* ARABIC </w:instrText>
      </w:r>
      <w:r>
        <w:fldChar w:fldCharType="separate"/>
      </w:r>
      <w:r w:rsidR="004C27B3">
        <w:rPr>
          <w:noProof/>
        </w:rPr>
        <w:t>17</w:t>
      </w:r>
      <w:r>
        <w:fldChar w:fldCharType="end"/>
      </w:r>
      <w:bookmarkEnd w:id="159"/>
      <w:r>
        <w:t xml:space="preserve">. </w:t>
      </w:r>
      <w:r w:rsidRPr="001545FD">
        <w:t>List of indicator variables used in regression analyses</w:t>
      </w:r>
      <w:r w:rsidR="004811E5">
        <w:t xml:space="preserve"> - </w:t>
      </w:r>
      <w:r w:rsidRPr="001545FD">
        <w:t>parts two and three</w:t>
      </w:r>
      <w:r>
        <w:t>.</w:t>
      </w:r>
      <w:bookmarkEnd w:id="160"/>
      <w:bookmarkEnd w:id="161"/>
    </w:p>
    <w:tbl>
      <w:tblPr>
        <w:tblStyle w:val="TableGrid"/>
        <w:tblW w:w="5177" w:type="dxa"/>
        <w:jc w:val="center"/>
        <w:tblLook w:val="04A0" w:firstRow="1" w:lastRow="0" w:firstColumn="1" w:lastColumn="0" w:noHBand="0" w:noVBand="1"/>
        <w:tblCaption w:val="Table 17. List of indicator variables used in regression analyses - parts two and three"/>
      </w:tblPr>
      <w:tblGrid>
        <w:gridCol w:w="5177"/>
      </w:tblGrid>
      <w:tr w:rsidR="00CB69BE" w14:paraId="1AFFA3B2" w14:textId="77777777" w:rsidTr="002F36CB">
        <w:trPr>
          <w:jc w:val="center"/>
        </w:trPr>
        <w:tc>
          <w:tcPr>
            <w:tcW w:w="5177" w:type="dxa"/>
            <w:shd w:val="clear" w:color="auto" w:fill="0070C0"/>
          </w:tcPr>
          <w:p w14:paraId="017C5CC5" w14:textId="77777777" w:rsidR="00CB69BE" w:rsidRPr="00D75F2E" w:rsidRDefault="00CB69BE" w:rsidP="00D642BD">
            <w:pPr>
              <w:pStyle w:val="TableHeader1"/>
              <w:jc w:val="left"/>
            </w:pPr>
            <w:r>
              <w:t>Indicator</w:t>
            </w:r>
            <w:r w:rsidRPr="00D75F2E">
              <w:t xml:space="preserve"> variables</w:t>
            </w:r>
          </w:p>
        </w:tc>
      </w:tr>
      <w:tr w:rsidR="00CB69BE" w14:paraId="5EA7DAFB" w14:textId="77777777" w:rsidTr="002F36CB">
        <w:trPr>
          <w:jc w:val="center"/>
        </w:trPr>
        <w:tc>
          <w:tcPr>
            <w:tcW w:w="5177" w:type="dxa"/>
          </w:tcPr>
          <w:p w14:paraId="5C37AAFF" w14:textId="77777777" w:rsidR="00CB69BE" w:rsidRPr="00D642BD" w:rsidRDefault="00CB69BE" w:rsidP="00D642BD">
            <w:pPr>
              <w:pStyle w:val="TableBody"/>
              <w:jc w:val="left"/>
              <w:rPr>
                <w:bCs w:val="0"/>
              </w:rPr>
            </w:pPr>
            <w:r w:rsidRPr="00D642BD">
              <w:rPr>
                <w:bCs w:val="0"/>
              </w:rPr>
              <w:t>School disengagement (Years 4-5 indicator)</w:t>
            </w:r>
          </w:p>
        </w:tc>
      </w:tr>
      <w:tr w:rsidR="00CB69BE" w14:paraId="5D3C4330" w14:textId="77777777" w:rsidTr="002F36CB">
        <w:trPr>
          <w:jc w:val="center"/>
        </w:trPr>
        <w:tc>
          <w:tcPr>
            <w:tcW w:w="5177" w:type="dxa"/>
          </w:tcPr>
          <w:p w14:paraId="6888A559" w14:textId="77777777" w:rsidR="00CB69BE" w:rsidRPr="00D642BD" w:rsidRDefault="00CB69BE" w:rsidP="00D642BD">
            <w:pPr>
              <w:pStyle w:val="TableBody"/>
              <w:jc w:val="left"/>
              <w:rPr>
                <w:bCs w:val="0"/>
              </w:rPr>
            </w:pPr>
            <w:r w:rsidRPr="00D642BD">
              <w:rPr>
                <w:bCs w:val="0"/>
              </w:rPr>
              <w:t>Emotional problems (Years 3-5 indicator)</w:t>
            </w:r>
          </w:p>
        </w:tc>
      </w:tr>
      <w:tr w:rsidR="00CB69BE" w14:paraId="1B3BDEC9" w14:textId="77777777" w:rsidTr="002F36CB">
        <w:trPr>
          <w:jc w:val="center"/>
        </w:trPr>
        <w:tc>
          <w:tcPr>
            <w:tcW w:w="5177" w:type="dxa"/>
          </w:tcPr>
          <w:p w14:paraId="6BEA6BF1" w14:textId="77777777" w:rsidR="00CB69BE" w:rsidRPr="00D642BD" w:rsidRDefault="00CB69BE" w:rsidP="00D642BD">
            <w:pPr>
              <w:pStyle w:val="TableBody"/>
              <w:jc w:val="left"/>
              <w:rPr>
                <w:bCs w:val="0"/>
              </w:rPr>
            </w:pPr>
            <w:r w:rsidRPr="00D642BD">
              <w:rPr>
                <w:bCs w:val="0"/>
              </w:rPr>
              <w:t>Behaviour problems (Years 3-5 indicator)</w:t>
            </w:r>
          </w:p>
        </w:tc>
      </w:tr>
      <w:tr w:rsidR="00CB69BE" w14:paraId="0C84E905" w14:textId="77777777" w:rsidTr="002F36CB">
        <w:trPr>
          <w:jc w:val="center"/>
        </w:trPr>
        <w:tc>
          <w:tcPr>
            <w:tcW w:w="5177" w:type="dxa"/>
          </w:tcPr>
          <w:p w14:paraId="62DE7D97" w14:textId="77777777" w:rsidR="00CB69BE" w:rsidRPr="00D642BD" w:rsidRDefault="00CB69BE" w:rsidP="00D642BD">
            <w:pPr>
              <w:pStyle w:val="TableBody"/>
              <w:jc w:val="left"/>
              <w:rPr>
                <w:bCs w:val="0"/>
              </w:rPr>
            </w:pPr>
            <w:r w:rsidRPr="00D642BD">
              <w:rPr>
                <w:bCs w:val="0"/>
              </w:rPr>
              <w:t>Poor subjective wellbeing (Years 3-5 indicator)</w:t>
            </w:r>
          </w:p>
        </w:tc>
      </w:tr>
      <w:tr w:rsidR="00CB69BE" w14:paraId="379B1BDF" w14:textId="77777777" w:rsidTr="002F36CB">
        <w:trPr>
          <w:jc w:val="center"/>
        </w:trPr>
        <w:tc>
          <w:tcPr>
            <w:tcW w:w="5177" w:type="dxa"/>
          </w:tcPr>
          <w:p w14:paraId="61EC0C27" w14:textId="77777777" w:rsidR="00CB69BE" w:rsidRPr="00D642BD" w:rsidRDefault="00CB69BE" w:rsidP="00D642BD">
            <w:pPr>
              <w:pStyle w:val="TableBody"/>
              <w:jc w:val="left"/>
              <w:rPr>
                <w:bCs w:val="0"/>
              </w:rPr>
            </w:pPr>
            <w:r w:rsidRPr="00D642BD">
              <w:rPr>
                <w:bCs w:val="0"/>
              </w:rPr>
              <w:t>Peer support (Years 3-5 indicator)</w:t>
            </w:r>
          </w:p>
        </w:tc>
      </w:tr>
      <w:tr w:rsidR="00CB69BE" w14:paraId="264A8C38" w14:textId="77777777" w:rsidTr="002F36CB">
        <w:trPr>
          <w:jc w:val="center"/>
        </w:trPr>
        <w:tc>
          <w:tcPr>
            <w:tcW w:w="5177" w:type="dxa"/>
          </w:tcPr>
          <w:p w14:paraId="5488FC79" w14:textId="77777777" w:rsidR="00CB69BE" w:rsidRPr="00D642BD" w:rsidRDefault="00CB69BE" w:rsidP="00D642BD">
            <w:pPr>
              <w:pStyle w:val="TableBody"/>
              <w:jc w:val="left"/>
              <w:rPr>
                <w:bCs w:val="0"/>
              </w:rPr>
            </w:pPr>
            <w:r w:rsidRPr="00D642BD">
              <w:rPr>
                <w:bCs w:val="0"/>
              </w:rPr>
              <w:t>Bullying (Years 3-5 indicator)</w:t>
            </w:r>
          </w:p>
        </w:tc>
      </w:tr>
    </w:tbl>
    <w:p w14:paraId="623B9F84" w14:textId="77777777" w:rsidR="00825DFD" w:rsidRDefault="00825DFD" w:rsidP="005265DE">
      <w:pPr>
        <w:pStyle w:val="Heading3"/>
        <w:spacing w:before="0" w:after="0"/>
      </w:pPr>
    </w:p>
    <w:p w14:paraId="72345447" w14:textId="398ED403" w:rsidR="00CB69BE" w:rsidRDefault="00CB69BE" w:rsidP="0031784D">
      <w:pPr>
        <w:pStyle w:val="Heading3"/>
        <w:spacing w:before="0" w:after="120"/>
      </w:pPr>
      <w:r w:rsidRPr="001C0053">
        <w:t>Regression analyses – part three</w:t>
      </w:r>
    </w:p>
    <w:p w14:paraId="5C921F9A" w14:textId="403A04AE" w:rsidR="00CB69BE" w:rsidRDefault="00CB69BE" w:rsidP="00D52B12">
      <w:r>
        <w:t>Separate logistic regression models were used to estimate</w:t>
      </w:r>
      <w:r w:rsidRPr="00496CA1">
        <w:t xml:space="preserve"> associations between </w:t>
      </w:r>
      <w:r>
        <w:t xml:space="preserve">each of the indicator variables (listed in </w:t>
      </w:r>
      <w:r w:rsidR="0043740D">
        <w:fldChar w:fldCharType="begin"/>
      </w:r>
      <w:r w:rsidR="0043740D">
        <w:instrText xml:space="preserve"> REF _Ref501028618 \h </w:instrText>
      </w:r>
      <w:r w:rsidR="0043740D">
        <w:fldChar w:fldCharType="separate"/>
      </w:r>
      <w:r w:rsidR="004C27B3">
        <w:t xml:space="preserve">Table </w:t>
      </w:r>
      <w:r w:rsidR="004C27B3">
        <w:rPr>
          <w:noProof/>
        </w:rPr>
        <w:t>17</w:t>
      </w:r>
      <w:r w:rsidR="0043740D">
        <w:fldChar w:fldCharType="end"/>
      </w:r>
      <w:r>
        <w:t xml:space="preserve">, above), and </w:t>
      </w:r>
      <w:proofErr w:type="spellStart"/>
      <w:r>
        <w:t>i</w:t>
      </w:r>
      <w:proofErr w:type="spellEnd"/>
      <w:r>
        <w:t xml:space="preserve">) non-attainment of the Year 7 numeracy </w:t>
      </w:r>
      <w:r w:rsidR="0095595F">
        <w:t>threshold</w:t>
      </w:r>
      <w:r>
        <w:t xml:space="preserve">, and (ii) non-attainment of the Year 7 reading </w:t>
      </w:r>
      <w:r w:rsidR="0095595F">
        <w:t>threshold</w:t>
      </w:r>
      <w:r>
        <w:t xml:space="preserve">. Initially, models were adjusted for </w:t>
      </w:r>
      <w:r w:rsidRPr="008971D8">
        <w:t>child age (</w:t>
      </w:r>
      <w:r>
        <w:t>measured by AEDC in 2009</w:t>
      </w:r>
      <w:r w:rsidRPr="008971D8">
        <w:t>)</w:t>
      </w:r>
      <w:r>
        <w:t>, child sex</w:t>
      </w:r>
      <w:r w:rsidRPr="008971D8">
        <w:t xml:space="preserve"> and </w:t>
      </w:r>
      <w:r>
        <w:t>S</w:t>
      </w:r>
      <w:r w:rsidRPr="008971D8">
        <w:t xml:space="preserve">EIFA </w:t>
      </w:r>
      <w:r>
        <w:t xml:space="preserve">advantage/disadvantage quintile (measure in 2012 (wave 1); Year 3). Then, all models were further adjusted for DV1 status. </w:t>
      </w:r>
    </w:p>
    <w:p w14:paraId="57CC292A" w14:textId="7F774F28" w:rsidR="0033430F" w:rsidRDefault="00CB69BE" w:rsidP="00D52B12">
      <w:r>
        <w:t xml:space="preserve">In addition, two logistic regression models were fitted to estimate the association between: </w:t>
      </w:r>
      <w:proofErr w:type="spellStart"/>
      <w:r>
        <w:t>i</w:t>
      </w:r>
      <w:proofErr w:type="spellEnd"/>
      <w:r>
        <w:t xml:space="preserve">) DV1 status and non-attainment of the Year 7 numeracy </w:t>
      </w:r>
      <w:r w:rsidR="0095595F">
        <w:t>threshold</w:t>
      </w:r>
      <w:r>
        <w:t xml:space="preserve">, and ii) DV1 status and non-attainment of the Year 7 reading </w:t>
      </w:r>
      <w:r w:rsidR="0095595F">
        <w:t>threshold</w:t>
      </w:r>
      <w:r>
        <w:t xml:space="preserve">. Both models were adjusted for </w:t>
      </w:r>
      <w:r w:rsidRPr="008971D8">
        <w:t>child age (</w:t>
      </w:r>
      <w:r>
        <w:t>measured by AEDC in 2009</w:t>
      </w:r>
      <w:r w:rsidRPr="008971D8">
        <w:t>)</w:t>
      </w:r>
      <w:r>
        <w:t>, child sex</w:t>
      </w:r>
      <w:r w:rsidRPr="008971D8">
        <w:t xml:space="preserve"> and </w:t>
      </w:r>
      <w:r>
        <w:t>S</w:t>
      </w:r>
      <w:r w:rsidRPr="008971D8">
        <w:t xml:space="preserve">EIFA </w:t>
      </w:r>
      <w:r>
        <w:t>advantage/disadvantage quintile (measured in 2012 (wave 1); Year 3).</w:t>
      </w:r>
      <w:r w:rsidR="0033430F">
        <w:br w:type="page"/>
      </w:r>
    </w:p>
    <w:p w14:paraId="761A0EA7" w14:textId="77777777" w:rsidR="0033430F" w:rsidRDefault="0033430F" w:rsidP="0031784D">
      <w:pPr>
        <w:pStyle w:val="Heading1"/>
        <w:spacing w:before="0"/>
      </w:pPr>
      <w:bookmarkStart w:id="162" w:name="_Toc501120764"/>
      <w:r>
        <w:t>Appendix 3 - Description</w:t>
      </w:r>
      <w:r w:rsidRPr="00AD04F3">
        <w:t xml:space="preserve"> of AEDC domains and </w:t>
      </w:r>
      <w:r>
        <w:t xml:space="preserve">characteristics of the developmentally </w:t>
      </w:r>
      <w:r w:rsidRPr="00AD04F3">
        <w:t xml:space="preserve">vulnerable </w:t>
      </w:r>
      <w:r>
        <w:t>group in the CATS sample</w:t>
      </w:r>
      <w:bookmarkEnd w:id="162"/>
    </w:p>
    <w:p w14:paraId="05DE467D" w14:textId="77777777" w:rsidR="0033430F" w:rsidRDefault="0033430F" w:rsidP="0031784D">
      <w:pPr>
        <w:pStyle w:val="Heading2"/>
        <w:spacing w:before="0" w:after="120"/>
      </w:pPr>
      <w:bookmarkStart w:id="163" w:name="_Toc501120765"/>
      <w:r w:rsidRPr="00810D47">
        <w:t>SECTION 1. Developmentally vulnerable on each domain</w:t>
      </w:r>
      <w:bookmarkEnd w:id="163"/>
    </w:p>
    <w:p w14:paraId="3B42E31B" w14:textId="27E5868E" w:rsidR="0033430F" w:rsidRDefault="0033430F" w:rsidP="005265DE">
      <w:pPr>
        <w:spacing w:after="0"/>
      </w:pPr>
      <w:r w:rsidRPr="005221C8">
        <w:t>For each of the five AEDC domains,</w:t>
      </w:r>
      <w:r>
        <w:t xml:space="preserve"> </w:t>
      </w:r>
      <w:r w:rsidRPr="005221C8">
        <w:t>children receive a score between zero and ten, where zero is most developmentally vulnerable</w:t>
      </w:r>
      <w:r>
        <w:t xml:space="preserve"> </w:t>
      </w:r>
      <w:r w:rsidR="00B22107">
        <w:fldChar w:fldCharType="begin"/>
      </w:r>
      <w:r w:rsidR="00B22107">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fldChar w:fldCharType="separate"/>
      </w:r>
      <w:r w:rsidR="00B22107">
        <w:rPr>
          <w:noProof/>
        </w:rPr>
        <w:t>[2]</w:t>
      </w:r>
      <w:r w:rsidR="00B22107">
        <w:fldChar w:fldCharType="end"/>
      </w:r>
      <w:r w:rsidRPr="005221C8">
        <w:t xml:space="preserve">. </w:t>
      </w:r>
      <w:r>
        <w:t>Cut-offs to dichotomise this distribution into developmentally vulnerable and not developmentally vulnerable groups were established by the AEDC in 2009. The cut-offs were set such that the lowest 10 percent of participants in each domain in 2009 were classified as developmentally vulnerable.</w:t>
      </w:r>
    </w:p>
    <w:p w14:paraId="10C42B79" w14:textId="77777777" w:rsidR="00825DFD" w:rsidRDefault="00825DFD" w:rsidP="005265DE">
      <w:pPr>
        <w:spacing w:after="0"/>
      </w:pPr>
    </w:p>
    <w:p w14:paraId="4B878293" w14:textId="2FE7C4C6" w:rsidR="002F36CB" w:rsidRPr="007746B4" w:rsidRDefault="002F36CB" w:rsidP="0031784D">
      <w:pPr>
        <w:pStyle w:val="Caption"/>
        <w:spacing w:before="0"/>
      </w:pPr>
      <w:bookmarkStart w:id="164" w:name="_Ref501028700"/>
      <w:bookmarkStart w:id="165" w:name="_Toc501014936"/>
      <w:bookmarkStart w:id="166" w:name="_Toc503780758"/>
      <w:r w:rsidRPr="007746B4">
        <w:t xml:space="preserve">Table </w:t>
      </w:r>
      <w:r w:rsidRPr="00057A30">
        <w:fldChar w:fldCharType="begin"/>
      </w:r>
      <w:r w:rsidRPr="007746B4">
        <w:instrText xml:space="preserve"> SEQ Table \* ARABIC </w:instrText>
      </w:r>
      <w:r w:rsidRPr="00057A30">
        <w:fldChar w:fldCharType="separate"/>
      </w:r>
      <w:r w:rsidR="004C27B3">
        <w:rPr>
          <w:noProof/>
        </w:rPr>
        <w:t>18</w:t>
      </w:r>
      <w:r w:rsidRPr="00057A30">
        <w:fldChar w:fldCharType="end"/>
      </w:r>
      <w:bookmarkEnd w:id="164"/>
      <w:r w:rsidRPr="007746B4">
        <w:t>. Proportion of CATS participants that are vulnerable on each AEDC domain.</w:t>
      </w:r>
      <w:bookmarkEnd w:id="165"/>
      <w:bookmarkEnd w:id="166"/>
    </w:p>
    <w:tbl>
      <w:tblPr>
        <w:tblStyle w:val="LightList-Accent11"/>
        <w:tblW w:w="70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 18. Proportion of CATS participants what are vulnerable on each AEDC domain"/>
      </w:tblPr>
      <w:tblGrid>
        <w:gridCol w:w="4101"/>
        <w:gridCol w:w="992"/>
        <w:gridCol w:w="992"/>
        <w:gridCol w:w="993"/>
      </w:tblGrid>
      <w:tr w:rsidR="0033430F" w:rsidRPr="007746B4" w14:paraId="57B83D6D" w14:textId="77777777" w:rsidTr="002F36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1" w:type="dxa"/>
            <w:shd w:val="clear" w:color="auto" w:fill="0070C0"/>
          </w:tcPr>
          <w:p w14:paraId="7FE3E4DC" w14:textId="77777777" w:rsidR="0033430F" w:rsidRPr="007746B4" w:rsidRDefault="0033430F" w:rsidP="00785532">
            <w:pPr>
              <w:pStyle w:val="TableHeader1"/>
              <w:rPr>
                <w:b/>
              </w:rPr>
            </w:pPr>
            <w:r w:rsidRPr="007746B4">
              <w:t>Domain</w:t>
            </w:r>
          </w:p>
        </w:tc>
        <w:tc>
          <w:tcPr>
            <w:tcW w:w="992" w:type="dxa"/>
            <w:shd w:val="clear" w:color="auto" w:fill="0070C0"/>
          </w:tcPr>
          <w:p w14:paraId="64CFCCA6" w14:textId="77777777" w:rsidR="0033430F" w:rsidRPr="007746B4" w:rsidRDefault="0033430F" w:rsidP="00785532">
            <w:pPr>
              <w:pStyle w:val="TableHeader1"/>
              <w:cnfStyle w:val="100000000000" w:firstRow="1" w:lastRow="0" w:firstColumn="0" w:lastColumn="0" w:oddVBand="0" w:evenVBand="0" w:oddHBand="0" w:evenHBand="0" w:firstRowFirstColumn="0" w:firstRowLastColumn="0" w:lastRowFirstColumn="0" w:lastRowLastColumn="0"/>
              <w:rPr>
                <w:b/>
              </w:rPr>
            </w:pPr>
            <w:r w:rsidRPr="007746B4">
              <w:t>N</w:t>
            </w:r>
            <w:r w:rsidRPr="007746B4">
              <w:rPr>
                <w:vertAlign w:val="superscript"/>
              </w:rPr>
              <w:t>a</w:t>
            </w:r>
          </w:p>
        </w:tc>
        <w:tc>
          <w:tcPr>
            <w:tcW w:w="992" w:type="dxa"/>
            <w:shd w:val="clear" w:color="auto" w:fill="0070C0"/>
          </w:tcPr>
          <w:p w14:paraId="12EAD88B" w14:textId="77777777" w:rsidR="0033430F" w:rsidRPr="007746B4" w:rsidRDefault="0033430F" w:rsidP="00785532">
            <w:pPr>
              <w:pStyle w:val="TableHeader1"/>
              <w:cnfStyle w:val="100000000000" w:firstRow="1" w:lastRow="0" w:firstColumn="0" w:lastColumn="0" w:oddVBand="0" w:evenVBand="0" w:oddHBand="0" w:evenHBand="0" w:firstRowFirstColumn="0" w:firstRowLastColumn="0" w:lastRowFirstColumn="0" w:lastRowLastColumn="0"/>
              <w:rPr>
                <w:b/>
              </w:rPr>
            </w:pPr>
            <w:proofErr w:type="spellStart"/>
            <w:r w:rsidRPr="007746B4">
              <w:t>n</w:t>
            </w:r>
            <w:r w:rsidRPr="007746B4">
              <w:rPr>
                <w:vertAlign w:val="superscript"/>
              </w:rPr>
              <w:t>b</w:t>
            </w:r>
            <w:proofErr w:type="spellEnd"/>
          </w:p>
        </w:tc>
        <w:tc>
          <w:tcPr>
            <w:tcW w:w="993" w:type="dxa"/>
            <w:shd w:val="clear" w:color="auto" w:fill="0070C0"/>
          </w:tcPr>
          <w:p w14:paraId="568216F9" w14:textId="77777777" w:rsidR="0033430F" w:rsidRPr="007746B4" w:rsidRDefault="0033430F" w:rsidP="00785532">
            <w:pPr>
              <w:pStyle w:val="TableHeader1"/>
              <w:cnfStyle w:val="100000000000" w:firstRow="1" w:lastRow="0" w:firstColumn="0" w:lastColumn="0" w:oddVBand="0" w:evenVBand="0" w:oddHBand="0" w:evenHBand="0" w:firstRowFirstColumn="0" w:firstRowLastColumn="0" w:lastRowFirstColumn="0" w:lastRowLastColumn="0"/>
              <w:rPr>
                <w:b/>
              </w:rPr>
            </w:pPr>
            <w:r w:rsidRPr="007746B4">
              <w:t>%</w:t>
            </w:r>
            <w:r w:rsidRPr="007746B4">
              <w:rPr>
                <w:vertAlign w:val="superscript"/>
              </w:rPr>
              <w:t>c</w:t>
            </w:r>
          </w:p>
        </w:tc>
      </w:tr>
      <w:tr w:rsidR="0033430F" w:rsidRPr="007746B4" w14:paraId="40BEC6FB"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1" w:type="dxa"/>
            <w:tcBorders>
              <w:top w:val="none" w:sz="0" w:space="0" w:color="auto"/>
              <w:left w:val="none" w:sz="0" w:space="0" w:color="auto"/>
              <w:bottom w:val="none" w:sz="0" w:space="0" w:color="auto"/>
            </w:tcBorders>
          </w:tcPr>
          <w:p w14:paraId="521958CF" w14:textId="77777777" w:rsidR="0033430F" w:rsidRPr="007746B4" w:rsidRDefault="0033430F" w:rsidP="00BC3CD1">
            <w:pPr>
              <w:pStyle w:val="TableRowIndent"/>
              <w:rPr>
                <w:b w:val="0"/>
              </w:rPr>
            </w:pPr>
            <w:r w:rsidRPr="007746B4">
              <w:t>Physical health and wellbeing</w:t>
            </w:r>
          </w:p>
        </w:tc>
        <w:tc>
          <w:tcPr>
            <w:tcW w:w="992" w:type="dxa"/>
            <w:tcBorders>
              <w:top w:val="none" w:sz="0" w:space="0" w:color="auto"/>
              <w:bottom w:val="none" w:sz="0" w:space="0" w:color="auto"/>
            </w:tcBorders>
          </w:tcPr>
          <w:p w14:paraId="3170F1B7"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1042</w:t>
            </w:r>
          </w:p>
        </w:tc>
        <w:tc>
          <w:tcPr>
            <w:tcW w:w="992" w:type="dxa"/>
            <w:tcBorders>
              <w:top w:val="none" w:sz="0" w:space="0" w:color="auto"/>
              <w:bottom w:val="none" w:sz="0" w:space="0" w:color="auto"/>
            </w:tcBorders>
          </w:tcPr>
          <w:p w14:paraId="54F5BE44"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65</w:t>
            </w:r>
          </w:p>
        </w:tc>
        <w:tc>
          <w:tcPr>
            <w:tcW w:w="993" w:type="dxa"/>
            <w:tcBorders>
              <w:top w:val="none" w:sz="0" w:space="0" w:color="auto"/>
              <w:bottom w:val="none" w:sz="0" w:space="0" w:color="auto"/>
              <w:right w:val="none" w:sz="0" w:space="0" w:color="auto"/>
            </w:tcBorders>
          </w:tcPr>
          <w:p w14:paraId="729106CC"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6.2</w:t>
            </w:r>
          </w:p>
        </w:tc>
      </w:tr>
      <w:tr w:rsidR="0033430F" w:rsidRPr="007746B4" w14:paraId="71A8D585" w14:textId="77777777" w:rsidTr="002F36CB">
        <w:trPr>
          <w:jc w:val="center"/>
        </w:trPr>
        <w:tc>
          <w:tcPr>
            <w:cnfStyle w:val="001000000000" w:firstRow="0" w:lastRow="0" w:firstColumn="1" w:lastColumn="0" w:oddVBand="0" w:evenVBand="0" w:oddHBand="0" w:evenHBand="0" w:firstRowFirstColumn="0" w:firstRowLastColumn="0" w:lastRowFirstColumn="0" w:lastRowLastColumn="0"/>
            <w:tcW w:w="4101" w:type="dxa"/>
          </w:tcPr>
          <w:p w14:paraId="71E46339" w14:textId="77777777" w:rsidR="0033430F" w:rsidRPr="007746B4" w:rsidRDefault="0033430F" w:rsidP="00BC3CD1">
            <w:pPr>
              <w:pStyle w:val="TableRowIndent"/>
              <w:rPr>
                <w:b w:val="0"/>
              </w:rPr>
            </w:pPr>
            <w:r w:rsidRPr="007746B4">
              <w:t>Social competence</w:t>
            </w:r>
          </w:p>
        </w:tc>
        <w:tc>
          <w:tcPr>
            <w:tcW w:w="992" w:type="dxa"/>
          </w:tcPr>
          <w:p w14:paraId="61BF6BF4"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1042</w:t>
            </w:r>
          </w:p>
        </w:tc>
        <w:tc>
          <w:tcPr>
            <w:tcW w:w="992" w:type="dxa"/>
          </w:tcPr>
          <w:p w14:paraId="079D5F5D"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71</w:t>
            </w:r>
          </w:p>
        </w:tc>
        <w:tc>
          <w:tcPr>
            <w:tcW w:w="993" w:type="dxa"/>
          </w:tcPr>
          <w:p w14:paraId="3B601F98"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6.8</w:t>
            </w:r>
          </w:p>
        </w:tc>
      </w:tr>
      <w:tr w:rsidR="0033430F" w:rsidRPr="007746B4" w14:paraId="002BD0F0"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1" w:type="dxa"/>
            <w:tcBorders>
              <w:top w:val="none" w:sz="0" w:space="0" w:color="auto"/>
              <w:left w:val="none" w:sz="0" w:space="0" w:color="auto"/>
              <w:bottom w:val="none" w:sz="0" w:space="0" w:color="auto"/>
            </w:tcBorders>
          </w:tcPr>
          <w:p w14:paraId="75143E35" w14:textId="77777777" w:rsidR="0033430F" w:rsidRPr="007746B4" w:rsidRDefault="0033430F" w:rsidP="00BC3CD1">
            <w:pPr>
              <w:pStyle w:val="TableRowIndent"/>
              <w:rPr>
                <w:b w:val="0"/>
              </w:rPr>
            </w:pPr>
            <w:r w:rsidRPr="007746B4">
              <w:t>Emotional maturity</w:t>
            </w:r>
          </w:p>
        </w:tc>
        <w:tc>
          <w:tcPr>
            <w:tcW w:w="992" w:type="dxa"/>
            <w:tcBorders>
              <w:top w:val="none" w:sz="0" w:space="0" w:color="auto"/>
              <w:bottom w:val="none" w:sz="0" w:space="0" w:color="auto"/>
            </w:tcBorders>
          </w:tcPr>
          <w:p w14:paraId="24A370DD"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1041</w:t>
            </w:r>
          </w:p>
        </w:tc>
        <w:tc>
          <w:tcPr>
            <w:tcW w:w="992" w:type="dxa"/>
            <w:tcBorders>
              <w:top w:val="none" w:sz="0" w:space="0" w:color="auto"/>
              <w:bottom w:val="none" w:sz="0" w:space="0" w:color="auto"/>
            </w:tcBorders>
          </w:tcPr>
          <w:p w14:paraId="2D2DA0A2"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73</w:t>
            </w:r>
          </w:p>
        </w:tc>
        <w:tc>
          <w:tcPr>
            <w:tcW w:w="993" w:type="dxa"/>
            <w:tcBorders>
              <w:top w:val="none" w:sz="0" w:space="0" w:color="auto"/>
              <w:bottom w:val="none" w:sz="0" w:space="0" w:color="auto"/>
              <w:right w:val="none" w:sz="0" w:space="0" w:color="auto"/>
            </w:tcBorders>
          </w:tcPr>
          <w:p w14:paraId="4A78323B"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7.0</w:t>
            </w:r>
          </w:p>
        </w:tc>
      </w:tr>
      <w:tr w:rsidR="0033430F" w:rsidRPr="007746B4" w14:paraId="3840B6BB" w14:textId="77777777" w:rsidTr="002F36CB">
        <w:trPr>
          <w:jc w:val="center"/>
        </w:trPr>
        <w:tc>
          <w:tcPr>
            <w:cnfStyle w:val="001000000000" w:firstRow="0" w:lastRow="0" w:firstColumn="1" w:lastColumn="0" w:oddVBand="0" w:evenVBand="0" w:oddHBand="0" w:evenHBand="0" w:firstRowFirstColumn="0" w:firstRowLastColumn="0" w:lastRowFirstColumn="0" w:lastRowLastColumn="0"/>
            <w:tcW w:w="4101" w:type="dxa"/>
          </w:tcPr>
          <w:p w14:paraId="2BFB2FF3" w14:textId="77777777" w:rsidR="0033430F" w:rsidRPr="007746B4" w:rsidRDefault="0033430F" w:rsidP="00BC3CD1">
            <w:pPr>
              <w:pStyle w:val="TableRowIndent"/>
              <w:rPr>
                <w:b w:val="0"/>
              </w:rPr>
            </w:pPr>
            <w:r w:rsidRPr="007746B4">
              <w:t>Language and cognition</w:t>
            </w:r>
          </w:p>
        </w:tc>
        <w:tc>
          <w:tcPr>
            <w:tcW w:w="992" w:type="dxa"/>
          </w:tcPr>
          <w:p w14:paraId="5E6B4FEC"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1042</w:t>
            </w:r>
          </w:p>
        </w:tc>
        <w:tc>
          <w:tcPr>
            <w:tcW w:w="992" w:type="dxa"/>
          </w:tcPr>
          <w:p w14:paraId="55E6065F"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57</w:t>
            </w:r>
          </w:p>
        </w:tc>
        <w:tc>
          <w:tcPr>
            <w:tcW w:w="993" w:type="dxa"/>
          </w:tcPr>
          <w:p w14:paraId="748F4B17" w14:textId="77777777" w:rsidR="0033430F" w:rsidRPr="007746B4"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7746B4">
              <w:t>5.5</w:t>
            </w:r>
          </w:p>
        </w:tc>
      </w:tr>
      <w:tr w:rsidR="0033430F" w:rsidRPr="007746B4" w14:paraId="756762EF"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1" w:type="dxa"/>
            <w:tcBorders>
              <w:top w:val="none" w:sz="0" w:space="0" w:color="auto"/>
              <w:left w:val="none" w:sz="0" w:space="0" w:color="auto"/>
              <w:bottom w:val="none" w:sz="0" w:space="0" w:color="auto"/>
            </w:tcBorders>
          </w:tcPr>
          <w:p w14:paraId="25AEE3B3" w14:textId="77777777" w:rsidR="0033430F" w:rsidRPr="007746B4" w:rsidRDefault="0033430F" w:rsidP="00BC3CD1">
            <w:pPr>
              <w:pStyle w:val="TableRowIndent"/>
              <w:rPr>
                <w:b w:val="0"/>
              </w:rPr>
            </w:pPr>
            <w:r w:rsidRPr="007746B4">
              <w:t xml:space="preserve">Communication and general </w:t>
            </w:r>
            <w:r w:rsidRPr="007746B4">
              <w:rPr>
                <w:rStyle w:val="TableBodyChar"/>
              </w:rPr>
              <w:t>knowledge</w:t>
            </w:r>
          </w:p>
        </w:tc>
        <w:tc>
          <w:tcPr>
            <w:tcW w:w="992" w:type="dxa"/>
            <w:tcBorders>
              <w:top w:val="none" w:sz="0" w:space="0" w:color="auto"/>
              <w:bottom w:val="none" w:sz="0" w:space="0" w:color="auto"/>
            </w:tcBorders>
          </w:tcPr>
          <w:p w14:paraId="4162139B"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1042</w:t>
            </w:r>
          </w:p>
        </w:tc>
        <w:tc>
          <w:tcPr>
            <w:tcW w:w="992" w:type="dxa"/>
            <w:tcBorders>
              <w:top w:val="none" w:sz="0" w:space="0" w:color="auto"/>
              <w:bottom w:val="none" w:sz="0" w:space="0" w:color="auto"/>
            </w:tcBorders>
          </w:tcPr>
          <w:p w14:paraId="6A970962"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81</w:t>
            </w:r>
          </w:p>
        </w:tc>
        <w:tc>
          <w:tcPr>
            <w:tcW w:w="993" w:type="dxa"/>
            <w:tcBorders>
              <w:top w:val="none" w:sz="0" w:space="0" w:color="auto"/>
              <w:bottom w:val="none" w:sz="0" w:space="0" w:color="auto"/>
              <w:right w:val="none" w:sz="0" w:space="0" w:color="auto"/>
            </w:tcBorders>
          </w:tcPr>
          <w:p w14:paraId="3F4FD9E8"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7.8</w:t>
            </w:r>
          </w:p>
        </w:tc>
      </w:tr>
    </w:tbl>
    <w:p w14:paraId="1A4B59DF" w14:textId="77777777" w:rsidR="0033430F" w:rsidRPr="007746B4" w:rsidRDefault="0033430F" w:rsidP="009C423A">
      <w:pPr>
        <w:pStyle w:val="Belowtablecaption"/>
        <w:ind w:left="993" w:right="940"/>
      </w:pPr>
      <w:r w:rsidRPr="007746B4">
        <w:rPr>
          <w:vertAlign w:val="superscript"/>
        </w:rPr>
        <w:t>a</w:t>
      </w:r>
      <w:r w:rsidRPr="007746B4">
        <w:t xml:space="preserve"> Number of CATS participants with a score for the domain</w:t>
      </w:r>
    </w:p>
    <w:p w14:paraId="57C37AFB" w14:textId="77777777" w:rsidR="0033430F" w:rsidRPr="007746B4" w:rsidRDefault="0033430F" w:rsidP="009C423A">
      <w:pPr>
        <w:pStyle w:val="Belowtablecaption"/>
        <w:ind w:left="993" w:right="940"/>
      </w:pPr>
      <w:r w:rsidRPr="007746B4">
        <w:rPr>
          <w:vertAlign w:val="superscript"/>
        </w:rPr>
        <w:t>b</w:t>
      </w:r>
      <w:r w:rsidRPr="007746B4">
        <w:t xml:space="preserve"> Number of CATS participants developmentally vulnerable </w:t>
      </w:r>
    </w:p>
    <w:p w14:paraId="0151C727" w14:textId="77777777" w:rsidR="0033430F" w:rsidRPr="007746B4" w:rsidRDefault="0033430F" w:rsidP="009C423A">
      <w:pPr>
        <w:pStyle w:val="Belowtablecaption"/>
        <w:ind w:left="993" w:right="940"/>
      </w:pPr>
      <w:r w:rsidRPr="007746B4">
        <w:rPr>
          <w:vertAlign w:val="superscript"/>
        </w:rPr>
        <w:t>c</w:t>
      </w:r>
      <w:r w:rsidRPr="007746B4">
        <w:t xml:space="preserve"> proportion of CATS participants developmentally vulnerable (of those with a score for the corresponding domain)</w:t>
      </w:r>
    </w:p>
    <w:p w14:paraId="150E7953" w14:textId="6B026F3C" w:rsidR="0033430F" w:rsidRPr="007746B4" w:rsidRDefault="002F36CB" w:rsidP="005265DE">
      <w:pPr>
        <w:spacing w:after="0"/>
      </w:pPr>
      <w:r w:rsidRPr="007746B4">
        <w:br/>
      </w:r>
      <w:r w:rsidR="0033430F" w:rsidRPr="007746B4">
        <w:t>The proportion of vulnerable CATS participants on each domain ranged from 5.5% (</w:t>
      </w:r>
      <w:r w:rsidR="0033430F" w:rsidRPr="007746B4">
        <w:rPr>
          <w:i/>
        </w:rPr>
        <w:t>Language and Cognition</w:t>
      </w:r>
      <w:r w:rsidR="0033430F" w:rsidRPr="007746B4">
        <w:t>) to 7.8% (</w:t>
      </w:r>
      <w:r w:rsidR="0033430F" w:rsidRPr="007746B4">
        <w:rPr>
          <w:i/>
        </w:rPr>
        <w:t>Communication and General Knowledge)</w:t>
      </w:r>
      <w:r w:rsidR="00D642BD" w:rsidRPr="007746B4">
        <w:t xml:space="preserve"> as presented in</w:t>
      </w:r>
      <w:r w:rsidR="0043740D" w:rsidRPr="007746B4">
        <w:t xml:space="preserve"> </w:t>
      </w:r>
      <w:r w:rsidR="0043740D" w:rsidRPr="00057A30">
        <w:fldChar w:fldCharType="begin"/>
      </w:r>
      <w:r w:rsidR="0043740D" w:rsidRPr="007746B4">
        <w:instrText xml:space="preserve"> REF _Ref501028700 \h </w:instrText>
      </w:r>
      <w:r w:rsidR="007746B4">
        <w:instrText xml:space="preserve"> \* MERGEFORMAT </w:instrText>
      </w:r>
      <w:r w:rsidR="0043740D" w:rsidRPr="00057A30">
        <w:fldChar w:fldCharType="separate"/>
      </w:r>
      <w:r w:rsidR="004C27B3" w:rsidRPr="007746B4">
        <w:t xml:space="preserve">Table </w:t>
      </w:r>
      <w:r w:rsidR="004C27B3">
        <w:rPr>
          <w:noProof/>
        </w:rPr>
        <w:t>18</w:t>
      </w:r>
      <w:r w:rsidR="0043740D" w:rsidRPr="00057A30">
        <w:fldChar w:fldCharType="end"/>
      </w:r>
      <w:r w:rsidR="0033430F" w:rsidRPr="007746B4">
        <w:t xml:space="preserve">. In the CATS cohort there were proportionally fewer vulnerable participants in every domain compared to Victoria overall </w:t>
      </w:r>
      <w:r w:rsidR="00B22107" w:rsidRPr="00057A30">
        <w:fldChar w:fldCharType="begin"/>
      </w:r>
      <w:r w:rsidR="00B22107" w:rsidRPr="007746B4">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rsidRPr="00057A30">
        <w:fldChar w:fldCharType="separate"/>
      </w:r>
      <w:r w:rsidR="00B22107" w:rsidRPr="007746B4">
        <w:rPr>
          <w:noProof/>
        </w:rPr>
        <w:t>[2]</w:t>
      </w:r>
      <w:r w:rsidR="00B22107" w:rsidRPr="00057A30">
        <w:fldChar w:fldCharType="end"/>
      </w:r>
      <w:r w:rsidR="0033430F" w:rsidRPr="007746B4">
        <w:t>.</w:t>
      </w:r>
    </w:p>
    <w:p w14:paraId="1DF1DBB8" w14:textId="77777777" w:rsidR="00BF5A98" w:rsidRPr="007746B4" w:rsidRDefault="00BF5A98" w:rsidP="005265DE">
      <w:pPr>
        <w:spacing w:after="0"/>
      </w:pPr>
    </w:p>
    <w:p w14:paraId="2BBD9A96" w14:textId="77777777" w:rsidR="0033430F" w:rsidRPr="007746B4" w:rsidRDefault="0033430F" w:rsidP="0031784D">
      <w:pPr>
        <w:pStyle w:val="Heading2"/>
        <w:spacing w:before="0" w:after="120"/>
      </w:pPr>
      <w:bookmarkStart w:id="167" w:name="_Toc501120766"/>
      <w:r w:rsidRPr="007746B4">
        <w:t>SECTION 2. Developmentally vulnerable on 0, 1, 2, 3, 4 and 5 domains</w:t>
      </w:r>
      <w:bookmarkEnd w:id="167"/>
    </w:p>
    <w:p w14:paraId="23E0382C" w14:textId="63692C65" w:rsidR="0033430F" w:rsidRPr="007746B4" w:rsidRDefault="0033430F" w:rsidP="005265DE">
      <w:pPr>
        <w:spacing w:after="0"/>
      </w:pPr>
      <w:r w:rsidRPr="007746B4">
        <w:t xml:space="preserve">The proportion of CATS participants who were vulnerable on none or any number of domains in 2009 </w:t>
      </w:r>
      <w:proofErr w:type="gramStart"/>
      <w:r w:rsidRPr="007746B4">
        <w:t>is presented</w:t>
      </w:r>
      <w:proofErr w:type="gramEnd"/>
      <w:r w:rsidRPr="007746B4">
        <w:t xml:space="preserve"> in</w:t>
      </w:r>
      <w:r w:rsidR="0043740D" w:rsidRPr="007746B4">
        <w:t xml:space="preserve"> </w:t>
      </w:r>
      <w:r w:rsidR="0043740D" w:rsidRPr="00057A30">
        <w:fldChar w:fldCharType="begin"/>
      </w:r>
      <w:r w:rsidR="0043740D" w:rsidRPr="007746B4">
        <w:instrText xml:space="preserve"> REF _Ref501028724 \h </w:instrText>
      </w:r>
      <w:r w:rsidR="007746B4">
        <w:instrText xml:space="preserve"> \* MERGEFORMAT </w:instrText>
      </w:r>
      <w:r w:rsidR="0043740D" w:rsidRPr="00057A30">
        <w:fldChar w:fldCharType="separate"/>
      </w:r>
      <w:r w:rsidR="004C27B3" w:rsidRPr="007746B4">
        <w:t xml:space="preserve">Table </w:t>
      </w:r>
      <w:r w:rsidR="004C27B3">
        <w:rPr>
          <w:noProof/>
        </w:rPr>
        <w:t>19</w:t>
      </w:r>
      <w:r w:rsidR="0043740D" w:rsidRPr="00057A30">
        <w:fldChar w:fldCharType="end"/>
      </w:r>
      <w:r w:rsidR="0097278B" w:rsidRPr="007746B4">
        <w:t>.</w:t>
      </w:r>
    </w:p>
    <w:p w14:paraId="0C4B557B" w14:textId="77777777" w:rsidR="00825DFD" w:rsidRPr="007746B4" w:rsidRDefault="00825DFD" w:rsidP="005265DE">
      <w:pPr>
        <w:spacing w:after="0"/>
      </w:pPr>
    </w:p>
    <w:p w14:paraId="6BD7B4FE" w14:textId="5413807D" w:rsidR="0033430F" w:rsidRPr="007746B4" w:rsidRDefault="002F36CB" w:rsidP="0031784D">
      <w:pPr>
        <w:pStyle w:val="Caption"/>
        <w:spacing w:before="0"/>
      </w:pPr>
      <w:bookmarkStart w:id="168" w:name="_Ref501028724"/>
      <w:bookmarkStart w:id="169" w:name="_Toc501014937"/>
      <w:bookmarkStart w:id="170" w:name="_Toc503780759"/>
      <w:r w:rsidRPr="007746B4">
        <w:t xml:space="preserve">Table </w:t>
      </w:r>
      <w:r w:rsidRPr="00057A30">
        <w:fldChar w:fldCharType="begin"/>
      </w:r>
      <w:r w:rsidRPr="007746B4">
        <w:instrText xml:space="preserve"> SEQ Table \* ARABIC </w:instrText>
      </w:r>
      <w:r w:rsidRPr="00057A30">
        <w:fldChar w:fldCharType="separate"/>
      </w:r>
      <w:r w:rsidR="004C27B3">
        <w:rPr>
          <w:noProof/>
        </w:rPr>
        <w:t>19</w:t>
      </w:r>
      <w:r w:rsidRPr="00057A30">
        <w:fldChar w:fldCharType="end"/>
      </w:r>
      <w:bookmarkEnd w:id="168"/>
      <w:r w:rsidRPr="007746B4">
        <w:t>. Proportion of CATS participants that are vulnerable on 0, 1, 2, 3, 4 or 5 domains.</w:t>
      </w:r>
      <w:bookmarkEnd w:id="169"/>
      <w:bookmarkEnd w:id="170"/>
    </w:p>
    <w:tbl>
      <w:tblPr>
        <w:tblStyle w:val="LightList-Accent11"/>
        <w:tblW w:w="41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 19. Proportin of CATS participants that are vulnerable on 0, 1, 2, 3, 4, or 5 domains"/>
      </w:tblPr>
      <w:tblGrid>
        <w:gridCol w:w="2117"/>
        <w:gridCol w:w="992"/>
        <w:gridCol w:w="992"/>
      </w:tblGrid>
      <w:tr w:rsidR="0033430F" w:rsidRPr="007746B4" w14:paraId="36EA1861" w14:textId="77777777" w:rsidTr="002F36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0070C0"/>
          </w:tcPr>
          <w:p w14:paraId="4D475947" w14:textId="77777777" w:rsidR="0033430F" w:rsidRPr="007746B4" w:rsidRDefault="0033430F" w:rsidP="00785532">
            <w:pPr>
              <w:pStyle w:val="TableHeader1"/>
              <w:rPr>
                <w:b/>
              </w:rPr>
            </w:pPr>
            <w:r w:rsidRPr="007746B4">
              <w:t>Number of domains</w:t>
            </w:r>
          </w:p>
        </w:tc>
        <w:tc>
          <w:tcPr>
            <w:tcW w:w="992" w:type="dxa"/>
            <w:shd w:val="clear" w:color="auto" w:fill="0070C0"/>
          </w:tcPr>
          <w:p w14:paraId="4538CCF0" w14:textId="77777777" w:rsidR="0033430F" w:rsidRPr="007746B4" w:rsidRDefault="0033430F" w:rsidP="00785532">
            <w:pPr>
              <w:pStyle w:val="TableHeader1"/>
              <w:cnfStyle w:val="100000000000" w:firstRow="1" w:lastRow="0" w:firstColumn="0" w:lastColumn="0" w:oddVBand="0" w:evenVBand="0" w:oddHBand="0" w:evenHBand="0" w:firstRowFirstColumn="0" w:firstRowLastColumn="0" w:lastRowFirstColumn="0" w:lastRowLastColumn="0"/>
              <w:rPr>
                <w:b/>
              </w:rPr>
            </w:pPr>
            <w:r w:rsidRPr="007746B4">
              <w:t>n</w:t>
            </w:r>
          </w:p>
        </w:tc>
        <w:tc>
          <w:tcPr>
            <w:tcW w:w="992" w:type="dxa"/>
            <w:shd w:val="clear" w:color="auto" w:fill="0070C0"/>
          </w:tcPr>
          <w:p w14:paraId="2F1AEC5B" w14:textId="4690B396" w:rsidR="0033430F" w:rsidRPr="007746B4" w:rsidRDefault="0033430F" w:rsidP="00785532">
            <w:pPr>
              <w:pStyle w:val="TableHeader1"/>
              <w:cnfStyle w:val="100000000000" w:firstRow="1" w:lastRow="0" w:firstColumn="0" w:lastColumn="0" w:oddVBand="0" w:evenVBand="0" w:oddHBand="0" w:evenHBand="0" w:firstRowFirstColumn="0" w:firstRowLastColumn="0" w:lastRowFirstColumn="0" w:lastRowLastColumn="0"/>
              <w:rPr>
                <w:b/>
              </w:rPr>
            </w:pPr>
            <w:r w:rsidRPr="007746B4">
              <w:t>%</w:t>
            </w:r>
          </w:p>
        </w:tc>
      </w:tr>
      <w:tr w:rsidR="0033430F" w14:paraId="15842E54"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4DB6195A" w14:textId="77777777" w:rsidR="0033430F" w:rsidRPr="007746B4" w:rsidRDefault="0033430F" w:rsidP="00BC3CD1">
            <w:pPr>
              <w:pStyle w:val="TableBody"/>
            </w:pPr>
            <w:r w:rsidRPr="007746B4">
              <w:t>0</w:t>
            </w:r>
          </w:p>
        </w:tc>
        <w:tc>
          <w:tcPr>
            <w:tcW w:w="992" w:type="dxa"/>
            <w:tcBorders>
              <w:top w:val="none" w:sz="0" w:space="0" w:color="auto"/>
              <w:bottom w:val="none" w:sz="0" w:space="0" w:color="auto"/>
            </w:tcBorders>
          </w:tcPr>
          <w:p w14:paraId="5DF782E9" w14:textId="77777777" w:rsidR="0033430F" w:rsidRPr="007746B4"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858</w:t>
            </w:r>
          </w:p>
        </w:tc>
        <w:tc>
          <w:tcPr>
            <w:tcW w:w="992" w:type="dxa"/>
            <w:tcBorders>
              <w:top w:val="none" w:sz="0" w:space="0" w:color="auto"/>
              <w:bottom w:val="none" w:sz="0" w:space="0" w:color="auto"/>
              <w:right w:val="none" w:sz="0" w:space="0" w:color="auto"/>
            </w:tcBorders>
          </w:tcPr>
          <w:p w14:paraId="7B661017" w14:textId="77777777" w:rsidR="0033430F" w:rsidRPr="00043509"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7746B4">
              <w:t>82.3</w:t>
            </w:r>
          </w:p>
        </w:tc>
      </w:tr>
      <w:tr w:rsidR="0033430F" w14:paraId="6F1F5904" w14:textId="77777777" w:rsidTr="002F36CB">
        <w:trPr>
          <w:jc w:val="center"/>
        </w:trPr>
        <w:tc>
          <w:tcPr>
            <w:cnfStyle w:val="001000000000" w:firstRow="0" w:lastRow="0" w:firstColumn="1" w:lastColumn="0" w:oddVBand="0" w:evenVBand="0" w:oddHBand="0" w:evenHBand="0" w:firstRowFirstColumn="0" w:firstRowLastColumn="0" w:lastRowFirstColumn="0" w:lastRowLastColumn="0"/>
            <w:tcW w:w="2117" w:type="dxa"/>
          </w:tcPr>
          <w:p w14:paraId="0AF21C9E" w14:textId="77777777" w:rsidR="0033430F" w:rsidRPr="00BC3CD1" w:rsidRDefault="0033430F" w:rsidP="00BC3CD1">
            <w:pPr>
              <w:pStyle w:val="TableBody"/>
              <w:rPr>
                <w:b w:val="0"/>
              </w:rPr>
            </w:pPr>
            <w:r w:rsidRPr="00BC3CD1">
              <w:rPr>
                <w:b w:val="0"/>
              </w:rPr>
              <w:t>1</w:t>
            </w:r>
          </w:p>
        </w:tc>
        <w:tc>
          <w:tcPr>
            <w:tcW w:w="992" w:type="dxa"/>
          </w:tcPr>
          <w:p w14:paraId="0540938C"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90</w:t>
            </w:r>
          </w:p>
        </w:tc>
        <w:tc>
          <w:tcPr>
            <w:tcW w:w="992" w:type="dxa"/>
          </w:tcPr>
          <w:p w14:paraId="1969138A"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8.6</w:t>
            </w:r>
          </w:p>
        </w:tc>
      </w:tr>
      <w:tr w:rsidR="0033430F" w14:paraId="0A7401C3"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20A6DE06" w14:textId="77777777" w:rsidR="0033430F" w:rsidRPr="00BC3CD1" w:rsidRDefault="0033430F" w:rsidP="00BC3CD1">
            <w:pPr>
              <w:pStyle w:val="TableBody"/>
              <w:rPr>
                <w:b w:val="0"/>
              </w:rPr>
            </w:pPr>
            <w:r w:rsidRPr="00BC3CD1">
              <w:rPr>
                <w:b w:val="0"/>
              </w:rPr>
              <w:t>2</w:t>
            </w:r>
          </w:p>
        </w:tc>
        <w:tc>
          <w:tcPr>
            <w:tcW w:w="992" w:type="dxa"/>
            <w:tcBorders>
              <w:top w:val="none" w:sz="0" w:space="0" w:color="auto"/>
              <w:bottom w:val="none" w:sz="0" w:space="0" w:color="auto"/>
            </w:tcBorders>
          </w:tcPr>
          <w:p w14:paraId="3CA0517D" w14:textId="77777777" w:rsidR="0033430F" w:rsidRDefault="0033430F" w:rsidP="00BC3CD1">
            <w:pPr>
              <w:pStyle w:val="TableBody"/>
              <w:cnfStyle w:val="000000100000" w:firstRow="0" w:lastRow="0" w:firstColumn="0" w:lastColumn="0" w:oddVBand="0" w:evenVBand="0" w:oddHBand="1" w:evenHBand="0" w:firstRowFirstColumn="0" w:firstRowLastColumn="0" w:lastRowFirstColumn="0" w:lastRowLastColumn="0"/>
            </w:pPr>
            <w:r>
              <w:t>54</w:t>
            </w:r>
          </w:p>
        </w:tc>
        <w:tc>
          <w:tcPr>
            <w:tcW w:w="992" w:type="dxa"/>
            <w:tcBorders>
              <w:top w:val="none" w:sz="0" w:space="0" w:color="auto"/>
              <w:bottom w:val="none" w:sz="0" w:space="0" w:color="auto"/>
              <w:right w:val="none" w:sz="0" w:space="0" w:color="auto"/>
            </w:tcBorders>
          </w:tcPr>
          <w:p w14:paraId="6D6302EC" w14:textId="77777777" w:rsidR="0033430F" w:rsidRDefault="0033430F" w:rsidP="00BC3CD1">
            <w:pPr>
              <w:pStyle w:val="TableBody"/>
              <w:cnfStyle w:val="000000100000" w:firstRow="0" w:lastRow="0" w:firstColumn="0" w:lastColumn="0" w:oddVBand="0" w:evenVBand="0" w:oddHBand="1" w:evenHBand="0" w:firstRowFirstColumn="0" w:firstRowLastColumn="0" w:lastRowFirstColumn="0" w:lastRowLastColumn="0"/>
            </w:pPr>
            <w:r>
              <w:t>5.2</w:t>
            </w:r>
          </w:p>
        </w:tc>
      </w:tr>
      <w:tr w:rsidR="0033430F" w14:paraId="2E10B49E" w14:textId="77777777" w:rsidTr="002F36CB">
        <w:trPr>
          <w:jc w:val="center"/>
        </w:trPr>
        <w:tc>
          <w:tcPr>
            <w:cnfStyle w:val="001000000000" w:firstRow="0" w:lastRow="0" w:firstColumn="1" w:lastColumn="0" w:oddVBand="0" w:evenVBand="0" w:oddHBand="0" w:evenHBand="0" w:firstRowFirstColumn="0" w:firstRowLastColumn="0" w:lastRowFirstColumn="0" w:lastRowLastColumn="0"/>
            <w:tcW w:w="2117" w:type="dxa"/>
          </w:tcPr>
          <w:p w14:paraId="1F744A38" w14:textId="77777777" w:rsidR="0033430F" w:rsidRPr="00BC3CD1" w:rsidRDefault="0033430F" w:rsidP="00BC3CD1">
            <w:pPr>
              <w:pStyle w:val="TableBody"/>
              <w:rPr>
                <w:b w:val="0"/>
              </w:rPr>
            </w:pPr>
            <w:r w:rsidRPr="00BC3CD1">
              <w:rPr>
                <w:b w:val="0"/>
              </w:rPr>
              <w:t>3</w:t>
            </w:r>
          </w:p>
        </w:tc>
        <w:tc>
          <w:tcPr>
            <w:tcW w:w="992" w:type="dxa"/>
          </w:tcPr>
          <w:p w14:paraId="4B4FF88C"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17</w:t>
            </w:r>
          </w:p>
        </w:tc>
        <w:tc>
          <w:tcPr>
            <w:tcW w:w="992" w:type="dxa"/>
          </w:tcPr>
          <w:p w14:paraId="55FEE129"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1.6</w:t>
            </w:r>
          </w:p>
        </w:tc>
      </w:tr>
      <w:tr w:rsidR="0033430F" w14:paraId="77564B20"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51EDD941" w14:textId="77777777" w:rsidR="0033430F" w:rsidRPr="00BC3CD1" w:rsidRDefault="0033430F" w:rsidP="00BC3CD1">
            <w:pPr>
              <w:pStyle w:val="TableBody"/>
              <w:rPr>
                <w:b w:val="0"/>
              </w:rPr>
            </w:pPr>
            <w:r w:rsidRPr="00BC3CD1">
              <w:rPr>
                <w:b w:val="0"/>
              </w:rPr>
              <w:t>4</w:t>
            </w:r>
          </w:p>
        </w:tc>
        <w:tc>
          <w:tcPr>
            <w:tcW w:w="992" w:type="dxa"/>
            <w:tcBorders>
              <w:top w:val="none" w:sz="0" w:space="0" w:color="auto"/>
              <w:bottom w:val="none" w:sz="0" w:space="0" w:color="auto"/>
            </w:tcBorders>
          </w:tcPr>
          <w:p w14:paraId="2CB473DF" w14:textId="77777777" w:rsidR="0033430F" w:rsidRDefault="0033430F" w:rsidP="00BC3CD1">
            <w:pPr>
              <w:pStyle w:val="TableBody"/>
              <w:cnfStyle w:val="000000100000" w:firstRow="0" w:lastRow="0" w:firstColumn="0" w:lastColumn="0" w:oddVBand="0" w:evenVBand="0" w:oddHBand="1" w:evenHBand="0" w:firstRowFirstColumn="0" w:firstRowLastColumn="0" w:lastRowFirstColumn="0" w:lastRowLastColumn="0"/>
            </w:pPr>
            <w:r>
              <w:t>17</w:t>
            </w:r>
          </w:p>
        </w:tc>
        <w:tc>
          <w:tcPr>
            <w:tcW w:w="992" w:type="dxa"/>
            <w:tcBorders>
              <w:top w:val="none" w:sz="0" w:space="0" w:color="auto"/>
              <w:bottom w:val="none" w:sz="0" w:space="0" w:color="auto"/>
              <w:right w:val="none" w:sz="0" w:space="0" w:color="auto"/>
            </w:tcBorders>
          </w:tcPr>
          <w:p w14:paraId="21CE0303" w14:textId="77777777" w:rsidR="0033430F" w:rsidRDefault="0033430F" w:rsidP="00BC3CD1">
            <w:pPr>
              <w:pStyle w:val="TableBody"/>
              <w:cnfStyle w:val="000000100000" w:firstRow="0" w:lastRow="0" w:firstColumn="0" w:lastColumn="0" w:oddVBand="0" w:evenVBand="0" w:oddHBand="1" w:evenHBand="0" w:firstRowFirstColumn="0" w:firstRowLastColumn="0" w:lastRowFirstColumn="0" w:lastRowLastColumn="0"/>
            </w:pPr>
            <w:r>
              <w:t>1.6</w:t>
            </w:r>
          </w:p>
        </w:tc>
      </w:tr>
      <w:tr w:rsidR="0033430F" w14:paraId="712098E7" w14:textId="77777777" w:rsidTr="002F36CB">
        <w:trPr>
          <w:jc w:val="center"/>
        </w:trPr>
        <w:tc>
          <w:tcPr>
            <w:cnfStyle w:val="001000000000" w:firstRow="0" w:lastRow="0" w:firstColumn="1" w:lastColumn="0" w:oddVBand="0" w:evenVBand="0" w:oddHBand="0" w:evenHBand="0" w:firstRowFirstColumn="0" w:firstRowLastColumn="0" w:lastRowFirstColumn="0" w:lastRowLastColumn="0"/>
            <w:tcW w:w="2117" w:type="dxa"/>
          </w:tcPr>
          <w:p w14:paraId="448CFDF1" w14:textId="77777777" w:rsidR="0033430F" w:rsidRPr="00BC3CD1" w:rsidRDefault="0033430F" w:rsidP="00BC3CD1">
            <w:pPr>
              <w:pStyle w:val="TableBody"/>
              <w:rPr>
                <w:b w:val="0"/>
              </w:rPr>
            </w:pPr>
            <w:r w:rsidRPr="00BC3CD1">
              <w:rPr>
                <w:b w:val="0"/>
              </w:rPr>
              <w:t>5</w:t>
            </w:r>
          </w:p>
        </w:tc>
        <w:tc>
          <w:tcPr>
            <w:tcW w:w="992" w:type="dxa"/>
          </w:tcPr>
          <w:p w14:paraId="6FF6CF01"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6</w:t>
            </w:r>
          </w:p>
        </w:tc>
        <w:tc>
          <w:tcPr>
            <w:tcW w:w="992" w:type="dxa"/>
          </w:tcPr>
          <w:p w14:paraId="6A704C00" w14:textId="77777777" w:rsidR="0033430F" w:rsidRDefault="0033430F" w:rsidP="00BC3CD1">
            <w:pPr>
              <w:pStyle w:val="TableBody"/>
              <w:cnfStyle w:val="000000000000" w:firstRow="0" w:lastRow="0" w:firstColumn="0" w:lastColumn="0" w:oddVBand="0" w:evenVBand="0" w:oddHBand="0" w:evenHBand="0" w:firstRowFirstColumn="0" w:firstRowLastColumn="0" w:lastRowFirstColumn="0" w:lastRowLastColumn="0"/>
            </w:pPr>
            <w:r>
              <w:t>0.6</w:t>
            </w:r>
          </w:p>
        </w:tc>
      </w:tr>
      <w:tr w:rsidR="0033430F" w14:paraId="543490B2" w14:textId="77777777" w:rsidTr="002F3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7" w:type="dxa"/>
            <w:tcBorders>
              <w:top w:val="none" w:sz="0" w:space="0" w:color="auto"/>
              <w:left w:val="none" w:sz="0" w:space="0" w:color="auto"/>
              <w:bottom w:val="none" w:sz="0" w:space="0" w:color="auto"/>
            </w:tcBorders>
          </w:tcPr>
          <w:p w14:paraId="0A96CE42" w14:textId="77777777" w:rsidR="0033430F" w:rsidRPr="00BC3CD1" w:rsidRDefault="0033430F" w:rsidP="00BC3CD1">
            <w:pPr>
              <w:pStyle w:val="TableBody"/>
              <w:rPr>
                <w:b w:val="0"/>
              </w:rPr>
            </w:pPr>
            <w:r w:rsidRPr="00BC3CD1">
              <w:rPr>
                <w:b w:val="0"/>
              </w:rPr>
              <w:t>1 or more</w:t>
            </w:r>
          </w:p>
        </w:tc>
        <w:tc>
          <w:tcPr>
            <w:tcW w:w="992" w:type="dxa"/>
            <w:tcBorders>
              <w:top w:val="none" w:sz="0" w:space="0" w:color="auto"/>
              <w:bottom w:val="none" w:sz="0" w:space="0" w:color="auto"/>
            </w:tcBorders>
          </w:tcPr>
          <w:p w14:paraId="567362A9" w14:textId="77777777" w:rsidR="0033430F" w:rsidRPr="00DF5C08" w:rsidRDefault="0033430F" w:rsidP="00BC3CD1">
            <w:pPr>
              <w:pStyle w:val="TableBody"/>
              <w:cnfStyle w:val="000000100000" w:firstRow="0" w:lastRow="0" w:firstColumn="0" w:lastColumn="0" w:oddVBand="0" w:evenVBand="0" w:oddHBand="1" w:evenHBand="0" w:firstRowFirstColumn="0" w:firstRowLastColumn="0" w:lastRowFirstColumn="0" w:lastRowLastColumn="0"/>
            </w:pPr>
            <w:r>
              <w:t>184</w:t>
            </w:r>
          </w:p>
        </w:tc>
        <w:tc>
          <w:tcPr>
            <w:tcW w:w="992" w:type="dxa"/>
            <w:tcBorders>
              <w:top w:val="none" w:sz="0" w:space="0" w:color="auto"/>
              <w:bottom w:val="none" w:sz="0" w:space="0" w:color="auto"/>
              <w:right w:val="none" w:sz="0" w:space="0" w:color="auto"/>
            </w:tcBorders>
          </w:tcPr>
          <w:p w14:paraId="239CDF70" w14:textId="77777777" w:rsidR="0033430F" w:rsidRPr="00DF5C08"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DF5C08">
              <w:t>17.</w:t>
            </w:r>
            <w:r>
              <w:t>7</w:t>
            </w:r>
          </w:p>
        </w:tc>
      </w:tr>
    </w:tbl>
    <w:p w14:paraId="6E4887F9" w14:textId="77777777" w:rsidR="00BF5A98" w:rsidRDefault="00BF5A98" w:rsidP="005265DE">
      <w:pPr>
        <w:spacing w:after="0"/>
      </w:pPr>
    </w:p>
    <w:p w14:paraId="33A13144" w14:textId="28266B10" w:rsidR="0033430F" w:rsidRPr="007746B4" w:rsidRDefault="0033430F" w:rsidP="005265DE">
      <w:pPr>
        <w:spacing w:after="0"/>
      </w:pPr>
      <w:r w:rsidRPr="007746B4">
        <w:t>Overall, 17.7% of participants were developmentally vulnerable on at least one domain with almost half vulnerable on a single domain. Of the remainder, the number of vulnerable participants decreased with each additional domain on which they were vulnerable; with the exception that the same number of participants were vulnerable on three domains as on four. The proportion of</w:t>
      </w:r>
      <w:r>
        <w:t xml:space="preserve"> </w:t>
      </w:r>
      <w:r w:rsidRPr="007746B4">
        <w:t xml:space="preserve">participants vulnerable on one or more domains in CATS was slightly lower than the overall proportion in Victoria (20.3%) </w:t>
      </w:r>
      <w:r w:rsidR="00B22107" w:rsidRPr="00057A30">
        <w:fldChar w:fldCharType="begin"/>
      </w:r>
      <w:r w:rsidR="00B22107" w:rsidRPr="007746B4">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rsidRPr="00057A30">
        <w:fldChar w:fldCharType="separate"/>
      </w:r>
      <w:r w:rsidR="00B22107" w:rsidRPr="007746B4">
        <w:rPr>
          <w:noProof/>
        </w:rPr>
        <w:t>[2]</w:t>
      </w:r>
      <w:r w:rsidR="00B22107" w:rsidRPr="00057A30">
        <w:fldChar w:fldCharType="end"/>
      </w:r>
      <w:r w:rsidRPr="007746B4">
        <w:t>.</w:t>
      </w:r>
    </w:p>
    <w:p w14:paraId="636C20F4" w14:textId="77777777" w:rsidR="00BF5A98" w:rsidRPr="007746B4" w:rsidRDefault="00BF5A98" w:rsidP="005265DE">
      <w:pPr>
        <w:spacing w:after="0"/>
      </w:pPr>
    </w:p>
    <w:p w14:paraId="36CFF80F" w14:textId="1A27FD5B" w:rsidR="00BF5A98" w:rsidRPr="007746B4" w:rsidRDefault="0033430F" w:rsidP="005265DE">
      <w:pPr>
        <w:pStyle w:val="Heading2"/>
        <w:spacing w:before="0"/>
      </w:pPr>
      <w:bookmarkStart w:id="171" w:name="_Toc501120767"/>
      <w:r w:rsidRPr="007746B4">
        <w:t>SECTION 3. Demographic characteristics of vulnerable and non-vulnerable groups</w:t>
      </w:r>
      <w:bookmarkEnd w:id="171"/>
    </w:p>
    <w:p w14:paraId="13A418E3" w14:textId="197DBD64" w:rsidR="0033430F" w:rsidRDefault="0033430F" w:rsidP="005265DE">
      <w:pPr>
        <w:spacing w:after="0"/>
      </w:pPr>
      <w:r w:rsidRPr="007746B4">
        <w:t xml:space="preserve">The demographic characteristics of the developmentally vulnerable (on at least one domain) and not developmentally vulnerable on any domain groups </w:t>
      </w:r>
      <w:proofErr w:type="gramStart"/>
      <w:r w:rsidRPr="007746B4">
        <w:t>are shown</w:t>
      </w:r>
      <w:proofErr w:type="gramEnd"/>
      <w:r w:rsidRPr="007746B4">
        <w:t xml:space="preserve"> in </w:t>
      </w:r>
      <w:r w:rsidR="00D642BD" w:rsidRPr="00057A30">
        <w:fldChar w:fldCharType="begin"/>
      </w:r>
      <w:r w:rsidR="00D642BD" w:rsidRPr="007746B4">
        <w:instrText xml:space="preserve"> REF _Ref501028814 \h </w:instrText>
      </w:r>
      <w:r w:rsidR="007746B4">
        <w:instrText xml:space="preserve"> \* MERGEFORMAT </w:instrText>
      </w:r>
      <w:r w:rsidR="00D642BD" w:rsidRPr="00057A30">
        <w:fldChar w:fldCharType="separate"/>
      </w:r>
      <w:r w:rsidR="004C27B3" w:rsidRPr="007746B4">
        <w:t xml:space="preserve">Table </w:t>
      </w:r>
      <w:r w:rsidR="004C27B3">
        <w:rPr>
          <w:noProof/>
        </w:rPr>
        <w:t>20</w:t>
      </w:r>
      <w:r w:rsidR="00D642BD" w:rsidRPr="00057A30">
        <w:fldChar w:fldCharType="end"/>
      </w:r>
      <w:r w:rsidRPr="007746B4">
        <w:t>.</w:t>
      </w:r>
    </w:p>
    <w:p w14:paraId="576B9E66" w14:textId="77777777" w:rsidR="00825DFD" w:rsidRPr="00043509" w:rsidRDefault="00825DFD" w:rsidP="005265DE">
      <w:pPr>
        <w:spacing w:after="0"/>
      </w:pPr>
    </w:p>
    <w:p w14:paraId="1F5395A1" w14:textId="3155B3E7" w:rsidR="00D642BD" w:rsidRPr="007746B4" w:rsidRDefault="00D642BD" w:rsidP="0031784D">
      <w:pPr>
        <w:pStyle w:val="Caption"/>
        <w:spacing w:before="0"/>
      </w:pPr>
      <w:bookmarkStart w:id="172" w:name="_Ref501028814"/>
      <w:bookmarkStart w:id="173" w:name="_Toc503780760"/>
      <w:r w:rsidRPr="007746B4">
        <w:t xml:space="preserve">Table </w:t>
      </w:r>
      <w:r w:rsidRPr="00057A30">
        <w:fldChar w:fldCharType="begin"/>
      </w:r>
      <w:r w:rsidRPr="007746B4">
        <w:instrText xml:space="preserve"> SEQ Table \* ARABIC </w:instrText>
      </w:r>
      <w:r w:rsidRPr="00057A30">
        <w:fldChar w:fldCharType="separate"/>
      </w:r>
      <w:r w:rsidR="004C27B3">
        <w:rPr>
          <w:noProof/>
        </w:rPr>
        <w:t>20</w:t>
      </w:r>
      <w:r w:rsidRPr="00057A30">
        <w:fldChar w:fldCharType="end"/>
      </w:r>
      <w:bookmarkEnd w:id="172"/>
      <w:r w:rsidRPr="007746B4">
        <w:t>. Characteristics of the developmentally vulnerable group.</w:t>
      </w:r>
      <w:bookmarkEnd w:id="173"/>
    </w:p>
    <w:tbl>
      <w:tblPr>
        <w:tblW w:w="750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20. Characteristics of the developmentally vulnerable group"/>
      </w:tblPr>
      <w:tblGrid>
        <w:gridCol w:w="279"/>
        <w:gridCol w:w="3118"/>
        <w:gridCol w:w="1418"/>
        <w:gridCol w:w="283"/>
        <w:gridCol w:w="1276"/>
        <w:gridCol w:w="1134"/>
      </w:tblGrid>
      <w:tr w:rsidR="0033430F" w:rsidRPr="007746B4" w14:paraId="4847F0DE" w14:textId="77777777" w:rsidTr="0043740D">
        <w:trPr>
          <w:trHeight w:val="300"/>
          <w:jc w:val="center"/>
        </w:trPr>
        <w:tc>
          <w:tcPr>
            <w:tcW w:w="279" w:type="dxa"/>
            <w:shd w:val="clear" w:color="auto" w:fill="0070C0"/>
            <w:noWrap/>
            <w:hideMark/>
          </w:tcPr>
          <w:p w14:paraId="53B1AD91" w14:textId="77777777" w:rsidR="0033430F" w:rsidRPr="007746B4" w:rsidRDefault="0033430F" w:rsidP="00785532">
            <w:pPr>
              <w:pStyle w:val="TableHeader1"/>
            </w:pPr>
          </w:p>
        </w:tc>
        <w:tc>
          <w:tcPr>
            <w:tcW w:w="3118" w:type="dxa"/>
            <w:shd w:val="clear" w:color="auto" w:fill="0070C0"/>
            <w:noWrap/>
            <w:hideMark/>
          </w:tcPr>
          <w:p w14:paraId="625C7FDF" w14:textId="77777777" w:rsidR="0033430F" w:rsidRPr="007746B4" w:rsidRDefault="0033430F" w:rsidP="00785532">
            <w:pPr>
              <w:pStyle w:val="TableHeader1"/>
            </w:pPr>
          </w:p>
        </w:tc>
        <w:tc>
          <w:tcPr>
            <w:tcW w:w="1701" w:type="dxa"/>
            <w:gridSpan w:val="2"/>
            <w:shd w:val="clear" w:color="auto" w:fill="0070C0"/>
            <w:noWrap/>
            <w:hideMark/>
          </w:tcPr>
          <w:p w14:paraId="11A272F1" w14:textId="00C0A636" w:rsidR="0033430F" w:rsidRPr="007746B4" w:rsidRDefault="006327A0" w:rsidP="006327A0">
            <w:pPr>
              <w:pStyle w:val="TableHeader1"/>
            </w:pPr>
            <w:r w:rsidRPr="007746B4">
              <w:t xml:space="preserve">Not vulnerable </w:t>
            </w:r>
          </w:p>
        </w:tc>
        <w:tc>
          <w:tcPr>
            <w:tcW w:w="1276" w:type="dxa"/>
            <w:shd w:val="clear" w:color="auto" w:fill="0070C0"/>
            <w:noWrap/>
            <w:hideMark/>
          </w:tcPr>
          <w:p w14:paraId="202054BB" w14:textId="1B59EB81" w:rsidR="0033430F" w:rsidRPr="007746B4" w:rsidRDefault="006327A0" w:rsidP="006327A0">
            <w:pPr>
              <w:pStyle w:val="TableHeader1"/>
            </w:pPr>
            <w:r w:rsidRPr="007746B4">
              <w:t xml:space="preserve">Vulnerable </w:t>
            </w:r>
          </w:p>
        </w:tc>
        <w:tc>
          <w:tcPr>
            <w:tcW w:w="1134" w:type="dxa"/>
            <w:shd w:val="clear" w:color="auto" w:fill="0070C0"/>
          </w:tcPr>
          <w:p w14:paraId="135F40DC" w14:textId="6ECC87AA" w:rsidR="0033430F" w:rsidRPr="007746B4" w:rsidRDefault="006327A0" w:rsidP="00785532">
            <w:pPr>
              <w:pStyle w:val="TableHeader1"/>
            </w:pPr>
            <w:r w:rsidRPr="007746B4">
              <w:t>Total</w:t>
            </w:r>
          </w:p>
        </w:tc>
      </w:tr>
      <w:tr w:rsidR="0033430F" w:rsidRPr="007746B4" w14:paraId="69F34628" w14:textId="77777777" w:rsidTr="0043740D">
        <w:trPr>
          <w:trHeight w:val="300"/>
          <w:jc w:val="center"/>
        </w:trPr>
        <w:tc>
          <w:tcPr>
            <w:tcW w:w="279" w:type="dxa"/>
            <w:shd w:val="clear" w:color="auto" w:fill="0070C0"/>
            <w:noWrap/>
            <w:hideMark/>
          </w:tcPr>
          <w:p w14:paraId="0AF0504A" w14:textId="77777777" w:rsidR="0033430F" w:rsidRPr="007746B4" w:rsidRDefault="0033430F" w:rsidP="00785532">
            <w:pPr>
              <w:pStyle w:val="TableHeader1"/>
            </w:pPr>
          </w:p>
        </w:tc>
        <w:tc>
          <w:tcPr>
            <w:tcW w:w="3118" w:type="dxa"/>
            <w:shd w:val="clear" w:color="auto" w:fill="0070C0"/>
            <w:noWrap/>
            <w:hideMark/>
          </w:tcPr>
          <w:p w14:paraId="4044DFFA" w14:textId="77777777" w:rsidR="0033430F" w:rsidRPr="007746B4" w:rsidRDefault="0033430F" w:rsidP="00785532">
            <w:pPr>
              <w:pStyle w:val="TableHeader1"/>
            </w:pPr>
          </w:p>
        </w:tc>
        <w:tc>
          <w:tcPr>
            <w:tcW w:w="1418" w:type="dxa"/>
            <w:shd w:val="clear" w:color="auto" w:fill="0070C0"/>
            <w:noWrap/>
            <w:hideMark/>
          </w:tcPr>
          <w:p w14:paraId="2D516365" w14:textId="79B509E1" w:rsidR="0033430F" w:rsidRPr="007746B4" w:rsidRDefault="006327A0" w:rsidP="00785532">
            <w:pPr>
              <w:pStyle w:val="TableHeader1"/>
            </w:pPr>
            <w:r w:rsidRPr="007746B4">
              <w:t>n (%)</w:t>
            </w:r>
          </w:p>
        </w:tc>
        <w:tc>
          <w:tcPr>
            <w:tcW w:w="283" w:type="dxa"/>
            <w:shd w:val="clear" w:color="auto" w:fill="0070C0"/>
            <w:noWrap/>
            <w:hideMark/>
          </w:tcPr>
          <w:p w14:paraId="265EF0E9" w14:textId="77777777" w:rsidR="0033430F" w:rsidRPr="007746B4" w:rsidRDefault="0033430F" w:rsidP="00785532">
            <w:pPr>
              <w:pStyle w:val="TableHeader1"/>
            </w:pPr>
          </w:p>
        </w:tc>
        <w:tc>
          <w:tcPr>
            <w:tcW w:w="1276" w:type="dxa"/>
            <w:shd w:val="clear" w:color="auto" w:fill="0070C0"/>
            <w:noWrap/>
            <w:hideMark/>
          </w:tcPr>
          <w:p w14:paraId="234CDE9B" w14:textId="394BB7FE" w:rsidR="0033430F" w:rsidRPr="007746B4" w:rsidRDefault="006327A0" w:rsidP="00785532">
            <w:pPr>
              <w:pStyle w:val="TableHeader1"/>
            </w:pPr>
            <w:r w:rsidRPr="007746B4">
              <w:t>n (%)</w:t>
            </w:r>
          </w:p>
        </w:tc>
        <w:tc>
          <w:tcPr>
            <w:tcW w:w="1134" w:type="dxa"/>
            <w:shd w:val="clear" w:color="auto" w:fill="0070C0"/>
          </w:tcPr>
          <w:p w14:paraId="5704B07B" w14:textId="377D7ED1" w:rsidR="0033430F" w:rsidRPr="007746B4" w:rsidRDefault="006327A0" w:rsidP="00785532">
            <w:pPr>
              <w:pStyle w:val="TableHeader1"/>
            </w:pPr>
            <w:r w:rsidRPr="007746B4">
              <w:t>n</w:t>
            </w:r>
          </w:p>
        </w:tc>
      </w:tr>
      <w:tr w:rsidR="0033430F" w:rsidRPr="007746B4" w14:paraId="48DF0971" w14:textId="77777777" w:rsidTr="0043740D">
        <w:trPr>
          <w:trHeight w:val="300"/>
          <w:jc w:val="center"/>
        </w:trPr>
        <w:tc>
          <w:tcPr>
            <w:tcW w:w="3397" w:type="dxa"/>
            <w:gridSpan w:val="2"/>
            <w:noWrap/>
          </w:tcPr>
          <w:p w14:paraId="34D766D1" w14:textId="77777777" w:rsidR="0033430F" w:rsidRPr="007746B4" w:rsidRDefault="0033430F" w:rsidP="00BC3CD1">
            <w:pPr>
              <w:pStyle w:val="TableRowIndent"/>
            </w:pPr>
            <w:r w:rsidRPr="007746B4">
              <w:t>Total</w:t>
            </w:r>
          </w:p>
        </w:tc>
        <w:tc>
          <w:tcPr>
            <w:tcW w:w="1418" w:type="dxa"/>
            <w:noWrap/>
          </w:tcPr>
          <w:p w14:paraId="4690242F" w14:textId="77777777" w:rsidR="0033430F" w:rsidRPr="007746B4" w:rsidRDefault="0033430F" w:rsidP="00BC3CD1">
            <w:pPr>
              <w:pStyle w:val="TableBody"/>
            </w:pPr>
            <w:r w:rsidRPr="007746B4">
              <w:t>858 (82.3)</w:t>
            </w:r>
          </w:p>
        </w:tc>
        <w:tc>
          <w:tcPr>
            <w:tcW w:w="283" w:type="dxa"/>
            <w:noWrap/>
          </w:tcPr>
          <w:p w14:paraId="22C90B1F" w14:textId="77777777" w:rsidR="0033430F" w:rsidRPr="007746B4" w:rsidRDefault="0033430F" w:rsidP="00BC3CD1">
            <w:pPr>
              <w:pStyle w:val="TableBody"/>
            </w:pPr>
          </w:p>
        </w:tc>
        <w:tc>
          <w:tcPr>
            <w:tcW w:w="1276" w:type="dxa"/>
            <w:noWrap/>
          </w:tcPr>
          <w:p w14:paraId="15BC7B42" w14:textId="77777777" w:rsidR="0033430F" w:rsidRPr="007746B4" w:rsidRDefault="0033430F" w:rsidP="00BC3CD1">
            <w:pPr>
              <w:pStyle w:val="TableBody"/>
            </w:pPr>
            <w:r w:rsidRPr="007746B4">
              <w:t>184 (17.7)</w:t>
            </w:r>
          </w:p>
        </w:tc>
        <w:tc>
          <w:tcPr>
            <w:tcW w:w="1134" w:type="dxa"/>
          </w:tcPr>
          <w:p w14:paraId="7AD14207" w14:textId="77777777" w:rsidR="0033430F" w:rsidRPr="007746B4" w:rsidRDefault="0033430F" w:rsidP="00BC3CD1">
            <w:pPr>
              <w:pStyle w:val="TableBody"/>
            </w:pPr>
            <w:r w:rsidRPr="007746B4">
              <w:t>1,042</w:t>
            </w:r>
          </w:p>
        </w:tc>
      </w:tr>
      <w:tr w:rsidR="0033430F" w:rsidRPr="007746B4" w14:paraId="39E89342" w14:textId="77777777" w:rsidTr="000D4819">
        <w:trPr>
          <w:trHeight w:val="300"/>
          <w:jc w:val="center"/>
        </w:trPr>
        <w:tc>
          <w:tcPr>
            <w:tcW w:w="3397" w:type="dxa"/>
            <w:gridSpan w:val="2"/>
            <w:shd w:val="clear" w:color="auto" w:fill="D9E2F3" w:themeFill="accent1" w:themeFillTint="33"/>
            <w:noWrap/>
            <w:hideMark/>
          </w:tcPr>
          <w:p w14:paraId="2F7A1A7B" w14:textId="77777777" w:rsidR="0033430F" w:rsidRPr="007746B4" w:rsidRDefault="0033430F" w:rsidP="00BC3CD1">
            <w:pPr>
              <w:pStyle w:val="TableHeader2"/>
            </w:pPr>
            <w:r w:rsidRPr="007746B4">
              <w:t>Gender</w:t>
            </w:r>
          </w:p>
        </w:tc>
        <w:tc>
          <w:tcPr>
            <w:tcW w:w="1418" w:type="dxa"/>
            <w:shd w:val="clear" w:color="auto" w:fill="D9E2F3" w:themeFill="accent1" w:themeFillTint="33"/>
            <w:noWrap/>
            <w:hideMark/>
          </w:tcPr>
          <w:p w14:paraId="7A569FC5" w14:textId="77777777" w:rsidR="0033430F" w:rsidRPr="007746B4" w:rsidRDefault="0033430F" w:rsidP="00BC3CD1">
            <w:pPr>
              <w:pStyle w:val="TableBody"/>
            </w:pPr>
          </w:p>
        </w:tc>
        <w:tc>
          <w:tcPr>
            <w:tcW w:w="283" w:type="dxa"/>
            <w:shd w:val="clear" w:color="auto" w:fill="D9E2F3" w:themeFill="accent1" w:themeFillTint="33"/>
            <w:noWrap/>
            <w:hideMark/>
          </w:tcPr>
          <w:p w14:paraId="683C4685" w14:textId="77777777" w:rsidR="0033430F" w:rsidRPr="007746B4" w:rsidRDefault="0033430F" w:rsidP="00BC3CD1">
            <w:pPr>
              <w:pStyle w:val="TableBody"/>
            </w:pPr>
          </w:p>
        </w:tc>
        <w:tc>
          <w:tcPr>
            <w:tcW w:w="1276" w:type="dxa"/>
            <w:shd w:val="clear" w:color="auto" w:fill="D9E2F3" w:themeFill="accent1" w:themeFillTint="33"/>
            <w:noWrap/>
            <w:hideMark/>
          </w:tcPr>
          <w:p w14:paraId="6B6A4331" w14:textId="77777777" w:rsidR="0033430F" w:rsidRPr="007746B4" w:rsidRDefault="0033430F" w:rsidP="00BC3CD1">
            <w:pPr>
              <w:pStyle w:val="TableBody"/>
            </w:pPr>
          </w:p>
        </w:tc>
        <w:tc>
          <w:tcPr>
            <w:tcW w:w="1134" w:type="dxa"/>
            <w:shd w:val="clear" w:color="auto" w:fill="D9E2F3" w:themeFill="accent1" w:themeFillTint="33"/>
          </w:tcPr>
          <w:p w14:paraId="66A097B3" w14:textId="77777777" w:rsidR="0033430F" w:rsidRPr="007746B4" w:rsidRDefault="0033430F" w:rsidP="00BC3CD1">
            <w:pPr>
              <w:pStyle w:val="TableBody"/>
            </w:pPr>
          </w:p>
        </w:tc>
      </w:tr>
      <w:tr w:rsidR="0033430F" w:rsidRPr="002F36CB" w14:paraId="5885EAF8" w14:textId="77777777" w:rsidTr="0043740D">
        <w:trPr>
          <w:trHeight w:val="300"/>
          <w:jc w:val="center"/>
        </w:trPr>
        <w:tc>
          <w:tcPr>
            <w:tcW w:w="279" w:type="dxa"/>
            <w:noWrap/>
            <w:hideMark/>
          </w:tcPr>
          <w:p w14:paraId="2A660DAA" w14:textId="77777777" w:rsidR="0033430F" w:rsidRPr="007746B4" w:rsidRDefault="0033430F" w:rsidP="00BC3CD1">
            <w:pPr>
              <w:pStyle w:val="TableBody"/>
            </w:pPr>
          </w:p>
        </w:tc>
        <w:tc>
          <w:tcPr>
            <w:tcW w:w="3118" w:type="dxa"/>
            <w:noWrap/>
            <w:hideMark/>
          </w:tcPr>
          <w:p w14:paraId="2826FF90" w14:textId="77777777" w:rsidR="0033430F" w:rsidRPr="007746B4" w:rsidRDefault="0033430F" w:rsidP="00BC3CD1">
            <w:pPr>
              <w:pStyle w:val="TableRowIndent"/>
            </w:pPr>
            <w:r w:rsidRPr="007746B4">
              <w:t>Boys</w:t>
            </w:r>
          </w:p>
        </w:tc>
        <w:tc>
          <w:tcPr>
            <w:tcW w:w="1418" w:type="dxa"/>
            <w:noWrap/>
            <w:hideMark/>
          </w:tcPr>
          <w:p w14:paraId="7B26F1C1" w14:textId="77777777" w:rsidR="0033430F" w:rsidRPr="007746B4" w:rsidRDefault="0033430F" w:rsidP="00BC3CD1">
            <w:pPr>
              <w:pStyle w:val="TableBody"/>
            </w:pPr>
            <w:r w:rsidRPr="007746B4">
              <w:t>360 (76.4)</w:t>
            </w:r>
          </w:p>
        </w:tc>
        <w:tc>
          <w:tcPr>
            <w:tcW w:w="283" w:type="dxa"/>
            <w:noWrap/>
            <w:hideMark/>
          </w:tcPr>
          <w:p w14:paraId="20156D08" w14:textId="77777777" w:rsidR="0033430F" w:rsidRPr="007746B4" w:rsidRDefault="0033430F" w:rsidP="00BC3CD1">
            <w:pPr>
              <w:pStyle w:val="TableBody"/>
            </w:pPr>
          </w:p>
        </w:tc>
        <w:tc>
          <w:tcPr>
            <w:tcW w:w="1276" w:type="dxa"/>
            <w:noWrap/>
            <w:hideMark/>
          </w:tcPr>
          <w:p w14:paraId="71047F61" w14:textId="77777777" w:rsidR="0033430F" w:rsidRPr="007746B4" w:rsidRDefault="0033430F" w:rsidP="00BC3CD1">
            <w:pPr>
              <w:pStyle w:val="TableBody"/>
            </w:pPr>
            <w:r w:rsidRPr="007746B4">
              <w:t>111 (23.6)</w:t>
            </w:r>
          </w:p>
        </w:tc>
        <w:tc>
          <w:tcPr>
            <w:tcW w:w="1134" w:type="dxa"/>
          </w:tcPr>
          <w:p w14:paraId="5497A446" w14:textId="77777777" w:rsidR="0033430F" w:rsidRPr="002F36CB" w:rsidRDefault="0033430F" w:rsidP="00BC3CD1">
            <w:pPr>
              <w:pStyle w:val="TableBody"/>
            </w:pPr>
            <w:r w:rsidRPr="007746B4">
              <w:t>571</w:t>
            </w:r>
          </w:p>
        </w:tc>
      </w:tr>
      <w:tr w:rsidR="0033430F" w:rsidRPr="002F36CB" w14:paraId="73C81172" w14:textId="77777777" w:rsidTr="0043740D">
        <w:trPr>
          <w:trHeight w:val="300"/>
          <w:jc w:val="center"/>
        </w:trPr>
        <w:tc>
          <w:tcPr>
            <w:tcW w:w="279" w:type="dxa"/>
            <w:noWrap/>
            <w:hideMark/>
          </w:tcPr>
          <w:p w14:paraId="24940842" w14:textId="77777777" w:rsidR="0033430F" w:rsidRPr="002F36CB" w:rsidRDefault="0033430F" w:rsidP="00BC3CD1">
            <w:pPr>
              <w:pStyle w:val="TableBody"/>
            </w:pPr>
          </w:p>
        </w:tc>
        <w:tc>
          <w:tcPr>
            <w:tcW w:w="3118" w:type="dxa"/>
            <w:noWrap/>
            <w:hideMark/>
          </w:tcPr>
          <w:p w14:paraId="5E0D8F7C" w14:textId="77777777" w:rsidR="0033430F" w:rsidRPr="002F36CB" w:rsidRDefault="0033430F" w:rsidP="00BC3CD1">
            <w:pPr>
              <w:pStyle w:val="TableRowIndent"/>
            </w:pPr>
            <w:r w:rsidRPr="002F36CB">
              <w:t>Girls</w:t>
            </w:r>
          </w:p>
        </w:tc>
        <w:tc>
          <w:tcPr>
            <w:tcW w:w="1418" w:type="dxa"/>
            <w:hideMark/>
          </w:tcPr>
          <w:p w14:paraId="49467B23" w14:textId="77777777" w:rsidR="0033430F" w:rsidRPr="002F36CB" w:rsidRDefault="0033430F" w:rsidP="00BC3CD1">
            <w:pPr>
              <w:pStyle w:val="TableBody"/>
            </w:pPr>
            <w:r w:rsidRPr="002F36CB">
              <w:t>498 (87.2)</w:t>
            </w:r>
          </w:p>
        </w:tc>
        <w:tc>
          <w:tcPr>
            <w:tcW w:w="283" w:type="dxa"/>
            <w:noWrap/>
            <w:hideMark/>
          </w:tcPr>
          <w:p w14:paraId="2FEEC78E" w14:textId="77777777" w:rsidR="0033430F" w:rsidRPr="002F36CB" w:rsidRDefault="0033430F" w:rsidP="00BC3CD1">
            <w:pPr>
              <w:pStyle w:val="TableBody"/>
            </w:pPr>
          </w:p>
        </w:tc>
        <w:tc>
          <w:tcPr>
            <w:tcW w:w="1276" w:type="dxa"/>
            <w:noWrap/>
            <w:hideMark/>
          </w:tcPr>
          <w:p w14:paraId="766A6441" w14:textId="77777777" w:rsidR="0033430F" w:rsidRPr="002F36CB" w:rsidRDefault="0033430F" w:rsidP="00BC3CD1">
            <w:pPr>
              <w:pStyle w:val="TableBody"/>
            </w:pPr>
            <w:r w:rsidRPr="002F36CB">
              <w:t>73 (12.8)</w:t>
            </w:r>
          </w:p>
        </w:tc>
        <w:tc>
          <w:tcPr>
            <w:tcW w:w="1134" w:type="dxa"/>
          </w:tcPr>
          <w:p w14:paraId="6A95115D" w14:textId="77777777" w:rsidR="0033430F" w:rsidRPr="002F36CB" w:rsidRDefault="0033430F" w:rsidP="00BC3CD1">
            <w:pPr>
              <w:pStyle w:val="TableBody"/>
            </w:pPr>
            <w:r w:rsidRPr="002F36CB">
              <w:t>471</w:t>
            </w:r>
          </w:p>
        </w:tc>
      </w:tr>
      <w:tr w:rsidR="0033430F" w:rsidRPr="002F36CB" w14:paraId="765E9B00" w14:textId="77777777" w:rsidTr="0043740D">
        <w:trPr>
          <w:trHeight w:val="300"/>
          <w:jc w:val="center"/>
        </w:trPr>
        <w:tc>
          <w:tcPr>
            <w:tcW w:w="279" w:type="dxa"/>
            <w:noWrap/>
          </w:tcPr>
          <w:p w14:paraId="5D523B7F" w14:textId="77777777" w:rsidR="0033430F" w:rsidRPr="002F36CB" w:rsidRDefault="0033430F" w:rsidP="00BC3CD1">
            <w:pPr>
              <w:pStyle w:val="TableBody"/>
            </w:pPr>
          </w:p>
        </w:tc>
        <w:tc>
          <w:tcPr>
            <w:tcW w:w="3118" w:type="dxa"/>
            <w:noWrap/>
          </w:tcPr>
          <w:p w14:paraId="36C1655B" w14:textId="77777777" w:rsidR="0033430F" w:rsidRPr="002F36CB" w:rsidRDefault="0033430F" w:rsidP="00BC3CD1">
            <w:pPr>
              <w:pStyle w:val="TableRowIndent"/>
            </w:pPr>
            <w:r w:rsidRPr="002F36CB">
              <w:t>Total</w:t>
            </w:r>
          </w:p>
        </w:tc>
        <w:tc>
          <w:tcPr>
            <w:tcW w:w="1418" w:type="dxa"/>
          </w:tcPr>
          <w:p w14:paraId="345A3551" w14:textId="77777777" w:rsidR="0033430F" w:rsidRPr="002F36CB" w:rsidRDefault="0033430F" w:rsidP="00BC3CD1">
            <w:pPr>
              <w:pStyle w:val="TableBody"/>
            </w:pPr>
            <w:r w:rsidRPr="002F36CB">
              <w:t>858 (82.3)</w:t>
            </w:r>
          </w:p>
        </w:tc>
        <w:tc>
          <w:tcPr>
            <w:tcW w:w="283" w:type="dxa"/>
            <w:noWrap/>
          </w:tcPr>
          <w:p w14:paraId="03BC356D" w14:textId="77777777" w:rsidR="0033430F" w:rsidRPr="002F36CB" w:rsidRDefault="0033430F" w:rsidP="00BC3CD1">
            <w:pPr>
              <w:pStyle w:val="TableBody"/>
            </w:pPr>
          </w:p>
        </w:tc>
        <w:tc>
          <w:tcPr>
            <w:tcW w:w="1276" w:type="dxa"/>
            <w:noWrap/>
          </w:tcPr>
          <w:p w14:paraId="665A57A2" w14:textId="77777777" w:rsidR="0033430F" w:rsidRPr="002F36CB" w:rsidRDefault="0033430F" w:rsidP="00BC3CD1">
            <w:pPr>
              <w:pStyle w:val="TableBody"/>
            </w:pPr>
            <w:r w:rsidRPr="002F36CB">
              <w:t>184 (17.7)</w:t>
            </w:r>
          </w:p>
        </w:tc>
        <w:tc>
          <w:tcPr>
            <w:tcW w:w="1134" w:type="dxa"/>
          </w:tcPr>
          <w:p w14:paraId="32E0D52B" w14:textId="77777777" w:rsidR="0033430F" w:rsidRPr="002F36CB" w:rsidRDefault="0033430F" w:rsidP="00BC3CD1">
            <w:pPr>
              <w:pStyle w:val="TableBody"/>
            </w:pPr>
            <w:r w:rsidRPr="002F36CB">
              <w:t>1,042</w:t>
            </w:r>
          </w:p>
        </w:tc>
      </w:tr>
      <w:tr w:rsidR="0033430F" w:rsidRPr="002F36CB" w14:paraId="493DB326" w14:textId="77777777" w:rsidTr="000D4819">
        <w:trPr>
          <w:trHeight w:val="300"/>
          <w:jc w:val="center"/>
        </w:trPr>
        <w:tc>
          <w:tcPr>
            <w:tcW w:w="3397" w:type="dxa"/>
            <w:gridSpan w:val="2"/>
            <w:shd w:val="clear" w:color="auto" w:fill="D9E2F3" w:themeFill="accent1" w:themeFillTint="33"/>
            <w:noWrap/>
            <w:hideMark/>
          </w:tcPr>
          <w:p w14:paraId="266D3AAD" w14:textId="77777777" w:rsidR="0033430F" w:rsidRPr="002F36CB" w:rsidRDefault="0033430F" w:rsidP="00BC3CD1">
            <w:pPr>
              <w:pStyle w:val="TableHeader2"/>
            </w:pPr>
            <w:r w:rsidRPr="002F36CB">
              <w:t>Indigenous status</w:t>
            </w:r>
          </w:p>
        </w:tc>
        <w:tc>
          <w:tcPr>
            <w:tcW w:w="1418" w:type="dxa"/>
            <w:shd w:val="clear" w:color="auto" w:fill="D9E2F3" w:themeFill="accent1" w:themeFillTint="33"/>
            <w:noWrap/>
            <w:hideMark/>
          </w:tcPr>
          <w:p w14:paraId="4770B313" w14:textId="77777777" w:rsidR="0033430F" w:rsidRPr="002F36CB" w:rsidRDefault="0033430F" w:rsidP="00BC3CD1">
            <w:pPr>
              <w:pStyle w:val="TableHeader2"/>
            </w:pPr>
          </w:p>
        </w:tc>
        <w:tc>
          <w:tcPr>
            <w:tcW w:w="283" w:type="dxa"/>
            <w:shd w:val="clear" w:color="auto" w:fill="D9E2F3" w:themeFill="accent1" w:themeFillTint="33"/>
            <w:noWrap/>
            <w:hideMark/>
          </w:tcPr>
          <w:p w14:paraId="4992AA88" w14:textId="77777777" w:rsidR="0033430F" w:rsidRPr="002F36CB" w:rsidRDefault="0033430F" w:rsidP="00BC3CD1">
            <w:pPr>
              <w:pStyle w:val="TableHeader2"/>
            </w:pPr>
          </w:p>
        </w:tc>
        <w:tc>
          <w:tcPr>
            <w:tcW w:w="1276" w:type="dxa"/>
            <w:shd w:val="clear" w:color="auto" w:fill="D9E2F3" w:themeFill="accent1" w:themeFillTint="33"/>
            <w:noWrap/>
            <w:hideMark/>
          </w:tcPr>
          <w:p w14:paraId="1AA4F9F3" w14:textId="77777777" w:rsidR="0033430F" w:rsidRPr="002F36CB" w:rsidRDefault="0033430F" w:rsidP="00BC3CD1">
            <w:pPr>
              <w:pStyle w:val="TableHeader2"/>
            </w:pPr>
          </w:p>
        </w:tc>
        <w:tc>
          <w:tcPr>
            <w:tcW w:w="1134" w:type="dxa"/>
            <w:shd w:val="clear" w:color="auto" w:fill="D9E2F3" w:themeFill="accent1" w:themeFillTint="33"/>
          </w:tcPr>
          <w:p w14:paraId="4615B140" w14:textId="77777777" w:rsidR="0033430F" w:rsidRPr="002F36CB" w:rsidRDefault="0033430F" w:rsidP="00BC3CD1">
            <w:pPr>
              <w:pStyle w:val="TableHeader2"/>
            </w:pPr>
          </w:p>
        </w:tc>
      </w:tr>
      <w:tr w:rsidR="0033430F" w:rsidRPr="002F36CB" w14:paraId="55393F85" w14:textId="77777777" w:rsidTr="0043740D">
        <w:trPr>
          <w:trHeight w:val="300"/>
          <w:jc w:val="center"/>
        </w:trPr>
        <w:tc>
          <w:tcPr>
            <w:tcW w:w="279" w:type="dxa"/>
            <w:noWrap/>
            <w:hideMark/>
          </w:tcPr>
          <w:p w14:paraId="5F0E9CE8" w14:textId="77777777" w:rsidR="0033430F" w:rsidRPr="002F36CB" w:rsidRDefault="0033430F" w:rsidP="00BC3CD1">
            <w:pPr>
              <w:pStyle w:val="TableBody"/>
            </w:pPr>
          </w:p>
        </w:tc>
        <w:tc>
          <w:tcPr>
            <w:tcW w:w="3118" w:type="dxa"/>
            <w:noWrap/>
            <w:hideMark/>
          </w:tcPr>
          <w:p w14:paraId="4EA663E5" w14:textId="77777777" w:rsidR="0033430F" w:rsidRPr="002F36CB" w:rsidRDefault="0033430F" w:rsidP="00BC3CD1">
            <w:pPr>
              <w:pStyle w:val="TableRowIndent"/>
            </w:pPr>
            <w:r w:rsidRPr="002F36CB">
              <w:t>ATSI</w:t>
            </w:r>
          </w:p>
        </w:tc>
        <w:tc>
          <w:tcPr>
            <w:tcW w:w="1418" w:type="dxa"/>
            <w:hideMark/>
          </w:tcPr>
          <w:p w14:paraId="60532C72" w14:textId="77777777" w:rsidR="0033430F" w:rsidRPr="002F36CB" w:rsidRDefault="0033430F" w:rsidP="00BC3CD1">
            <w:pPr>
              <w:pStyle w:val="TableBody"/>
            </w:pPr>
            <w:r w:rsidRPr="002F36CB">
              <w:t>41 (85.4)</w:t>
            </w:r>
          </w:p>
        </w:tc>
        <w:tc>
          <w:tcPr>
            <w:tcW w:w="283" w:type="dxa"/>
            <w:noWrap/>
            <w:hideMark/>
          </w:tcPr>
          <w:p w14:paraId="71DCEC99" w14:textId="77777777" w:rsidR="0033430F" w:rsidRPr="002F36CB" w:rsidRDefault="0033430F" w:rsidP="00BC3CD1">
            <w:pPr>
              <w:pStyle w:val="TableBody"/>
            </w:pPr>
          </w:p>
        </w:tc>
        <w:tc>
          <w:tcPr>
            <w:tcW w:w="1276" w:type="dxa"/>
            <w:hideMark/>
          </w:tcPr>
          <w:p w14:paraId="436DABF5" w14:textId="77777777" w:rsidR="0033430F" w:rsidRPr="002F36CB" w:rsidRDefault="0033430F" w:rsidP="00BC3CD1">
            <w:pPr>
              <w:pStyle w:val="TableBody"/>
            </w:pPr>
            <w:r w:rsidRPr="002F36CB">
              <w:t>7 (17.5)</w:t>
            </w:r>
          </w:p>
        </w:tc>
        <w:tc>
          <w:tcPr>
            <w:tcW w:w="1134" w:type="dxa"/>
          </w:tcPr>
          <w:p w14:paraId="616AB1F0" w14:textId="77777777" w:rsidR="0033430F" w:rsidRPr="002F36CB" w:rsidRDefault="0033430F" w:rsidP="00BC3CD1">
            <w:pPr>
              <w:pStyle w:val="TableBody"/>
            </w:pPr>
            <w:r w:rsidRPr="002F36CB">
              <w:t>966</w:t>
            </w:r>
          </w:p>
        </w:tc>
      </w:tr>
      <w:tr w:rsidR="0033430F" w:rsidRPr="002F36CB" w14:paraId="577A23EE" w14:textId="77777777" w:rsidTr="0043740D">
        <w:trPr>
          <w:trHeight w:val="300"/>
          <w:jc w:val="center"/>
        </w:trPr>
        <w:tc>
          <w:tcPr>
            <w:tcW w:w="279" w:type="dxa"/>
            <w:noWrap/>
            <w:hideMark/>
          </w:tcPr>
          <w:p w14:paraId="1046AA69" w14:textId="77777777" w:rsidR="0033430F" w:rsidRPr="002F36CB" w:rsidRDefault="0033430F" w:rsidP="00BC3CD1">
            <w:pPr>
              <w:pStyle w:val="TableBody"/>
            </w:pPr>
          </w:p>
        </w:tc>
        <w:tc>
          <w:tcPr>
            <w:tcW w:w="3118" w:type="dxa"/>
            <w:noWrap/>
            <w:hideMark/>
          </w:tcPr>
          <w:p w14:paraId="02043080" w14:textId="77777777" w:rsidR="0033430F" w:rsidRPr="002F36CB" w:rsidRDefault="0033430F" w:rsidP="00BC3CD1">
            <w:pPr>
              <w:pStyle w:val="TableRowIndent"/>
            </w:pPr>
            <w:r w:rsidRPr="002F36CB">
              <w:t>Non-ATSI</w:t>
            </w:r>
          </w:p>
        </w:tc>
        <w:tc>
          <w:tcPr>
            <w:tcW w:w="1418" w:type="dxa"/>
            <w:hideMark/>
          </w:tcPr>
          <w:p w14:paraId="75C5545F" w14:textId="77777777" w:rsidR="0033430F" w:rsidRPr="002F36CB" w:rsidRDefault="0033430F" w:rsidP="00BC3CD1">
            <w:pPr>
              <w:pStyle w:val="TableBody"/>
            </w:pPr>
            <w:r w:rsidRPr="002F36CB">
              <w:t>797 (82.5)</w:t>
            </w:r>
          </w:p>
        </w:tc>
        <w:tc>
          <w:tcPr>
            <w:tcW w:w="283" w:type="dxa"/>
            <w:noWrap/>
            <w:hideMark/>
          </w:tcPr>
          <w:p w14:paraId="2E42B15C" w14:textId="77777777" w:rsidR="0033430F" w:rsidRPr="002F36CB" w:rsidRDefault="0033430F" w:rsidP="00BC3CD1">
            <w:pPr>
              <w:pStyle w:val="TableBody"/>
            </w:pPr>
          </w:p>
        </w:tc>
        <w:tc>
          <w:tcPr>
            <w:tcW w:w="1276" w:type="dxa"/>
            <w:hideMark/>
          </w:tcPr>
          <w:p w14:paraId="4F9ACFBE" w14:textId="77777777" w:rsidR="0033430F" w:rsidRPr="002F36CB" w:rsidRDefault="0033430F" w:rsidP="00BC3CD1">
            <w:pPr>
              <w:pStyle w:val="TableBody"/>
            </w:pPr>
            <w:r w:rsidRPr="002F36CB">
              <w:t>169 (14.6)</w:t>
            </w:r>
          </w:p>
        </w:tc>
        <w:tc>
          <w:tcPr>
            <w:tcW w:w="1134" w:type="dxa"/>
          </w:tcPr>
          <w:p w14:paraId="01208425" w14:textId="77777777" w:rsidR="0033430F" w:rsidRPr="002F36CB" w:rsidRDefault="0033430F" w:rsidP="00BC3CD1">
            <w:pPr>
              <w:pStyle w:val="TableBody"/>
            </w:pPr>
            <w:r w:rsidRPr="002F36CB">
              <w:t>48</w:t>
            </w:r>
          </w:p>
        </w:tc>
      </w:tr>
      <w:tr w:rsidR="0033430F" w:rsidRPr="002F36CB" w14:paraId="760BC3BF" w14:textId="77777777" w:rsidTr="0043740D">
        <w:trPr>
          <w:trHeight w:val="300"/>
          <w:jc w:val="center"/>
        </w:trPr>
        <w:tc>
          <w:tcPr>
            <w:tcW w:w="279" w:type="dxa"/>
            <w:noWrap/>
          </w:tcPr>
          <w:p w14:paraId="03C14CEA" w14:textId="77777777" w:rsidR="0033430F" w:rsidRPr="002F36CB" w:rsidRDefault="0033430F" w:rsidP="00BC3CD1">
            <w:pPr>
              <w:pStyle w:val="TableBody"/>
            </w:pPr>
          </w:p>
        </w:tc>
        <w:tc>
          <w:tcPr>
            <w:tcW w:w="3118" w:type="dxa"/>
            <w:noWrap/>
          </w:tcPr>
          <w:p w14:paraId="29B057B8" w14:textId="77777777" w:rsidR="0033430F" w:rsidRPr="002F36CB" w:rsidRDefault="0033430F" w:rsidP="00BC3CD1">
            <w:pPr>
              <w:pStyle w:val="TableRowIndent"/>
            </w:pPr>
            <w:r w:rsidRPr="002F36CB">
              <w:t>Total</w:t>
            </w:r>
          </w:p>
        </w:tc>
        <w:tc>
          <w:tcPr>
            <w:tcW w:w="1418" w:type="dxa"/>
          </w:tcPr>
          <w:p w14:paraId="6D21F5D9" w14:textId="77777777" w:rsidR="0033430F" w:rsidRPr="002F36CB" w:rsidRDefault="0033430F" w:rsidP="00BC3CD1">
            <w:pPr>
              <w:pStyle w:val="TableBody"/>
            </w:pPr>
            <w:r w:rsidRPr="002F36CB">
              <w:t>838 (82.6)</w:t>
            </w:r>
          </w:p>
        </w:tc>
        <w:tc>
          <w:tcPr>
            <w:tcW w:w="283" w:type="dxa"/>
            <w:noWrap/>
          </w:tcPr>
          <w:p w14:paraId="4AE17506" w14:textId="77777777" w:rsidR="0033430F" w:rsidRPr="002F36CB" w:rsidRDefault="0033430F" w:rsidP="00BC3CD1">
            <w:pPr>
              <w:pStyle w:val="TableBody"/>
            </w:pPr>
          </w:p>
        </w:tc>
        <w:tc>
          <w:tcPr>
            <w:tcW w:w="1276" w:type="dxa"/>
          </w:tcPr>
          <w:p w14:paraId="4653564C" w14:textId="77777777" w:rsidR="0033430F" w:rsidRPr="002F36CB" w:rsidRDefault="0033430F" w:rsidP="00BC3CD1">
            <w:pPr>
              <w:pStyle w:val="TableBody"/>
            </w:pPr>
            <w:r w:rsidRPr="002F36CB">
              <w:t>176 (17.4)</w:t>
            </w:r>
          </w:p>
        </w:tc>
        <w:tc>
          <w:tcPr>
            <w:tcW w:w="1134" w:type="dxa"/>
          </w:tcPr>
          <w:p w14:paraId="062289C3" w14:textId="77777777" w:rsidR="0033430F" w:rsidRPr="002F36CB" w:rsidRDefault="0033430F" w:rsidP="00BC3CD1">
            <w:pPr>
              <w:pStyle w:val="TableBody"/>
            </w:pPr>
            <w:r w:rsidRPr="002F36CB">
              <w:t>1,014</w:t>
            </w:r>
          </w:p>
        </w:tc>
      </w:tr>
      <w:tr w:rsidR="0033430F" w:rsidRPr="002F36CB" w14:paraId="009BA316" w14:textId="77777777" w:rsidTr="000D4819">
        <w:trPr>
          <w:trHeight w:val="300"/>
          <w:jc w:val="center"/>
        </w:trPr>
        <w:tc>
          <w:tcPr>
            <w:tcW w:w="3397" w:type="dxa"/>
            <w:gridSpan w:val="2"/>
            <w:shd w:val="clear" w:color="auto" w:fill="D9E2F3" w:themeFill="accent1" w:themeFillTint="33"/>
            <w:noWrap/>
          </w:tcPr>
          <w:p w14:paraId="3C616249" w14:textId="77777777" w:rsidR="0033430F" w:rsidRPr="002F36CB" w:rsidRDefault="0033430F" w:rsidP="00BC3CD1">
            <w:pPr>
              <w:pStyle w:val="TableHeader2"/>
            </w:pPr>
            <w:r w:rsidRPr="002F36CB">
              <w:t>Language spoken at home</w:t>
            </w:r>
          </w:p>
        </w:tc>
        <w:tc>
          <w:tcPr>
            <w:tcW w:w="1418" w:type="dxa"/>
            <w:shd w:val="clear" w:color="auto" w:fill="D9E2F3" w:themeFill="accent1" w:themeFillTint="33"/>
          </w:tcPr>
          <w:p w14:paraId="7F045392" w14:textId="77777777" w:rsidR="0033430F" w:rsidRPr="002F36CB" w:rsidRDefault="0033430F" w:rsidP="00BC3CD1">
            <w:pPr>
              <w:pStyle w:val="TableHeader2"/>
            </w:pPr>
          </w:p>
        </w:tc>
        <w:tc>
          <w:tcPr>
            <w:tcW w:w="283" w:type="dxa"/>
            <w:shd w:val="clear" w:color="auto" w:fill="D9E2F3" w:themeFill="accent1" w:themeFillTint="33"/>
            <w:noWrap/>
          </w:tcPr>
          <w:p w14:paraId="64070C10" w14:textId="77777777" w:rsidR="0033430F" w:rsidRPr="002F36CB" w:rsidRDefault="0033430F" w:rsidP="00BC3CD1">
            <w:pPr>
              <w:pStyle w:val="TableHeader2"/>
            </w:pPr>
          </w:p>
        </w:tc>
        <w:tc>
          <w:tcPr>
            <w:tcW w:w="1276" w:type="dxa"/>
            <w:shd w:val="clear" w:color="auto" w:fill="D9E2F3" w:themeFill="accent1" w:themeFillTint="33"/>
          </w:tcPr>
          <w:p w14:paraId="7D669DBF" w14:textId="77777777" w:rsidR="0033430F" w:rsidRPr="002F36CB" w:rsidRDefault="0033430F" w:rsidP="00BC3CD1">
            <w:pPr>
              <w:pStyle w:val="TableHeader2"/>
            </w:pPr>
          </w:p>
        </w:tc>
        <w:tc>
          <w:tcPr>
            <w:tcW w:w="1134" w:type="dxa"/>
            <w:shd w:val="clear" w:color="auto" w:fill="D9E2F3" w:themeFill="accent1" w:themeFillTint="33"/>
          </w:tcPr>
          <w:p w14:paraId="64BEA3B7" w14:textId="77777777" w:rsidR="0033430F" w:rsidRPr="002F36CB" w:rsidRDefault="0033430F" w:rsidP="00BC3CD1">
            <w:pPr>
              <w:pStyle w:val="TableHeader2"/>
            </w:pPr>
          </w:p>
        </w:tc>
      </w:tr>
      <w:tr w:rsidR="0033430F" w:rsidRPr="002F36CB" w14:paraId="54296E80" w14:textId="77777777" w:rsidTr="0043740D">
        <w:trPr>
          <w:trHeight w:val="300"/>
          <w:jc w:val="center"/>
        </w:trPr>
        <w:tc>
          <w:tcPr>
            <w:tcW w:w="279" w:type="dxa"/>
            <w:noWrap/>
          </w:tcPr>
          <w:p w14:paraId="6DCC4347" w14:textId="77777777" w:rsidR="0033430F" w:rsidRPr="002F36CB" w:rsidRDefault="0033430F" w:rsidP="00BC3CD1">
            <w:pPr>
              <w:pStyle w:val="TableBody"/>
            </w:pPr>
          </w:p>
        </w:tc>
        <w:tc>
          <w:tcPr>
            <w:tcW w:w="3118" w:type="dxa"/>
            <w:noWrap/>
          </w:tcPr>
          <w:p w14:paraId="503DF527" w14:textId="77777777" w:rsidR="0033430F" w:rsidRPr="002F36CB" w:rsidRDefault="0033430F" w:rsidP="00BC3CD1">
            <w:pPr>
              <w:pStyle w:val="TableRowIndent"/>
            </w:pPr>
            <w:r w:rsidRPr="002F36CB">
              <w:t>English only</w:t>
            </w:r>
          </w:p>
        </w:tc>
        <w:tc>
          <w:tcPr>
            <w:tcW w:w="1418" w:type="dxa"/>
          </w:tcPr>
          <w:p w14:paraId="73F2B002" w14:textId="77777777" w:rsidR="0033430F" w:rsidRPr="002F36CB" w:rsidRDefault="0033430F" w:rsidP="00BC3CD1">
            <w:pPr>
              <w:pStyle w:val="TableBody"/>
            </w:pPr>
            <w:r w:rsidRPr="002F36CB">
              <w:t>677 (86.2)</w:t>
            </w:r>
          </w:p>
        </w:tc>
        <w:tc>
          <w:tcPr>
            <w:tcW w:w="283" w:type="dxa"/>
            <w:noWrap/>
          </w:tcPr>
          <w:p w14:paraId="40572A92" w14:textId="77777777" w:rsidR="0033430F" w:rsidRPr="002F36CB" w:rsidRDefault="0033430F" w:rsidP="00BC3CD1">
            <w:pPr>
              <w:pStyle w:val="TableBody"/>
            </w:pPr>
          </w:p>
        </w:tc>
        <w:tc>
          <w:tcPr>
            <w:tcW w:w="1276" w:type="dxa"/>
          </w:tcPr>
          <w:p w14:paraId="6B0907F7" w14:textId="77777777" w:rsidR="0033430F" w:rsidRPr="002F36CB" w:rsidRDefault="0033430F" w:rsidP="00BC3CD1">
            <w:pPr>
              <w:pStyle w:val="TableBody"/>
            </w:pPr>
            <w:r w:rsidRPr="002F36CB">
              <w:t>108 (13.8)</w:t>
            </w:r>
          </w:p>
        </w:tc>
        <w:tc>
          <w:tcPr>
            <w:tcW w:w="1134" w:type="dxa"/>
          </w:tcPr>
          <w:p w14:paraId="54838245" w14:textId="77777777" w:rsidR="0033430F" w:rsidRPr="002F36CB" w:rsidRDefault="0033430F" w:rsidP="00BC3CD1">
            <w:pPr>
              <w:pStyle w:val="TableBody"/>
            </w:pPr>
            <w:r w:rsidRPr="002F36CB">
              <w:t>785</w:t>
            </w:r>
          </w:p>
        </w:tc>
      </w:tr>
      <w:tr w:rsidR="0033430F" w:rsidRPr="002F36CB" w14:paraId="268A60A3" w14:textId="77777777" w:rsidTr="0043740D">
        <w:trPr>
          <w:trHeight w:val="300"/>
          <w:jc w:val="center"/>
        </w:trPr>
        <w:tc>
          <w:tcPr>
            <w:tcW w:w="279" w:type="dxa"/>
            <w:noWrap/>
          </w:tcPr>
          <w:p w14:paraId="548111BF" w14:textId="77777777" w:rsidR="0033430F" w:rsidRPr="002F36CB" w:rsidRDefault="0033430F" w:rsidP="00BC3CD1">
            <w:pPr>
              <w:pStyle w:val="TableBody"/>
            </w:pPr>
          </w:p>
        </w:tc>
        <w:tc>
          <w:tcPr>
            <w:tcW w:w="3118" w:type="dxa"/>
            <w:noWrap/>
          </w:tcPr>
          <w:p w14:paraId="76929FC7" w14:textId="77777777" w:rsidR="0033430F" w:rsidRPr="002F36CB" w:rsidRDefault="0033430F" w:rsidP="00BC3CD1">
            <w:pPr>
              <w:pStyle w:val="TableRowIndent"/>
            </w:pPr>
            <w:r w:rsidRPr="002F36CB">
              <w:t>English and another language</w:t>
            </w:r>
          </w:p>
        </w:tc>
        <w:tc>
          <w:tcPr>
            <w:tcW w:w="1418" w:type="dxa"/>
          </w:tcPr>
          <w:p w14:paraId="72089BDD" w14:textId="77777777" w:rsidR="0033430F" w:rsidRPr="002F36CB" w:rsidRDefault="0033430F" w:rsidP="00BC3CD1">
            <w:pPr>
              <w:pStyle w:val="TableBody"/>
            </w:pPr>
            <w:r w:rsidRPr="002F36CB">
              <w:t>46 (75.4)</w:t>
            </w:r>
          </w:p>
        </w:tc>
        <w:tc>
          <w:tcPr>
            <w:tcW w:w="283" w:type="dxa"/>
            <w:noWrap/>
          </w:tcPr>
          <w:p w14:paraId="4F504FD1" w14:textId="77777777" w:rsidR="0033430F" w:rsidRPr="002F36CB" w:rsidRDefault="0033430F" w:rsidP="00BC3CD1">
            <w:pPr>
              <w:pStyle w:val="TableBody"/>
            </w:pPr>
          </w:p>
        </w:tc>
        <w:tc>
          <w:tcPr>
            <w:tcW w:w="1276" w:type="dxa"/>
          </w:tcPr>
          <w:p w14:paraId="5712D95E" w14:textId="77777777" w:rsidR="0033430F" w:rsidRPr="002F36CB" w:rsidRDefault="0033430F" w:rsidP="00BC3CD1">
            <w:pPr>
              <w:pStyle w:val="TableBody"/>
            </w:pPr>
            <w:r w:rsidRPr="002F36CB">
              <w:t>15 (24.6)</w:t>
            </w:r>
          </w:p>
        </w:tc>
        <w:tc>
          <w:tcPr>
            <w:tcW w:w="1134" w:type="dxa"/>
          </w:tcPr>
          <w:p w14:paraId="0929E031" w14:textId="77777777" w:rsidR="0033430F" w:rsidRPr="002F36CB" w:rsidRDefault="0033430F" w:rsidP="00BC3CD1">
            <w:pPr>
              <w:pStyle w:val="TableBody"/>
            </w:pPr>
            <w:r w:rsidRPr="002F36CB">
              <w:t>61</w:t>
            </w:r>
          </w:p>
        </w:tc>
      </w:tr>
      <w:tr w:rsidR="0033430F" w:rsidRPr="002F36CB" w14:paraId="1A33F83A" w14:textId="77777777" w:rsidTr="0043740D">
        <w:trPr>
          <w:trHeight w:val="300"/>
          <w:jc w:val="center"/>
        </w:trPr>
        <w:tc>
          <w:tcPr>
            <w:tcW w:w="279" w:type="dxa"/>
            <w:noWrap/>
          </w:tcPr>
          <w:p w14:paraId="25AA26D5" w14:textId="77777777" w:rsidR="0033430F" w:rsidRPr="002F36CB" w:rsidRDefault="0033430F" w:rsidP="00BC3CD1">
            <w:pPr>
              <w:pStyle w:val="TableBody"/>
            </w:pPr>
          </w:p>
        </w:tc>
        <w:tc>
          <w:tcPr>
            <w:tcW w:w="3118" w:type="dxa"/>
            <w:noWrap/>
          </w:tcPr>
          <w:p w14:paraId="0BA07626" w14:textId="77777777" w:rsidR="0033430F" w:rsidRPr="002F36CB" w:rsidRDefault="0033430F" w:rsidP="00BC3CD1">
            <w:pPr>
              <w:pStyle w:val="TableRowIndent"/>
            </w:pPr>
            <w:r w:rsidRPr="002F36CB">
              <w:t>Another language, no English</w:t>
            </w:r>
          </w:p>
        </w:tc>
        <w:tc>
          <w:tcPr>
            <w:tcW w:w="1418" w:type="dxa"/>
          </w:tcPr>
          <w:p w14:paraId="25E14F32" w14:textId="77777777" w:rsidR="0033430F" w:rsidRPr="002F36CB" w:rsidRDefault="0033430F" w:rsidP="00BC3CD1">
            <w:pPr>
              <w:pStyle w:val="TableBody"/>
            </w:pPr>
            <w:r w:rsidRPr="002F36CB">
              <w:t>51 (67.1)</w:t>
            </w:r>
          </w:p>
        </w:tc>
        <w:tc>
          <w:tcPr>
            <w:tcW w:w="283" w:type="dxa"/>
            <w:noWrap/>
          </w:tcPr>
          <w:p w14:paraId="4FA7FE44" w14:textId="77777777" w:rsidR="0033430F" w:rsidRPr="002F36CB" w:rsidRDefault="0033430F" w:rsidP="00BC3CD1">
            <w:pPr>
              <w:pStyle w:val="TableBody"/>
            </w:pPr>
          </w:p>
        </w:tc>
        <w:tc>
          <w:tcPr>
            <w:tcW w:w="1276" w:type="dxa"/>
          </w:tcPr>
          <w:p w14:paraId="7AD24D04" w14:textId="77777777" w:rsidR="0033430F" w:rsidRPr="002F36CB" w:rsidRDefault="0033430F" w:rsidP="00BC3CD1">
            <w:pPr>
              <w:pStyle w:val="TableBody"/>
            </w:pPr>
            <w:r w:rsidRPr="002F36CB">
              <w:t>25 (32.9)</w:t>
            </w:r>
          </w:p>
        </w:tc>
        <w:tc>
          <w:tcPr>
            <w:tcW w:w="1134" w:type="dxa"/>
          </w:tcPr>
          <w:p w14:paraId="70E19C3E" w14:textId="77777777" w:rsidR="0033430F" w:rsidRPr="002F36CB" w:rsidRDefault="0033430F" w:rsidP="00BC3CD1">
            <w:pPr>
              <w:pStyle w:val="TableBody"/>
            </w:pPr>
            <w:r w:rsidRPr="002F36CB">
              <w:t>76</w:t>
            </w:r>
          </w:p>
        </w:tc>
      </w:tr>
      <w:tr w:rsidR="0033430F" w:rsidRPr="002F36CB" w14:paraId="08A51349" w14:textId="77777777" w:rsidTr="0043740D">
        <w:trPr>
          <w:trHeight w:val="300"/>
          <w:jc w:val="center"/>
        </w:trPr>
        <w:tc>
          <w:tcPr>
            <w:tcW w:w="279" w:type="dxa"/>
            <w:noWrap/>
          </w:tcPr>
          <w:p w14:paraId="56C68CBB" w14:textId="77777777" w:rsidR="0033430F" w:rsidRPr="002F36CB" w:rsidRDefault="0033430F" w:rsidP="00BC3CD1">
            <w:pPr>
              <w:pStyle w:val="TableBody"/>
            </w:pPr>
          </w:p>
        </w:tc>
        <w:tc>
          <w:tcPr>
            <w:tcW w:w="3118" w:type="dxa"/>
            <w:noWrap/>
          </w:tcPr>
          <w:p w14:paraId="1A11BC99" w14:textId="77777777" w:rsidR="0033430F" w:rsidRPr="002F36CB" w:rsidRDefault="0033430F" w:rsidP="00BC3CD1">
            <w:pPr>
              <w:pStyle w:val="TableRowIndent"/>
            </w:pPr>
            <w:r w:rsidRPr="002F36CB">
              <w:t>Total</w:t>
            </w:r>
          </w:p>
        </w:tc>
        <w:tc>
          <w:tcPr>
            <w:tcW w:w="1418" w:type="dxa"/>
          </w:tcPr>
          <w:p w14:paraId="357D0B2E" w14:textId="77777777" w:rsidR="0033430F" w:rsidRPr="002F36CB" w:rsidRDefault="0033430F" w:rsidP="00BC3CD1">
            <w:pPr>
              <w:pStyle w:val="TableBody"/>
            </w:pPr>
            <w:r w:rsidRPr="002F36CB">
              <w:t>774 (84.0)</w:t>
            </w:r>
          </w:p>
        </w:tc>
        <w:tc>
          <w:tcPr>
            <w:tcW w:w="283" w:type="dxa"/>
            <w:noWrap/>
          </w:tcPr>
          <w:p w14:paraId="1922B622" w14:textId="77777777" w:rsidR="0033430F" w:rsidRPr="002F36CB" w:rsidRDefault="0033430F" w:rsidP="00BC3CD1">
            <w:pPr>
              <w:pStyle w:val="TableBody"/>
            </w:pPr>
          </w:p>
        </w:tc>
        <w:tc>
          <w:tcPr>
            <w:tcW w:w="1276" w:type="dxa"/>
          </w:tcPr>
          <w:p w14:paraId="63B208B2" w14:textId="77777777" w:rsidR="0033430F" w:rsidRPr="002F36CB" w:rsidRDefault="0033430F" w:rsidP="00BC3CD1">
            <w:pPr>
              <w:pStyle w:val="TableBody"/>
            </w:pPr>
            <w:r w:rsidRPr="002F36CB">
              <w:t>148(16.0)</w:t>
            </w:r>
          </w:p>
        </w:tc>
        <w:tc>
          <w:tcPr>
            <w:tcW w:w="1134" w:type="dxa"/>
          </w:tcPr>
          <w:p w14:paraId="40048668" w14:textId="77777777" w:rsidR="0033430F" w:rsidRPr="002F36CB" w:rsidRDefault="0033430F" w:rsidP="00BC3CD1">
            <w:pPr>
              <w:pStyle w:val="TableBody"/>
            </w:pPr>
            <w:r w:rsidRPr="002F36CB">
              <w:t>922</w:t>
            </w:r>
          </w:p>
        </w:tc>
      </w:tr>
      <w:tr w:rsidR="0033430F" w:rsidRPr="002F36CB" w14:paraId="6A6F8775" w14:textId="77777777" w:rsidTr="000D4819">
        <w:trPr>
          <w:trHeight w:val="300"/>
          <w:jc w:val="center"/>
        </w:trPr>
        <w:tc>
          <w:tcPr>
            <w:tcW w:w="3397" w:type="dxa"/>
            <w:gridSpan w:val="2"/>
            <w:shd w:val="clear" w:color="auto" w:fill="D9E2F3" w:themeFill="accent1" w:themeFillTint="33"/>
            <w:noWrap/>
            <w:hideMark/>
          </w:tcPr>
          <w:p w14:paraId="3FE18048" w14:textId="77777777" w:rsidR="0033430F" w:rsidRPr="002F36CB" w:rsidRDefault="0033430F" w:rsidP="00BC3CD1">
            <w:pPr>
              <w:pStyle w:val="TableHeader2"/>
            </w:pPr>
            <w:r w:rsidRPr="002F36CB">
              <w:t>SES</w:t>
            </w:r>
          </w:p>
        </w:tc>
        <w:tc>
          <w:tcPr>
            <w:tcW w:w="1418" w:type="dxa"/>
            <w:shd w:val="clear" w:color="auto" w:fill="D9E2F3" w:themeFill="accent1" w:themeFillTint="33"/>
            <w:noWrap/>
            <w:hideMark/>
          </w:tcPr>
          <w:p w14:paraId="49031CCD" w14:textId="77777777" w:rsidR="0033430F" w:rsidRPr="002F36CB" w:rsidRDefault="0033430F" w:rsidP="00BC3CD1">
            <w:pPr>
              <w:pStyle w:val="TableHeader2"/>
            </w:pPr>
          </w:p>
        </w:tc>
        <w:tc>
          <w:tcPr>
            <w:tcW w:w="283" w:type="dxa"/>
            <w:shd w:val="clear" w:color="auto" w:fill="D9E2F3" w:themeFill="accent1" w:themeFillTint="33"/>
            <w:noWrap/>
            <w:hideMark/>
          </w:tcPr>
          <w:p w14:paraId="1774CBBA" w14:textId="77777777" w:rsidR="0033430F" w:rsidRPr="002F36CB" w:rsidRDefault="0033430F" w:rsidP="00BC3CD1">
            <w:pPr>
              <w:pStyle w:val="TableHeader2"/>
            </w:pPr>
          </w:p>
        </w:tc>
        <w:tc>
          <w:tcPr>
            <w:tcW w:w="1276" w:type="dxa"/>
            <w:shd w:val="clear" w:color="auto" w:fill="D9E2F3" w:themeFill="accent1" w:themeFillTint="33"/>
            <w:noWrap/>
            <w:hideMark/>
          </w:tcPr>
          <w:p w14:paraId="76B85D95" w14:textId="77777777" w:rsidR="0033430F" w:rsidRPr="002F36CB" w:rsidRDefault="0033430F" w:rsidP="00BC3CD1">
            <w:pPr>
              <w:pStyle w:val="TableHeader2"/>
            </w:pPr>
          </w:p>
        </w:tc>
        <w:tc>
          <w:tcPr>
            <w:tcW w:w="1134" w:type="dxa"/>
            <w:shd w:val="clear" w:color="auto" w:fill="D9E2F3" w:themeFill="accent1" w:themeFillTint="33"/>
          </w:tcPr>
          <w:p w14:paraId="19EB141E" w14:textId="77777777" w:rsidR="0033430F" w:rsidRPr="002F36CB" w:rsidRDefault="0033430F" w:rsidP="00BC3CD1">
            <w:pPr>
              <w:pStyle w:val="TableHeader2"/>
            </w:pPr>
          </w:p>
        </w:tc>
      </w:tr>
      <w:tr w:rsidR="0033430F" w:rsidRPr="002F36CB" w14:paraId="52D8EFA3" w14:textId="77777777" w:rsidTr="0043740D">
        <w:trPr>
          <w:trHeight w:val="300"/>
          <w:jc w:val="center"/>
        </w:trPr>
        <w:tc>
          <w:tcPr>
            <w:tcW w:w="279" w:type="dxa"/>
            <w:noWrap/>
            <w:hideMark/>
          </w:tcPr>
          <w:p w14:paraId="53AC750F" w14:textId="77777777" w:rsidR="0033430F" w:rsidRPr="002F36CB" w:rsidRDefault="0033430F" w:rsidP="00BC3CD1">
            <w:pPr>
              <w:pStyle w:val="TableBody"/>
            </w:pPr>
          </w:p>
        </w:tc>
        <w:tc>
          <w:tcPr>
            <w:tcW w:w="3118" w:type="dxa"/>
            <w:noWrap/>
            <w:hideMark/>
          </w:tcPr>
          <w:p w14:paraId="1A13AD53" w14:textId="77777777" w:rsidR="0033430F" w:rsidRPr="002F36CB" w:rsidRDefault="0033430F" w:rsidP="00BC3CD1">
            <w:pPr>
              <w:pStyle w:val="TableRowIndent"/>
            </w:pPr>
            <w:r w:rsidRPr="002F36CB">
              <w:t>SEIFA Cat. 1 (most disadvantaged)</w:t>
            </w:r>
          </w:p>
        </w:tc>
        <w:tc>
          <w:tcPr>
            <w:tcW w:w="1418" w:type="dxa"/>
            <w:hideMark/>
          </w:tcPr>
          <w:p w14:paraId="7FECF9B4" w14:textId="77777777" w:rsidR="0033430F" w:rsidRPr="002F36CB" w:rsidRDefault="0033430F" w:rsidP="00BC3CD1">
            <w:pPr>
              <w:pStyle w:val="TableBody"/>
            </w:pPr>
            <w:r w:rsidRPr="002F36CB">
              <w:t>97 (70.8)</w:t>
            </w:r>
          </w:p>
        </w:tc>
        <w:tc>
          <w:tcPr>
            <w:tcW w:w="283" w:type="dxa"/>
            <w:noWrap/>
            <w:hideMark/>
          </w:tcPr>
          <w:p w14:paraId="41346334" w14:textId="77777777" w:rsidR="0033430F" w:rsidRPr="002F36CB" w:rsidRDefault="0033430F" w:rsidP="00BC3CD1">
            <w:pPr>
              <w:pStyle w:val="TableBody"/>
            </w:pPr>
          </w:p>
        </w:tc>
        <w:tc>
          <w:tcPr>
            <w:tcW w:w="1276" w:type="dxa"/>
            <w:hideMark/>
          </w:tcPr>
          <w:p w14:paraId="11CEA2A0" w14:textId="77777777" w:rsidR="0033430F" w:rsidRPr="002F36CB" w:rsidRDefault="0033430F" w:rsidP="00BC3CD1">
            <w:pPr>
              <w:pStyle w:val="TableBody"/>
            </w:pPr>
            <w:r w:rsidRPr="002F36CB">
              <w:t>40 (29.2)</w:t>
            </w:r>
          </w:p>
        </w:tc>
        <w:tc>
          <w:tcPr>
            <w:tcW w:w="1134" w:type="dxa"/>
          </w:tcPr>
          <w:p w14:paraId="3F419AB5" w14:textId="77777777" w:rsidR="0033430F" w:rsidRPr="002F36CB" w:rsidRDefault="0033430F" w:rsidP="00BC3CD1">
            <w:pPr>
              <w:pStyle w:val="TableBody"/>
            </w:pPr>
            <w:r w:rsidRPr="002F36CB">
              <w:t>137</w:t>
            </w:r>
          </w:p>
        </w:tc>
      </w:tr>
      <w:tr w:rsidR="0033430F" w:rsidRPr="002F36CB" w14:paraId="7E072C7B" w14:textId="77777777" w:rsidTr="0043740D">
        <w:trPr>
          <w:trHeight w:val="300"/>
          <w:jc w:val="center"/>
        </w:trPr>
        <w:tc>
          <w:tcPr>
            <w:tcW w:w="279" w:type="dxa"/>
            <w:noWrap/>
            <w:hideMark/>
          </w:tcPr>
          <w:p w14:paraId="676E30E8" w14:textId="77777777" w:rsidR="0033430F" w:rsidRPr="002F36CB" w:rsidRDefault="0033430F" w:rsidP="00BC3CD1">
            <w:pPr>
              <w:pStyle w:val="TableBody"/>
            </w:pPr>
          </w:p>
        </w:tc>
        <w:tc>
          <w:tcPr>
            <w:tcW w:w="3118" w:type="dxa"/>
            <w:noWrap/>
            <w:hideMark/>
          </w:tcPr>
          <w:p w14:paraId="09571551" w14:textId="77777777" w:rsidR="0033430F" w:rsidRPr="002F36CB" w:rsidRDefault="0033430F" w:rsidP="00BC3CD1">
            <w:pPr>
              <w:pStyle w:val="TableRowIndent"/>
            </w:pPr>
            <w:r w:rsidRPr="002F36CB">
              <w:t>SEIFA Cat. 2</w:t>
            </w:r>
          </w:p>
        </w:tc>
        <w:tc>
          <w:tcPr>
            <w:tcW w:w="1418" w:type="dxa"/>
            <w:hideMark/>
          </w:tcPr>
          <w:p w14:paraId="6CD98084" w14:textId="77777777" w:rsidR="0033430F" w:rsidRPr="002F36CB" w:rsidRDefault="0033430F" w:rsidP="00BC3CD1">
            <w:pPr>
              <w:pStyle w:val="TableBody"/>
            </w:pPr>
            <w:r w:rsidRPr="002F36CB">
              <w:t>61 (71.8)</w:t>
            </w:r>
          </w:p>
        </w:tc>
        <w:tc>
          <w:tcPr>
            <w:tcW w:w="283" w:type="dxa"/>
            <w:noWrap/>
            <w:hideMark/>
          </w:tcPr>
          <w:p w14:paraId="6F243BB7" w14:textId="77777777" w:rsidR="0033430F" w:rsidRPr="002F36CB" w:rsidRDefault="0033430F" w:rsidP="00BC3CD1">
            <w:pPr>
              <w:pStyle w:val="TableBody"/>
            </w:pPr>
          </w:p>
        </w:tc>
        <w:tc>
          <w:tcPr>
            <w:tcW w:w="1276" w:type="dxa"/>
            <w:hideMark/>
          </w:tcPr>
          <w:p w14:paraId="5C13CDBF" w14:textId="77777777" w:rsidR="0033430F" w:rsidRPr="002F36CB" w:rsidRDefault="0033430F" w:rsidP="00BC3CD1">
            <w:pPr>
              <w:pStyle w:val="TableBody"/>
            </w:pPr>
            <w:r w:rsidRPr="002F36CB">
              <w:t>24 (28.2)</w:t>
            </w:r>
          </w:p>
        </w:tc>
        <w:tc>
          <w:tcPr>
            <w:tcW w:w="1134" w:type="dxa"/>
          </w:tcPr>
          <w:p w14:paraId="7EC8F25F" w14:textId="77777777" w:rsidR="0033430F" w:rsidRPr="002F36CB" w:rsidRDefault="0033430F" w:rsidP="00BC3CD1">
            <w:pPr>
              <w:pStyle w:val="TableBody"/>
            </w:pPr>
            <w:r w:rsidRPr="002F36CB">
              <w:t>85</w:t>
            </w:r>
          </w:p>
        </w:tc>
      </w:tr>
      <w:tr w:rsidR="0033430F" w:rsidRPr="002F36CB" w14:paraId="72B6F0C5" w14:textId="77777777" w:rsidTr="0043740D">
        <w:trPr>
          <w:trHeight w:val="300"/>
          <w:jc w:val="center"/>
        </w:trPr>
        <w:tc>
          <w:tcPr>
            <w:tcW w:w="279" w:type="dxa"/>
            <w:noWrap/>
            <w:hideMark/>
          </w:tcPr>
          <w:p w14:paraId="74426231" w14:textId="77777777" w:rsidR="0033430F" w:rsidRPr="002F36CB" w:rsidRDefault="0033430F" w:rsidP="00BC3CD1">
            <w:pPr>
              <w:pStyle w:val="TableBody"/>
            </w:pPr>
          </w:p>
        </w:tc>
        <w:tc>
          <w:tcPr>
            <w:tcW w:w="3118" w:type="dxa"/>
            <w:noWrap/>
            <w:hideMark/>
          </w:tcPr>
          <w:p w14:paraId="31BDE737" w14:textId="77777777" w:rsidR="0033430F" w:rsidRPr="002F36CB" w:rsidRDefault="0033430F" w:rsidP="00BC3CD1">
            <w:pPr>
              <w:pStyle w:val="TableRowIndent"/>
            </w:pPr>
            <w:r w:rsidRPr="002F36CB">
              <w:t>SEIFA Cat. 3</w:t>
            </w:r>
          </w:p>
        </w:tc>
        <w:tc>
          <w:tcPr>
            <w:tcW w:w="1418" w:type="dxa"/>
            <w:hideMark/>
          </w:tcPr>
          <w:p w14:paraId="5D5BF4BB" w14:textId="77777777" w:rsidR="0033430F" w:rsidRPr="002F36CB" w:rsidRDefault="0033430F" w:rsidP="00BC3CD1">
            <w:pPr>
              <w:pStyle w:val="TableBody"/>
            </w:pPr>
            <w:r w:rsidRPr="002F36CB">
              <w:t>129 (83.8)</w:t>
            </w:r>
          </w:p>
        </w:tc>
        <w:tc>
          <w:tcPr>
            <w:tcW w:w="283" w:type="dxa"/>
            <w:noWrap/>
            <w:hideMark/>
          </w:tcPr>
          <w:p w14:paraId="2BC89C47" w14:textId="77777777" w:rsidR="0033430F" w:rsidRPr="002F36CB" w:rsidRDefault="0033430F" w:rsidP="00BC3CD1">
            <w:pPr>
              <w:pStyle w:val="TableBody"/>
            </w:pPr>
          </w:p>
        </w:tc>
        <w:tc>
          <w:tcPr>
            <w:tcW w:w="1276" w:type="dxa"/>
            <w:hideMark/>
          </w:tcPr>
          <w:p w14:paraId="4A200A50" w14:textId="77777777" w:rsidR="0033430F" w:rsidRPr="002F36CB" w:rsidRDefault="0033430F" w:rsidP="00BC3CD1">
            <w:pPr>
              <w:pStyle w:val="TableBody"/>
            </w:pPr>
            <w:r w:rsidRPr="002F36CB">
              <w:t>25 (16.2)</w:t>
            </w:r>
          </w:p>
        </w:tc>
        <w:tc>
          <w:tcPr>
            <w:tcW w:w="1134" w:type="dxa"/>
          </w:tcPr>
          <w:p w14:paraId="4A387395" w14:textId="77777777" w:rsidR="0033430F" w:rsidRPr="002F36CB" w:rsidRDefault="0033430F" w:rsidP="00BC3CD1">
            <w:pPr>
              <w:pStyle w:val="TableBody"/>
            </w:pPr>
            <w:r w:rsidRPr="002F36CB">
              <w:t>154</w:t>
            </w:r>
          </w:p>
        </w:tc>
      </w:tr>
      <w:tr w:rsidR="0033430F" w:rsidRPr="002F36CB" w14:paraId="1BD6A771" w14:textId="77777777" w:rsidTr="0043740D">
        <w:trPr>
          <w:trHeight w:val="300"/>
          <w:jc w:val="center"/>
        </w:trPr>
        <w:tc>
          <w:tcPr>
            <w:tcW w:w="279" w:type="dxa"/>
            <w:noWrap/>
            <w:hideMark/>
          </w:tcPr>
          <w:p w14:paraId="6F3FA701" w14:textId="77777777" w:rsidR="0033430F" w:rsidRPr="002F36CB" w:rsidRDefault="0033430F" w:rsidP="00BC3CD1">
            <w:pPr>
              <w:pStyle w:val="TableBody"/>
            </w:pPr>
          </w:p>
        </w:tc>
        <w:tc>
          <w:tcPr>
            <w:tcW w:w="3118" w:type="dxa"/>
            <w:noWrap/>
            <w:hideMark/>
          </w:tcPr>
          <w:p w14:paraId="77F6D1DD" w14:textId="77777777" w:rsidR="0033430F" w:rsidRPr="002F36CB" w:rsidRDefault="0033430F" w:rsidP="00BC3CD1">
            <w:pPr>
              <w:pStyle w:val="TableRowIndent"/>
            </w:pPr>
            <w:r w:rsidRPr="002F36CB">
              <w:t>SEIFA Cat. 4</w:t>
            </w:r>
          </w:p>
        </w:tc>
        <w:tc>
          <w:tcPr>
            <w:tcW w:w="1418" w:type="dxa"/>
            <w:hideMark/>
          </w:tcPr>
          <w:p w14:paraId="52DDF8E8" w14:textId="77777777" w:rsidR="0033430F" w:rsidRPr="002F36CB" w:rsidRDefault="0033430F" w:rsidP="00BC3CD1">
            <w:pPr>
              <w:pStyle w:val="TableBody"/>
            </w:pPr>
            <w:r w:rsidRPr="002F36CB">
              <w:t>237 (85.3)</w:t>
            </w:r>
          </w:p>
        </w:tc>
        <w:tc>
          <w:tcPr>
            <w:tcW w:w="283" w:type="dxa"/>
            <w:noWrap/>
            <w:hideMark/>
          </w:tcPr>
          <w:p w14:paraId="28A2AC3B" w14:textId="77777777" w:rsidR="0033430F" w:rsidRPr="002F36CB" w:rsidRDefault="0033430F" w:rsidP="00BC3CD1">
            <w:pPr>
              <w:pStyle w:val="TableBody"/>
            </w:pPr>
          </w:p>
        </w:tc>
        <w:tc>
          <w:tcPr>
            <w:tcW w:w="1276" w:type="dxa"/>
            <w:hideMark/>
          </w:tcPr>
          <w:p w14:paraId="03B62602" w14:textId="77777777" w:rsidR="0033430F" w:rsidRPr="002F36CB" w:rsidRDefault="0033430F" w:rsidP="00BC3CD1">
            <w:pPr>
              <w:pStyle w:val="TableBody"/>
            </w:pPr>
            <w:r w:rsidRPr="002F36CB">
              <w:t>41 (14.8)</w:t>
            </w:r>
          </w:p>
        </w:tc>
        <w:tc>
          <w:tcPr>
            <w:tcW w:w="1134" w:type="dxa"/>
          </w:tcPr>
          <w:p w14:paraId="7DDCD4A5" w14:textId="77777777" w:rsidR="0033430F" w:rsidRPr="002F36CB" w:rsidRDefault="0033430F" w:rsidP="00BC3CD1">
            <w:pPr>
              <w:pStyle w:val="TableBody"/>
            </w:pPr>
            <w:r w:rsidRPr="002F36CB">
              <w:t>278</w:t>
            </w:r>
          </w:p>
        </w:tc>
      </w:tr>
      <w:tr w:rsidR="0033430F" w:rsidRPr="002F36CB" w14:paraId="0F2D85BE" w14:textId="77777777" w:rsidTr="0043740D">
        <w:trPr>
          <w:trHeight w:val="300"/>
          <w:jc w:val="center"/>
        </w:trPr>
        <w:tc>
          <w:tcPr>
            <w:tcW w:w="279" w:type="dxa"/>
            <w:noWrap/>
            <w:hideMark/>
          </w:tcPr>
          <w:p w14:paraId="14E26A4D" w14:textId="77777777" w:rsidR="0033430F" w:rsidRPr="002F36CB" w:rsidRDefault="0033430F" w:rsidP="00BC3CD1">
            <w:pPr>
              <w:pStyle w:val="TableBody"/>
            </w:pPr>
          </w:p>
        </w:tc>
        <w:tc>
          <w:tcPr>
            <w:tcW w:w="3118" w:type="dxa"/>
            <w:noWrap/>
            <w:hideMark/>
          </w:tcPr>
          <w:p w14:paraId="4D14D40E" w14:textId="77777777" w:rsidR="0033430F" w:rsidRPr="002F36CB" w:rsidRDefault="0033430F" w:rsidP="00BC3CD1">
            <w:pPr>
              <w:pStyle w:val="TableRowIndent"/>
            </w:pPr>
            <w:r w:rsidRPr="002F36CB">
              <w:t>SEIFA Cat. 5 (most advantaged)</w:t>
            </w:r>
          </w:p>
        </w:tc>
        <w:tc>
          <w:tcPr>
            <w:tcW w:w="1418" w:type="dxa"/>
            <w:hideMark/>
          </w:tcPr>
          <w:p w14:paraId="3317ECE3" w14:textId="77777777" w:rsidR="0033430F" w:rsidRPr="002F36CB" w:rsidRDefault="0033430F" w:rsidP="00BC3CD1">
            <w:pPr>
              <w:pStyle w:val="TableBody"/>
            </w:pPr>
            <w:r w:rsidRPr="002F36CB">
              <w:t>334 (86.1)</w:t>
            </w:r>
          </w:p>
        </w:tc>
        <w:tc>
          <w:tcPr>
            <w:tcW w:w="283" w:type="dxa"/>
            <w:noWrap/>
            <w:hideMark/>
          </w:tcPr>
          <w:p w14:paraId="37E7851A" w14:textId="77777777" w:rsidR="0033430F" w:rsidRPr="002F36CB" w:rsidRDefault="0033430F" w:rsidP="00BC3CD1">
            <w:pPr>
              <w:pStyle w:val="TableBody"/>
            </w:pPr>
          </w:p>
        </w:tc>
        <w:tc>
          <w:tcPr>
            <w:tcW w:w="1276" w:type="dxa"/>
            <w:hideMark/>
          </w:tcPr>
          <w:p w14:paraId="47E9F89B" w14:textId="77777777" w:rsidR="0033430F" w:rsidRPr="002F36CB" w:rsidRDefault="0033430F" w:rsidP="00BC3CD1">
            <w:pPr>
              <w:pStyle w:val="TableBody"/>
            </w:pPr>
            <w:r w:rsidRPr="002F36CB">
              <w:t>54 (13.9)</w:t>
            </w:r>
          </w:p>
        </w:tc>
        <w:tc>
          <w:tcPr>
            <w:tcW w:w="1134" w:type="dxa"/>
          </w:tcPr>
          <w:p w14:paraId="75F33B0E" w14:textId="77777777" w:rsidR="0033430F" w:rsidRPr="002F36CB" w:rsidRDefault="0033430F" w:rsidP="00BC3CD1">
            <w:pPr>
              <w:pStyle w:val="TableBody"/>
            </w:pPr>
            <w:r w:rsidRPr="002F36CB">
              <w:t>388</w:t>
            </w:r>
          </w:p>
        </w:tc>
      </w:tr>
      <w:tr w:rsidR="0033430F" w:rsidRPr="002F36CB" w14:paraId="0447CE08" w14:textId="77777777" w:rsidTr="0043740D">
        <w:trPr>
          <w:trHeight w:val="300"/>
          <w:jc w:val="center"/>
        </w:trPr>
        <w:tc>
          <w:tcPr>
            <w:tcW w:w="279" w:type="dxa"/>
            <w:noWrap/>
          </w:tcPr>
          <w:p w14:paraId="60709506" w14:textId="77777777" w:rsidR="0033430F" w:rsidRPr="002F36CB" w:rsidRDefault="0033430F" w:rsidP="00BC3CD1">
            <w:pPr>
              <w:pStyle w:val="TableBody"/>
            </w:pPr>
          </w:p>
        </w:tc>
        <w:tc>
          <w:tcPr>
            <w:tcW w:w="3118" w:type="dxa"/>
            <w:noWrap/>
          </w:tcPr>
          <w:p w14:paraId="5A120090" w14:textId="77777777" w:rsidR="0033430F" w:rsidRPr="002F36CB" w:rsidRDefault="0033430F" w:rsidP="00BC3CD1">
            <w:pPr>
              <w:pStyle w:val="TableRowIndent"/>
            </w:pPr>
            <w:r w:rsidRPr="002F36CB">
              <w:t>Total</w:t>
            </w:r>
          </w:p>
        </w:tc>
        <w:tc>
          <w:tcPr>
            <w:tcW w:w="1418" w:type="dxa"/>
          </w:tcPr>
          <w:p w14:paraId="7FAC780A" w14:textId="77777777" w:rsidR="0033430F" w:rsidRPr="002F36CB" w:rsidRDefault="0033430F" w:rsidP="00BC3CD1">
            <w:pPr>
              <w:pStyle w:val="TableBody"/>
            </w:pPr>
            <w:r w:rsidRPr="002F36CB">
              <w:t>858 (82.3)</w:t>
            </w:r>
          </w:p>
        </w:tc>
        <w:tc>
          <w:tcPr>
            <w:tcW w:w="283" w:type="dxa"/>
            <w:noWrap/>
          </w:tcPr>
          <w:p w14:paraId="16860EC6" w14:textId="77777777" w:rsidR="0033430F" w:rsidRPr="002F36CB" w:rsidRDefault="0033430F" w:rsidP="00BC3CD1">
            <w:pPr>
              <w:pStyle w:val="TableBody"/>
            </w:pPr>
          </w:p>
        </w:tc>
        <w:tc>
          <w:tcPr>
            <w:tcW w:w="1276" w:type="dxa"/>
          </w:tcPr>
          <w:p w14:paraId="2FF16E37" w14:textId="77777777" w:rsidR="0033430F" w:rsidRPr="002F36CB" w:rsidRDefault="0033430F" w:rsidP="00BC3CD1">
            <w:pPr>
              <w:pStyle w:val="TableBody"/>
            </w:pPr>
            <w:r w:rsidRPr="002F36CB">
              <w:t>184 (17.7)</w:t>
            </w:r>
          </w:p>
        </w:tc>
        <w:tc>
          <w:tcPr>
            <w:tcW w:w="1134" w:type="dxa"/>
          </w:tcPr>
          <w:p w14:paraId="5C1DF4DE" w14:textId="77777777" w:rsidR="0033430F" w:rsidRPr="002F36CB" w:rsidRDefault="0033430F" w:rsidP="00BC3CD1">
            <w:pPr>
              <w:pStyle w:val="TableBody"/>
            </w:pPr>
            <w:r w:rsidRPr="002F36CB">
              <w:t>1,042</w:t>
            </w:r>
          </w:p>
        </w:tc>
      </w:tr>
    </w:tbl>
    <w:p w14:paraId="59AE1996" w14:textId="77777777" w:rsidR="002F36CB" w:rsidRDefault="002F36CB" w:rsidP="005265DE">
      <w:pPr>
        <w:spacing w:after="0"/>
      </w:pPr>
    </w:p>
    <w:p w14:paraId="723BAE00" w14:textId="730EC6EF" w:rsidR="0033430F" w:rsidRPr="007746B4" w:rsidRDefault="0043740D" w:rsidP="00041DAB">
      <w:pPr>
        <w:spacing w:after="0"/>
      </w:pPr>
      <w:r w:rsidRPr="00057A30">
        <w:fldChar w:fldCharType="begin"/>
      </w:r>
      <w:r w:rsidRPr="007746B4">
        <w:instrText xml:space="preserve"> REF _Ref501028814 \h </w:instrText>
      </w:r>
      <w:r w:rsidR="007746B4">
        <w:instrText xml:space="preserve"> \* MERGEFORMAT </w:instrText>
      </w:r>
      <w:r w:rsidRPr="00057A30">
        <w:fldChar w:fldCharType="separate"/>
      </w:r>
      <w:r w:rsidR="004C27B3" w:rsidRPr="007746B4">
        <w:t xml:space="preserve">Table </w:t>
      </w:r>
      <w:r w:rsidR="004C27B3">
        <w:rPr>
          <w:noProof/>
        </w:rPr>
        <w:t>20</w:t>
      </w:r>
      <w:r w:rsidRPr="00057A30">
        <w:fldChar w:fldCharType="end"/>
      </w:r>
      <w:r w:rsidRPr="007746B4">
        <w:t xml:space="preserve"> </w:t>
      </w:r>
      <w:r w:rsidR="0033430F" w:rsidRPr="007746B4">
        <w:t xml:space="preserve">shows that a substantially greater proportion of </w:t>
      </w:r>
      <w:r w:rsidR="005C0169" w:rsidRPr="007746B4">
        <w:t>boys</w:t>
      </w:r>
      <w:r w:rsidR="0033430F" w:rsidRPr="007746B4">
        <w:t xml:space="preserve"> were developmentally vulnerable than </w:t>
      </w:r>
      <w:r w:rsidR="005C0169" w:rsidRPr="007746B4">
        <w:t>girls</w:t>
      </w:r>
      <w:r w:rsidR="0033430F" w:rsidRPr="007746B4">
        <w:t xml:space="preserve"> (23.6% versus 12.8%, p&lt;0.001).</w:t>
      </w:r>
    </w:p>
    <w:p w14:paraId="7B149CB6" w14:textId="77777777" w:rsidR="00041DAB" w:rsidRPr="007746B4" w:rsidRDefault="00041DAB" w:rsidP="00041DAB">
      <w:pPr>
        <w:spacing w:after="0"/>
      </w:pPr>
    </w:p>
    <w:p w14:paraId="768F3A18" w14:textId="5506D323" w:rsidR="0033430F" w:rsidRDefault="0033430F" w:rsidP="00041DAB">
      <w:pPr>
        <w:spacing w:after="0"/>
      </w:pPr>
      <w:r w:rsidRPr="007746B4">
        <w:t>Participants of ATSI background had a slightly higher proportion of developmentally vulnerability participants than non-ATSI participants (17.5% versus 14.6%) although no statistical evidence of a difference was observed (p=0.60).</w:t>
      </w:r>
    </w:p>
    <w:p w14:paraId="132C7807" w14:textId="77777777" w:rsidR="00041DAB" w:rsidRDefault="00041DAB" w:rsidP="00041DAB">
      <w:pPr>
        <w:spacing w:after="0"/>
      </w:pPr>
    </w:p>
    <w:p w14:paraId="6FB4B3E9" w14:textId="7487AA23" w:rsidR="0033430F" w:rsidRDefault="0033430F" w:rsidP="00041DAB">
      <w:pPr>
        <w:spacing w:after="0"/>
      </w:pPr>
      <w:r>
        <w:t>Almost a third of participants who speak no English at home were developmentally vulnerable. This proportion was greater than for participants who speak English and another language at home and was again greater than those</w:t>
      </w:r>
      <w:r w:rsidR="00457C85">
        <w:t xml:space="preserve"> who only speak English at home</w:t>
      </w:r>
      <w:r>
        <w:t>.</w:t>
      </w:r>
    </w:p>
    <w:p w14:paraId="0266E1F7" w14:textId="409DB112" w:rsidR="0033430F" w:rsidRPr="007746B4" w:rsidRDefault="0033430F" w:rsidP="00041DAB">
      <w:pPr>
        <w:spacing w:after="0"/>
      </w:pPr>
      <w:r>
        <w:t xml:space="preserve">Differences according to SES as categorised by the </w:t>
      </w:r>
      <w:r w:rsidRPr="00A90B37">
        <w:t>Socio-Economic Indexes for Areas</w:t>
      </w:r>
      <w:r>
        <w:t xml:space="preserve"> (SEIFA) were </w:t>
      </w:r>
      <w:r w:rsidRPr="007746B4">
        <w:t>apparent with participants in areas with most socio</w:t>
      </w:r>
      <w:r w:rsidR="00C27E99" w:rsidRPr="007746B4">
        <w:t>-</w:t>
      </w:r>
      <w:r w:rsidRPr="007746B4">
        <w:t>economic disadvantage having the greatest proportion of developmentally vulnerable students. The proportion of vulnerable participants decreased with each SEIFA category up to the most advantaged (SEIFA category 5). The proportion of developmentally vulnerable participants in the most advantaged areas was less than half that of participants in the most disadvantaged areas (17.7% vers</w:t>
      </w:r>
      <w:r w:rsidR="00457C85" w:rsidRPr="007746B4">
        <w:t>us 29.2%)</w:t>
      </w:r>
      <w:r w:rsidRPr="007746B4">
        <w:t>.</w:t>
      </w:r>
    </w:p>
    <w:p w14:paraId="2C055F37" w14:textId="77777777" w:rsidR="00041DAB" w:rsidRPr="007746B4" w:rsidRDefault="00041DAB" w:rsidP="00041DAB">
      <w:pPr>
        <w:spacing w:after="0"/>
      </w:pPr>
    </w:p>
    <w:p w14:paraId="3FF77EFF" w14:textId="3972F8DE" w:rsidR="0033430F" w:rsidRDefault="0033430F" w:rsidP="0031784D">
      <w:pPr>
        <w:spacing w:after="0"/>
      </w:pPr>
      <w:r w:rsidRPr="007746B4">
        <w:t>Patterns of vulnerability across all demographic groups were generally comparable to those seen</w:t>
      </w:r>
      <w:r>
        <w:t xml:space="preserve"> nationally </w:t>
      </w:r>
      <w:r w:rsidR="00B22107">
        <w:fldChar w:fldCharType="begin"/>
      </w:r>
      <w:r w:rsidR="00B22107">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fldChar w:fldCharType="separate"/>
      </w:r>
      <w:r w:rsidR="00B22107">
        <w:rPr>
          <w:noProof/>
        </w:rPr>
        <w:t>[2]</w:t>
      </w:r>
      <w:r w:rsidR="00B22107">
        <w:fldChar w:fldCharType="end"/>
      </w:r>
      <w:r>
        <w:t>.</w:t>
      </w:r>
      <w:r w:rsidRPr="00267BEC">
        <w:t xml:space="preserve"> </w:t>
      </w:r>
      <w:r>
        <w:t xml:space="preserve">The difference in proportional vulnerability between ATSI and non-ATSI participants in the CATS cohort was substantially smaller than the national cohort but it is difficult to draw conclusions about this observation due to the relatively low numbers of ATSI participants in the CATS sample. Language spoken at home was not directly comparable with national data as the AEDC only reports child language background and proficiency. However, the pattern was consistent in that participants who spoke English only had proportionally lower vulnerability than other groups </w:t>
      </w:r>
      <w:r w:rsidR="00B22107">
        <w:fldChar w:fldCharType="begin"/>
      </w:r>
      <w:r w:rsidR="00B22107">
        <w:instrText xml:space="preserve"> ADDIN EN.CITE &lt;EndNote&gt;&lt;Cite&gt;&lt;Author&gt;Australian Department of Education and Training&lt;/Author&gt;&lt;Year&gt;2016&lt;/Year&gt;&lt;RecNum&gt;1284&lt;/RecNum&gt;&lt;DisplayText&gt;[2]&lt;/DisplayText&gt;&lt;record&gt;&lt;rec-number&gt;1284&lt;/rec-number&gt;&lt;foreign-keys&gt;&lt;key app="EN" db-id="fztfxtw2kew9raetd235rfx625vrvpf9e0df" timestamp="1513905718"&gt;1284&lt;/key&gt;&lt;key app="ENWeb" db-id=""&gt;0&lt;/key&gt;&lt;/foreign-keys&gt;&lt;ref-type name="Report"&gt;27&lt;/ref-type&gt;&lt;contributors&gt;&lt;authors&gt;&lt;author&gt;Australian Department of Education and Training,&lt;/author&gt;&lt;/authors&gt;&lt;subsidiary-authors&gt;&lt;author&gt;Department of Education and Training &lt;/author&gt;&lt;/subsidiary-authors&gt;&lt;/contributors&gt;&lt;titles&gt;&lt;title&gt;Australian Early Development Census National Report 2015&lt;/title&gt;&lt;/titles&gt;&lt;dates&gt;&lt;year&gt;2016&lt;/year&gt;&lt;/dates&gt;&lt;urls&gt;&lt;/urls&gt;&lt;/record&gt;&lt;/Cite&gt;&lt;/EndNote&gt;</w:instrText>
      </w:r>
      <w:r w:rsidR="00B22107">
        <w:fldChar w:fldCharType="separate"/>
      </w:r>
      <w:r w:rsidR="00B22107">
        <w:rPr>
          <w:noProof/>
        </w:rPr>
        <w:t>[2]</w:t>
      </w:r>
      <w:r w:rsidR="00B22107">
        <w:fldChar w:fldCharType="end"/>
      </w:r>
      <w:r>
        <w:t>.</w:t>
      </w:r>
      <w:r w:rsidRPr="00605B0A">
        <w:t xml:space="preserve"> </w:t>
      </w:r>
      <w:r>
        <w:t>Victorian data were unavailable for comparison across demographic groups.</w:t>
      </w:r>
    </w:p>
    <w:p w14:paraId="349F948A" w14:textId="77777777" w:rsidR="0031784D" w:rsidRDefault="0031784D" w:rsidP="0031784D">
      <w:pPr>
        <w:spacing w:after="0"/>
      </w:pPr>
    </w:p>
    <w:p w14:paraId="600ABF79" w14:textId="21480C21" w:rsidR="00825DFD" w:rsidRPr="00825DFD" w:rsidRDefault="0033430F" w:rsidP="005265DE">
      <w:pPr>
        <w:pStyle w:val="Heading2"/>
        <w:spacing w:before="0"/>
      </w:pPr>
      <w:bookmarkStart w:id="174" w:name="_Toc501120768"/>
      <w:r w:rsidRPr="00810D47">
        <w:t>SECTION 4. Correlations between domains</w:t>
      </w:r>
      <w:bookmarkEnd w:id="174"/>
    </w:p>
    <w:p w14:paraId="1D6F99D5" w14:textId="61E94D6B" w:rsidR="00F274B3" w:rsidRDefault="00F274B3" w:rsidP="0031784D">
      <w:pPr>
        <w:pStyle w:val="Caption"/>
        <w:spacing w:before="0"/>
      </w:pPr>
      <w:bookmarkStart w:id="175" w:name="_Ref501028853"/>
      <w:bookmarkStart w:id="176" w:name="_Toc503780761"/>
      <w:r>
        <w:t xml:space="preserve">Table </w:t>
      </w:r>
      <w:r>
        <w:fldChar w:fldCharType="begin"/>
      </w:r>
      <w:r>
        <w:instrText xml:space="preserve"> SEQ Table \* ARABIC </w:instrText>
      </w:r>
      <w:r>
        <w:fldChar w:fldCharType="separate"/>
      </w:r>
      <w:r w:rsidR="004C27B3">
        <w:rPr>
          <w:noProof/>
        </w:rPr>
        <w:t>21</w:t>
      </w:r>
      <w:r>
        <w:fldChar w:fldCharType="end"/>
      </w:r>
      <w:bookmarkEnd w:id="175"/>
      <w:r>
        <w:t xml:space="preserve">. </w:t>
      </w:r>
      <w:r w:rsidRPr="00656950">
        <w:t>Spearman correlations between AEDC domains</w:t>
      </w:r>
      <w:r>
        <w:t>.</w:t>
      </w:r>
      <w:bookmarkEnd w:id="176"/>
    </w:p>
    <w:tbl>
      <w:tblPr>
        <w:tblStyle w:val="LightList-Accent11"/>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 21. Spearman correlations between AEDC domains"/>
      </w:tblPr>
      <w:tblGrid>
        <w:gridCol w:w="2835"/>
        <w:gridCol w:w="1134"/>
        <w:gridCol w:w="1134"/>
        <w:gridCol w:w="1134"/>
        <w:gridCol w:w="1134"/>
        <w:gridCol w:w="1134"/>
      </w:tblGrid>
      <w:tr w:rsidR="0033430F" w14:paraId="2D1F0FF8" w14:textId="77777777" w:rsidTr="00F274B3">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0070C0"/>
          </w:tcPr>
          <w:p w14:paraId="7B25A288" w14:textId="77777777" w:rsidR="0033430F" w:rsidRDefault="0033430F" w:rsidP="00F274B3">
            <w:pPr>
              <w:pStyle w:val="TableHeader1"/>
            </w:pPr>
          </w:p>
        </w:tc>
        <w:tc>
          <w:tcPr>
            <w:tcW w:w="1134" w:type="dxa"/>
            <w:shd w:val="clear" w:color="auto" w:fill="0070C0"/>
          </w:tcPr>
          <w:p w14:paraId="6DD946D8" w14:textId="77777777" w:rsidR="0033430F" w:rsidRDefault="0033430F" w:rsidP="00BC3CD1">
            <w:pPr>
              <w:pStyle w:val="TableHeader2"/>
              <w:cnfStyle w:val="100000000000" w:firstRow="1" w:lastRow="0" w:firstColumn="0" w:lastColumn="0" w:oddVBand="0" w:evenVBand="0" w:oddHBand="0" w:evenHBand="0" w:firstRowFirstColumn="0" w:firstRowLastColumn="0" w:lastRowFirstColumn="0" w:lastRowLastColumn="0"/>
            </w:pPr>
            <w:r>
              <w:t>Physical</w:t>
            </w:r>
          </w:p>
        </w:tc>
        <w:tc>
          <w:tcPr>
            <w:tcW w:w="1134" w:type="dxa"/>
            <w:shd w:val="clear" w:color="auto" w:fill="0070C0"/>
          </w:tcPr>
          <w:p w14:paraId="437FCE05" w14:textId="77777777" w:rsidR="0033430F" w:rsidRDefault="0033430F" w:rsidP="00BC3CD1">
            <w:pPr>
              <w:pStyle w:val="TableHeader2"/>
              <w:cnfStyle w:val="100000000000" w:firstRow="1" w:lastRow="0" w:firstColumn="0" w:lastColumn="0" w:oddVBand="0" w:evenVBand="0" w:oddHBand="0" w:evenHBand="0" w:firstRowFirstColumn="0" w:firstRowLastColumn="0" w:lastRowFirstColumn="0" w:lastRowLastColumn="0"/>
            </w:pPr>
            <w:r>
              <w:t>Social</w:t>
            </w:r>
          </w:p>
        </w:tc>
        <w:tc>
          <w:tcPr>
            <w:tcW w:w="1134" w:type="dxa"/>
            <w:shd w:val="clear" w:color="auto" w:fill="0070C0"/>
          </w:tcPr>
          <w:p w14:paraId="190F71E8" w14:textId="77777777" w:rsidR="0033430F" w:rsidRDefault="0033430F" w:rsidP="00BC3CD1">
            <w:pPr>
              <w:pStyle w:val="TableHeader2"/>
              <w:cnfStyle w:val="100000000000" w:firstRow="1" w:lastRow="0" w:firstColumn="0" w:lastColumn="0" w:oddVBand="0" w:evenVBand="0" w:oddHBand="0" w:evenHBand="0" w:firstRowFirstColumn="0" w:firstRowLastColumn="0" w:lastRowFirstColumn="0" w:lastRowLastColumn="0"/>
            </w:pPr>
            <w:r>
              <w:t>Emotional</w:t>
            </w:r>
          </w:p>
        </w:tc>
        <w:tc>
          <w:tcPr>
            <w:tcW w:w="1134" w:type="dxa"/>
            <w:shd w:val="clear" w:color="auto" w:fill="0070C0"/>
          </w:tcPr>
          <w:p w14:paraId="00918DD4" w14:textId="77777777" w:rsidR="0033430F" w:rsidRDefault="0033430F" w:rsidP="00BC3CD1">
            <w:pPr>
              <w:pStyle w:val="TableHeader2"/>
              <w:cnfStyle w:val="100000000000" w:firstRow="1" w:lastRow="0" w:firstColumn="0" w:lastColumn="0" w:oddVBand="0" w:evenVBand="0" w:oddHBand="0" w:evenHBand="0" w:firstRowFirstColumn="0" w:firstRowLastColumn="0" w:lastRowFirstColumn="0" w:lastRowLastColumn="0"/>
            </w:pPr>
            <w:r>
              <w:t>Language</w:t>
            </w:r>
          </w:p>
        </w:tc>
        <w:tc>
          <w:tcPr>
            <w:tcW w:w="1134" w:type="dxa"/>
            <w:shd w:val="clear" w:color="auto" w:fill="0070C0"/>
          </w:tcPr>
          <w:p w14:paraId="6AFAA87F" w14:textId="77777777" w:rsidR="0033430F" w:rsidRDefault="0033430F" w:rsidP="00BC3CD1">
            <w:pPr>
              <w:pStyle w:val="TableHeader2"/>
              <w:cnfStyle w:val="100000000000" w:firstRow="1" w:lastRow="0" w:firstColumn="0" w:lastColumn="0" w:oddVBand="0" w:evenVBand="0" w:oddHBand="0" w:evenHBand="0" w:firstRowFirstColumn="0" w:firstRowLastColumn="0" w:lastRowFirstColumn="0" w:lastRowLastColumn="0"/>
            </w:pPr>
            <w:r>
              <w:t>Comm.</w:t>
            </w:r>
          </w:p>
        </w:tc>
      </w:tr>
      <w:tr w:rsidR="0033430F" w14:paraId="5480E4EA" w14:textId="77777777" w:rsidTr="00F274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tcPr>
          <w:p w14:paraId="1BB45777" w14:textId="77777777" w:rsidR="0033430F" w:rsidRPr="00F274B3" w:rsidRDefault="0033430F" w:rsidP="00BC3CD1">
            <w:pPr>
              <w:pStyle w:val="TableHeader2"/>
            </w:pPr>
            <w:r w:rsidRPr="00F274B3">
              <w:t>Physical health and wellbeing</w:t>
            </w:r>
          </w:p>
        </w:tc>
        <w:tc>
          <w:tcPr>
            <w:tcW w:w="1134" w:type="dxa"/>
            <w:tcBorders>
              <w:top w:val="none" w:sz="0" w:space="0" w:color="auto"/>
              <w:bottom w:val="none" w:sz="0" w:space="0" w:color="auto"/>
            </w:tcBorders>
          </w:tcPr>
          <w:p w14:paraId="708C36CF"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1.0</w:t>
            </w:r>
          </w:p>
        </w:tc>
        <w:tc>
          <w:tcPr>
            <w:tcW w:w="1134" w:type="dxa"/>
            <w:tcBorders>
              <w:top w:val="none" w:sz="0" w:space="0" w:color="auto"/>
              <w:bottom w:val="none" w:sz="0" w:space="0" w:color="auto"/>
            </w:tcBorders>
          </w:tcPr>
          <w:p w14:paraId="4E1FA772"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c>
          <w:tcPr>
            <w:tcW w:w="1134" w:type="dxa"/>
            <w:tcBorders>
              <w:top w:val="none" w:sz="0" w:space="0" w:color="auto"/>
              <w:bottom w:val="none" w:sz="0" w:space="0" w:color="auto"/>
            </w:tcBorders>
          </w:tcPr>
          <w:p w14:paraId="2F67B12F"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c>
          <w:tcPr>
            <w:tcW w:w="1134" w:type="dxa"/>
            <w:tcBorders>
              <w:top w:val="none" w:sz="0" w:space="0" w:color="auto"/>
              <w:bottom w:val="none" w:sz="0" w:space="0" w:color="auto"/>
            </w:tcBorders>
          </w:tcPr>
          <w:p w14:paraId="380519B6"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c>
          <w:tcPr>
            <w:tcW w:w="1134" w:type="dxa"/>
            <w:tcBorders>
              <w:top w:val="none" w:sz="0" w:space="0" w:color="auto"/>
              <w:bottom w:val="none" w:sz="0" w:space="0" w:color="auto"/>
              <w:right w:val="none" w:sz="0" w:space="0" w:color="auto"/>
            </w:tcBorders>
          </w:tcPr>
          <w:p w14:paraId="36B83974"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r>
      <w:tr w:rsidR="0033430F" w14:paraId="0E888640" w14:textId="77777777" w:rsidTr="00F274B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6FDAD3AD" w14:textId="77777777" w:rsidR="0033430F" w:rsidRPr="00F274B3" w:rsidRDefault="0033430F" w:rsidP="00BC3CD1">
            <w:pPr>
              <w:pStyle w:val="TableHeader2"/>
            </w:pPr>
            <w:r w:rsidRPr="00F274B3">
              <w:t>Social competence</w:t>
            </w:r>
          </w:p>
        </w:tc>
        <w:tc>
          <w:tcPr>
            <w:tcW w:w="1134" w:type="dxa"/>
          </w:tcPr>
          <w:p w14:paraId="38F7788D"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0.60</w:t>
            </w:r>
          </w:p>
        </w:tc>
        <w:tc>
          <w:tcPr>
            <w:tcW w:w="1134" w:type="dxa"/>
          </w:tcPr>
          <w:p w14:paraId="08D897DC"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1.0</w:t>
            </w:r>
          </w:p>
        </w:tc>
        <w:tc>
          <w:tcPr>
            <w:tcW w:w="1134" w:type="dxa"/>
          </w:tcPr>
          <w:p w14:paraId="78469634"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p>
        </w:tc>
        <w:tc>
          <w:tcPr>
            <w:tcW w:w="1134" w:type="dxa"/>
          </w:tcPr>
          <w:p w14:paraId="46FD4D70"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p>
        </w:tc>
        <w:tc>
          <w:tcPr>
            <w:tcW w:w="1134" w:type="dxa"/>
          </w:tcPr>
          <w:p w14:paraId="7E90A7F6"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p>
        </w:tc>
      </w:tr>
      <w:tr w:rsidR="0033430F" w14:paraId="44AECEF8" w14:textId="77777777" w:rsidTr="00F274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tcPr>
          <w:p w14:paraId="2692FEB9" w14:textId="77777777" w:rsidR="0033430F" w:rsidRPr="00F274B3" w:rsidRDefault="0033430F" w:rsidP="00BC3CD1">
            <w:pPr>
              <w:pStyle w:val="TableHeader2"/>
            </w:pPr>
            <w:r w:rsidRPr="00F274B3">
              <w:t>Emotional maturity</w:t>
            </w:r>
          </w:p>
        </w:tc>
        <w:tc>
          <w:tcPr>
            <w:tcW w:w="1134" w:type="dxa"/>
            <w:tcBorders>
              <w:top w:val="none" w:sz="0" w:space="0" w:color="auto"/>
              <w:bottom w:val="none" w:sz="0" w:space="0" w:color="auto"/>
            </w:tcBorders>
          </w:tcPr>
          <w:p w14:paraId="7042BEE5"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0.44</w:t>
            </w:r>
          </w:p>
        </w:tc>
        <w:tc>
          <w:tcPr>
            <w:tcW w:w="1134" w:type="dxa"/>
            <w:tcBorders>
              <w:top w:val="none" w:sz="0" w:space="0" w:color="auto"/>
              <w:bottom w:val="none" w:sz="0" w:space="0" w:color="auto"/>
            </w:tcBorders>
          </w:tcPr>
          <w:p w14:paraId="4BA2402A"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0.76</w:t>
            </w:r>
          </w:p>
        </w:tc>
        <w:tc>
          <w:tcPr>
            <w:tcW w:w="1134" w:type="dxa"/>
            <w:tcBorders>
              <w:top w:val="none" w:sz="0" w:space="0" w:color="auto"/>
              <w:bottom w:val="none" w:sz="0" w:space="0" w:color="auto"/>
            </w:tcBorders>
          </w:tcPr>
          <w:p w14:paraId="2A847788"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1.0</w:t>
            </w:r>
          </w:p>
        </w:tc>
        <w:tc>
          <w:tcPr>
            <w:tcW w:w="1134" w:type="dxa"/>
            <w:tcBorders>
              <w:top w:val="none" w:sz="0" w:space="0" w:color="auto"/>
              <w:bottom w:val="none" w:sz="0" w:space="0" w:color="auto"/>
            </w:tcBorders>
          </w:tcPr>
          <w:p w14:paraId="36EA61F1"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c>
          <w:tcPr>
            <w:tcW w:w="1134" w:type="dxa"/>
            <w:tcBorders>
              <w:top w:val="none" w:sz="0" w:space="0" w:color="auto"/>
              <w:bottom w:val="none" w:sz="0" w:space="0" w:color="auto"/>
              <w:right w:val="none" w:sz="0" w:space="0" w:color="auto"/>
            </w:tcBorders>
          </w:tcPr>
          <w:p w14:paraId="58BC239B"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p>
        </w:tc>
      </w:tr>
      <w:tr w:rsidR="0033430F" w14:paraId="445A8BD0" w14:textId="77777777" w:rsidTr="00F274B3">
        <w:trPr>
          <w:trHeight w:val="80"/>
          <w:jc w:val="center"/>
        </w:trPr>
        <w:tc>
          <w:tcPr>
            <w:cnfStyle w:val="001000000000" w:firstRow="0" w:lastRow="0" w:firstColumn="1" w:lastColumn="0" w:oddVBand="0" w:evenVBand="0" w:oddHBand="0" w:evenHBand="0" w:firstRowFirstColumn="0" w:firstRowLastColumn="0" w:lastRowFirstColumn="0" w:lastRowLastColumn="0"/>
            <w:tcW w:w="2835" w:type="dxa"/>
          </w:tcPr>
          <w:p w14:paraId="0146DBE3" w14:textId="77777777" w:rsidR="0033430F" w:rsidRPr="00F274B3" w:rsidRDefault="0033430F" w:rsidP="00BC3CD1">
            <w:pPr>
              <w:pStyle w:val="TableHeader2"/>
            </w:pPr>
            <w:r w:rsidRPr="00F274B3">
              <w:t>Language and cognition</w:t>
            </w:r>
          </w:p>
        </w:tc>
        <w:tc>
          <w:tcPr>
            <w:tcW w:w="1134" w:type="dxa"/>
          </w:tcPr>
          <w:p w14:paraId="166E3423"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0.49</w:t>
            </w:r>
          </w:p>
        </w:tc>
        <w:tc>
          <w:tcPr>
            <w:tcW w:w="1134" w:type="dxa"/>
          </w:tcPr>
          <w:p w14:paraId="1CD2DDB0"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0.56</w:t>
            </w:r>
          </w:p>
        </w:tc>
        <w:tc>
          <w:tcPr>
            <w:tcW w:w="1134" w:type="dxa"/>
          </w:tcPr>
          <w:p w14:paraId="608F660A"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0.42</w:t>
            </w:r>
          </w:p>
        </w:tc>
        <w:tc>
          <w:tcPr>
            <w:tcW w:w="1134" w:type="dxa"/>
          </w:tcPr>
          <w:p w14:paraId="784A7F8F"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r w:rsidRPr="00F274B3">
              <w:t>1.0</w:t>
            </w:r>
          </w:p>
        </w:tc>
        <w:tc>
          <w:tcPr>
            <w:tcW w:w="1134" w:type="dxa"/>
          </w:tcPr>
          <w:p w14:paraId="5D0C8516" w14:textId="77777777" w:rsidR="0033430F" w:rsidRPr="00F274B3" w:rsidRDefault="0033430F" w:rsidP="00BC3CD1">
            <w:pPr>
              <w:pStyle w:val="TableBody"/>
              <w:cnfStyle w:val="000000000000" w:firstRow="0" w:lastRow="0" w:firstColumn="0" w:lastColumn="0" w:oddVBand="0" w:evenVBand="0" w:oddHBand="0" w:evenHBand="0" w:firstRowFirstColumn="0" w:firstRowLastColumn="0" w:lastRowFirstColumn="0" w:lastRowLastColumn="0"/>
            </w:pPr>
          </w:p>
        </w:tc>
      </w:tr>
      <w:tr w:rsidR="0033430F" w14:paraId="00ACCA5A" w14:textId="77777777" w:rsidTr="00F274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tcPr>
          <w:p w14:paraId="60B276D6" w14:textId="77777777" w:rsidR="0033430F" w:rsidRPr="0034102F" w:rsidRDefault="0033430F" w:rsidP="00BC3CD1">
            <w:pPr>
              <w:pStyle w:val="TableHeader2"/>
            </w:pPr>
            <w:r w:rsidRPr="0034102F">
              <w:t>Communication</w:t>
            </w:r>
          </w:p>
        </w:tc>
        <w:tc>
          <w:tcPr>
            <w:tcW w:w="1134" w:type="dxa"/>
            <w:tcBorders>
              <w:top w:val="none" w:sz="0" w:space="0" w:color="auto"/>
              <w:bottom w:val="none" w:sz="0" w:space="0" w:color="auto"/>
            </w:tcBorders>
          </w:tcPr>
          <w:p w14:paraId="3985EC80"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0.54</w:t>
            </w:r>
          </w:p>
        </w:tc>
        <w:tc>
          <w:tcPr>
            <w:tcW w:w="1134" w:type="dxa"/>
            <w:tcBorders>
              <w:top w:val="none" w:sz="0" w:space="0" w:color="auto"/>
              <w:bottom w:val="none" w:sz="0" w:space="0" w:color="auto"/>
            </w:tcBorders>
          </w:tcPr>
          <w:p w14:paraId="61CEAE88"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0.64</w:t>
            </w:r>
          </w:p>
        </w:tc>
        <w:tc>
          <w:tcPr>
            <w:tcW w:w="1134" w:type="dxa"/>
            <w:tcBorders>
              <w:top w:val="none" w:sz="0" w:space="0" w:color="auto"/>
              <w:bottom w:val="none" w:sz="0" w:space="0" w:color="auto"/>
            </w:tcBorders>
          </w:tcPr>
          <w:p w14:paraId="510A94E9"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0.48</w:t>
            </w:r>
          </w:p>
        </w:tc>
        <w:tc>
          <w:tcPr>
            <w:tcW w:w="1134" w:type="dxa"/>
            <w:tcBorders>
              <w:top w:val="none" w:sz="0" w:space="0" w:color="auto"/>
              <w:bottom w:val="none" w:sz="0" w:space="0" w:color="auto"/>
            </w:tcBorders>
          </w:tcPr>
          <w:p w14:paraId="1DFF9200"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0.58</w:t>
            </w:r>
          </w:p>
        </w:tc>
        <w:tc>
          <w:tcPr>
            <w:tcW w:w="1134" w:type="dxa"/>
            <w:tcBorders>
              <w:top w:val="none" w:sz="0" w:space="0" w:color="auto"/>
              <w:bottom w:val="none" w:sz="0" w:space="0" w:color="auto"/>
              <w:right w:val="none" w:sz="0" w:space="0" w:color="auto"/>
            </w:tcBorders>
          </w:tcPr>
          <w:p w14:paraId="7090DE4B" w14:textId="77777777" w:rsidR="0033430F" w:rsidRPr="00F274B3" w:rsidRDefault="0033430F" w:rsidP="00BC3CD1">
            <w:pPr>
              <w:pStyle w:val="TableBody"/>
              <w:cnfStyle w:val="000000100000" w:firstRow="0" w:lastRow="0" w:firstColumn="0" w:lastColumn="0" w:oddVBand="0" w:evenVBand="0" w:oddHBand="1" w:evenHBand="0" w:firstRowFirstColumn="0" w:firstRowLastColumn="0" w:lastRowFirstColumn="0" w:lastRowLastColumn="0"/>
            </w:pPr>
            <w:r w:rsidRPr="00F274B3">
              <w:t>1.0</w:t>
            </w:r>
          </w:p>
        </w:tc>
      </w:tr>
    </w:tbl>
    <w:p w14:paraId="7FDB8FC5" w14:textId="77777777" w:rsidR="0033430F" w:rsidRDefault="0033430F" w:rsidP="005265DE">
      <w:pPr>
        <w:spacing w:after="0"/>
      </w:pPr>
    </w:p>
    <w:p w14:paraId="67307AB8" w14:textId="68565FD9" w:rsidR="004A73F6" w:rsidRDefault="0033430F" w:rsidP="00D52B12">
      <w:r>
        <w:t xml:space="preserve">Spearman correlations between the AEDC domains were all positive and at least moderate strength. </w:t>
      </w:r>
      <w:r w:rsidRPr="00D9234E">
        <w:rPr>
          <w:i/>
        </w:rPr>
        <w:t xml:space="preserve">Social </w:t>
      </w:r>
      <w:r>
        <w:rPr>
          <w:i/>
        </w:rPr>
        <w:t>C</w:t>
      </w:r>
      <w:r w:rsidRPr="00D9234E">
        <w:rPr>
          <w:i/>
        </w:rPr>
        <w:t>ompetence</w:t>
      </w:r>
      <w:r>
        <w:t xml:space="preserve"> generally showed the strongest correlations with other domains</w:t>
      </w:r>
      <w:r w:rsidR="00D642BD">
        <w:t xml:space="preserve"> as presented in</w:t>
      </w:r>
      <w:r w:rsidR="0043740D">
        <w:t xml:space="preserve"> </w:t>
      </w:r>
      <w:r w:rsidR="0043740D">
        <w:fldChar w:fldCharType="begin"/>
      </w:r>
      <w:r w:rsidR="0043740D">
        <w:instrText xml:space="preserve"> REF _Ref501028853 \h </w:instrText>
      </w:r>
      <w:r w:rsidR="0043740D">
        <w:fldChar w:fldCharType="separate"/>
      </w:r>
      <w:r w:rsidR="004C27B3">
        <w:t xml:space="preserve">Table </w:t>
      </w:r>
      <w:r w:rsidR="004C27B3">
        <w:rPr>
          <w:noProof/>
        </w:rPr>
        <w:t>21</w:t>
      </w:r>
      <w:r w:rsidR="0043740D">
        <w:fldChar w:fldCharType="end"/>
      </w:r>
      <w:r>
        <w:t xml:space="preserve">. The strongest correlation overall was between </w:t>
      </w:r>
      <w:r w:rsidRPr="00D9234E">
        <w:rPr>
          <w:i/>
        </w:rPr>
        <w:t>Social Competence</w:t>
      </w:r>
      <w:r>
        <w:t xml:space="preserve"> and </w:t>
      </w:r>
      <w:r w:rsidRPr="00D9234E">
        <w:rPr>
          <w:i/>
        </w:rPr>
        <w:t>Emotional Maturity</w:t>
      </w:r>
      <w:r>
        <w:rPr>
          <w:i/>
        </w:rPr>
        <w:t xml:space="preserve"> (r=0.76)</w:t>
      </w:r>
      <w:r>
        <w:t xml:space="preserve">, followed by </w:t>
      </w:r>
      <w:r w:rsidRPr="00D9234E">
        <w:rPr>
          <w:i/>
        </w:rPr>
        <w:t>Social Competence</w:t>
      </w:r>
      <w:r>
        <w:t xml:space="preserve"> and </w:t>
      </w:r>
      <w:r w:rsidRPr="00D9234E">
        <w:rPr>
          <w:i/>
        </w:rPr>
        <w:t>Communication and General Knowledge</w:t>
      </w:r>
      <w:r>
        <w:rPr>
          <w:i/>
        </w:rPr>
        <w:t xml:space="preserve"> (r=0.64)</w:t>
      </w:r>
      <w:r>
        <w:t>. No Australian data has yet been published on correlations between AEDC domains; however, these values are consistent with findings from the Canadian EDI</w:t>
      </w:r>
      <w:r w:rsidR="004A73F6">
        <w:t xml:space="preserve"> </w:t>
      </w:r>
      <w:r w:rsidR="004A73F6">
        <w:fldChar w:fldCharType="begin">
          <w:fldData xml:space="preserve">PEVuZE5vdGU+PENpdGU+PEF1dGhvcj5HdWhuPC9BdXRob3I+PFllYXI+MjAxNjwvWWVhcj48UmVj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</w:fldData>
        </w:fldChar>
      </w:r>
      <w:r w:rsidR="004A73F6">
        <w:instrText xml:space="preserve"> ADDIN EN.CITE </w:instrText>
      </w:r>
      <w:r w:rsidR="004A73F6">
        <w:fldChar w:fldCharType="begin">
          <w:fldData xml:space="preserve">PEVuZE5vdGU+PENpdGU+PEF1dGhvcj5HdWhuPC9BdXRob3I+PFllYXI+MjAxNjwvWWVhcj48UmVj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</w:fldData>
        </w:fldChar>
      </w:r>
      <w:r w:rsidR="004A73F6">
        <w:instrText xml:space="preserve"> ADDIN EN.CITE.DATA </w:instrText>
      </w:r>
      <w:r w:rsidR="004A73F6">
        <w:fldChar w:fldCharType="end"/>
      </w:r>
      <w:r w:rsidR="004A73F6">
        <w:fldChar w:fldCharType="separate"/>
      </w:r>
      <w:r w:rsidR="004A73F6">
        <w:rPr>
          <w:noProof/>
        </w:rPr>
        <w:t>[35, 52]</w:t>
      </w:r>
      <w:r w:rsidR="004A73F6">
        <w:fldChar w:fldCharType="end"/>
      </w:r>
      <w:r w:rsidR="004A73F6">
        <w:t>.</w:t>
      </w:r>
    </w:p>
    <w:p w14:paraId="09878AD8" w14:textId="77777777" w:rsidR="00330CAF" w:rsidRDefault="00330CAF">
      <w:pPr>
        <w:spacing w:after="0" w:line="240" w:lineRule="auto"/>
        <w:rPr>
          <w:rFonts w:eastAsiaTheme="majorEastAsia" w:cstheme="majorBidi"/>
          <w:color w:val="2F5496" w:themeColor="accent1" w:themeShade="BF"/>
          <w:sz w:val="32"/>
          <w:szCs w:val="32"/>
          <w:lang w:val="en-US"/>
        </w:rPr>
      </w:pPr>
      <w:bookmarkStart w:id="177" w:name="_Toc501120769"/>
      <w:r>
        <w:br w:type="page"/>
      </w:r>
    </w:p>
    <w:p w14:paraId="59094F08" w14:textId="1F495A31" w:rsidR="009C423A" w:rsidRDefault="009C423A" w:rsidP="0031784D">
      <w:pPr>
        <w:pStyle w:val="Heading1"/>
        <w:spacing w:before="0"/>
      </w:pPr>
      <w:r>
        <w:t xml:space="preserve">Appendix 4 – Supplementary Results </w:t>
      </w:r>
      <w:bookmarkEnd w:id="177"/>
    </w:p>
    <w:p w14:paraId="10D0C621" w14:textId="77777777" w:rsidR="0032145C" w:rsidRDefault="00004A60" w:rsidP="005265DE">
      <w:pPr>
        <w:pStyle w:val="Heading2"/>
        <w:spacing w:before="0"/>
      </w:pPr>
      <w:r>
        <w:t>Chapter 1</w:t>
      </w:r>
    </w:p>
    <w:p w14:paraId="57BE45CE" w14:textId="5C15D4F4" w:rsidR="0032145C" w:rsidRDefault="0032145C" w:rsidP="005265DE">
      <w:r>
        <w:t xml:space="preserve">Table </w:t>
      </w:r>
      <w:r w:rsidR="002E5114">
        <w:t>22</w:t>
      </w:r>
      <w:r>
        <w:t xml:space="preserve"> shows the β coefficient estimates obtained from the unadjusted linear regression analyses that were performed in order to estimate mean </w:t>
      </w:r>
      <w:r w:rsidRPr="008F562A">
        <w:t xml:space="preserve">numeracy </w:t>
      </w:r>
      <w:r>
        <w:t>and reading NSS at Years 3, 5 and 7 (</w:t>
      </w:r>
      <w:r w:rsidRPr="008F562A">
        <w:t>by developmental vulnerability status</w:t>
      </w:r>
      <w:r>
        <w:t>) (Figures 1 &amp; 2, Table 1).</w:t>
      </w:r>
    </w:p>
    <w:p w14:paraId="57A2D98A" w14:textId="5C683073" w:rsidR="0032145C" w:rsidRPr="001B0E9A" w:rsidRDefault="001B0E9A" w:rsidP="001B0E9A">
      <w:pPr>
        <w:pStyle w:val="Caption"/>
        <w:rPr>
          <w:sz w:val="20"/>
        </w:rPr>
      </w:pPr>
      <w:bookmarkStart w:id="178" w:name="_Toc503780762"/>
      <w:r w:rsidRPr="001B0E9A">
        <w:rPr>
          <w:sz w:val="20"/>
        </w:rPr>
        <w:t xml:space="preserve">Table </w:t>
      </w:r>
      <w:r w:rsidRPr="001B0E9A">
        <w:rPr>
          <w:sz w:val="20"/>
        </w:rPr>
        <w:fldChar w:fldCharType="begin"/>
      </w:r>
      <w:r w:rsidRPr="001B0E9A">
        <w:rPr>
          <w:sz w:val="20"/>
        </w:rPr>
        <w:instrText xml:space="preserve"> SEQ Table \* ARABIC </w:instrText>
      </w:r>
      <w:r w:rsidRPr="001B0E9A">
        <w:rPr>
          <w:sz w:val="20"/>
        </w:rPr>
        <w:fldChar w:fldCharType="separate"/>
      </w:r>
      <w:r w:rsidR="004C27B3">
        <w:rPr>
          <w:noProof/>
          <w:sz w:val="20"/>
        </w:rPr>
        <w:t>22</w:t>
      </w:r>
      <w:r w:rsidRPr="001B0E9A">
        <w:rPr>
          <w:sz w:val="20"/>
        </w:rPr>
        <w:fldChar w:fldCharType="end"/>
      </w:r>
      <w:r w:rsidR="0032145C" w:rsidRPr="001B0E9A">
        <w:rPr>
          <w:sz w:val="20"/>
        </w:rPr>
        <w:t xml:space="preserve">: </w:t>
      </w:r>
      <w:r w:rsidR="00B913A7" w:rsidRPr="001B0E9A">
        <w:rPr>
          <w:sz w:val="20"/>
        </w:rPr>
        <w:t>Mean difference (β coefficient) in numeracy and reading NSS at Years 3, 5 and 7, by developmental vulnerability status</w:t>
      </w:r>
      <w:bookmarkEnd w:id="178"/>
    </w:p>
    <w:tbl>
      <w:tblPr>
        <w:tblStyle w:val="TableGrid"/>
        <w:tblW w:w="3141" w:type="pct"/>
        <w:jc w:val="center"/>
        <w:tblBorders>
          <w:insideH w:val="none" w:sz="0" w:space="0" w:color="auto"/>
          <w:insideV w:val="none" w:sz="0" w:space="0" w:color="auto"/>
        </w:tblBorders>
        <w:tblLayout w:type="fixed"/>
        <w:tblLook w:val="04A0" w:firstRow="1" w:lastRow="0" w:firstColumn="1" w:lastColumn="0" w:noHBand="0" w:noVBand="1"/>
        <w:tblCaption w:val="Table 22. Mean difference (Beta coefficient) in numeracy and reading NSS at Years 3, 5 and 7, by developmental vulnerability status"/>
      </w:tblPr>
      <w:tblGrid>
        <w:gridCol w:w="1230"/>
        <w:gridCol w:w="326"/>
        <w:gridCol w:w="1456"/>
        <w:gridCol w:w="283"/>
        <w:gridCol w:w="2365"/>
      </w:tblGrid>
      <w:tr w:rsidR="006A226B" w:rsidRPr="00556D85" w14:paraId="6546BBC5" w14:textId="13934549" w:rsidTr="005265DE">
        <w:trPr>
          <w:jc w:val="center"/>
        </w:trPr>
        <w:tc>
          <w:tcPr>
            <w:tcW w:w="1087" w:type="pct"/>
            <w:shd w:val="clear" w:color="auto" w:fill="0070C0"/>
          </w:tcPr>
          <w:p w14:paraId="2AAC4C4A" w14:textId="77777777" w:rsidR="006A226B" w:rsidRPr="000F54B8" w:rsidRDefault="006A226B" w:rsidP="00464F89">
            <w:pPr>
              <w:pStyle w:val="TableHeader1"/>
            </w:pPr>
          </w:p>
        </w:tc>
        <w:tc>
          <w:tcPr>
            <w:tcW w:w="288" w:type="pct"/>
            <w:shd w:val="clear" w:color="auto" w:fill="0070C0"/>
          </w:tcPr>
          <w:p w14:paraId="309DC67B" w14:textId="77777777" w:rsidR="006A226B" w:rsidRDefault="006A226B" w:rsidP="00464F89">
            <w:pPr>
              <w:pStyle w:val="TableHeader1"/>
            </w:pPr>
          </w:p>
        </w:tc>
        <w:tc>
          <w:tcPr>
            <w:tcW w:w="1286" w:type="pct"/>
            <w:shd w:val="clear" w:color="auto" w:fill="0070C0"/>
          </w:tcPr>
          <w:p w14:paraId="2EF76E14" w14:textId="3198F963" w:rsidR="006A226B" w:rsidRPr="000F54B8" w:rsidRDefault="006A226B" w:rsidP="00464F89">
            <w:pPr>
              <w:pStyle w:val="TableHeader1"/>
            </w:pPr>
            <w:r>
              <w:t xml:space="preserve">β </w:t>
            </w:r>
            <w:proofErr w:type="spellStart"/>
            <w:r>
              <w:t>coefficient</w:t>
            </w:r>
            <w:r w:rsidRPr="005265DE">
              <w:rPr>
                <w:vertAlign w:val="superscript"/>
              </w:rPr>
              <w:t>a</w:t>
            </w:r>
            <w:proofErr w:type="spellEnd"/>
          </w:p>
        </w:tc>
        <w:tc>
          <w:tcPr>
            <w:tcW w:w="250" w:type="pct"/>
            <w:shd w:val="clear" w:color="auto" w:fill="0070C0"/>
          </w:tcPr>
          <w:p w14:paraId="7E5E281B" w14:textId="77777777" w:rsidR="006A226B" w:rsidRDefault="006A226B" w:rsidP="00464F89">
            <w:pPr>
              <w:pStyle w:val="TableHeader1"/>
            </w:pPr>
          </w:p>
        </w:tc>
        <w:tc>
          <w:tcPr>
            <w:tcW w:w="2089" w:type="pct"/>
            <w:shd w:val="clear" w:color="auto" w:fill="0070C0"/>
          </w:tcPr>
          <w:p w14:paraId="13D5BB24" w14:textId="49A74899" w:rsidR="006A226B" w:rsidRDefault="006A226B" w:rsidP="00464F89">
            <w:pPr>
              <w:pStyle w:val="TableHeader1"/>
            </w:pPr>
            <w:r>
              <w:t>95% Confidence Interval</w:t>
            </w:r>
          </w:p>
        </w:tc>
      </w:tr>
      <w:tr w:rsidR="006A226B" w:rsidRPr="00556D85" w14:paraId="46B48AD0" w14:textId="097921B5" w:rsidTr="005265DE">
        <w:trPr>
          <w:jc w:val="center"/>
        </w:trPr>
        <w:tc>
          <w:tcPr>
            <w:tcW w:w="1087" w:type="pct"/>
            <w:shd w:val="clear" w:color="auto" w:fill="D9E2F3" w:themeFill="accent1" w:themeFillTint="33"/>
          </w:tcPr>
          <w:p w14:paraId="659E71D8" w14:textId="77777777" w:rsidR="006A226B" w:rsidRPr="000F54B8" w:rsidRDefault="006A226B" w:rsidP="00464F89">
            <w:pPr>
              <w:pStyle w:val="TableHeader2"/>
            </w:pPr>
            <w:r w:rsidRPr="000F54B8">
              <w:t>Numeracy</w:t>
            </w:r>
          </w:p>
        </w:tc>
        <w:tc>
          <w:tcPr>
            <w:tcW w:w="288" w:type="pct"/>
            <w:shd w:val="clear" w:color="auto" w:fill="D9E2F3" w:themeFill="accent1" w:themeFillTint="33"/>
          </w:tcPr>
          <w:p w14:paraId="7AE92819" w14:textId="77777777" w:rsidR="006A226B" w:rsidRPr="00556D85" w:rsidRDefault="006A226B" w:rsidP="00464F89">
            <w:pPr>
              <w:pStyle w:val="TableHeader2"/>
            </w:pPr>
          </w:p>
        </w:tc>
        <w:tc>
          <w:tcPr>
            <w:tcW w:w="1286" w:type="pct"/>
            <w:shd w:val="clear" w:color="auto" w:fill="D9E2F3" w:themeFill="accent1" w:themeFillTint="33"/>
          </w:tcPr>
          <w:p w14:paraId="0A826049" w14:textId="2FD4345A" w:rsidR="006A226B" w:rsidRPr="00556D85" w:rsidRDefault="006A226B" w:rsidP="00464F89">
            <w:pPr>
              <w:pStyle w:val="TableHeader2"/>
            </w:pPr>
          </w:p>
        </w:tc>
        <w:tc>
          <w:tcPr>
            <w:tcW w:w="250" w:type="pct"/>
            <w:shd w:val="clear" w:color="auto" w:fill="D9E2F3" w:themeFill="accent1" w:themeFillTint="33"/>
          </w:tcPr>
          <w:p w14:paraId="0CDD9902" w14:textId="77777777" w:rsidR="006A226B" w:rsidRPr="00556D85" w:rsidRDefault="006A226B" w:rsidP="00464F89">
            <w:pPr>
              <w:pStyle w:val="TableHeader2"/>
            </w:pPr>
          </w:p>
        </w:tc>
        <w:tc>
          <w:tcPr>
            <w:tcW w:w="2089" w:type="pct"/>
            <w:shd w:val="clear" w:color="auto" w:fill="D9E2F3" w:themeFill="accent1" w:themeFillTint="33"/>
          </w:tcPr>
          <w:p w14:paraId="070ED720" w14:textId="77777777" w:rsidR="006A226B" w:rsidRPr="00556D85" w:rsidRDefault="006A226B" w:rsidP="00464F89">
            <w:pPr>
              <w:pStyle w:val="TableHeader2"/>
            </w:pPr>
          </w:p>
        </w:tc>
      </w:tr>
      <w:tr w:rsidR="006A226B" w:rsidRPr="00556D85" w14:paraId="2A208A09" w14:textId="5F5FAD35" w:rsidTr="005265DE">
        <w:trPr>
          <w:jc w:val="center"/>
        </w:trPr>
        <w:tc>
          <w:tcPr>
            <w:tcW w:w="1087" w:type="pct"/>
          </w:tcPr>
          <w:p w14:paraId="173E338B" w14:textId="77777777" w:rsidR="006A226B" w:rsidRPr="00556D85" w:rsidRDefault="006A226B" w:rsidP="00464F89">
            <w:pPr>
              <w:pStyle w:val="TableRowIndent"/>
            </w:pPr>
            <w:r w:rsidRPr="00556D85">
              <w:t>Year 3</w:t>
            </w:r>
          </w:p>
        </w:tc>
        <w:tc>
          <w:tcPr>
            <w:tcW w:w="288" w:type="pct"/>
          </w:tcPr>
          <w:p w14:paraId="68B7E656" w14:textId="77777777" w:rsidR="006A226B" w:rsidRPr="009F01DD" w:rsidRDefault="006A226B" w:rsidP="00464F89">
            <w:pPr>
              <w:pStyle w:val="TableBody"/>
            </w:pPr>
          </w:p>
        </w:tc>
        <w:tc>
          <w:tcPr>
            <w:tcW w:w="1286" w:type="pct"/>
          </w:tcPr>
          <w:p w14:paraId="484C1724" w14:textId="03B702AC" w:rsidR="006A226B" w:rsidRPr="00556D85" w:rsidRDefault="006A226B" w:rsidP="006A226B">
            <w:pPr>
              <w:pStyle w:val="TableBody"/>
            </w:pPr>
            <w:r w:rsidRPr="009F01DD">
              <w:t>-55.</w:t>
            </w:r>
            <w:r>
              <w:t xml:space="preserve">6 </w:t>
            </w:r>
          </w:p>
        </w:tc>
        <w:tc>
          <w:tcPr>
            <w:tcW w:w="250" w:type="pct"/>
          </w:tcPr>
          <w:p w14:paraId="388EB440" w14:textId="77777777" w:rsidR="006A226B" w:rsidRPr="009F01DD" w:rsidRDefault="006A226B" w:rsidP="00464F89">
            <w:pPr>
              <w:pStyle w:val="TableBody"/>
            </w:pPr>
          </w:p>
        </w:tc>
        <w:tc>
          <w:tcPr>
            <w:tcW w:w="2089" w:type="pct"/>
          </w:tcPr>
          <w:p w14:paraId="7484A823" w14:textId="1E82FC0A" w:rsidR="006A226B" w:rsidRPr="009F01DD" w:rsidRDefault="006A226B" w:rsidP="00464F89">
            <w:pPr>
              <w:pStyle w:val="TableBody"/>
            </w:pPr>
            <w:r w:rsidRPr="009F01DD">
              <w:t>66.5</w:t>
            </w:r>
            <w:r>
              <w:t xml:space="preserve"> to </w:t>
            </w:r>
            <w:r w:rsidRPr="009F01DD">
              <w:t>-44.</w:t>
            </w:r>
            <w:r>
              <w:t>6</w:t>
            </w:r>
          </w:p>
        </w:tc>
      </w:tr>
      <w:tr w:rsidR="006A226B" w:rsidRPr="00556D85" w14:paraId="468E6A34" w14:textId="20333769" w:rsidTr="005265DE">
        <w:trPr>
          <w:jc w:val="center"/>
        </w:trPr>
        <w:tc>
          <w:tcPr>
            <w:tcW w:w="1087" w:type="pct"/>
          </w:tcPr>
          <w:p w14:paraId="3D5C3976" w14:textId="77777777" w:rsidR="006A226B" w:rsidRPr="00556D85" w:rsidRDefault="006A226B" w:rsidP="00464F89">
            <w:pPr>
              <w:pStyle w:val="TableRowIndent"/>
            </w:pPr>
            <w:r w:rsidRPr="00556D85">
              <w:t>Year 5</w:t>
            </w:r>
          </w:p>
        </w:tc>
        <w:tc>
          <w:tcPr>
            <w:tcW w:w="288" w:type="pct"/>
          </w:tcPr>
          <w:p w14:paraId="5E5B42C5" w14:textId="77777777" w:rsidR="006A226B" w:rsidRPr="009F01DD" w:rsidRDefault="006A226B" w:rsidP="00464F89">
            <w:pPr>
              <w:pStyle w:val="TableBody"/>
            </w:pPr>
          </w:p>
        </w:tc>
        <w:tc>
          <w:tcPr>
            <w:tcW w:w="1286" w:type="pct"/>
          </w:tcPr>
          <w:p w14:paraId="16153491" w14:textId="1C971826" w:rsidR="006A226B" w:rsidRPr="00556D85" w:rsidRDefault="006A226B" w:rsidP="006A226B">
            <w:pPr>
              <w:pStyle w:val="TableBody"/>
            </w:pPr>
            <w:r w:rsidRPr="009F01DD">
              <w:t>-48.</w:t>
            </w:r>
            <w:r>
              <w:t>8</w:t>
            </w:r>
          </w:p>
        </w:tc>
        <w:tc>
          <w:tcPr>
            <w:tcW w:w="250" w:type="pct"/>
          </w:tcPr>
          <w:p w14:paraId="57625437" w14:textId="77777777" w:rsidR="006A226B" w:rsidRPr="009F01DD" w:rsidRDefault="006A226B" w:rsidP="00464F89">
            <w:pPr>
              <w:pStyle w:val="TableBody"/>
            </w:pPr>
          </w:p>
        </w:tc>
        <w:tc>
          <w:tcPr>
            <w:tcW w:w="2089" w:type="pct"/>
          </w:tcPr>
          <w:p w14:paraId="67E171D0" w14:textId="20616A5C" w:rsidR="006A226B" w:rsidRPr="009F01DD" w:rsidRDefault="006A226B" w:rsidP="00464F89">
            <w:pPr>
              <w:pStyle w:val="TableBody"/>
            </w:pPr>
            <w:r>
              <w:t xml:space="preserve">-59.9 to </w:t>
            </w:r>
            <w:r w:rsidRPr="009F01DD">
              <w:t>-37.</w:t>
            </w:r>
            <w:r>
              <w:t>6</w:t>
            </w:r>
          </w:p>
        </w:tc>
      </w:tr>
      <w:tr w:rsidR="006A226B" w:rsidRPr="00556D85" w14:paraId="13F8DF74" w14:textId="4ED81B05" w:rsidTr="005265DE">
        <w:trPr>
          <w:jc w:val="center"/>
        </w:trPr>
        <w:tc>
          <w:tcPr>
            <w:tcW w:w="1087" w:type="pct"/>
          </w:tcPr>
          <w:p w14:paraId="608D2A53" w14:textId="77777777" w:rsidR="006A226B" w:rsidRPr="00556D85" w:rsidRDefault="006A226B" w:rsidP="00464F89">
            <w:pPr>
              <w:pStyle w:val="TableRowIndent"/>
            </w:pPr>
            <w:r w:rsidRPr="00556D85">
              <w:t>Year 7</w:t>
            </w:r>
          </w:p>
        </w:tc>
        <w:tc>
          <w:tcPr>
            <w:tcW w:w="288" w:type="pct"/>
          </w:tcPr>
          <w:p w14:paraId="7B68497F" w14:textId="77777777" w:rsidR="006A226B" w:rsidRPr="009F01DD" w:rsidRDefault="006A226B" w:rsidP="00464F89">
            <w:pPr>
              <w:pStyle w:val="TableBody"/>
            </w:pPr>
          </w:p>
        </w:tc>
        <w:tc>
          <w:tcPr>
            <w:tcW w:w="1286" w:type="pct"/>
          </w:tcPr>
          <w:p w14:paraId="229D9F66" w14:textId="6425E38A" w:rsidR="006A226B" w:rsidRPr="00556D85" w:rsidRDefault="006A226B" w:rsidP="006A226B">
            <w:pPr>
              <w:pStyle w:val="TableBody"/>
            </w:pPr>
            <w:r w:rsidRPr="009F01DD">
              <w:t>-49.</w:t>
            </w:r>
            <w:r>
              <w:t>5</w:t>
            </w:r>
          </w:p>
        </w:tc>
        <w:tc>
          <w:tcPr>
            <w:tcW w:w="250" w:type="pct"/>
          </w:tcPr>
          <w:p w14:paraId="739A1768" w14:textId="77777777" w:rsidR="006A226B" w:rsidRPr="009F01DD" w:rsidRDefault="006A226B" w:rsidP="00464F89">
            <w:pPr>
              <w:pStyle w:val="TableBody"/>
            </w:pPr>
          </w:p>
        </w:tc>
        <w:tc>
          <w:tcPr>
            <w:tcW w:w="2089" w:type="pct"/>
          </w:tcPr>
          <w:p w14:paraId="53915C37" w14:textId="7B3CBCDA" w:rsidR="006A226B" w:rsidRPr="009F01DD" w:rsidRDefault="006A226B" w:rsidP="00464F89">
            <w:pPr>
              <w:pStyle w:val="TableBody"/>
            </w:pPr>
            <w:r>
              <w:t>-59.9</w:t>
            </w:r>
            <w:r w:rsidRPr="00124DD7">
              <w:t xml:space="preserve"> </w:t>
            </w:r>
            <w:r>
              <w:t xml:space="preserve">to </w:t>
            </w:r>
            <w:r w:rsidRPr="00124DD7">
              <w:t>-</w:t>
            </w:r>
            <w:r>
              <w:t>39.0</w:t>
            </w:r>
          </w:p>
        </w:tc>
      </w:tr>
      <w:tr w:rsidR="006A226B" w:rsidRPr="00556D85" w14:paraId="49C0AFA2" w14:textId="0A8B9C2D" w:rsidTr="005265DE">
        <w:trPr>
          <w:jc w:val="center"/>
        </w:trPr>
        <w:tc>
          <w:tcPr>
            <w:tcW w:w="1087" w:type="pct"/>
            <w:shd w:val="clear" w:color="auto" w:fill="D9E2F3" w:themeFill="accent1" w:themeFillTint="33"/>
          </w:tcPr>
          <w:p w14:paraId="4DA11EFC" w14:textId="77777777" w:rsidR="006A226B" w:rsidRPr="00556D85" w:rsidRDefault="006A226B" w:rsidP="00464F89">
            <w:pPr>
              <w:pStyle w:val="TableHeader2"/>
            </w:pPr>
            <w:r w:rsidRPr="00556D85">
              <w:t>Reading</w:t>
            </w:r>
          </w:p>
        </w:tc>
        <w:tc>
          <w:tcPr>
            <w:tcW w:w="288" w:type="pct"/>
            <w:shd w:val="clear" w:color="auto" w:fill="D9E2F3" w:themeFill="accent1" w:themeFillTint="33"/>
          </w:tcPr>
          <w:p w14:paraId="0EC4AA9A" w14:textId="77777777" w:rsidR="006A226B" w:rsidRPr="00556D85" w:rsidRDefault="006A226B" w:rsidP="00464F89">
            <w:pPr>
              <w:pStyle w:val="TableBody"/>
            </w:pPr>
          </w:p>
        </w:tc>
        <w:tc>
          <w:tcPr>
            <w:tcW w:w="1286" w:type="pct"/>
            <w:shd w:val="clear" w:color="auto" w:fill="D9E2F3" w:themeFill="accent1" w:themeFillTint="33"/>
          </w:tcPr>
          <w:p w14:paraId="392E8C14" w14:textId="6AD88073" w:rsidR="006A226B" w:rsidRPr="00556D85" w:rsidRDefault="006A226B" w:rsidP="00464F89">
            <w:pPr>
              <w:pStyle w:val="TableBody"/>
            </w:pPr>
          </w:p>
        </w:tc>
        <w:tc>
          <w:tcPr>
            <w:tcW w:w="250" w:type="pct"/>
            <w:shd w:val="clear" w:color="auto" w:fill="D9E2F3" w:themeFill="accent1" w:themeFillTint="33"/>
          </w:tcPr>
          <w:p w14:paraId="60F4D8F3" w14:textId="77777777" w:rsidR="006A226B" w:rsidRPr="00556D85" w:rsidRDefault="006A226B" w:rsidP="00464F89">
            <w:pPr>
              <w:pStyle w:val="TableBody"/>
            </w:pPr>
          </w:p>
        </w:tc>
        <w:tc>
          <w:tcPr>
            <w:tcW w:w="2089" w:type="pct"/>
            <w:shd w:val="clear" w:color="auto" w:fill="D9E2F3" w:themeFill="accent1" w:themeFillTint="33"/>
          </w:tcPr>
          <w:p w14:paraId="28F316EF" w14:textId="77777777" w:rsidR="006A226B" w:rsidRPr="00556D85" w:rsidRDefault="006A226B" w:rsidP="00464F89">
            <w:pPr>
              <w:pStyle w:val="TableBody"/>
            </w:pPr>
          </w:p>
        </w:tc>
      </w:tr>
      <w:tr w:rsidR="006A226B" w:rsidRPr="00556D85" w14:paraId="6CEBFE53" w14:textId="10C3853A" w:rsidTr="005265DE">
        <w:trPr>
          <w:jc w:val="center"/>
        </w:trPr>
        <w:tc>
          <w:tcPr>
            <w:tcW w:w="1087" w:type="pct"/>
          </w:tcPr>
          <w:p w14:paraId="001EC7ED" w14:textId="77777777" w:rsidR="006A226B" w:rsidRPr="00556D85" w:rsidRDefault="006A226B" w:rsidP="00464F89">
            <w:pPr>
              <w:pStyle w:val="TableRowIndent"/>
            </w:pPr>
            <w:r w:rsidRPr="00556D85">
              <w:t>Year 3</w:t>
            </w:r>
          </w:p>
        </w:tc>
        <w:tc>
          <w:tcPr>
            <w:tcW w:w="288" w:type="pct"/>
          </w:tcPr>
          <w:p w14:paraId="648C5D2F" w14:textId="77777777" w:rsidR="006A226B" w:rsidRPr="00124DD7" w:rsidRDefault="006A226B" w:rsidP="00464F89">
            <w:pPr>
              <w:pStyle w:val="TableBody"/>
            </w:pPr>
          </w:p>
        </w:tc>
        <w:tc>
          <w:tcPr>
            <w:tcW w:w="1286" w:type="pct"/>
          </w:tcPr>
          <w:p w14:paraId="37E87C0E" w14:textId="23B1BBD9" w:rsidR="006A226B" w:rsidRPr="00556D85" w:rsidRDefault="006A226B" w:rsidP="006A226B">
            <w:pPr>
              <w:pStyle w:val="TableBody"/>
            </w:pPr>
            <w:r w:rsidRPr="00124DD7">
              <w:t>-61.</w:t>
            </w:r>
            <w:r>
              <w:t xml:space="preserve">4 </w:t>
            </w:r>
          </w:p>
        </w:tc>
        <w:tc>
          <w:tcPr>
            <w:tcW w:w="250" w:type="pct"/>
          </w:tcPr>
          <w:p w14:paraId="5AA47B76" w14:textId="77777777" w:rsidR="006A226B" w:rsidRPr="00124DD7" w:rsidRDefault="006A226B" w:rsidP="00464F89">
            <w:pPr>
              <w:pStyle w:val="TableBody"/>
            </w:pPr>
          </w:p>
        </w:tc>
        <w:tc>
          <w:tcPr>
            <w:tcW w:w="2089" w:type="pct"/>
          </w:tcPr>
          <w:p w14:paraId="37DAB09A" w14:textId="609838E3" w:rsidR="006A226B" w:rsidRPr="00124DD7" w:rsidRDefault="006A226B" w:rsidP="00464F89">
            <w:pPr>
              <w:pStyle w:val="TableBody"/>
            </w:pPr>
            <w:r w:rsidRPr="00124DD7">
              <w:t>-75.6</w:t>
            </w:r>
            <w:r>
              <w:t xml:space="preserve"> to </w:t>
            </w:r>
            <w:r w:rsidRPr="00124DD7">
              <w:t>-47.</w:t>
            </w:r>
            <w:r>
              <w:t>1</w:t>
            </w:r>
          </w:p>
        </w:tc>
      </w:tr>
      <w:tr w:rsidR="006A226B" w:rsidRPr="00556D85" w14:paraId="29BC075B" w14:textId="5BB5D611" w:rsidTr="005265DE">
        <w:trPr>
          <w:trHeight w:val="106"/>
          <w:jc w:val="center"/>
        </w:trPr>
        <w:tc>
          <w:tcPr>
            <w:tcW w:w="1087" w:type="pct"/>
          </w:tcPr>
          <w:p w14:paraId="3488AB31" w14:textId="77777777" w:rsidR="006A226B" w:rsidRPr="00556D85" w:rsidRDefault="006A226B" w:rsidP="00464F89">
            <w:pPr>
              <w:pStyle w:val="TableRowIndent"/>
            </w:pPr>
            <w:r w:rsidRPr="00556D85">
              <w:t>Year 5</w:t>
            </w:r>
          </w:p>
        </w:tc>
        <w:tc>
          <w:tcPr>
            <w:tcW w:w="288" w:type="pct"/>
          </w:tcPr>
          <w:p w14:paraId="5CFCE636" w14:textId="77777777" w:rsidR="006A226B" w:rsidRPr="00DB5095" w:rsidRDefault="006A226B" w:rsidP="00464F89">
            <w:pPr>
              <w:pStyle w:val="TableBody"/>
            </w:pPr>
          </w:p>
        </w:tc>
        <w:tc>
          <w:tcPr>
            <w:tcW w:w="1286" w:type="pct"/>
          </w:tcPr>
          <w:p w14:paraId="7A1C4626" w14:textId="13B43534" w:rsidR="006A226B" w:rsidRPr="00556D85" w:rsidRDefault="006A226B" w:rsidP="006A226B">
            <w:pPr>
              <w:pStyle w:val="TableBody"/>
            </w:pPr>
            <w:r w:rsidRPr="00DB5095">
              <w:t>-58.0</w:t>
            </w:r>
            <w:r>
              <w:t xml:space="preserve"> </w:t>
            </w:r>
          </w:p>
        </w:tc>
        <w:tc>
          <w:tcPr>
            <w:tcW w:w="250" w:type="pct"/>
          </w:tcPr>
          <w:p w14:paraId="5F318C18" w14:textId="77777777" w:rsidR="006A226B" w:rsidRPr="00DB5095" w:rsidRDefault="006A226B" w:rsidP="00464F89">
            <w:pPr>
              <w:pStyle w:val="TableBody"/>
            </w:pPr>
          </w:p>
        </w:tc>
        <w:tc>
          <w:tcPr>
            <w:tcW w:w="2089" w:type="pct"/>
          </w:tcPr>
          <w:p w14:paraId="69E22702" w14:textId="2B9B2057" w:rsidR="006A226B" w:rsidRPr="00DB5095" w:rsidRDefault="006A226B" w:rsidP="00464F89">
            <w:pPr>
              <w:pStyle w:val="TableBody"/>
            </w:pPr>
            <w:r w:rsidRPr="00DB5095">
              <w:t>-70.5</w:t>
            </w:r>
            <w:r>
              <w:t xml:space="preserve"> to -</w:t>
            </w:r>
            <w:r w:rsidRPr="00DB5095">
              <w:t>45.</w:t>
            </w:r>
            <w:r>
              <w:t>5</w:t>
            </w:r>
          </w:p>
        </w:tc>
      </w:tr>
      <w:tr w:rsidR="006A226B" w:rsidRPr="00556D85" w14:paraId="38FB2CB6" w14:textId="23FF79F4" w:rsidTr="005265DE">
        <w:trPr>
          <w:trHeight w:val="362"/>
          <w:jc w:val="center"/>
        </w:trPr>
        <w:tc>
          <w:tcPr>
            <w:tcW w:w="1087" w:type="pct"/>
          </w:tcPr>
          <w:p w14:paraId="2D730919" w14:textId="77777777" w:rsidR="006A226B" w:rsidRPr="00556D85" w:rsidRDefault="006A226B" w:rsidP="00464F89">
            <w:pPr>
              <w:pStyle w:val="TableRowIndent"/>
            </w:pPr>
            <w:r w:rsidRPr="00556D85">
              <w:t>Year 7</w:t>
            </w:r>
          </w:p>
        </w:tc>
        <w:tc>
          <w:tcPr>
            <w:tcW w:w="288" w:type="pct"/>
          </w:tcPr>
          <w:p w14:paraId="60C472D4" w14:textId="77777777" w:rsidR="006A226B" w:rsidRPr="001D55CD" w:rsidRDefault="006A226B" w:rsidP="00464F89">
            <w:pPr>
              <w:pStyle w:val="TableBody"/>
            </w:pPr>
          </w:p>
        </w:tc>
        <w:tc>
          <w:tcPr>
            <w:tcW w:w="1286" w:type="pct"/>
          </w:tcPr>
          <w:p w14:paraId="3130D229" w14:textId="33663789" w:rsidR="006A226B" w:rsidRPr="00556D85" w:rsidRDefault="006A226B" w:rsidP="006A226B">
            <w:pPr>
              <w:pStyle w:val="TableBody"/>
            </w:pPr>
            <w:r w:rsidRPr="001D55CD">
              <w:t>-47.</w:t>
            </w:r>
            <w:r>
              <w:t>5</w:t>
            </w:r>
          </w:p>
        </w:tc>
        <w:tc>
          <w:tcPr>
            <w:tcW w:w="250" w:type="pct"/>
          </w:tcPr>
          <w:p w14:paraId="280E0CD4" w14:textId="77777777" w:rsidR="006A226B" w:rsidRPr="001D55CD" w:rsidRDefault="006A226B" w:rsidP="00464F89">
            <w:pPr>
              <w:pStyle w:val="TableBody"/>
            </w:pPr>
          </w:p>
        </w:tc>
        <w:tc>
          <w:tcPr>
            <w:tcW w:w="2089" w:type="pct"/>
          </w:tcPr>
          <w:p w14:paraId="1AF653A5" w14:textId="1EF83717" w:rsidR="006A226B" w:rsidRPr="001D55CD" w:rsidRDefault="006A226B" w:rsidP="00464F89">
            <w:pPr>
              <w:pStyle w:val="TableBody"/>
            </w:pPr>
            <w:r w:rsidRPr="001D55CD">
              <w:t>-58.5</w:t>
            </w:r>
            <w:r>
              <w:t xml:space="preserve"> to </w:t>
            </w:r>
            <w:r w:rsidRPr="001D55CD">
              <w:t>-36.4</w:t>
            </w:r>
          </w:p>
        </w:tc>
      </w:tr>
    </w:tbl>
    <w:p w14:paraId="7D173B17" w14:textId="70FF388E" w:rsidR="00464F89" w:rsidRDefault="00B913A7" w:rsidP="005265DE">
      <w:pPr>
        <w:jc w:val="center"/>
      </w:pPr>
      <w:r w:rsidRPr="005265DE">
        <w:rPr>
          <w:vertAlign w:val="superscript"/>
        </w:rPr>
        <w:t>a</w:t>
      </w:r>
      <w:r>
        <w:t xml:space="preserve"> mean difference in NSS between those with developmental vulnerabilities, and those without.</w:t>
      </w:r>
    </w:p>
    <w:p w14:paraId="317073A6" w14:textId="344C5D59" w:rsidR="00004A60" w:rsidRDefault="00004A60" w:rsidP="005265DE">
      <w:pPr>
        <w:pStyle w:val="Heading2"/>
        <w:spacing w:before="0"/>
      </w:pPr>
      <w:r>
        <w:t>Chapter 2</w:t>
      </w:r>
    </w:p>
    <w:p w14:paraId="2108036A" w14:textId="06316611" w:rsidR="00B913A7" w:rsidRDefault="00B913A7" w:rsidP="00B913A7">
      <w:r>
        <w:t xml:space="preserve">Table </w:t>
      </w:r>
      <w:r w:rsidR="002E5114">
        <w:t>23</w:t>
      </w:r>
      <w:r>
        <w:t xml:space="preserve"> shows the Odds Ratios obtained from the unadjusted logistic regression analyses that were performed in order to estimate proportion</w:t>
      </w:r>
      <w:r w:rsidR="002A68CD">
        <w:t>s</w:t>
      </w:r>
      <w:r>
        <w:t xml:space="preserve"> of students disengaged </w:t>
      </w:r>
      <w:r w:rsidR="002A68CD">
        <w:t>from</w:t>
      </w:r>
      <w:r>
        <w:t xml:space="preserve"> school </w:t>
      </w:r>
      <w:r w:rsidR="00081383">
        <w:t>a</w:t>
      </w:r>
      <w:r>
        <w:t>t Years 4, 5, 6 and 7 (</w:t>
      </w:r>
      <w:r w:rsidRPr="008F562A">
        <w:t>by developmental vulnerability status</w:t>
      </w:r>
      <w:r>
        <w:t>) (Figure 7).</w:t>
      </w:r>
    </w:p>
    <w:p w14:paraId="4B77B18E" w14:textId="64F6EB35" w:rsidR="00B913A7" w:rsidRPr="001B0E9A" w:rsidRDefault="001B0E9A" w:rsidP="001B0E9A">
      <w:pPr>
        <w:pStyle w:val="Caption"/>
        <w:rPr>
          <w:sz w:val="20"/>
          <w:szCs w:val="20"/>
        </w:rPr>
      </w:pPr>
      <w:bookmarkStart w:id="179" w:name="_Toc503780763"/>
      <w:r w:rsidRPr="001B0E9A">
        <w:rPr>
          <w:sz w:val="20"/>
          <w:szCs w:val="20"/>
        </w:rPr>
        <w:t xml:space="preserve">Table </w:t>
      </w:r>
      <w:r w:rsidRPr="001B0E9A">
        <w:rPr>
          <w:sz w:val="20"/>
          <w:szCs w:val="20"/>
        </w:rPr>
        <w:fldChar w:fldCharType="begin"/>
      </w:r>
      <w:r w:rsidRPr="001B0E9A">
        <w:rPr>
          <w:sz w:val="20"/>
          <w:szCs w:val="20"/>
        </w:rPr>
        <w:instrText xml:space="preserve"> SEQ Table \* ARABIC </w:instrText>
      </w:r>
      <w:r w:rsidRPr="001B0E9A">
        <w:rPr>
          <w:sz w:val="20"/>
          <w:szCs w:val="20"/>
        </w:rPr>
        <w:fldChar w:fldCharType="separate"/>
      </w:r>
      <w:r w:rsidR="004C27B3">
        <w:rPr>
          <w:noProof/>
          <w:sz w:val="20"/>
          <w:szCs w:val="20"/>
        </w:rPr>
        <w:t>23</w:t>
      </w:r>
      <w:r w:rsidRPr="001B0E9A">
        <w:rPr>
          <w:sz w:val="20"/>
          <w:szCs w:val="20"/>
        </w:rPr>
        <w:fldChar w:fldCharType="end"/>
      </w:r>
      <w:r w:rsidR="00B913A7" w:rsidRPr="001B0E9A">
        <w:rPr>
          <w:sz w:val="20"/>
          <w:szCs w:val="20"/>
        </w:rPr>
        <w:t>: Likelihood of student disengagement in Year 4, 5, 6 and 7 associated with developmental vulnerability status (unadjusted).</w:t>
      </w:r>
      <w:bookmarkEnd w:id="179"/>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Table 23. Likelihood of student disengagement in Year 4, 5, 6 and 7 associated with developmental vulnerability (unadjusted)"/>
      </w:tblPr>
      <w:tblGrid>
        <w:gridCol w:w="1129"/>
        <w:gridCol w:w="284"/>
        <w:gridCol w:w="1211"/>
        <w:gridCol w:w="284"/>
        <w:gridCol w:w="2365"/>
      </w:tblGrid>
      <w:tr w:rsidR="005265DE" w:rsidRPr="005265DE" w14:paraId="45ADCAAD" w14:textId="129CD2AA" w:rsidTr="005265DE">
        <w:trPr>
          <w:trHeight w:val="226"/>
          <w:jc w:val="center"/>
        </w:trPr>
        <w:tc>
          <w:tcPr>
            <w:tcW w:w="1129" w:type="dxa"/>
            <w:shd w:val="clear" w:color="auto" w:fill="0070C0"/>
          </w:tcPr>
          <w:p w14:paraId="67A34B03" w14:textId="77777777" w:rsidR="00081383" w:rsidRPr="005265DE" w:rsidRDefault="00081383" w:rsidP="00DD5234">
            <w:pPr>
              <w:pStyle w:val="Heading2"/>
              <w:spacing w:before="40" w:after="0"/>
              <w:outlineLvl w:val="1"/>
              <w:rPr>
                <w:color w:val="FFFFFF" w:themeColor="background1"/>
                <w:sz w:val="18"/>
                <w:szCs w:val="18"/>
              </w:rPr>
            </w:pPr>
          </w:p>
        </w:tc>
        <w:tc>
          <w:tcPr>
            <w:tcW w:w="284" w:type="dxa"/>
            <w:shd w:val="clear" w:color="auto" w:fill="0070C0"/>
          </w:tcPr>
          <w:p w14:paraId="37738243" w14:textId="77777777" w:rsidR="00081383" w:rsidRPr="005265DE" w:rsidRDefault="00081383" w:rsidP="00DD5234">
            <w:pPr>
              <w:pStyle w:val="TableHeader1"/>
              <w:spacing w:after="0" w:line="276" w:lineRule="auto"/>
            </w:pPr>
          </w:p>
        </w:tc>
        <w:tc>
          <w:tcPr>
            <w:tcW w:w="1211" w:type="dxa"/>
            <w:shd w:val="clear" w:color="auto" w:fill="0070C0"/>
          </w:tcPr>
          <w:p w14:paraId="7E81991D" w14:textId="30688D50" w:rsidR="00081383" w:rsidRPr="005265DE" w:rsidRDefault="00081383" w:rsidP="00DD5234">
            <w:pPr>
              <w:pStyle w:val="TableHeader1"/>
              <w:spacing w:after="0" w:line="276" w:lineRule="auto"/>
            </w:pPr>
            <w:r w:rsidRPr="005265DE">
              <w:t>Odds Ratio</w:t>
            </w:r>
          </w:p>
        </w:tc>
        <w:tc>
          <w:tcPr>
            <w:tcW w:w="284" w:type="dxa"/>
            <w:shd w:val="clear" w:color="auto" w:fill="0070C0"/>
          </w:tcPr>
          <w:p w14:paraId="35318302" w14:textId="77777777" w:rsidR="00081383" w:rsidRPr="005265DE" w:rsidRDefault="00081383" w:rsidP="00DD5234">
            <w:pPr>
              <w:pStyle w:val="TableHeader1"/>
              <w:spacing w:after="0" w:line="276" w:lineRule="auto"/>
            </w:pPr>
          </w:p>
        </w:tc>
        <w:tc>
          <w:tcPr>
            <w:tcW w:w="2365" w:type="dxa"/>
            <w:shd w:val="clear" w:color="auto" w:fill="0070C0"/>
          </w:tcPr>
          <w:p w14:paraId="254A6F85" w14:textId="6705FDC7" w:rsidR="00081383" w:rsidRPr="005265DE" w:rsidRDefault="00081383" w:rsidP="00DD5234">
            <w:pPr>
              <w:pStyle w:val="TableHeader1"/>
              <w:spacing w:after="0" w:line="276" w:lineRule="auto"/>
            </w:pPr>
            <w:r w:rsidRPr="005265DE">
              <w:t>95% Confidence Interval</w:t>
            </w:r>
          </w:p>
        </w:tc>
      </w:tr>
      <w:tr w:rsidR="00081383" w:rsidRPr="00B913A7" w14:paraId="795CF1B3" w14:textId="33A4F7CA" w:rsidTr="00DD5234">
        <w:trPr>
          <w:jc w:val="center"/>
        </w:trPr>
        <w:tc>
          <w:tcPr>
            <w:tcW w:w="1129" w:type="dxa"/>
            <w:shd w:val="clear" w:color="auto" w:fill="D9E2F3" w:themeFill="accent1" w:themeFillTint="33"/>
          </w:tcPr>
          <w:p w14:paraId="374532BA" w14:textId="657EC29B" w:rsidR="00081383" w:rsidRPr="005265DE" w:rsidRDefault="00081383" w:rsidP="00DD5234">
            <w:pPr>
              <w:pStyle w:val="Heading2"/>
              <w:spacing w:before="40" w:after="0"/>
              <w:outlineLvl w:val="1"/>
              <w:rPr>
                <w:sz w:val="18"/>
                <w:szCs w:val="18"/>
              </w:rPr>
            </w:pPr>
            <w:r w:rsidRPr="005265DE">
              <w:rPr>
                <w:sz w:val="18"/>
                <w:szCs w:val="18"/>
              </w:rPr>
              <w:t>Year 4</w:t>
            </w:r>
          </w:p>
        </w:tc>
        <w:tc>
          <w:tcPr>
            <w:tcW w:w="284" w:type="dxa"/>
            <w:shd w:val="clear" w:color="auto" w:fill="D9E2F3" w:themeFill="accent1" w:themeFillTint="33"/>
          </w:tcPr>
          <w:p w14:paraId="2518D135" w14:textId="77777777" w:rsidR="00081383" w:rsidRPr="00081383" w:rsidRDefault="00081383" w:rsidP="00DD5234">
            <w:pPr>
              <w:pStyle w:val="Heading2"/>
              <w:spacing w:before="40" w:after="0"/>
              <w:outlineLvl w:val="1"/>
              <w:rPr>
                <w:b w:val="0"/>
                <w:sz w:val="18"/>
                <w:szCs w:val="18"/>
              </w:rPr>
            </w:pPr>
          </w:p>
        </w:tc>
        <w:tc>
          <w:tcPr>
            <w:tcW w:w="1211" w:type="dxa"/>
            <w:shd w:val="clear" w:color="auto" w:fill="D9E2F3" w:themeFill="accent1" w:themeFillTint="33"/>
          </w:tcPr>
          <w:p w14:paraId="74B7E847" w14:textId="6559121D" w:rsidR="00081383" w:rsidRPr="005265DE" w:rsidRDefault="00081383" w:rsidP="00DD5234">
            <w:pPr>
              <w:pStyle w:val="Heading2"/>
              <w:spacing w:before="40" w:after="0"/>
              <w:jc w:val="center"/>
              <w:outlineLvl w:val="1"/>
              <w:rPr>
                <w:b w:val="0"/>
                <w:sz w:val="18"/>
                <w:szCs w:val="18"/>
              </w:rPr>
            </w:pPr>
          </w:p>
        </w:tc>
        <w:tc>
          <w:tcPr>
            <w:tcW w:w="284" w:type="dxa"/>
            <w:shd w:val="clear" w:color="auto" w:fill="D9E2F3" w:themeFill="accent1" w:themeFillTint="33"/>
          </w:tcPr>
          <w:p w14:paraId="6D921E79" w14:textId="77777777" w:rsidR="00081383" w:rsidRPr="00081383" w:rsidRDefault="00081383" w:rsidP="00DD5234">
            <w:pPr>
              <w:pStyle w:val="Heading2"/>
              <w:spacing w:before="40" w:after="0"/>
              <w:jc w:val="center"/>
              <w:outlineLvl w:val="1"/>
              <w:rPr>
                <w:b w:val="0"/>
                <w:sz w:val="18"/>
                <w:szCs w:val="18"/>
              </w:rPr>
            </w:pPr>
          </w:p>
        </w:tc>
        <w:tc>
          <w:tcPr>
            <w:tcW w:w="2365" w:type="dxa"/>
            <w:shd w:val="clear" w:color="auto" w:fill="D9E2F3" w:themeFill="accent1" w:themeFillTint="33"/>
          </w:tcPr>
          <w:p w14:paraId="5AC2DC3E" w14:textId="77777777" w:rsidR="00081383" w:rsidRPr="00081383" w:rsidRDefault="00081383" w:rsidP="00DD5234">
            <w:pPr>
              <w:pStyle w:val="Heading2"/>
              <w:spacing w:before="40" w:after="0"/>
              <w:jc w:val="center"/>
              <w:outlineLvl w:val="1"/>
              <w:rPr>
                <w:b w:val="0"/>
                <w:sz w:val="18"/>
                <w:szCs w:val="18"/>
              </w:rPr>
            </w:pPr>
          </w:p>
        </w:tc>
      </w:tr>
      <w:tr w:rsidR="00081383" w:rsidRPr="00B913A7" w14:paraId="63594663" w14:textId="00882AE4" w:rsidTr="005265DE">
        <w:trPr>
          <w:jc w:val="center"/>
        </w:trPr>
        <w:tc>
          <w:tcPr>
            <w:tcW w:w="1129" w:type="dxa"/>
          </w:tcPr>
          <w:p w14:paraId="662A711E" w14:textId="35755734" w:rsidR="00081383" w:rsidRPr="00081383" w:rsidRDefault="00081383" w:rsidP="00DD5234">
            <w:pPr>
              <w:pStyle w:val="Heading2"/>
              <w:spacing w:before="40" w:after="0"/>
              <w:outlineLvl w:val="1"/>
              <w:rPr>
                <w:b w:val="0"/>
                <w:sz w:val="18"/>
                <w:szCs w:val="18"/>
              </w:rPr>
            </w:pPr>
            <w:r>
              <w:rPr>
                <w:b w:val="0"/>
                <w:sz w:val="18"/>
                <w:szCs w:val="18"/>
              </w:rPr>
              <w:t>Not-DV</w:t>
            </w:r>
          </w:p>
        </w:tc>
        <w:tc>
          <w:tcPr>
            <w:tcW w:w="284" w:type="dxa"/>
          </w:tcPr>
          <w:p w14:paraId="656A51DA" w14:textId="77777777" w:rsidR="00081383" w:rsidRDefault="00081383" w:rsidP="00DD5234">
            <w:pPr>
              <w:pStyle w:val="Heading2"/>
              <w:spacing w:before="40" w:after="0"/>
              <w:outlineLvl w:val="1"/>
              <w:rPr>
                <w:b w:val="0"/>
                <w:sz w:val="18"/>
                <w:szCs w:val="18"/>
              </w:rPr>
            </w:pPr>
          </w:p>
        </w:tc>
        <w:tc>
          <w:tcPr>
            <w:tcW w:w="1211" w:type="dxa"/>
          </w:tcPr>
          <w:p w14:paraId="054280F1" w14:textId="441E9C98" w:rsidR="00081383" w:rsidRPr="00081383" w:rsidRDefault="00081383" w:rsidP="00DD5234">
            <w:pPr>
              <w:pStyle w:val="Heading2"/>
              <w:spacing w:before="40" w:after="0"/>
              <w:jc w:val="center"/>
              <w:outlineLvl w:val="1"/>
              <w:rPr>
                <w:b w:val="0"/>
                <w:sz w:val="18"/>
                <w:szCs w:val="18"/>
              </w:rPr>
            </w:pPr>
            <w:r>
              <w:rPr>
                <w:b w:val="0"/>
                <w:sz w:val="18"/>
                <w:szCs w:val="18"/>
              </w:rPr>
              <w:t>Ref</w:t>
            </w:r>
          </w:p>
        </w:tc>
        <w:tc>
          <w:tcPr>
            <w:tcW w:w="284" w:type="dxa"/>
          </w:tcPr>
          <w:p w14:paraId="59689707" w14:textId="77777777" w:rsidR="00081383" w:rsidRDefault="00081383" w:rsidP="00DD5234">
            <w:pPr>
              <w:pStyle w:val="Heading2"/>
              <w:spacing w:before="40" w:after="0"/>
              <w:jc w:val="center"/>
              <w:outlineLvl w:val="1"/>
              <w:rPr>
                <w:b w:val="0"/>
                <w:sz w:val="18"/>
                <w:szCs w:val="18"/>
              </w:rPr>
            </w:pPr>
          </w:p>
        </w:tc>
        <w:tc>
          <w:tcPr>
            <w:tcW w:w="2365" w:type="dxa"/>
          </w:tcPr>
          <w:p w14:paraId="02E223AE" w14:textId="77777777" w:rsidR="00081383" w:rsidRDefault="00081383" w:rsidP="00DD5234">
            <w:pPr>
              <w:pStyle w:val="Heading2"/>
              <w:spacing w:before="40" w:after="0"/>
              <w:jc w:val="center"/>
              <w:outlineLvl w:val="1"/>
              <w:rPr>
                <w:b w:val="0"/>
                <w:sz w:val="18"/>
                <w:szCs w:val="18"/>
              </w:rPr>
            </w:pPr>
          </w:p>
        </w:tc>
      </w:tr>
      <w:tr w:rsidR="00081383" w:rsidRPr="00B913A7" w14:paraId="5422EC8F" w14:textId="387F7C31" w:rsidTr="005265DE">
        <w:trPr>
          <w:jc w:val="center"/>
        </w:trPr>
        <w:tc>
          <w:tcPr>
            <w:tcW w:w="1129" w:type="dxa"/>
          </w:tcPr>
          <w:p w14:paraId="245AE821" w14:textId="5ADA10E6" w:rsidR="00081383" w:rsidRDefault="00081383" w:rsidP="00DD5234">
            <w:pPr>
              <w:pStyle w:val="Heading2"/>
              <w:spacing w:before="40" w:after="0"/>
              <w:outlineLvl w:val="1"/>
              <w:rPr>
                <w:b w:val="0"/>
                <w:sz w:val="18"/>
                <w:szCs w:val="18"/>
              </w:rPr>
            </w:pPr>
            <w:r>
              <w:rPr>
                <w:b w:val="0"/>
                <w:sz w:val="18"/>
                <w:szCs w:val="18"/>
              </w:rPr>
              <w:t>DV</w:t>
            </w:r>
          </w:p>
        </w:tc>
        <w:tc>
          <w:tcPr>
            <w:tcW w:w="284" w:type="dxa"/>
          </w:tcPr>
          <w:p w14:paraId="4BFA99A7" w14:textId="77777777" w:rsidR="00081383" w:rsidRPr="0062250B" w:rsidRDefault="00081383" w:rsidP="00DD5234">
            <w:pPr>
              <w:pStyle w:val="Heading2"/>
              <w:spacing w:before="40" w:after="0"/>
              <w:outlineLvl w:val="1"/>
              <w:rPr>
                <w:b w:val="0"/>
                <w:sz w:val="18"/>
                <w:szCs w:val="18"/>
              </w:rPr>
            </w:pPr>
          </w:p>
        </w:tc>
        <w:tc>
          <w:tcPr>
            <w:tcW w:w="1211" w:type="dxa"/>
          </w:tcPr>
          <w:p w14:paraId="4E880B36" w14:textId="36020CFB" w:rsidR="00081383" w:rsidRPr="00081383" w:rsidRDefault="00081383" w:rsidP="00DD5234">
            <w:pPr>
              <w:pStyle w:val="Heading2"/>
              <w:spacing w:before="40" w:after="0"/>
              <w:jc w:val="center"/>
              <w:outlineLvl w:val="1"/>
              <w:rPr>
                <w:b w:val="0"/>
                <w:sz w:val="18"/>
                <w:szCs w:val="18"/>
              </w:rPr>
            </w:pPr>
            <w:r w:rsidRPr="0062250B">
              <w:rPr>
                <w:b w:val="0"/>
                <w:sz w:val="18"/>
                <w:szCs w:val="18"/>
              </w:rPr>
              <w:t>2.32</w:t>
            </w:r>
          </w:p>
        </w:tc>
        <w:tc>
          <w:tcPr>
            <w:tcW w:w="284" w:type="dxa"/>
          </w:tcPr>
          <w:p w14:paraId="12EE3DE3" w14:textId="77777777" w:rsidR="00081383" w:rsidRPr="0062250B" w:rsidRDefault="00081383" w:rsidP="00DD5234">
            <w:pPr>
              <w:pStyle w:val="Heading2"/>
              <w:spacing w:before="40" w:after="0"/>
              <w:jc w:val="center"/>
              <w:outlineLvl w:val="1"/>
              <w:rPr>
                <w:b w:val="0"/>
                <w:sz w:val="18"/>
                <w:szCs w:val="18"/>
              </w:rPr>
            </w:pPr>
          </w:p>
        </w:tc>
        <w:tc>
          <w:tcPr>
            <w:tcW w:w="2365" w:type="dxa"/>
          </w:tcPr>
          <w:p w14:paraId="0DCC28B3" w14:textId="2205F1AC" w:rsidR="00081383" w:rsidRPr="0062250B" w:rsidRDefault="00081383" w:rsidP="00DD5234">
            <w:pPr>
              <w:pStyle w:val="Heading2"/>
              <w:spacing w:before="40" w:after="0"/>
              <w:jc w:val="center"/>
              <w:outlineLvl w:val="1"/>
              <w:rPr>
                <w:b w:val="0"/>
                <w:sz w:val="18"/>
                <w:szCs w:val="18"/>
              </w:rPr>
            </w:pPr>
            <w:r w:rsidRPr="0062250B">
              <w:rPr>
                <w:b w:val="0"/>
                <w:sz w:val="18"/>
                <w:szCs w:val="18"/>
              </w:rPr>
              <w:t>1.42 to 3.77</w:t>
            </w:r>
          </w:p>
        </w:tc>
      </w:tr>
      <w:tr w:rsidR="00081383" w:rsidRPr="00B913A7" w14:paraId="6D91E374" w14:textId="6C420B6E" w:rsidTr="00DD5234">
        <w:trPr>
          <w:jc w:val="center"/>
        </w:trPr>
        <w:tc>
          <w:tcPr>
            <w:tcW w:w="1129" w:type="dxa"/>
            <w:shd w:val="clear" w:color="auto" w:fill="D9E2F3" w:themeFill="accent1" w:themeFillTint="33"/>
          </w:tcPr>
          <w:p w14:paraId="7DB14F71" w14:textId="05E20FF2" w:rsidR="00081383" w:rsidRPr="005265DE" w:rsidRDefault="00081383" w:rsidP="00DD5234">
            <w:pPr>
              <w:pStyle w:val="Heading2"/>
              <w:spacing w:before="40" w:after="0"/>
              <w:outlineLvl w:val="1"/>
              <w:rPr>
                <w:sz w:val="18"/>
                <w:szCs w:val="18"/>
              </w:rPr>
            </w:pPr>
            <w:r w:rsidRPr="005265DE">
              <w:rPr>
                <w:sz w:val="18"/>
                <w:szCs w:val="18"/>
              </w:rPr>
              <w:t>Year 5</w:t>
            </w:r>
          </w:p>
        </w:tc>
        <w:tc>
          <w:tcPr>
            <w:tcW w:w="284" w:type="dxa"/>
            <w:shd w:val="clear" w:color="auto" w:fill="D9E2F3" w:themeFill="accent1" w:themeFillTint="33"/>
          </w:tcPr>
          <w:p w14:paraId="6AB4188F" w14:textId="77777777" w:rsidR="00081383" w:rsidRPr="00081383" w:rsidRDefault="00081383" w:rsidP="00DD5234">
            <w:pPr>
              <w:pStyle w:val="Heading2"/>
              <w:spacing w:before="40" w:after="0"/>
              <w:outlineLvl w:val="1"/>
              <w:rPr>
                <w:b w:val="0"/>
                <w:sz w:val="18"/>
                <w:szCs w:val="18"/>
              </w:rPr>
            </w:pPr>
          </w:p>
        </w:tc>
        <w:tc>
          <w:tcPr>
            <w:tcW w:w="1211" w:type="dxa"/>
            <w:shd w:val="clear" w:color="auto" w:fill="D9E2F3" w:themeFill="accent1" w:themeFillTint="33"/>
          </w:tcPr>
          <w:p w14:paraId="1641A627" w14:textId="7E3E4FFC" w:rsidR="00081383" w:rsidRPr="005265DE" w:rsidRDefault="00081383" w:rsidP="00DD5234">
            <w:pPr>
              <w:pStyle w:val="Heading2"/>
              <w:spacing w:before="40" w:after="0"/>
              <w:jc w:val="center"/>
              <w:outlineLvl w:val="1"/>
              <w:rPr>
                <w:b w:val="0"/>
                <w:sz w:val="18"/>
                <w:szCs w:val="18"/>
              </w:rPr>
            </w:pPr>
          </w:p>
        </w:tc>
        <w:tc>
          <w:tcPr>
            <w:tcW w:w="284" w:type="dxa"/>
            <w:shd w:val="clear" w:color="auto" w:fill="D9E2F3" w:themeFill="accent1" w:themeFillTint="33"/>
          </w:tcPr>
          <w:p w14:paraId="313E8320" w14:textId="77777777" w:rsidR="00081383" w:rsidRPr="00081383" w:rsidRDefault="00081383" w:rsidP="00DD5234">
            <w:pPr>
              <w:pStyle w:val="Heading2"/>
              <w:spacing w:before="40" w:after="0"/>
              <w:jc w:val="center"/>
              <w:outlineLvl w:val="1"/>
              <w:rPr>
                <w:b w:val="0"/>
                <w:sz w:val="18"/>
                <w:szCs w:val="18"/>
              </w:rPr>
            </w:pPr>
          </w:p>
        </w:tc>
        <w:tc>
          <w:tcPr>
            <w:tcW w:w="2365" w:type="dxa"/>
            <w:shd w:val="clear" w:color="auto" w:fill="D9E2F3" w:themeFill="accent1" w:themeFillTint="33"/>
          </w:tcPr>
          <w:p w14:paraId="3CBD61D7" w14:textId="09A2B5C6" w:rsidR="00081383" w:rsidRPr="00081383" w:rsidRDefault="00081383" w:rsidP="00DD5234">
            <w:pPr>
              <w:pStyle w:val="Heading2"/>
              <w:spacing w:before="40" w:after="0"/>
              <w:jc w:val="center"/>
              <w:outlineLvl w:val="1"/>
              <w:rPr>
                <w:b w:val="0"/>
                <w:sz w:val="18"/>
                <w:szCs w:val="18"/>
              </w:rPr>
            </w:pPr>
          </w:p>
        </w:tc>
      </w:tr>
      <w:tr w:rsidR="00081383" w:rsidRPr="00B913A7" w14:paraId="0DDC69AA" w14:textId="485F37B7" w:rsidTr="005265DE">
        <w:trPr>
          <w:jc w:val="center"/>
        </w:trPr>
        <w:tc>
          <w:tcPr>
            <w:tcW w:w="1129" w:type="dxa"/>
          </w:tcPr>
          <w:p w14:paraId="56A9CC05" w14:textId="7821679A" w:rsidR="00081383" w:rsidRPr="00081383" w:rsidRDefault="00081383" w:rsidP="00DD5234">
            <w:pPr>
              <w:pStyle w:val="Heading2"/>
              <w:spacing w:before="40" w:after="0"/>
              <w:outlineLvl w:val="1"/>
              <w:rPr>
                <w:b w:val="0"/>
                <w:sz w:val="18"/>
                <w:szCs w:val="18"/>
              </w:rPr>
            </w:pPr>
            <w:r>
              <w:rPr>
                <w:b w:val="0"/>
                <w:sz w:val="18"/>
                <w:szCs w:val="18"/>
              </w:rPr>
              <w:t>Not-DV</w:t>
            </w:r>
          </w:p>
        </w:tc>
        <w:tc>
          <w:tcPr>
            <w:tcW w:w="284" w:type="dxa"/>
          </w:tcPr>
          <w:p w14:paraId="33CBC899" w14:textId="77777777" w:rsidR="00081383" w:rsidRPr="00081383" w:rsidRDefault="00081383" w:rsidP="00DD5234">
            <w:pPr>
              <w:pStyle w:val="Heading2"/>
              <w:spacing w:before="40" w:after="0"/>
              <w:outlineLvl w:val="1"/>
              <w:rPr>
                <w:b w:val="0"/>
                <w:sz w:val="18"/>
                <w:szCs w:val="18"/>
              </w:rPr>
            </w:pPr>
          </w:p>
        </w:tc>
        <w:tc>
          <w:tcPr>
            <w:tcW w:w="1211" w:type="dxa"/>
          </w:tcPr>
          <w:p w14:paraId="4B04AFE3" w14:textId="0A93755A" w:rsidR="00081383" w:rsidRPr="00081383" w:rsidRDefault="00081383" w:rsidP="00DD5234">
            <w:pPr>
              <w:pStyle w:val="Heading2"/>
              <w:spacing w:before="40" w:after="0"/>
              <w:jc w:val="center"/>
              <w:outlineLvl w:val="1"/>
              <w:rPr>
                <w:b w:val="0"/>
                <w:sz w:val="18"/>
                <w:szCs w:val="18"/>
              </w:rPr>
            </w:pPr>
            <w:r>
              <w:rPr>
                <w:b w:val="0"/>
                <w:sz w:val="18"/>
                <w:szCs w:val="18"/>
              </w:rPr>
              <w:t>Ref</w:t>
            </w:r>
          </w:p>
        </w:tc>
        <w:tc>
          <w:tcPr>
            <w:tcW w:w="284" w:type="dxa"/>
          </w:tcPr>
          <w:p w14:paraId="191FBD74" w14:textId="77777777" w:rsidR="00081383" w:rsidRPr="00081383" w:rsidRDefault="00081383" w:rsidP="00DD5234">
            <w:pPr>
              <w:pStyle w:val="Heading2"/>
              <w:spacing w:before="40" w:after="0"/>
              <w:jc w:val="center"/>
              <w:outlineLvl w:val="1"/>
              <w:rPr>
                <w:b w:val="0"/>
                <w:sz w:val="18"/>
                <w:szCs w:val="18"/>
              </w:rPr>
            </w:pPr>
          </w:p>
        </w:tc>
        <w:tc>
          <w:tcPr>
            <w:tcW w:w="2365" w:type="dxa"/>
          </w:tcPr>
          <w:p w14:paraId="07E953AE" w14:textId="77777777" w:rsidR="00081383" w:rsidRPr="00081383" w:rsidRDefault="00081383" w:rsidP="00DD5234">
            <w:pPr>
              <w:pStyle w:val="Heading2"/>
              <w:spacing w:before="40" w:after="0"/>
              <w:jc w:val="center"/>
              <w:outlineLvl w:val="1"/>
              <w:rPr>
                <w:b w:val="0"/>
                <w:sz w:val="18"/>
                <w:szCs w:val="18"/>
              </w:rPr>
            </w:pPr>
          </w:p>
        </w:tc>
      </w:tr>
      <w:tr w:rsidR="00081383" w:rsidRPr="00B913A7" w14:paraId="1ED2343F" w14:textId="77777777" w:rsidTr="005265DE">
        <w:trPr>
          <w:jc w:val="center"/>
        </w:trPr>
        <w:tc>
          <w:tcPr>
            <w:tcW w:w="1129" w:type="dxa"/>
          </w:tcPr>
          <w:p w14:paraId="1190B8C1" w14:textId="34906EE4" w:rsidR="00081383" w:rsidRPr="00081383" w:rsidRDefault="00081383" w:rsidP="00DD5234">
            <w:pPr>
              <w:pStyle w:val="Heading2"/>
              <w:spacing w:before="40" w:after="0"/>
              <w:outlineLvl w:val="1"/>
              <w:rPr>
                <w:b w:val="0"/>
                <w:sz w:val="18"/>
                <w:szCs w:val="18"/>
              </w:rPr>
            </w:pPr>
            <w:r>
              <w:rPr>
                <w:b w:val="0"/>
                <w:sz w:val="18"/>
                <w:szCs w:val="18"/>
              </w:rPr>
              <w:t>DV</w:t>
            </w:r>
          </w:p>
        </w:tc>
        <w:tc>
          <w:tcPr>
            <w:tcW w:w="284" w:type="dxa"/>
          </w:tcPr>
          <w:p w14:paraId="780C793C" w14:textId="77777777" w:rsidR="00081383" w:rsidRPr="00081383" w:rsidRDefault="00081383" w:rsidP="00DD5234">
            <w:pPr>
              <w:pStyle w:val="Heading2"/>
              <w:spacing w:before="40" w:after="0"/>
              <w:outlineLvl w:val="1"/>
              <w:rPr>
                <w:b w:val="0"/>
                <w:sz w:val="18"/>
                <w:szCs w:val="18"/>
              </w:rPr>
            </w:pPr>
          </w:p>
        </w:tc>
        <w:tc>
          <w:tcPr>
            <w:tcW w:w="1211" w:type="dxa"/>
          </w:tcPr>
          <w:p w14:paraId="1193EAAF" w14:textId="07B8C7A3" w:rsidR="00081383" w:rsidRPr="00081383" w:rsidRDefault="00081383" w:rsidP="00DD5234">
            <w:pPr>
              <w:pStyle w:val="Heading2"/>
              <w:spacing w:before="40" w:after="0"/>
              <w:jc w:val="center"/>
              <w:outlineLvl w:val="1"/>
              <w:rPr>
                <w:b w:val="0"/>
                <w:sz w:val="18"/>
                <w:szCs w:val="18"/>
              </w:rPr>
            </w:pPr>
            <w:r w:rsidRPr="0062250B">
              <w:rPr>
                <w:b w:val="0"/>
                <w:sz w:val="18"/>
                <w:szCs w:val="18"/>
              </w:rPr>
              <w:t>1.6</w:t>
            </w:r>
            <w:r w:rsidRPr="00081383">
              <w:rPr>
                <w:b w:val="0"/>
                <w:sz w:val="18"/>
                <w:szCs w:val="18"/>
              </w:rPr>
              <w:t>9</w:t>
            </w:r>
          </w:p>
        </w:tc>
        <w:tc>
          <w:tcPr>
            <w:tcW w:w="284" w:type="dxa"/>
          </w:tcPr>
          <w:p w14:paraId="729F0706" w14:textId="77777777" w:rsidR="00081383" w:rsidRPr="00081383" w:rsidRDefault="00081383" w:rsidP="00DD5234">
            <w:pPr>
              <w:pStyle w:val="Heading2"/>
              <w:spacing w:before="40" w:after="0"/>
              <w:jc w:val="center"/>
              <w:outlineLvl w:val="1"/>
              <w:rPr>
                <w:b w:val="0"/>
                <w:sz w:val="18"/>
                <w:szCs w:val="18"/>
              </w:rPr>
            </w:pPr>
          </w:p>
        </w:tc>
        <w:tc>
          <w:tcPr>
            <w:tcW w:w="2365" w:type="dxa"/>
          </w:tcPr>
          <w:p w14:paraId="59DD6E02" w14:textId="75801040" w:rsidR="00081383" w:rsidRPr="00081383" w:rsidRDefault="00081383" w:rsidP="00DD5234">
            <w:pPr>
              <w:pStyle w:val="Heading2"/>
              <w:spacing w:before="40" w:after="0"/>
              <w:jc w:val="center"/>
              <w:outlineLvl w:val="1"/>
              <w:rPr>
                <w:b w:val="0"/>
                <w:sz w:val="18"/>
                <w:szCs w:val="18"/>
              </w:rPr>
            </w:pPr>
            <w:r w:rsidRPr="0062250B">
              <w:rPr>
                <w:b w:val="0"/>
                <w:sz w:val="18"/>
                <w:szCs w:val="18"/>
              </w:rPr>
              <w:t>1.05 to 2.70</w:t>
            </w:r>
          </w:p>
        </w:tc>
      </w:tr>
      <w:tr w:rsidR="00081383" w:rsidRPr="00B913A7" w14:paraId="54F6AA03" w14:textId="1D3BF8C7" w:rsidTr="00DD5234">
        <w:trPr>
          <w:jc w:val="center"/>
        </w:trPr>
        <w:tc>
          <w:tcPr>
            <w:tcW w:w="1129" w:type="dxa"/>
            <w:shd w:val="clear" w:color="auto" w:fill="D9E2F3" w:themeFill="accent1" w:themeFillTint="33"/>
          </w:tcPr>
          <w:p w14:paraId="066C99CF" w14:textId="1A7ADC28" w:rsidR="00081383" w:rsidRPr="005265DE" w:rsidRDefault="00081383" w:rsidP="00DD5234">
            <w:pPr>
              <w:pStyle w:val="Heading2"/>
              <w:spacing w:before="40" w:after="0"/>
              <w:outlineLvl w:val="1"/>
              <w:rPr>
                <w:sz w:val="18"/>
                <w:szCs w:val="18"/>
              </w:rPr>
            </w:pPr>
            <w:r w:rsidRPr="005265DE">
              <w:rPr>
                <w:sz w:val="18"/>
                <w:szCs w:val="18"/>
              </w:rPr>
              <w:t>Year 6</w:t>
            </w:r>
          </w:p>
        </w:tc>
        <w:tc>
          <w:tcPr>
            <w:tcW w:w="284" w:type="dxa"/>
            <w:shd w:val="clear" w:color="auto" w:fill="D9E2F3" w:themeFill="accent1" w:themeFillTint="33"/>
          </w:tcPr>
          <w:p w14:paraId="195A55EC" w14:textId="77777777" w:rsidR="00081383" w:rsidRPr="00081383" w:rsidRDefault="00081383" w:rsidP="00DD5234">
            <w:pPr>
              <w:pStyle w:val="Heading2"/>
              <w:spacing w:before="40" w:after="0"/>
              <w:outlineLvl w:val="1"/>
              <w:rPr>
                <w:b w:val="0"/>
                <w:sz w:val="18"/>
                <w:szCs w:val="18"/>
              </w:rPr>
            </w:pPr>
          </w:p>
        </w:tc>
        <w:tc>
          <w:tcPr>
            <w:tcW w:w="1211" w:type="dxa"/>
            <w:shd w:val="clear" w:color="auto" w:fill="D9E2F3" w:themeFill="accent1" w:themeFillTint="33"/>
          </w:tcPr>
          <w:p w14:paraId="0F5542F7" w14:textId="146DBF41" w:rsidR="00081383" w:rsidRPr="005265DE" w:rsidRDefault="00081383" w:rsidP="00DD5234">
            <w:pPr>
              <w:pStyle w:val="Heading2"/>
              <w:spacing w:before="40" w:after="0"/>
              <w:jc w:val="center"/>
              <w:outlineLvl w:val="1"/>
              <w:rPr>
                <w:b w:val="0"/>
                <w:sz w:val="18"/>
                <w:szCs w:val="18"/>
              </w:rPr>
            </w:pPr>
          </w:p>
        </w:tc>
        <w:tc>
          <w:tcPr>
            <w:tcW w:w="284" w:type="dxa"/>
            <w:shd w:val="clear" w:color="auto" w:fill="D9E2F3" w:themeFill="accent1" w:themeFillTint="33"/>
          </w:tcPr>
          <w:p w14:paraId="198A4F38" w14:textId="77777777" w:rsidR="00081383" w:rsidRPr="00081383" w:rsidRDefault="00081383" w:rsidP="00DD5234">
            <w:pPr>
              <w:pStyle w:val="Heading2"/>
              <w:spacing w:before="40" w:after="0"/>
              <w:jc w:val="center"/>
              <w:outlineLvl w:val="1"/>
              <w:rPr>
                <w:b w:val="0"/>
                <w:sz w:val="18"/>
                <w:szCs w:val="18"/>
              </w:rPr>
            </w:pPr>
          </w:p>
        </w:tc>
        <w:tc>
          <w:tcPr>
            <w:tcW w:w="2365" w:type="dxa"/>
            <w:shd w:val="clear" w:color="auto" w:fill="D9E2F3" w:themeFill="accent1" w:themeFillTint="33"/>
          </w:tcPr>
          <w:p w14:paraId="20C3B779" w14:textId="77777777" w:rsidR="00081383" w:rsidRPr="00081383" w:rsidRDefault="00081383" w:rsidP="00DD5234">
            <w:pPr>
              <w:pStyle w:val="Heading2"/>
              <w:spacing w:before="40" w:after="0"/>
              <w:jc w:val="center"/>
              <w:outlineLvl w:val="1"/>
              <w:rPr>
                <w:b w:val="0"/>
                <w:sz w:val="18"/>
                <w:szCs w:val="18"/>
              </w:rPr>
            </w:pPr>
          </w:p>
        </w:tc>
      </w:tr>
      <w:tr w:rsidR="00081383" w:rsidRPr="00B913A7" w14:paraId="0DEB79C3" w14:textId="0F6253E2" w:rsidTr="005265DE">
        <w:trPr>
          <w:jc w:val="center"/>
        </w:trPr>
        <w:tc>
          <w:tcPr>
            <w:tcW w:w="1129" w:type="dxa"/>
          </w:tcPr>
          <w:p w14:paraId="0EE26D72" w14:textId="642A446D" w:rsidR="00081383" w:rsidRPr="00081383" w:rsidRDefault="00081383" w:rsidP="00DD5234">
            <w:pPr>
              <w:pStyle w:val="Heading2"/>
              <w:spacing w:before="40" w:after="0"/>
              <w:outlineLvl w:val="1"/>
              <w:rPr>
                <w:b w:val="0"/>
                <w:sz w:val="18"/>
                <w:szCs w:val="18"/>
              </w:rPr>
            </w:pPr>
            <w:r>
              <w:rPr>
                <w:b w:val="0"/>
                <w:sz w:val="18"/>
                <w:szCs w:val="18"/>
              </w:rPr>
              <w:t>Not-DV</w:t>
            </w:r>
          </w:p>
        </w:tc>
        <w:tc>
          <w:tcPr>
            <w:tcW w:w="284" w:type="dxa"/>
          </w:tcPr>
          <w:p w14:paraId="23206362" w14:textId="77777777" w:rsidR="00081383" w:rsidRPr="00081383" w:rsidRDefault="00081383" w:rsidP="00DD5234">
            <w:pPr>
              <w:pStyle w:val="Heading2"/>
              <w:spacing w:before="40" w:after="0"/>
              <w:outlineLvl w:val="1"/>
              <w:rPr>
                <w:b w:val="0"/>
                <w:sz w:val="18"/>
                <w:szCs w:val="18"/>
              </w:rPr>
            </w:pPr>
          </w:p>
        </w:tc>
        <w:tc>
          <w:tcPr>
            <w:tcW w:w="1211" w:type="dxa"/>
          </w:tcPr>
          <w:p w14:paraId="1F8D61BE" w14:textId="1905B23C" w:rsidR="00081383" w:rsidRPr="00081383" w:rsidRDefault="00081383" w:rsidP="00DD5234">
            <w:pPr>
              <w:pStyle w:val="Heading2"/>
              <w:spacing w:before="40" w:after="0"/>
              <w:jc w:val="center"/>
              <w:outlineLvl w:val="1"/>
              <w:rPr>
                <w:b w:val="0"/>
                <w:sz w:val="18"/>
                <w:szCs w:val="18"/>
              </w:rPr>
            </w:pPr>
            <w:r>
              <w:rPr>
                <w:b w:val="0"/>
                <w:sz w:val="18"/>
                <w:szCs w:val="18"/>
              </w:rPr>
              <w:t>Ref</w:t>
            </w:r>
          </w:p>
        </w:tc>
        <w:tc>
          <w:tcPr>
            <w:tcW w:w="284" w:type="dxa"/>
          </w:tcPr>
          <w:p w14:paraId="2D3936D3" w14:textId="77777777" w:rsidR="00081383" w:rsidRPr="00081383" w:rsidRDefault="00081383" w:rsidP="00DD5234">
            <w:pPr>
              <w:pStyle w:val="Heading2"/>
              <w:spacing w:before="40" w:after="0"/>
              <w:jc w:val="center"/>
              <w:outlineLvl w:val="1"/>
              <w:rPr>
                <w:b w:val="0"/>
                <w:sz w:val="18"/>
                <w:szCs w:val="18"/>
              </w:rPr>
            </w:pPr>
          </w:p>
        </w:tc>
        <w:tc>
          <w:tcPr>
            <w:tcW w:w="2365" w:type="dxa"/>
          </w:tcPr>
          <w:p w14:paraId="4A38BE0C" w14:textId="6CE9AA95" w:rsidR="00081383" w:rsidRPr="00081383" w:rsidRDefault="00081383" w:rsidP="00DD5234">
            <w:pPr>
              <w:pStyle w:val="Heading2"/>
              <w:spacing w:before="40" w:after="0"/>
              <w:jc w:val="center"/>
              <w:outlineLvl w:val="1"/>
              <w:rPr>
                <w:b w:val="0"/>
                <w:sz w:val="18"/>
                <w:szCs w:val="18"/>
              </w:rPr>
            </w:pPr>
          </w:p>
        </w:tc>
      </w:tr>
      <w:tr w:rsidR="00081383" w:rsidRPr="00B913A7" w14:paraId="37ECD6EF" w14:textId="77777777" w:rsidTr="005265DE">
        <w:trPr>
          <w:jc w:val="center"/>
        </w:trPr>
        <w:tc>
          <w:tcPr>
            <w:tcW w:w="1129" w:type="dxa"/>
          </w:tcPr>
          <w:p w14:paraId="36786125" w14:textId="448FEE3A" w:rsidR="00081383" w:rsidRPr="00081383" w:rsidRDefault="00081383" w:rsidP="00DD5234">
            <w:pPr>
              <w:pStyle w:val="Heading2"/>
              <w:spacing w:before="40" w:after="0"/>
              <w:outlineLvl w:val="1"/>
              <w:rPr>
                <w:b w:val="0"/>
                <w:sz w:val="18"/>
                <w:szCs w:val="18"/>
              </w:rPr>
            </w:pPr>
            <w:r>
              <w:rPr>
                <w:b w:val="0"/>
                <w:sz w:val="18"/>
                <w:szCs w:val="18"/>
              </w:rPr>
              <w:t>DV</w:t>
            </w:r>
          </w:p>
        </w:tc>
        <w:tc>
          <w:tcPr>
            <w:tcW w:w="284" w:type="dxa"/>
          </w:tcPr>
          <w:p w14:paraId="433391B9" w14:textId="77777777" w:rsidR="00081383" w:rsidRPr="00081383" w:rsidRDefault="00081383" w:rsidP="00DD5234">
            <w:pPr>
              <w:pStyle w:val="Heading2"/>
              <w:spacing w:before="40" w:after="0"/>
              <w:outlineLvl w:val="1"/>
              <w:rPr>
                <w:b w:val="0"/>
                <w:sz w:val="18"/>
                <w:szCs w:val="18"/>
              </w:rPr>
            </w:pPr>
          </w:p>
        </w:tc>
        <w:tc>
          <w:tcPr>
            <w:tcW w:w="1211" w:type="dxa"/>
          </w:tcPr>
          <w:p w14:paraId="2C6A3269" w14:textId="514ED609" w:rsidR="00081383" w:rsidRPr="00081383" w:rsidRDefault="00081383" w:rsidP="00DD5234">
            <w:pPr>
              <w:pStyle w:val="Heading2"/>
              <w:spacing w:before="40" w:after="0"/>
              <w:jc w:val="center"/>
              <w:outlineLvl w:val="1"/>
              <w:rPr>
                <w:b w:val="0"/>
                <w:sz w:val="18"/>
                <w:szCs w:val="18"/>
              </w:rPr>
            </w:pPr>
            <w:r w:rsidRPr="0062250B">
              <w:rPr>
                <w:b w:val="0"/>
                <w:sz w:val="18"/>
                <w:szCs w:val="18"/>
              </w:rPr>
              <w:t>1.34</w:t>
            </w:r>
          </w:p>
        </w:tc>
        <w:tc>
          <w:tcPr>
            <w:tcW w:w="284" w:type="dxa"/>
          </w:tcPr>
          <w:p w14:paraId="011CB593" w14:textId="77777777" w:rsidR="00081383" w:rsidRPr="00081383" w:rsidRDefault="00081383" w:rsidP="00DD5234">
            <w:pPr>
              <w:pStyle w:val="Heading2"/>
              <w:spacing w:before="40" w:after="0"/>
              <w:jc w:val="center"/>
              <w:outlineLvl w:val="1"/>
              <w:rPr>
                <w:b w:val="0"/>
                <w:sz w:val="18"/>
                <w:szCs w:val="18"/>
              </w:rPr>
            </w:pPr>
          </w:p>
        </w:tc>
        <w:tc>
          <w:tcPr>
            <w:tcW w:w="2365" w:type="dxa"/>
          </w:tcPr>
          <w:p w14:paraId="456E6A32" w14:textId="031EB233" w:rsidR="00081383" w:rsidRPr="00081383" w:rsidRDefault="00081383" w:rsidP="00DD5234">
            <w:pPr>
              <w:pStyle w:val="Heading2"/>
              <w:spacing w:before="40" w:after="0"/>
              <w:jc w:val="center"/>
              <w:outlineLvl w:val="1"/>
              <w:rPr>
                <w:b w:val="0"/>
                <w:sz w:val="18"/>
                <w:szCs w:val="18"/>
              </w:rPr>
            </w:pPr>
            <w:r w:rsidRPr="0062250B">
              <w:rPr>
                <w:b w:val="0"/>
                <w:sz w:val="18"/>
                <w:szCs w:val="18"/>
              </w:rPr>
              <w:t>0.84 to 2.15</w:t>
            </w:r>
          </w:p>
        </w:tc>
      </w:tr>
      <w:tr w:rsidR="00081383" w:rsidRPr="00B913A7" w14:paraId="708DD80D" w14:textId="7DDFADFE" w:rsidTr="00DD5234">
        <w:trPr>
          <w:jc w:val="center"/>
        </w:trPr>
        <w:tc>
          <w:tcPr>
            <w:tcW w:w="1129" w:type="dxa"/>
            <w:shd w:val="clear" w:color="auto" w:fill="D9E2F3" w:themeFill="accent1" w:themeFillTint="33"/>
          </w:tcPr>
          <w:p w14:paraId="0781062C" w14:textId="1BC77DD5" w:rsidR="00081383" w:rsidRPr="005265DE" w:rsidRDefault="00081383" w:rsidP="00DD5234">
            <w:pPr>
              <w:pStyle w:val="Heading2"/>
              <w:spacing w:before="40" w:after="0"/>
              <w:outlineLvl w:val="1"/>
              <w:rPr>
                <w:sz w:val="18"/>
                <w:szCs w:val="18"/>
              </w:rPr>
            </w:pPr>
            <w:r w:rsidRPr="005265DE">
              <w:rPr>
                <w:sz w:val="18"/>
                <w:szCs w:val="18"/>
              </w:rPr>
              <w:t>Year 7</w:t>
            </w:r>
          </w:p>
        </w:tc>
        <w:tc>
          <w:tcPr>
            <w:tcW w:w="284" w:type="dxa"/>
            <w:shd w:val="clear" w:color="auto" w:fill="D9E2F3" w:themeFill="accent1" w:themeFillTint="33"/>
          </w:tcPr>
          <w:p w14:paraId="63AEAF98" w14:textId="77777777" w:rsidR="00081383" w:rsidRPr="00081383" w:rsidRDefault="00081383" w:rsidP="00DD5234">
            <w:pPr>
              <w:pStyle w:val="Heading2"/>
              <w:spacing w:before="40" w:after="0"/>
              <w:outlineLvl w:val="1"/>
              <w:rPr>
                <w:b w:val="0"/>
                <w:sz w:val="18"/>
                <w:szCs w:val="18"/>
              </w:rPr>
            </w:pPr>
          </w:p>
        </w:tc>
        <w:tc>
          <w:tcPr>
            <w:tcW w:w="1211" w:type="dxa"/>
            <w:shd w:val="clear" w:color="auto" w:fill="D9E2F3" w:themeFill="accent1" w:themeFillTint="33"/>
          </w:tcPr>
          <w:p w14:paraId="7BD68A8A" w14:textId="67A01CF3" w:rsidR="00081383" w:rsidRPr="005265DE" w:rsidRDefault="00081383" w:rsidP="00DD5234">
            <w:pPr>
              <w:pStyle w:val="Heading2"/>
              <w:spacing w:before="40" w:after="0"/>
              <w:jc w:val="center"/>
              <w:outlineLvl w:val="1"/>
              <w:rPr>
                <w:b w:val="0"/>
                <w:sz w:val="18"/>
                <w:szCs w:val="18"/>
              </w:rPr>
            </w:pPr>
          </w:p>
        </w:tc>
        <w:tc>
          <w:tcPr>
            <w:tcW w:w="284" w:type="dxa"/>
            <w:shd w:val="clear" w:color="auto" w:fill="D9E2F3" w:themeFill="accent1" w:themeFillTint="33"/>
          </w:tcPr>
          <w:p w14:paraId="1CF1F0AC" w14:textId="77777777" w:rsidR="00081383" w:rsidRPr="00081383" w:rsidRDefault="00081383" w:rsidP="00DD5234">
            <w:pPr>
              <w:pStyle w:val="Heading2"/>
              <w:spacing w:before="40" w:after="0"/>
              <w:jc w:val="center"/>
              <w:outlineLvl w:val="1"/>
              <w:rPr>
                <w:b w:val="0"/>
                <w:sz w:val="18"/>
                <w:szCs w:val="18"/>
              </w:rPr>
            </w:pPr>
          </w:p>
        </w:tc>
        <w:tc>
          <w:tcPr>
            <w:tcW w:w="2365" w:type="dxa"/>
            <w:shd w:val="clear" w:color="auto" w:fill="D9E2F3" w:themeFill="accent1" w:themeFillTint="33"/>
          </w:tcPr>
          <w:p w14:paraId="0922EF19" w14:textId="77777777" w:rsidR="00081383" w:rsidRPr="00081383" w:rsidRDefault="00081383" w:rsidP="00DD5234">
            <w:pPr>
              <w:pStyle w:val="Heading2"/>
              <w:spacing w:before="40" w:after="0"/>
              <w:jc w:val="center"/>
              <w:outlineLvl w:val="1"/>
              <w:rPr>
                <w:b w:val="0"/>
                <w:sz w:val="18"/>
                <w:szCs w:val="18"/>
              </w:rPr>
            </w:pPr>
          </w:p>
        </w:tc>
      </w:tr>
      <w:tr w:rsidR="00081383" w:rsidRPr="00B913A7" w14:paraId="1872C03A" w14:textId="77777777" w:rsidTr="005265DE">
        <w:trPr>
          <w:jc w:val="center"/>
        </w:trPr>
        <w:tc>
          <w:tcPr>
            <w:tcW w:w="1129" w:type="dxa"/>
          </w:tcPr>
          <w:p w14:paraId="6B87546C" w14:textId="3727D7FC" w:rsidR="00081383" w:rsidRPr="00081383" w:rsidRDefault="00081383" w:rsidP="00DD5234">
            <w:pPr>
              <w:pStyle w:val="Heading2"/>
              <w:spacing w:before="40" w:after="0"/>
              <w:outlineLvl w:val="1"/>
              <w:rPr>
                <w:b w:val="0"/>
                <w:sz w:val="18"/>
                <w:szCs w:val="18"/>
              </w:rPr>
            </w:pPr>
            <w:r>
              <w:rPr>
                <w:b w:val="0"/>
                <w:sz w:val="18"/>
                <w:szCs w:val="18"/>
              </w:rPr>
              <w:t>Not-DV</w:t>
            </w:r>
          </w:p>
        </w:tc>
        <w:tc>
          <w:tcPr>
            <w:tcW w:w="284" w:type="dxa"/>
          </w:tcPr>
          <w:p w14:paraId="41BEAA85" w14:textId="77777777" w:rsidR="00081383" w:rsidRPr="00081383" w:rsidRDefault="00081383" w:rsidP="00DD5234">
            <w:pPr>
              <w:pStyle w:val="Heading2"/>
              <w:spacing w:before="40" w:after="0"/>
              <w:outlineLvl w:val="1"/>
              <w:rPr>
                <w:b w:val="0"/>
                <w:sz w:val="18"/>
                <w:szCs w:val="18"/>
              </w:rPr>
            </w:pPr>
          </w:p>
        </w:tc>
        <w:tc>
          <w:tcPr>
            <w:tcW w:w="1211" w:type="dxa"/>
          </w:tcPr>
          <w:p w14:paraId="4AA090C0" w14:textId="43B88651" w:rsidR="00081383" w:rsidRPr="00081383" w:rsidRDefault="00081383" w:rsidP="00DD5234">
            <w:pPr>
              <w:pStyle w:val="Heading2"/>
              <w:spacing w:before="40" w:after="0"/>
              <w:jc w:val="center"/>
              <w:outlineLvl w:val="1"/>
              <w:rPr>
                <w:b w:val="0"/>
                <w:sz w:val="18"/>
                <w:szCs w:val="18"/>
              </w:rPr>
            </w:pPr>
            <w:r>
              <w:rPr>
                <w:b w:val="0"/>
                <w:sz w:val="18"/>
                <w:szCs w:val="18"/>
              </w:rPr>
              <w:t>Ref</w:t>
            </w:r>
          </w:p>
        </w:tc>
        <w:tc>
          <w:tcPr>
            <w:tcW w:w="284" w:type="dxa"/>
          </w:tcPr>
          <w:p w14:paraId="0CDDE6D3" w14:textId="77777777" w:rsidR="00081383" w:rsidRPr="00081383" w:rsidRDefault="00081383" w:rsidP="00DD5234">
            <w:pPr>
              <w:pStyle w:val="Heading2"/>
              <w:spacing w:before="40" w:after="0"/>
              <w:jc w:val="center"/>
              <w:outlineLvl w:val="1"/>
              <w:rPr>
                <w:b w:val="0"/>
                <w:sz w:val="18"/>
                <w:szCs w:val="18"/>
              </w:rPr>
            </w:pPr>
          </w:p>
        </w:tc>
        <w:tc>
          <w:tcPr>
            <w:tcW w:w="2365" w:type="dxa"/>
          </w:tcPr>
          <w:p w14:paraId="37ECF4A9" w14:textId="77777777" w:rsidR="00081383" w:rsidRPr="00081383" w:rsidRDefault="00081383" w:rsidP="00DD5234">
            <w:pPr>
              <w:pStyle w:val="Heading2"/>
              <w:spacing w:before="40" w:after="0"/>
              <w:jc w:val="center"/>
              <w:outlineLvl w:val="1"/>
              <w:rPr>
                <w:b w:val="0"/>
                <w:sz w:val="18"/>
                <w:szCs w:val="18"/>
              </w:rPr>
            </w:pPr>
          </w:p>
        </w:tc>
      </w:tr>
      <w:tr w:rsidR="00081383" w:rsidRPr="00B913A7" w14:paraId="6BC6EA00" w14:textId="77777777" w:rsidTr="005265DE">
        <w:trPr>
          <w:jc w:val="center"/>
        </w:trPr>
        <w:tc>
          <w:tcPr>
            <w:tcW w:w="1129" w:type="dxa"/>
          </w:tcPr>
          <w:p w14:paraId="39CFD40B" w14:textId="0E95C07B" w:rsidR="00081383" w:rsidRPr="00081383" w:rsidRDefault="00081383" w:rsidP="00DD5234">
            <w:pPr>
              <w:pStyle w:val="Heading2"/>
              <w:spacing w:before="40" w:after="0"/>
              <w:outlineLvl w:val="1"/>
              <w:rPr>
                <w:b w:val="0"/>
                <w:sz w:val="18"/>
                <w:szCs w:val="18"/>
              </w:rPr>
            </w:pPr>
            <w:r>
              <w:rPr>
                <w:b w:val="0"/>
                <w:sz w:val="18"/>
                <w:szCs w:val="18"/>
              </w:rPr>
              <w:t>DV</w:t>
            </w:r>
          </w:p>
        </w:tc>
        <w:tc>
          <w:tcPr>
            <w:tcW w:w="284" w:type="dxa"/>
          </w:tcPr>
          <w:p w14:paraId="750685C8" w14:textId="77777777" w:rsidR="00081383" w:rsidRPr="00081383" w:rsidRDefault="00081383" w:rsidP="00DD5234">
            <w:pPr>
              <w:pStyle w:val="Heading2"/>
              <w:spacing w:before="40" w:after="0"/>
              <w:outlineLvl w:val="1"/>
              <w:rPr>
                <w:b w:val="0"/>
                <w:sz w:val="18"/>
                <w:szCs w:val="18"/>
              </w:rPr>
            </w:pPr>
          </w:p>
        </w:tc>
        <w:tc>
          <w:tcPr>
            <w:tcW w:w="1211" w:type="dxa"/>
          </w:tcPr>
          <w:p w14:paraId="1647370E" w14:textId="04837F55" w:rsidR="00081383" w:rsidRPr="00081383" w:rsidRDefault="00081383" w:rsidP="00DD5234">
            <w:pPr>
              <w:pStyle w:val="Heading2"/>
              <w:spacing w:before="40" w:after="0"/>
              <w:jc w:val="center"/>
              <w:outlineLvl w:val="1"/>
              <w:rPr>
                <w:b w:val="0"/>
                <w:sz w:val="18"/>
                <w:szCs w:val="18"/>
              </w:rPr>
            </w:pPr>
            <w:r w:rsidRPr="0062250B">
              <w:rPr>
                <w:b w:val="0"/>
                <w:sz w:val="18"/>
                <w:szCs w:val="18"/>
              </w:rPr>
              <w:t>1.06</w:t>
            </w:r>
          </w:p>
        </w:tc>
        <w:tc>
          <w:tcPr>
            <w:tcW w:w="284" w:type="dxa"/>
          </w:tcPr>
          <w:p w14:paraId="4517CF0E" w14:textId="77777777" w:rsidR="00081383" w:rsidRPr="00081383" w:rsidRDefault="00081383" w:rsidP="00DD5234">
            <w:pPr>
              <w:pStyle w:val="Heading2"/>
              <w:spacing w:before="40" w:after="0"/>
              <w:jc w:val="center"/>
              <w:outlineLvl w:val="1"/>
              <w:rPr>
                <w:b w:val="0"/>
                <w:sz w:val="18"/>
                <w:szCs w:val="18"/>
              </w:rPr>
            </w:pPr>
          </w:p>
        </w:tc>
        <w:tc>
          <w:tcPr>
            <w:tcW w:w="2365" w:type="dxa"/>
          </w:tcPr>
          <w:p w14:paraId="3D6F240D" w14:textId="35B4A518" w:rsidR="00081383" w:rsidRPr="00081383" w:rsidRDefault="00081383" w:rsidP="00DD5234">
            <w:pPr>
              <w:pStyle w:val="Heading2"/>
              <w:spacing w:before="40" w:after="0"/>
              <w:jc w:val="center"/>
              <w:outlineLvl w:val="1"/>
              <w:rPr>
                <w:b w:val="0"/>
                <w:sz w:val="18"/>
                <w:szCs w:val="18"/>
              </w:rPr>
            </w:pPr>
            <w:r w:rsidRPr="0062250B">
              <w:rPr>
                <w:b w:val="0"/>
                <w:sz w:val="18"/>
                <w:szCs w:val="18"/>
              </w:rPr>
              <w:t>0.66 to 1.71</w:t>
            </w:r>
          </w:p>
        </w:tc>
      </w:tr>
    </w:tbl>
    <w:p w14:paraId="7775FBEF" w14:textId="77777777" w:rsidR="005265DE" w:rsidRDefault="005265DE" w:rsidP="005265DE">
      <w:pPr>
        <w:pStyle w:val="Heading2"/>
        <w:spacing w:before="0"/>
      </w:pPr>
    </w:p>
    <w:p w14:paraId="621D8831" w14:textId="77777777" w:rsidR="005265DE" w:rsidRDefault="005265DE">
      <w:pPr>
        <w:spacing w:after="0" w:line="240" w:lineRule="auto"/>
        <w:rPr>
          <w:rFonts w:eastAsiaTheme="majorEastAsia" w:cstheme="majorBidi"/>
          <w:b/>
          <w:sz w:val="24"/>
          <w:szCs w:val="24"/>
        </w:rPr>
      </w:pPr>
      <w:r>
        <w:br w:type="page"/>
      </w:r>
    </w:p>
    <w:p w14:paraId="2874D441" w14:textId="044EE7C1" w:rsidR="00004A60" w:rsidRDefault="00004A60" w:rsidP="005265DE">
      <w:pPr>
        <w:pStyle w:val="Heading2"/>
        <w:spacing w:before="0"/>
      </w:pPr>
      <w:r>
        <w:t>Chapter 3</w:t>
      </w:r>
    </w:p>
    <w:p w14:paraId="6E4E81AB" w14:textId="1FF8EA2C" w:rsidR="00B913A7" w:rsidRDefault="00B913A7" w:rsidP="00B913A7">
      <w:r>
        <w:t xml:space="preserve">Table </w:t>
      </w:r>
      <w:r w:rsidR="002E5114">
        <w:t>24</w:t>
      </w:r>
      <w:r>
        <w:t xml:space="preserve"> shows the Odds Ratios obtained from the unadjusted logistic regression analyses that were performed in order to estimate proportion</w:t>
      </w:r>
      <w:r w:rsidR="002A68CD">
        <w:t>s</w:t>
      </w:r>
      <w:r>
        <w:t xml:space="preserve"> of students </w:t>
      </w:r>
      <w:r w:rsidR="00081383">
        <w:t>with (</w:t>
      </w:r>
      <w:proofErr w:type="spellStart"/>
      <w:r w:rsidR="00081383">
        <w:t>i</w:t>
      </w:r>
      <w:proofErr w:type="spellEnd"/>
      <w:r w:rsidR="00081383">
        <w:t>) emotional problems, (ii) behaviour problems, and (ii)</w:t>
      </w:r>
      <w:r w:rsidR="00053E6F">
        <w:t xml:space="preserve"> low subjective wellbeing</w:t>
      </w:r>
      <w:r w:rsidR="00081383">
        <w:t xml:space="preserve">, </w:t>
      </w:r>
      <w:r>
        <w:t xml:space="preserve">at Years </w:t>
      </w:r>
      <w:r w:rsidR="00081383">
        <w:t xml:space="preserve">3, </w:t>
      </w:r>
      <w:r>
        <w:t>4, 5, 6 and 7 (</w:t>
      </w:r>
      <w:r w:rsidRPr="008F562A">
        <w:t>by developmental vulnerability status</w:t>
      </w:r>
      <w:r>
        <w:t xml:space="preserve">) (Figure </w:t>
      </w:r>
      <w:r w:rsidR="00081383">
        <w:t>8</w:t>
      </w:r>
      <w:r>
        <w:t>).</w:t>
      </w:r>
    </w:p>
    <w:p w14:paraId="54D16C5A" w14:textId="7E45791A" w:rsidR="00B913A7" w:rsidRPr="001B0E9A" w:rsidRDefault="001B0E9A" w:rsidP="001B0E9A">
      <w:pPr>
        <w:pStyle w:val="Caption"/>
        <w:rPr>
          <w:sz w:val="20"/>
        </w:rPr>
      </w:pPr>
      <w:bookmarkStart w:id="180" w:name="_Toc503780764"/>
      <w:r w:rsidRPr="001B0E9A">
        <w:rPr>
          <w:sz w:val="20"/>
        </w:rPr>
        <w:t xml:space="preserve">Table </w:t>
      </w:r>
      <w:r w:rsidRPr="001B0E9A">
        <w:rPr>
          <w:sz w:val="20"/>
        </w:rPr>
        <w:fldChar w:fldCharType="begin"/>
      </w:r>
      <w:r w:rsidRPr="001B0E9A">
        <w:rPr>
          <w:sz w:val="20"/>
        </w:rPr>
        <w:instrText xml:space="preserve"> SEQ Table \* ARABIC </w:instrText>
      </w:r>
      <w:r w:rsidRPr="001B0E9A">
        <w:rPr>
          <w:sz w:val="20"/>
        </w:rPr>
        <w:fldChar w:fldCharType="separate"/>
      </w:r>
      <w:r w:rsidR="004C27B3">
        <w:rPr>
          <w:noProof/>
          <w:sz w:val="20"/>
        </w:rPr>
        <w:t>24</w:t>
      </w:r>
      <w:r w:rsidRPr="001B0E9A">
        <w:rPr>
          <w:sz w:val="20"/>
        </w:rPr>
        <w:fldChar w:fldCharType="end"/>
      </w:r>
      <w:r w:rsidR="00B913A7" w:rsidRPr="001B0E9A">
        <w:rPr>
          <w:sz w:val="20"/>
        </w:rPr>
        <w:t xml:space="preserve">: </w:t>
      </w:r>
      <w:r w:rsidR="00081383" w:rsidRPr="001B0E9A">
        <w:rPr>
          <w:sz w:val="20"/>
        </w:rPr>
        <w:t>Likelihood of emotional problems</w:t>
      </w:r>
      <w:r w:rsidR="00053E6F" w:rsidRPr="001B0E9A">
        <w:rPr>
          <w:sz w:val="20"/>
        </w:rPr>
        <w:t>/behaviour problems/low subjective wellbeing</w:t>
      </w:r>
      <w:r w:rsidR="00081383" w:rsidRPr="001B0E9A">
        <w:rPr>
          <w:sz w:val="20"/>
        </w:rPr>
        <w:t xml:space="preserve"> in Year</w:t>
      </w:r>
      <w:r w:rsidR="00053E6F" w:rsidRPr="001B0E9A">
        <w:rPr>
          <w:sz w:val="20"/>
        </w:rPr>
        <w:t>s</w:t>
      </w:r>
      <w:r w:rsidR="00081383" w:rsidRPr="001B0E9A">
        <w:rPr>
          <w:sz w:val="20"/>
        </w:rPr>
        <w:t xml:space="preserve"> 3, 4, 5, 6 and 7 associated with developmental vulnerability status.</w:t>
      </w:r>
      <w:bookmarkEnd w:id="180"/>
    </w:p>
    <w:tbl>
      <w:tblPr>
        <w:tblStyle w:val="TableGrid"/>
        <w:tblpPr w:leftFromText="180" w:rightFromText="180" w:vertAnchor="text" w:tblpXSpec="center" w:tblpY="1"/>
        <w:tblOverlap w:val="never"/>
        <w:tblW w:w="0" w:type="auto"/>
        <w:tblBorders>
          <w:insideH w:val="none" w:sz="0" w:space="0" w:color="auto"/>
          <w:insideV w:val="none" w:sz="0" w:space="0" w:color="auto"/>
        </w:tblBorders>
        <w:tblLook w:val="04A0" w:firstRow="1" w:lastRow="0" w:firstColumn="1" w:lastColumn="0" w:noHBand="0" w:noVBand="1"/>
        <w:tblCaption w:val="Table 24. Likelihood of emotinal problems/behaviour problems/low subjective wellbeing in Years 3, 4, 5, 6 and 7 associated with developmental vulnerability status"/>
      </w:tblPr>
      <w:tblGrid>
        <w:gridCol w:w="1129"/>
        <w:gridCol w:w="284"/>
        <w:gridCol w:w="1211"/>
        <w:gridCol w:w="284"/>
        <w:gridCol w:w="2365"/>
      </w:tblGrid>
      <w:tr w:rsidR="00053E6F" w:rsidRPr="0062250B" w14:paraId="2F5802B1" w14:textId="77777777" w:rsidTr="005265DE">
        <w:trPr>
          <w:trHeight w:val="226"/>
        </w:trPr>
        <w:tc>
          <w:tcPr>
            <w:tcW w:w="1129" w:type="dxa"/>
            <w:shd w:val="clear" w:color="auto" w:fill="0070C0"/>
          </w:tcPr>
          <w:p w14:paraId="165C829D" w14:textId="77777777" w:rsidR="00081383" w:rsidRPr="0062250B" w:rsidRDefault="00081383">
            <w:pPr>
              <w:pStyle w:val="Heading2"/>
              <w:spacing w:before="40" w:after="40" w:line="240" w:lineRule="auto"/>
              <w:outlineLvl w:val="1"/>
              <w:rPr>
                <w:sz w:val="18"/>
                <w:szCs w:val="18"/>
              </w:rPr>
            </w:pPr>
          </w:p>
        </w:tc>
        <w:tc>
          <w:tcPr>
            <w:tcW w:w="284" w:type="dxa"/>
            <w:shd w:val="clear" w:color="auto" w:fill="0070C0"/>
          </w:tcPr>
          <w:p w14:paraId="760B7A6D" w14:textId="77777777" w:rsidR="00081383" w:rsidRPr="005265DE" w:rsidRDefault="00081383">
            <w:pPr>
              <w:pStyle w:val="TableHeader1"/>
              <w:spacing w:after="40"/>
            </w:pPr>
          </w:p>
        </w:tc>
        <w:tc>
          <w:tcPr>
            <w:tcW w:w="1211" w:type="dxa"/>
            <w:shd w:val="clear" w:color="auto" w:fill="0070C0"/>
          </w:tcPr>
          <w:p w14:paraId="3164AD0C" w14:textId="77777777" w:rsidR="00081383" w:rsidRPr="005265DE" w:rsidRDefault="00081383">
            <w:pPr>
              <w:pStyle w:val="TableHeader1"/>
              <w:spacing w:after="40"/>
            </w:pPr>
            <w:r w:rsidRPr="005265DE">
              <w:t>Odds Ratio</w:t>
            </w:r>
          </w:p>
        </w:tc>
        <w:tc>
          <w:tcPr>
            <w:tcW w:w="284" w:type="dxa"/>
            <w:shd w:val="clear" w:color="auto" w:fill="0070C0"/>
          </w:tcPr>
          <w:p w14:paraId="7E4F6C2A" w14:textId="77777777" w:rsidR="00081383" w:rsidRPr="005265DE" w:rsidRDefault="00081383">
            <w:pPr>
              <w:pStyle w:val="TableHeader1"/>
              <w:spacing w:after="40"/>
            </w:pPr>
          </w:p>
        </w:tc>
        <w:tc>
          <w:tcPr>
            <w:tcW w:w="2365" w:type="dxa"/>
            <w:shd w:val="clear" w:color="auto" w:fill="0070C0"/>
          </w:tcPr>
          <w:p w14:paraId="47F57A0C" w14:textId="77777777" w:rsidR="00081383" w:rsidRPr="005265DE" w:rsidRDefault="00081383">
            <w:pPr>
              <w:pStyle w:val="TableHeader1"/>
              <w:spacing w:after="40"/>
            </w:pPr>
            <w:r w:rsidRPr="005265DE">
              <w:t>95% Confidence Interval</w:t>
            </w:r>
          </w:p>
        </w:tc>
      </w:tr>
      <w:tr w:rsidR="00081383" w:rsidRPr="0062250B" w14:paraId="02B00BE3" w14:textId="77777777" w:rsidTr="00DD5234">
        <w:trPr>
          <w:trHeight w:val="226"/>
        </w:trPr>
        <w:tc>
          <w:tcPr>
            <w:tcW w:w="5273" w:type="dxa"/>
            <w:gridSpan w:val="5"/>
            <w:shd w:val="clear" w:color="auto" w:fill="D9E2F3" w:themeFill="accent1" w:themeFillTint="33"/>
          </w:tcPr>
          <w:p w14:paraId="01C1CBB2" w14:textId="49ACEB1A" w:rsidR="00081383" w:rsidRPr="006A226B" w:rsidRDefault="00081383" w:rsidP="005265DE">
            <w:pPr>
              <w:pStyle w:val="TableHeader1"/>
              <w:spacing w:after="40"/>
              <w:jc w:val="left"/>
              <w:rPr>
                <w:color w:val="000000" w:themeColor="text1"/>
              </w:rPr>
            </w:pPr>
            <w:r w:rsidRPr="005265DE">
              <w:rPr>
                <w:color w:val="000000" w:themeColor="text1"/>
              </w:rPr>
              <w:t>Emotional problems</w:t>
            </w:r>
          </w:p>
        </w:tc>
      </w:tr>
      <w:tr w:rsidR="00053E6F" w:rsidRPr="0062250B" w14:paraId="2AEBCADA" w14:textId="77777777" w:rsidTr="005265DE">
        <w:tc>
          <w:tcPr>
            <w:tcW w:w="1129" w:type="dxa"/>
          </w:tcPr>
          <w:p w14:paraId="5E6BFC18" w14:textId="73EBEE42" w:rsidR="00081383" w:rsidRPr="006A226B" w:rsidRDefault="00053E6F">
            <w:pPr>
              <w:pStyle w:val="Heading2"/>
              <w:spacing w:before="40" w:after="40" w:line="240" w:lineRule="auto"/>
              <w:outlineLvl w:val="1"/>
              <w:rPr>
                <w:sz w:val="18"/>
                <w:szCs w:val="18"/>
              </w:rPr>
            </w:pPr>
            <w:r w:rsidRPr="006A226B">
              <w:rPr>
                <w:sz w:val="18"/>
                <w:szCs w:val="18"/>
              </w:rPr>
              <w:t>Year 3</w:t>
            </w:r>
          </w:p>
        </w:tc>
        <w:tc>
          <w:tcPr>
            <w:tcW w:w="284" w:type="dxa"/>
          </w:tcPr>
          <w:p w14:paraId="6FB2FC9B" w14:textId="77777777" w:rsidR="00081383" w:rsidRPr="006A226B" w:rsidRDefault="00081383">
            <w:pPr>
              <w:pStyle w:val="Heading2"/>
              <w:spacing w:before="40" w:after="40" w:line="240" w:lineRule="auto"/>
              <w:outlineLvl w:val="1"/>
              <w:rPr>
                <w:b w:val="0"/>
                <w:sz w:val="18"/>
                <w:szCs w:val="18"/>
              </w:rPr>
            </w:pPr>
          </w:p>
        </w:tc>
        <w:tc>
          <w:tcPr>
            <w:tcW w:w="1211" w:type="dxa"/>
          </w:tcPr>
          <w:p w14:paraId="4091C8FC" w14:textId="77777777" w:rsidR="00081383" w:rsidRPr="002A228E" w:rsidRDefault="00081383">
            <w:pPr>
              <w:pStyle w:val="Heading2"/>
              <w:spacing w:before="40" w:after="40" w:line="240" w:lineRule="auto"/>
              <w:jc w:val="center"/>
              <w:outlineLvl w:val="1"/>
              <w:rPr>
                <w:b w:val="0"/>
                <w:sz w:val="18"/>
                <w:szCs w:val="18"/>
              </w:rPr>
            </w:pPr>
          </w:p>
        </w:tc>
        <w:tc>
          <w:tcPr>
            <w:tcW w:w="284" w:type="dxa"/>
          </w:tcPr>
          <w:p w14:paraId="33D83CFF" w14:textId="77777777" w:rsidR="00081383" w:rsidRPr="00053E6F" w:rsidRDefault="00081383">
            <w:pPr>
              <w:pStyle w:val="Heading2"/>
              <w:spacing w:before="40" w:after="40" w:line="240" w:lineRule="auto"/>
              <w:jc w:val="center"/>
              <w:outlineLvl w:val="1"/>
              <w:rPr>
                <w:b w:val="0"/>
                <w:sz w:val="18"/>
                <w:szCs w:val="18"/>
              </w:rPr>
            </w:pPr>
          </w:p>
        </w:tc>
        <w:tc>
          <w:tcPr>
            <w:tcW w:w="2365" w:type="dxa"/>
          </w:tcPr>
          <w:p w14:paraId="09A8C720" w14:textId="77777777" w:rsidR="00081383" w:rsidRPr="00053E6F" w:rsidRDefault="00081383">
            <w:pPr>
              <w:pStyle w:val="Heading2"/>
              <w:spacing w:before="40" w:after="40" w:line="240" w:lineRule="auto"/>
              <w:jc w:val="center"/>
              <w:outlineLvl w:val="1"/>
              <w:rPr>
                <w:b w:val="0"/>
                <w:sz w:val="18"/>
                <w:szCs w:val="18"/>
              </w:rPr>
            </w:pPr>
          </w:p>
        </w:tc>
      </w:tr>
      <w:tr w:rsidR="00053E6F" w:rsidRPr="0062250B" w14:paraId="1C97D34F" w14:textId="77777777" w:rsidTr="005265DE">
        <w:tc>
          <w:tcPr>
            <w:tcW w:w="1129" w:type="dxa"/>
          </w:tcPr>
          <w:p w14:paraId="29341B1A" w14:textId="45BC11F1" w:rsidR="00053E6F" w:rsidRPr="00053E6F" w:rsidRDefault="00053E6F" w:rsidP="00053E6F">
            <w:pPr>
              <w:pStyle w:val="Heading2"/>
              <w:spacing w:before="40" w:after="40" w:line="240" w:lineRule="auto"/>
              <w:outlineLvl w:val="1"/>
              <w:rPr>
                <w:sz w:val="18"/>
                <w:szCs w:val="18"/>
              </w:rPr>
            </w:pPr>
            <w:r w:rsidRPr="00053E6F">
              <w:rPr>
                <w:b w:val="0"/>
                <w:sz w:val="18"/>
                <w:szCs w:val="18"/>
              </w:rPr>
              <w:t>Not-DV</w:t>
            </w:r>
          </w:p>
        </w:tc>
        <w:tc>
          <w:tcPr>
            <w:tcW w:w="284" w:type="dxa"/>
          </w:tcPr>
          <w:p w14:paraId="4F008FB5" w14:textId="77777777" w:rsidR="00053E6F" w:rsidRPr="00053E6F" w:rsidRDefault="00053E6F" w:rsidP="00053E6F">
            <w:pPr>
              <w:pStyle w:val="Heading2"/>
              <w:spacing w:before="40" w:after="40" w:line="240" w:lineRule="auto"/>
              <w:outlineLvl w:val="1"/>
              <w:rPr>
                <w:b w:val="0"/>
                <w:sz w:val="18"/>
                <w:szCs w:val="18"/>
              </w:rPr>
            </w:pPr>
          </w:p>
        </w:tc>
        <w:tc>
          <w:tcPr>
            <w:tcW w:w="1211" w:type="dxa"/>
          </w:tcPr>
          <w:p w14:paraId="6395F5BB" w14:textId="5B091F85" w:rsidR="00053E6F" w:rsidRPr="006A226B" w:rsidRDefault="00053E6F" w:rsidP="00053E6F">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0B01051E" w14:textId="77777777" w:rsidR="00053E6F" w:rsidRPr="006A226B" w:rsidRDefault="00053E6F" w:rsidP="00053E6F">
            <w:pPr>
              <w:pStyle w:val="Heading2"/>
              <w:spacing w:before="40" w:after="40" w:line="240" w:lineRule="auto"/>
              <w:jc w:val="center"/>
              <w:outlineLvl w:val="1"/>
              <w:rPr>
                <w:b w:val="0"/>
                <w:sz w:val="18"/>
                <w:szCs w:val="18"/>
              </w:rPr>
            </w:pPr>
          </w:p>
        </w:tc>
        <w:tc>
          <w:tcPr>
            <w:tcW w:w="2365" w:type="dxa"/>
          </w:tcPr>
          <w:p w14:paraId="412DFEE1" w14:textId="77777777" w:rsidR="00053E6F" w:rsidRPr="006A226B" w:rsidRDefault="00053E6F" w:rsidP="00053E6F">
            <w:pPr>
              <w:pStyle w:val="Heading2"/>
              <w:spacing w:before="40" w:after="40" w:line="240" w:lineRule="auto"/>
              <w:jc w:val="center"/>
              <w:outlineLvl w:val="1"/>
              <w:rPr>
                <w:b w:val="0"/>
                <w:sz w:val="18"/>
                <w:szCs w:val="18"/>
              </w:rPr>
            </w:pPr>
          </w:p>
        </w:tc>
      </w:tr>
      <w:tr w:rsidR="00053E6F" w:rsidRPr="0062250B" w14:paraId="18893C88" w14:textId="77777777" w:rsidTr="005265DE">
        <w:tc>
          <w:tcPr>
            <w:tcW w:w="1129" w:type="dxa"/>
          </w:tcPr>
          <w:p w14:paraId="5E148CE5" w14:textId="080B0A69" w:rsidR="00053E6F" w:rsidRPr="006A226B" w:rsidRDefault="00053E6F" w:rsidP="00053E6F">
            <w:pPr>
              <w:pStyle w:val="Heading2"/>
              <w:spacing w:before="40" w:after="40" w:line="240" w:lineRule="auto"/>
              <w:outlineLvl w:val="1"/>
              <w:rPr>
                <w:sz w:val="18"/>
                <w:szCs w:val="18"/>
              </w:rPr>
            </w:pPr>
            <w:r w:rsidRPr="006A226B">
              <w:rPr>
                <w:b w:val="0"/>
                <w:sz w:val="18"/>
                <w:szCs w:val="18"/>
              </w:rPr>
              <w:t>DV</w:t>
            </w:r>
          </w:p>
        </w:tc>
        <w:tc>
          <w:tcPr>
            <w:tcW w:w="284" w:type="dxa"/>
          </w:tcPr>
          <w:p w14:paraId="556E07EE" w14:textId="77777777" w:rsidR="00053E6F" w:rsidRPr="006A226B" w:rsidRDefault="00053E6F" w:rsidP="00053E6F">
            <w:pPr>
              <w:pStyle w:val="Heading2"/>
              <w:spacing w:before="40" w:after="40" w:line="240" w:lineRule="auto"/>
              <w:outlineLvl w:val="1"/>
              <w:rPr>
                <w:b w:val="0"/>
                <w:sz w:val="18"/>
                <w:szCs w:val="18"/>
              </w:rPr>
            </w:pPr>
          </w:p>
        </w:tc>
        <w:tc>
          <w:tcPr>
            <w:tcW w:w="1211" w:type="dxa"/>
          </w:tcPr>
          <w:p w14:paraId="79330E06" w14:textId="212BF692" w:rsidR="00053E6F" w:rsidRPr="006A226B" w:rsidRDefault="00053E6F" w:rsidP="00053E6F">
            <w:pPr>
              <w:pStyle w:val="Heading2"/>
              <w:spacing w:before="40" w:after="40" w:line="240" w:lineRule="auto"/>
              <w:jc w:val="center"/>
              <w:outlineLvl w:val="1"/>
              <w:rPr>
                <w:b w:val="0"/>
                <w:sz w:val="18"/>
                <w:szCs w:val="18"/>
              </w:rPr>
            </w:pPr>
            <w:r w:rsidRPr="005265DE">
              <w:rPr>
                <w:b w:val="0"/>
                <w:sz w:val="18"/>
                <w:szCs w:val="18"/>
              </w:rPr>
              <w:t>1.79</w:t>
            </w:r>
          </w:p>
        </w:tc>
        <w:tc>
          <w:tcPr>
            <w:tcW w:w="284" w:type="dxa"/>
          </w:tcPr>
          <w:p w14:paraId="36ADF0D8" w14:textId="77777777" w:rsidR="00053E6F" w:rsidRPr="002A228E" w:rsidRDefault="00053E6F" w:rsidP="00053E6F">
            <w:pPr>
              <w:pStyle w:val="Heading2"/>
              <w:spacing w:before="40" w:after="40" w:line="240" w:lineRule="auto"/>
              <w:jc w:val="center"/>
              <w:outlineLvl w:val="1"/>
              <w:rPr>
                <w:b w:val="0"/>
                <w:sz w:val="18"/>
                <w:szCs w:val="18"/>
              </w:rPr>
            </w:pPr>
          </w:p>
        </w:tc>
        <w:tc>
          <w:tcPr>
            <w:tcW w:w="2365" w:type="dxa"/>
          </w:tcPr>
          <w:p w14:paraId="49FD6144" w14:textId="5DC17258" w:rsidR="00053E6F" w:rsidRPr="006A226B" w:rsidRDefault="00053E6F" w:rsidP="00053E6F">
            <w:pPr>
              <w:pStyle w:val="Heading2"/>
              <w:spacing w:before="40" w:after="40" w:line="240" w:lineRule="auto"/>
              <w:jc w:val="center"/>
              <w:outlineLvl w:val="1"/>
              <w:rPr>
                <w:b w:val="0"/>
                <w:sz w:val="18"/>
                <w:szCs w:val="18"/>
              </w:rPr>
            </w:pPr>
            <w:r w:rsidRPr="005265DE">
              <w:rPr>
                <w:b w:val="0"/>
                <w:sz w:val="18"/>
                <w:szCs w:val="18"/>
              </w:rPr>
              <w:t>1.30 to 2.47</w:t>
            </w:r>
          </w:p>
        </w:tc>
      </w:tr>
      <w:tr w:rsidR="00053E6F" w:rsidRPr="0062250B" w14:paraId="749459CD" w14:textId="77777777" w:rsidTr="005265DE">
        <w:tc>
          <w:tcPr>
            <w:tcW w:w="1129" w:type="dxa"/>
          </w:tcPr>
          <w:p w14:paraId="5DA89E1D" w14:textId="6A95124C" w:rsidR="00053E6F" w:rsidRPr="006A226B" w:rsidRDefault="00053E6F" w:rsidP="00053E6F">
            <w:pPr>
              <w:pStyle w:val="Heading2"/>
              <w:spacing w:before="40" w:after="40" w:line="240" w:lineRule="auto"/>
              <w:outlineLvl w:val="1"/>
              <w:rPr>
                <w:sz w:val="18"/>
                <w:szCs w:val="18"/>
              </w:rPr>
            </w:pPr>
            <w:r w:rsidRPr="006A226B">
              <w:rPr>
                <w:sz w:val="18"/>
                <w:szCs w:val="18"/>
              </w:rPr>
              <w:t>Year 4</w:t>
            </w:r>
          </w:p>
        </w:tc>
        <w:tc>
          <w:tcPr>
            <w:tcW w:w="284" w:type="dxa"/>
          </w:tcPr>
          <w:p w14:paraId="28C6A51D" w14:textId="77777777" w:rsidR="00053E6F" w:rsidRPr="006A226B" w:rsidRDefault="00053E6F" w:rsidP="00053E6F">
            <w:pPr>
              <w:pStyle w:val="Heading2"/>
              <w:spacing w:before="40" w:after="40" w:line="240" w:lineRule="auto"/>
              <w:outlineLvl w:val="1"/>
              <w:rPr>
                <w:b w:val="0"/>
                <w:sz w:val="18"/>
                <w:szCs w:val="18"/>
              </w:rPr>
            </w:pPr>
          </w:p>
        </w:tc>
        <w:tc>
          <w:tcPr>
            <w:tcW w:w="1211" w:type="dxa"/>
          </w:tcPr>
          <w:p w14:paraId="67B9168F" w14:textId="77777777" w:rsidR="00053E6F" w:rsidRPr="002A228E" w:rsidRDefault="00053E6F" w:rsidP="00053E6F">
            <w:pPr>
              <w:pStyle w:val="Heading2"/>
              <w:spacing w:before="40" w:after="40" w:line="240" w:lineRule="auto"/>
              <w:jc w:val="center"/>
              <w:outlineLvl w:val="1"/>
              <w:rPr>
                <w:b w:val="0"/>
                <w:sz w:val="18"/>
                <w:szCs w:val="18"/>
              </w:rPr>
            </w:pPr>
          </w:p>
        </w:tc>
        <w:tc>
          <w:tcPr>
            <w:tcW w:w="284" w:type="dxa"/>
          </w:tcPr>
          <w:p w14:paraId="42A361A9" w14:textId="77777777" w:rsidR="00053E6F" w:rsidRPr="006A226B" w:rsidRDefault="00053E6F" w:rsidP="00053E6F">
            <w:pPr>
              <w:pStyle w:val="Heading2"/>
              <w:spacing w:before="40" w:after="40" w:line="240" w:lineRule="auto"/>
              <w:jc w:val="center"/>
              <w:outlineLvl w:val="1"/>
              <w:rPr>
                <w:b w:val="0"/>
                <w:sz w:val="18"/>
                <w:szCs w:val="18"/>
              </w:rPr>
            </w:pPr>
          </w:p>
        </w:tc>
        <w:tc>
          <w:tcPr>
            <w:tcW w:w="2365" w:type="dxa"/>
          </w:tcPr>
          <w:p w14:paraId="10E677F3" w14:textId="77777777" w:rsidR="00053E6F" w:rsidRPr="006A226B" w:rsidRDefault="00053E6F" w:rsidP="00053E6F">
            <w:pPr>
              <w:pStyle w:val="Heading2"/>
              <w:spacing w:before="40" w:after="40" w:line="240" w:lineRule="auto"/>
              <w:jc w:val="center"/>
              <w:outlineLvl w:val="1"/>
              <w:rPr>
                <w:b w:val="0"/>
                <w:sz w:val="18"/>
                <w:szCs w:val="18"/>
              </w:rPr>
            </w:pPr>
          </w:p>
        </w:tc>
      </w:tr>
      <w:tr w:rsidR="00053E6F" w:rsidRPr="0062250B" w14:paraId="77606653" w14:textId="77777777" w:rsidTr="005265DE">
        <w:tc>
          <w:tcPr>
            <w:tcW w:w="1129" w:type="dxa"/>
          </w:tcPr>
          <w:p w14:paraId="32D1D7D3"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Not-DV</w:t>
            </w:r>
          </w:p>
        </w:tc>
        <w:tc>
          <w:tcPr>
            <w:tcW w:w="284" w:type="dxa"/>
          </w:tcPr>
          <w:p w14:paraId="37519032" w14:textId="77777777" w:rsidR="00053E6F" w:rsidRPr="006A226B" w:rsidRDefault="00053E6F">
            <w:pPr>
              <w:pStyle w:val="Heading2"/>
              <w:spacing w:before="40" w:after="40" w:line="240" w:lineRule="auto"/>
              <w:outlineLvl w:val="1"/>
              <w:rPr>
                <w:b w:val="0"/>
                <w:sz w:val="18"/>
                <w:szCs w:val="18"/>
              </w:rPr>
            </w:pPr>
          </w:p>
        </w:tc>
        <w:tc>
          <w:tcPr>
            <w:tcW w:w="1211" w:type="dxa"/>
          </w:tcPr>
          <w:p w14:paraId="4F15A023" w14:textId="77777777" w:rsidR="00053E6F" w:rsidRPr="002A228E" w:rsidRDefault="00053E6F">
            <w:pPr>
              <w:pStyle w:val="Heading2"/>
              <w:spacing w:before="40" w:after="40" w:line="240" w:lineRule="auto"/>
              <w:jc w:val="center"/>
              <w:outlineLvl w:val="1"/>
              <w:rPr>
                <w:b w:val="0"/>
                <w:sz w:val="18"/>
                <w:szCs w:val="18"/>
              </w:rPr>
            </w:pPr>
            <w:r w:rsidRPr="002A228E">
              <w:rPr>
                <w:b w:val="0"/>
                <w:sz w:val="18"/>
                <w:szCs w:val="18"/>
              </w:rPr>
              <w:t>Ref</w:t>
            </w:r>
          </w:p>
        </w:tc>
        <w:tc>
          <w:tcPr>
            <w:tcW w:w="284" w:type="dxa"/>
          </w:tcPr>
          <w:p w14:paraId="0BAD2D9E"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0DBBC425"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7157C5FB" w14:textId="77777777" w:rsidTr="005265DE">
        <w:tc>
          <w:tcPr>
            <w:tcW w:w="1129" w:type="dxa"/>
          </w:tcPr>
          <w:p w14:paraId="484288C5"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DV</w:t>
            </w:r>
          </w:p>
        </w:tc>
        <w:tc>
          <w:tcPr>
            <w:tcW w:w="284" w:type="dxa"/>
          </w:tcPr>
          <w:p w14:paraId="3B85C8E8" w14:textId="77777777" w:rsidR="00053E6F" w:rsidRPr="006A226B" w:rsidRDefault="00053E6F">
            <w:pPr>
              <w:pStyle w:val="Heading2"/>
              <w:spacing w:before="40" w:after="40" w:line="240" w:lineRule="auto"/>
              <w:outlineLvl w:val="1"/>
              <w:rPr>
                <w:b w:val="0"/>
                <w:sz w:val="18"/>
                <w:szCs w:val="18"/>
              </w:rPr>
            </w:pPr>
          </w:p>
        </w:tc>
        <w:tc>
          <w:tcPr>
            <w:tcW w:w="1211" w:type="dxa"/>
          </w:tcPr>
          <w:p w14:paraId="16792FDF" w14:textId="2201A815" w:rsidR="00053E6F" w:rsidRPr="006A226B" w:rsidRDefault="00053E6F">
            <w:pPr>
              <w:pStyle w:val="Heading2"/>
              <w:spacing w:before="40" w:after="40" w:line="240" w:lineRule="auto"/>
              <w:jc w:val="center"/>
              <w:outlineLvl w:val="1"/>
              <w:rPr>
                <w:b w:val="0"/>
                <w:sz w:val="18"/>
                <w:szCs w:val="18"/>
              </w:rPr>
            </w:pPr>
            <w:r w:rsidRPr="005265DE">
              <w:rPr>
                <w:b w:val="0"/>
                <w:sz w:val="18"/>
                <w:szCs w:val="18"/>
              </w:rPr>
              <w:t>1.61</w:t>
            </w:r>
          </w:p>
        </w:tc>
        <w:tc>
          <w:tcPr>
            <w:tcW w:w="284" w:type="dxa"/>
          </w:tcPr>
          <w:p w14:paraId="422E2B58" w14:textId="77777777" w:rsidR="00053E6F" w:rsidRPr="002A228E" w:rsidRDefault="00053E6F">
            <w:pPr>
              <w:pStyle w:val="Heading2"/>
              <w:spacing w:before="40" w:after="40" w:line="240" w:lineRule="auto"/>
              <w:jc w:val="center"/>
              <w:outlineLvl w:val="1"/>
              <w:rPr>
                <w:b w:val="0"/>
                <w:sz w:val="18"/>
                <w:szCs w:val="18"/>
              </w:rPr>
            </w:pPr>
          </w:p>
        </w:tc>
        <w:tc>
          <w:tcPr>
            <w:tcW w:w="2365" w:type="dxa"/>
          </w:tcPr>
          <w:p w14:paraId="0041A4B1" w14:textId="2AB21A37" w:rsidR="00053E6F" w:rsidRPr="006A226B" w:rsidRDefault="00053E6F">
            <w:pPr>
              <w:pStyle w:val="Heading2"/>
              <w:spacing w:before="40" w:after="40" w:line="240" w:lineRule="auto"/>
              <w:jc w:val="center"/>
              <w:outlineLvl w:val="1"/>
              <w:rPr>
                <w:b w:val="0"/>
                <w:sz w:val="18"/>
                <w:szCs w:val="18"/>
              </w:rPr>
            </w:pPr>
            <w:r w:rsidRPr="005265DE">
              <w:rPr>
                <w:b w:val="0"/>
                <w:sz w:val="18"/>
                <w:szCs w:val="18"/>
              </w:rPr>
              <w:t>1.09 to 2.37</w:t>
            </w:r>
          </w:p>
        </w:tc>
      </w:tr>
      <w:tr w:rsidR="00053E6F" w:rsidRPr="0062250B" w14:paraId="092E4777" w14:textId="77777777" w:rsidTr="005265DE">
        <w:tc>
          <w:tcPr>
            <w:tcW w:w="1129" w:type="dxa"/>
          </w:tcPr>
          <w:p w14:paraId="4F532A6A" w14:textId="77777777" w:rsidR="00053E6F" w:rsidRPr="006A226B" w:rsidRDefault="00053E6F">
            <w:pPr>
              <w:pStyle w:val="Heading2"/>
              <w:spacing w:before="40" w:after="40" w:line="240" w:lineRule="auto"/>
              <w:outlineLvl w:val="1"/>
              <w:rPr>
                <w:sz w:val="18"/>
                <w:szCs w:val="18"/>
              </w:rPr>
            </w:pPr>
            <w:r w:rsidRPr="006A226B">
              <w:rPr>
                <w:sz w:val="18"/>
                <w:szCs w:val="18"/>
              </w:rPr>
              <w:t>Year 5</w:t>
            </w:r>
          </w:p>
        </w:tc>
        <w:tc>
          <w:tcPr>
            <w:tcW w:w="284" w:type="dxa"/>
          </w:tcPr>
          <w:p w14:paraId="448F12E1" w14:textId="77777777" w:rsidR="00053E6F" w:rsidRPr="006A226B" w:rsidRDefault="00053E6F">
            <w:pPr>
              <w:pStyle w:val="Heading2"/>
              <w:spacing w:before="40" w:after="40" w:line="240" w:lineRule="auto"/>
              <w:outlineLvl w:val="1"/>
              <w:rPr>
                <w:b w:val="0"/>
                <w:sz w:val="18"/>
                <w:szCs w:val="18"/>
              </w:rPr>
            </w:pPr>
          </w:p>
        </w:tc>
        <w:tc>
          <w:tcPr>
            <w:tcW w:w="1211" w:type="dxa"/>
          </w:tcPr>
          <w:p w14:paraId="3FD40A92" w14:textId="77777777" w:rsidR="00053E6F" w:rsidRPr="002A228E" w:rsidRDefault="00053E6F">
            <w:pPr>
              <w:pStyle w:val="Heading2"/>
              <w:spacing w:before="40" w:after="40" w:line="240" w:lineRule="auto"/>
              <w:jc w:val="center"/>
              <w:outlineLvl w:val="1"/>
              <w:rPr>
                <w:b w:val="0"/>
                <w:sz w:val="18"/>
                <w:szCs w:val="18"/>
              </w:rPr>
            </w:pPr>
          </w:p>
        </w:tc>
        <w:tc>
          <w:tcPr>
            <w:tcW w:w="284" w:type="dxa"/>
          </w:tcPr>
          <w:p w14:paraId="44A64BCB"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3AB692E6"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4F855C06" w14:textId="77777777" w:rsidTr="005265DE">
        <w:tc>
          <w:tcPr>
            <w:tcW w:w="1129" w:type="dxa"/>
          </w:tcPr>
          <w:p w14:paraId="4F7865C3"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Not-DV</w:t>
            </w:r>
          </w:p>
        </w:tc>
        <w:tc>
          <w:tcPr>
            <w:tcW w:w="284" w:type="dxa"/>
          </w:tcPr>
          <w:p w14:paraId="58E4D942" w14:textId="77777777" w:rsidR="00053E6F" w:rsidRPr="006A226B" w:rsidRDefault="00053E6F">
            <w:pPr>
              <w:pStyle w:val="Heading2"/>
              <w:spacing w:before="40" w:after="40" w:line="240" w:lineRule="auto"/>
              <w:outlineLvl w:val="1"/>
              <w:rPr>
                <w:b w:val="0"/>
                <w:sz w:val="18"/>
                <w:szCs w:val="18"/>
              </w:rPr>
            </w:pPr>
          </w:p>
        </w:tc>
        <w:tc>
          <w:tcPr>
            <w:tcW w:w="1211" w:type="dxa"/>
          </w:tcPr>
          <w:p w14:paraId="5E6F96A3" w14:textId="77777777" w:rsidR="00053E6F" w:rsidRPr="002A228E" w:rsidRDefault="00053E6F">
            <w:pPr>
              <w:pStyle w:val="Heading2"/>
              <w:spacing w:before="40" w:after="40" w:line="240" w:lineRule="auto"/>
              <w:jc w:val="center"/>
              <w:outlineLvl w:val="1"/>
              <w:rPr>
                <w:b w:val="0"/>
                <w:sz w:val="18"/>
                <w:szCs w:val="18"/>
              </w:rPr>
            </w:pPr>
            <w:r w:rsidRPr="002A228E">
              <w:rPr>
                <w:b w:val="0"/>
                <w:sz w:val="18"/>
                <w:szCs w:val="18"/>
              </w:rPr>
              <w:t>Ref</w:t>
            </w:r>
          </w:p>
        </w:tc>
        <w:tc>
          <w:tcPr>
            <w:tcW w:w="284" w:type="dxa"/>
          </w:tcPr>
          <w:p w14:paraId="79F2C700"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71C93865"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6F22942C" w14:textId="77777777" w:rsidTr="005265DE">
        <w:tc>
          <w:tcPr>
            <w:tcW w:w="1129" w:type="dxa"/>
          </w:tcPr>
          <w:p w14:paraId="4A282A38"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DV</w:t>
            </w:r>
          </w:p>
        </w:tc>
        <w:tc>
          <w:tcPr>
            <w:tcW w:w="284" w:type="dxa"/>
          </w:tcPr>
          <w:p w14:paraId="01E89099" w14:textId="77777777" w:rsidR="00053E6F" w:rsidRPr="006A226B" w:rsidRDefault="00053E6F">
            <w:pPr>
              <w:pStyle w:val="Heading2"/>
              <w:spacing w:before="40" w:after="40" w:line="240" w:lineRule="auto"/>
              <w:outlineLvl w:val="1"/>
              <w:rPr>
                <w:b w:val="0"/>
                <w:sz w:val="18"/>
                <w:szCs w:val="18"/>
              </w:rPr>
            </w:pPr>
          </w:p>
        </w:tc>
        <w:tc>
          <w:tcPr>
            <w:tcW w:w="1211" w:type="dxa"/>
          </w:tcPr>
          <w:p w14:paraId="51FFE06C" w14:textId="634930C2" w:rsidR="00053E6F" w:rsidRPr="006A226B" w:rsidRDefault="00053E6F">
            <w:pPr>
              <w:pStyle w:val="Heading2"/>
              <w:spacing w:before="40" w:after="40" w:line="240" w:lineRule="auto"/>
              <w:jc w:val="center"/>
              <w:outlineLvl w:val="1"/>
              <w:rPr>
                <w:b w:val="0"/>
                <w:sz w:val="18"/>
                <w:szCs w:val="18"/>
              </w:rPr>
            </w:pPr>
            <w:r w:rsidRPr="005265DE">
              <w:rPr>
                <w:b w:val="0"/>
                <w:sz w:val="18"/>
                <w:szCs w:val="18"/>
              </w:rPr>
              <w:t xml:space="preserve">2.12  </w:t>
            </w:r>
          </w:p>
        </w:tc>
        <w:tc>
          <w:tcPr>
            <w:tcW w:w="284" w:type="dxa"/>
          </w:tcPr>
          <w:p w14:paraId="60517AD5" w14:textId="77777777" w:rsidR="00053E6F" w:rsidRPr="002A228E" w:rsidRDefault="00053E6F">
            <w:pPr>
              <w:pStyle w:val="Heading2"/>
              <w:spacing w:before="40" w:after="40" w:line="240" w:lineRule="auto"/>
              <w:jc w:val="center"/>
              <w:outlineLvl w:val="1"/>
              <w:rPr>
                <w:b w:val="0"/>
                <w:sz w:val="18"/>
                <w:szCs w:val="18"/>
              </w:rPr>
            </w:pPr>
          </w:p>
        </w:tc>
        <w:tc>
          <w:tcPr>
            <w:tcW w:w="2365" w:type="dxa"/>
          </w:tcPr>
          <w:p w14:paraId="30E227EE" w14:textId="6A4DAFC1" w:rsidR="00053E6F" w:rsidRPr="006A226B" w:rsidRDefault="00053E6F">
            <w:pPr>
              <w:pStyle w:val="Heading2"/>
              <w:spacing w:before="40" w:after="40" w:line="240" w:lineRule="auto"/>
              <w:jc w:val="center"/>
              <w:outlineLvl w:val="1"/>
              <w:rPr>
                <w:b w:val="0"/>
                <w:sz w:val="18"/>
                <w:szCs w:val="18"/>
              </w:rPr>
            </w:pPr>
            <w:r w:rsidRPr="005265DE">
              <w:rPr>
                <w:b w:val="0"/>
                <w:sz w:val="18"/>
                <w:szCs w:val="18"/>
              </w:rPr>
              <w:t>1.48 to 3.02</w:t>
            </w:r>
          </w:p>
        </w:tc>
      </w:tr>
      <w:tr w:rsidR="00053E6F" w:rsidRPr="0062250B" w14:paraId="184DFEDB" w14:textId="77777777" w:rsidTr="005265DE">
        <w:tc>
          <w:tcPr>
            <w:tcW w:w="1129" w:type="dxa"/>
          </w:tcPr>
          <w:p w14:paraId="1C9B5D77" w14:textId="77777777" w:rsidR="00053E6F" w:rsidRPr="006A226B" w:rsidRDefault="00053E6F">
            <w:pPr>
              <w:pStyle w:val="Heading2"/>
              <w:spacing w:before="40" w:after="40" w:line="240" w:lineRule="auto"/>
              <w:outlineLvl w:val="1"/>
              <w:rPr>
                <w:sz w:val="18"/>
                <w:szCs w:val="18"/>
              </w:rPr>
            </w:pPr>
            <w:r w:rsidRPr="006A226B">
              <w:rPr>
                <w:sz w:val="18"/>
                <w:szCs w:val="18"/>
              </w:rPr>
              <w:t>Year 6</w:t>
            </w:r>
          </w:p>
        </w:tc>
        <w:tc>
          <w:tcPr>
            <w:tcW w:w="284" w:type="dxa"/>
          </w:tcPr>
          <w:p w14:paraId="0F5D4CEA" w14:textId="77777777" w:rsidR="00053E6F" w:rsidRPr="006A226B" w:rsidRDefault="00053E6F">
            <w:pPr>
              <w:pStyle w:val="Heading2"/>
              <w:spacing w:before="40" w:after="40" w:line="240" w:lineRule="auto"/>
              <w:outlineLvl w:val="1"/>
              <w:rPr>
                <w:b w:val="0"/>
                <w:sz w:val="18"/>
                <w:szCs w:val="18"/>
              </w:rPr>
            </w:pPr>
          </w:p>
        </w:tc>
        <w:tc>
          <w:tcPr>
            <w:tcW w:w="1211" w:type="dxa"/>
          </w:tcPr>
          <w:p w14:paraId="095C66B5" w14:textId="77777777" w:rsidR="00053E6F" w:rsidRPr="002A228E" w:rsidRDefault="00053E6F">
            <w:pPr>
              <w:pStyle w:val="Heading2"/>
              <w:spacing w:before="40" w:after="40" w:line="240" w:lineRule="auto"/>
              <w:jc w:val="center"/>
              <w:outlineLvl w:val="1"/>
              <w:rPr>
                <w:b w:val="0"/>
                <w:sz w:val="18"/>
                <w:szCs w:val="18"/>
              </w:rPr>
            </w:pPr>
          </w:p>
        </w:tc>
        <w:tc>
          <w:tcPr>
            <w:tcW w:w="284" w:type="dxa"/>
          </w:tcPr>
          <w:p w14:paraId="38DCDBFC"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0BF02F29"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169118DC" w14:textId="77777777" w:rsidTr="005265DE">
        <w:tc>
          <w:tcPr>
            <w:tcW w:w="1129" w:type="dxa"/>
          </w:tcPr>
          <w:p w14:paraId="0336CB90"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Not-DV</w:t>
            </w:r>
          </w:p>
        </w:tc>
        <w:tc>
          <w:tcPr>
            <w:tcW w:w="284" w:type="dxa"/>
          </w:tcPr>
          <w:p w14:paraId="682C0909" w14:textId="77777777" w:rsidR="00053E6F" w:rsidRPr="006A226B" w:rsidRDefault="00053E6F">
            <w:pPr>
              <w:pStyle w:val="Heading2"/>
              <w:spacing w:before="40" w:after="40" w:line="240" w:lineRule="auto"/>
              <w:outlineLvl w:val="1"/>
              <w:rPr>
                <w:b w:val="0"/>
                <w:sz w:val="18"/>
                <w:szCs w:val="18"/>
              </w:rPr>
            </w:pPr>
          </w:p>
        </w:tc>
        <w:tc>
          <w:tcPr>
            <w:tcW w:w="1211" w:type="dxa"/>
          </w:tcPr>
          <w:p w14:paraId="7C63812D" w14:textId="77777777" w:rsidR="00053E6F" w:rsidRPr="002A228E" w:rsidRDefault="00053E6F">
            <w:pPr>
              <w:pStyle w:val="Heading2"/>
              <w:spacing w:before="40" w:after="40" w:line="240" w:lineRule="auto"/>
              <w:jc w:val="center"/>
              <w:outlineLvl w:val="1"/>
              <w:rPr>
                <w:b w:val="0"/>
                <w:sz w:val="18"/>
                <w:szCs w:val="18"/>
              </w:rPr>
            </w:pPr>
            <w:r w:rsidRPr="002A228E">
              <w:rPr>
                <w:b w:val="0"/>
                <w:sz w:val="18"/>
                <w:szCs w:val="18"/>
              </w:rPr>
              <w:t>Ref</w:t>
            </w:r>
          </w:p>
        </w:tc>
        <w:tc>
          <w:tcPr>
            <w:tcW w:w="284" w:type="dxa"/>
          </w:tcPr>
          <w:p w14:paraId="105F8334"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3B390C13"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3811A5F3" w14:textId="77777777" w:rsidTr="005265DE">
        <w:tc>
          <w:tcPr>
            <w:tcW w:w="1129" w:type="dxa"/>
          </w:tcPr>
          <w:p w14:paraId="57736F3C"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DV</w:t>
            </w:r>
          </w:p>
        </w:tc>
        <w:tc>
          <w:tcPr>
            <w:tcW w:w="284" w:type="dxa"/>
          </w:tcPr>
          <w:p w14:paraId="027F3D4C" w14:textId="77777777" w:rsidR="00053E6F" w:rsidRPr="006A226B" w:rsidRDefault="00053E6F">
            <w:pPr>
              <w:pStyle w:val="Heading2"/>
              <w:spacing w:before="40" w:after="40" w:line="240" w:lineRule="auto"/>
              <w:outlineLvl w:val="1"/>
              <w:rPr>
                <w:b w:val="0"/>
                <w:sz w:val="18"/>
                <w:szCs w:val="18"/>
              </w:rPr>
            </w:pPr>
          </w:p>
        </w:tc>
        <w:tc>
          <w:tcPr>
            <w:tcW w:w="1211" w:type="dxa"/>
          </w:tcPr>
          <w:p w14:paraId="665F40AF" w14:textId="514651E1" w:rsidR="00053E6F" w:rsidRPr="006A226B" w:rsidRDefault="00053E6F">
            <w:pPr>
              <w:pStyle w:val="Heading2"/>
              <w:spacing w:before="40" w:after="40" w:line="240" w:lineRule="auto"/>
              <w:jc w:val="center"/>
              <w:outlineLvl w:val="1"/>
              <w:rPr>
                <w:b w:val="0"/>
                <w:sz w:val="18"/>
                <w:szCs w:val="18"/>
              </w:rPr>
            </w:pPr>
            <w:r w:rsidRPr="005265DE">
              <w:rPr>
                <w:b w:val="0"/>
                <w:sz w:val="18"/>
                <w:szCs w:val="18"/>
              </w:rPr>
              <w:t>1.23</w:t>
            </w:r>
          </w:p>
        </w:tc>
        <w:tc>
          <w:tcPr>
            <w:tcW w:w="284" w:type="dxa"/>
          </w:tcPr>
          <w:p w14:paraId="6F415CA1" w14:textId="77777777" w:rsidR="00053E6F" w:rsidRPr="002A228E" w:rsidRDefault="00053E6F">
            <w:pPr>
              <w:pStyle w:val="Heading2"/>
              <w:spacing w:before="40" w:after="40" w:line="240" w:lineRule="auto"/>
              <w:jc w:val="center"/>
              <w:outlineLvl w:val="1"/>
              <w:rPr>
                <w:b w:val="0"/>
                <w:sz w:val="18"/>
                <w:szCs w:val="18"/>
              </w:rPr>
            </w:pPr>
          </w:p>
        </w:tc>
        <w:tc>
          <w:tcPr>
            <w:tcW w:w="2365" w:type="dxa"/>
          </w:tcPr>
          <w:p w14:paraId="398B8247" w14:textId="21629649" w:rsidR="00053E6F" w:rsidRPr="006A226B" w:rsidRDefault="00053E6F">
            <w:pPr>
              <w:pStyle w:val="Heading2"/>
              <w:spacing w:before="40" w:after="40" w:line="240" w:lineRule="auto"/>
              <w:jc w:val="center"/>
              <w:outlineLvl w:val="1"/>
              <w:rPr>
                <w:b w:val="0"/>
                <w:sz w:val="18"/>
                <w:szCs w:val="18"/>
              </w:rPr>
            </w:pPr>
            <w:r w:rsidRPr="005265DE">
              <w:rPr>
                <w:b w:val="0"/>
                <w:sz w:val="18"/>
                <w:szCs w:val="18"/>
              </w:rPr>
              <w:t>0.81 to 1.86</w:t>
            </w:r>
          </w:p>
        </w:tc>
      </w:tr>
      <w:tr w:rsidR="00053E6F" w:rsidRPr="0062250B" w14:paraId="12CA729E" w14:textId="77777777" w:rsidTr="005265DE">
        <w:tc>
          <w:tcPr>
            <w:tcW w:w="1129" w:type="dxa"/>
          </w:tcPr>
          <w:p w14:paraId="1818320C" w14:textId="77777777" w:rsidR="00053E6F" w:rsidRPr="006A226B" w:rsidRDefault="00053E6F">
            <w:pPr>
              <w:pStyle w:val="Heading2"/>
              <w:spacing w:before="40" w:after="40" w:line="240" w:lineRule="auto"/>
              <w:outlineLvl w:val="1"/>
              <w:rPr>
                <w:sz w:val="18"/>
                <w:szCs w:val="18"/>
              </w:rPr>
            </w:pPr>
            <w:r w:rsidRPr="006A226B">
              <w:rPr>
                <w:sz w:val="18"/>
                <w:szCs w:val="18"/>
              </w:rPr>
              <w:t>Year 7</w:t>
            </w:r>
          </w:p>
        </w:tc>
        <w:tc>
          <w:tcPr>
            <w:tcW w:w="284" w:type="dxa"/>
          </w:tcPr>
          <w:p w14:paraId="7344B6DF" w14:textId="77777777" w:rsidR="00053E6F" w:rsidRPr="006A226B" w:rsidRDefault="00053E6F">
            <w:pPr>
              <w:pStyle w:val="Heading2"/>
              <w:spacing w:before="40" w:after="40" w:line="240" w:lineRule="auto"/>
              <w:outlineLvl w:val="1"/>
              <w:rPr>
                <w:b w:val="0"/>
                <w:sz w:val="18"/>
                <w:szCs w:val="18"/>
              </w:rPr>
            </w:pPr>
          </w:p>
        </w:tc>
        <w:tc>
          <w:tcPr>
            <w:tcW w:w="1211" w:type="dxa"/>
          </w:tcPr>
          <w:p w14:paraId="2E2871EA" w14:textId="77777777" w:rsidR="00053E6F" w:rsidRPr="002A228E" w:rsidRDefault="00053E6F">
            <w:pPr>
              <w:pStyle w:val="Heading2"/>
              <w:spacing w:before="40" w:after="40" w:line="240" w:lineRule="auto"/>
              <w:jc w:val="center"/>
              <w:outlineLvl w:val="1"/>
              <w:rPr>
                <w:b w:val="0"/>
                <w:sz w:val="18"/>
                <w:szCs w:val="18"/>
              </w:rPr>
            </w:pPr>
          </w:p>
        </w:tc>
        <w:tc>
          <w:tcPr>
            <w:tcW w:w="284" w:type="dxa"/>
          </w:tcPr>
          <w:p w14:paraId="60A6DCDF"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7C74400F"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0F5FD797" w14:textId="77777777" w:rsidTr="005265DE">
        <w:tc>
          <w:tcPr>
            <w:tcW w:w="1129" w:type="dxa"/>
          </w:tcPr>
          <w:p w14:paraId="7B9BD1EA"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Not-DV</w:t>
            </w:r>
          </w:p>
        </w:tc>
        <w:tc>
          <w:tcPr>
            <w:tcW w:w="284" w:type="dxa"/>
          </w:tcPr>
          <w:p w14:paraId="23D0F8E4" w14:textId="77777777" w:rsidR="00053E6F" w:rsidRPr="006A226B" w:rsidRDefault="00053E6F">
            <w:pPr>
              <w:pStyle w:val="Heading2"/>
              <w:spacing w:before="40" w:after="40" w:line="240" w:lineRule="auto"/>
              <w:outlineLvl w:val="1"/>
              <w:rPr>
                <w:b w:val="0"/>
                <w:sz w:val="18"/>
                <w:szCs w:val="18"/>
              </w:rPr>
            </w:pPr>
          </w:p>
        </w:tc>
        <w:tc>
          <w:tcPr>
            <w:tcW w:w="1211" w:type="dxa"/>
          </w:tcPr>
          <w:p w14:paraId="22E91879" w14:textId="77777777" w:rsidR="00053E6F" w:rsidRPr="002A228E" w:rsidRDefault="00053E6F">
            <w:pPr>
              <w:pStyle w:val="Heading2"/>
              <w:spacing w:before="40" w:after="40" w:line="240" w:lineRule="auto"/>
              <w:jc w:val="center"/>
              <w:outlineLvl w:val="1"/>
              <w:rPr>
                <w:b w:val="0"/>
                <w:sz w:val="18"/>
                <w:szCs w:val="18"/>
              </w:rPr>
            </w:pPr>
            <w:r w:rsidRPr="002A228E">
              <w:rPr>
                <w:b w:val="0"/>
                <w:sz w:val="18"/>
                <w:szCs w:val="18"/>
              </w:rPr>
              <w:t>Ref</w:t>
            </w:r>
          </w:p>
        </w:tc>
        <w:tc>
          <w:tcPr>
            <w:tcW w:w="284" w:type="dxa"/>
          </w:tcPr>
          <w:p w14:paraId="635CA509" w14:textId="77777777" w:rsidR="00053E6F" w:rsidRPr="006A226B" w:rsidRDefault="00053E6F">
            <w:pPr>
              <w:pStyle w:val="Heading2"/>
              <w:spacing w:before="40" w:after="40" w:line="240" w:lineRule="auto"/>
              <w:jc w:val="center"/>
              <w:outlineLvl w:val="1"/>
              <w:rPr>
                <w:b w:val="0"/>
                <w:sz w:val="18"/>
                <w:szCs w:val="18"/>
              </w:rPr>
            </w:pPr>
          </w:p>
        </w:tc>
        <w:tc>
          <w:tcPr>
            <w:tcW w:w="2365" w:type="dxa"/>
          </w:tcPr>
          <w:p w14:paraId="74342441" w14:textId="77777777" w:rsidR="00053E6F" w:rsidRPr="006A226B" w:rsidRDefault="00053E6F">
            <w:pPr>
              <w:pStyle w:val="Heading2"/>
              <w:spacing w:before="40" w:after="40" w:line="240" w:lineRule="auto"/>
              <w:jc w:val="center"/>
              <w:outlineLvl w:val="1"/>
              <w:rPr>
                <w:b w:val="0"/>
                <w:sz w:val="18"/>
                <w:szCs w:val="18"/>
              </w:rPr>
            </w:pPr>
          </w:p>
        </w:tc>
      </w:tr>
      <w:tr w:rsidR="00053E6F" w:rsidRPr="0062250B" w14:paraId="0E5A2C00" w14:textId="77777777" w:rsidTr="005265DE">
        <w:tc>
          <w:tcPr>
            <w:tcW w:w="1129" w:type="dxa"/>
          </w:tcPr>
          <w:p w14:paraId="6ADE66A3" w14:textId="77777777" w:rsidR="00053E6F" w:rsidRPr="006A226B" w:rsidRDefault="00053E6F">
            <w:pPr>
              <w:pStyle w:val="Heading2"/>
              <w:spacing w:before="40" w:after="40" w:line="240" w:lineRule="auto"/>
              <w:outlineLvl w:val="1"/>
              <w:rPr>
                <w:b w:val="0"/>
                <w:sz w:val="18"/>
                <w:szCs w:val="18"/>
              </w:rPr>
            </w:pPr>
            <w:r w:rsidRPr="006A226B">
              <w:rPr>
                <w:b w:val="0"/>
                <w:sz w:val="18"/>
                <w:szCs w:val="18"/>
              </w:rPr>
              <w:t>DV</w:t>
            </w:r>
          </w:p>
        </w:tc>
        <w:tc>
          <w:tcPr>
            <w:tcW w:w="284" w:type="dxa"/>
          </w:tcPr>
          <w:p w14:paraId="7114708D" w14:textId="77777777" w:rsidR="00053E6F" w:rsidRPr="006A226B" w:rsidRDefault="00053E6F">
            <w:pPr>
              <w:pStyle w:val="Heading2"/>
              <w:spacing w:before="40" w:after="40" w:line="240" w:lineRule="auto"/>
              <w:outlineLvl w:val="1"/>
              <w:rPr>
                <w:b w:val="0"/>
                <w:sz w:val="18"/>
                <w:szCs w:val="18"/>
              </w:rPr>
            </w:pPr>
          </w:p>
        </w:tc>
        <w:tc>
          <w:tcPr>
            <w:tcW w:w="1211" w:type="dxa"/>
          </w:tcPr>
          <w:p w14:paraId="382EBC72" w14:textId="047DE3FC" w:rsidR="00053E6F" w:rsidRPr="006A226B" w:rsidRDefault="00053E6F">
            <w:pPr>
              <w:pStyle w:val="Heading2"/>
              <w:spacing w:before="40" w:after="40" w:line="240" w:lineRule="auto"/>
              <w:jc w:val="center"/>
              <w:outlineLvl w:val="1"/>
              <w:rPr>
                <w:b w:val="0"/>
                <w:sz w:val="18"/>
                <w:szCs w:val="18"/>
              </w:rPr>
            </w:pPr>
            <w:r w:rsidRPr="005265DE">
              <w:rPr>
                <w:b w:val="0"/>
                <w:sz w:val="18"/>
                <w:szCs w:val="18"/>
              </w:rPr>
              <w:t>1.19</w:t>
            </w:r>
          </w:p>
        </w:tc>
        <w:tc>
          <w:tcPr>
            <w:tcW w:w="284" w:type="dxa"/>
          </w:tcPr>
          <w:p w14:paraId="7400388E" w14:textId="77777777" w:rsidR="00053E6F" w:rsidRPr="002A228E" w:rsidRDefault="00053E6F">
            <w:pPr>
              <w:pStyle w:val="Heading2"/>
              <w:spacing w:before="40" w:after="40" w:line="240" w:lineRule="auto"/>
              <w:jc w:val="center"/>
              <w:outlineLvl w:val="1"/>
              <w:rPr>
                <w:b w:val="0"/>
                <w:sz w:val="18"/>
                <w:szCs w:val="18"/>
              </w:rPr>
            </w:pPr>
          </w:p>
        </w:tc>
        <w:tc>
          <w:tcPr>
            <w:tcW w:w="2365" w:type="dxa"/>
          </w:tcPr>
          <w:p w14:paraId="478682F1" w14:textId="0F888920" w:rsidR="00053E6F" w:rsidRPr="006A226B" w:rsidRDefault="00053E6F">
            <w:pPr>
              <w:pStyle w:val="Heading2"/>
              <w:spacing w:before="40" w:after="40" w:line="240" w:lineRule="auto"/>
              <w:jc w:val="center"/>
              <w:outlineLvl w:val="1"/>
              <w:rPr>
                <w:b w:val="0"/>
                <w:sz w:val="18"/>
                <w:szCs w:val="18"/>
              </w:rPr>
            </w:pPr>
            <w:r w:rsidRPr="005265DE">
              <w:rPr>
                <w:b w:val="0"/>
                <w:sz w:val="18"/>
                <w:szCs w:val="18"/>
              </w:rPr>
              <w:t>0.81 to 1.76</w:t>
            </w:r>
          </w:p>
        </w:tc>
      </w:tr>
      <w:tr w:rsidR="00053E6F" w:rsidRPr="0062250B" w14:paraId="5863A2C1" w14:textId="77777777" w:rsidTr="00DD5234">
        <w:tc>
          <w:tcPr>
            <w:tcW w:w="5273" w:type="dxa"/>
            <w:gridSpan w:val="5"/>
            <w:shd w:val="clear" w:color="auto" w:fill="D9E2F3" w:themeFill="accent1" w:themeFillTint="33"/>
          </w:tcPr>
          <w:p w14:paraId="31FD2AE7" w14:textId="40A2AC10" w:rsidR="00053E6F" w:rsidRPr="005265DE" w:rsidRDefault="00053E6F" w:rsidP="005265DE">
            <w:pPr>
              <w:pStyle w:val="Heading2"/>
              <w:spacing w:before="40" w:after="40" w:line="240" w:lineRule="auto"/>
              <w:outlineLvl w:val="1"/>
              <w:rPr>
                <w:sz w:val="18"/>
                <w:szCs w:val="18"/>
              </w:rPr>
            </w:pPr>
            <w:r w:rsidRPr="005265DE">
              <w:rPr>
                <w:sz w:val="18"/>
                <w:szCs w:val="18"/>
              </w:rPr>
              <w:t>Behaviour problems</w:t>
            </w:r>
          </w:p>
        </w:tc>
      </w:tr>
      <w:tr w:rsidR="00053E6F" w:rsidRPr="0062250B" w14:paraId="7ABE6111" w14:textId="77777777" w:rsidTr="005265DE">
        <w:tc>
          <w:tcPr>
            <w:tcW w:w="1129" w:type="dxa"/>
          </w:tcPr>
          <w:p w14:paraId="190779D4" w14:textId="25F22925" w:rsidR="00053E6F" w:rsidRDefault="00053E6F">
            <w:pPr>
              <w:pStyle w:val="Heading2"/>
              <w:spacing w:before="40" w:after="40" w:line="240" w:lineRule="auto"/>
              <w:outlineLvl w:val="1"/>
              <w:rPr>
                <w:b w:val="0"/>
                <w:sz w:val="18"/>
                <w:szCs w:val="18"/>
              </w:rPr>
            </w:pPr>
            <w:r>
              <w:rPr>
                <w:sz w:val="18"/>
                <w:szCs w:val="18"/>
              </w:rPr>
              <w:t>Year 3</w:t>
            </w:r>
          </w:p>
        </w:tc>
        <w:tc>
          <w:tcPr>
            <w:tcW w:w="284" w:type="dxa"/>
          </w:tcPr>
          <w:p w14:paraId="4ED9785B" w14:textId="77777777" w:rsidR="00053E6F" w:rsidRPr="00081383" w:rsidRDefault="00053E6F">
            <w:pPr>
              <w:pStyle w:val="Heading2"/>
              <w:spacing w:before="40" w:after="40" w:line="240" w:lineRule="auto"/>
              <w:outlineLvl w:val="1"/>
              <w:rPr>
                <w:b w:val="0"/>
                <w:sz w:val="18"/>
                <w:szCs w:val="18"/>
              </w:rPr>
            </w:pPr>
          </w:p>
        </w:tc>
        <w:tc>
          <w:tcPr>
            <w:tcW w:w="1211" w:type="dxa"/>
          </w:tcPr>
          <w:p w14:paraId="07EB19B2" w14:textId="77777777" w:rsidR="00053E6F" w:rsidRPr="00081383" w:rsidRDefault="00053E6F">
            <w:pPr>
              <w:pStyle w:val="Heading2"/>
              <w:spacing w:before="40" w:after="40" w:line="240" w:lineRule="auto"/>
              <w:jc w:val="center"/>
              <w:outlineLvl w:val="1"/>
              <w:rPr>
                <w:b w:val="0"/>
                <w:sz w:val="18"/>
                <w:szCs w:val="18"/>
              </w:rPr>
            </w:pPr>
          </w:p>
        </w:tc>
        <w:tc>
          <w:tcPr>
            <w:tcW w:w="284" w:type="dxa"/>
          </w:tcPr>
          <w:p w14:paraId="614584F3" w14:textId="77777777" w:rsidR="00053E6F" w:rsidRPr="00081383" w:rsidRDefault="00053E6F">
            <w:pPr>
              <w:pStyle w:val="Heading2"/>
              <w:spacing w:before="40" w:after="40" w:line="240" w:lineRule="auto"/>
              <w:jc w:val="center"/>
              <w:outlineLvl w:val="1"/>
              <w:rPr>
                <w:b w:val="0"/>
                <w:sz w:val="18"/>
                <w:szCs w:val="18"/>
              </w:rPr>
            </w:pPr>
          </w:p>
        </w:tc>
        <w:tc>
          <w:tcPr>
            <w:tcW w:w="2365" w:type="dxa"/>
          </w:tcPr>
          <w:p w14:paraId="430A3C76" w14:textId="77777777" w:rsidR="00053E6F" w:rsidRPr="00081383" w:rsidRDefault="00053E6F">
            <w:pPr>
              <w:pStyle w:val="Heading2"/>
              <w:spacing w:before="40" w:after="40" w:line="240" w:lineRule="auto"/>
              <w:jc w:val="center"/>
              <w:outlineLvl w:val="1"/>
              <w:rPr>
                <w:b w:val="0"/>
                <w:sz w:val="18"/>
                <w:szCs w:val="18"/>
              </w:rPr>
            </w:pPr>
          </w:p>
        </w:tc>
      </w:tr>
      <w:tr w:rsidR="00053E6F" w:rsidRPr="0062250B" w14:paraId="12DC8C23" w14:textId="77777777" w:rsidTr="005265DE">
        <w:tc>
          <w:tcPr>
            <w:tcW w:w="1129" w:type="dxa"/>
          </w:tcPr>
          <w:p w14:paraId="69925EFA" w14:textId="56212D82" w:rsidR="00053E6F" w:rsidRDefault="00053E6F">
            <w:pPr>
              <w:pStyle w:val="Heading2"/>
              <w:spacing w:before="40" w:after="40" w:line="240" w:lineRule="auto"/>
              <w:outlineLvl w:val="1"/>
              <w:rPr>
                <w:b w:val="0"/>
                <w:sz w:val="18"/>
                <w:szCs w:val="18"/>
              </w:rPr>
            </w:pPr>
            <w:r>
              <w:rPr>
                <w:b w:val="0"/>
                <w:sz w:val="18"/>
                <w:szCs w:val="18"/>
              </w:rPr>
              <w:t>Not-DV</w:t>
            </w:r>
          </w:p>
        </w:tc>
        <w:tc>
          <w:tcPr>
            <w:tcW w:w="284" w:type="dxa"/>
          </w:tcPr>
          <w:p w14:paraId="2F5289D8" w14:textId="77777777" w:rsidR="00053E6F" w:rsidRPr="00081383" w:rsidRDefault="00053E6F">
            <w:pPr>
              <w:pStyle w:val="Heading2"/>
              <w:spacing w:before="40" w:after="40" w:line="240" w:lineRule="auto"/>
              <w:outlineLvl w:val="1"/>
              <w:rPr>
                <w:b w:val="0"/>
                <w:sz w:val="18"/>
                <w:szCs w:val="18"/>
              </w:rPr>
            </w:pPr>
          </w:p>
        </w:tc>
        <w:tc>
          <w:tcPr>
            <w:tcW w:w="1211" w:type="dxa"/>
          </w:tcPr>
          <w:p w14:paraId="0C7EE1F6" w14:textId="51DBAF7D" w:rsidR="00053E6F" w:rsidRPr="00081383" w:rsidRDefault="00053E6F">
            <w:pPr>
              <w:pStyle w:val="Heading2"/>
              <w:spacing w:before="40" w:after="40" w:line="240" w:lineRule="auto"/>
              <w:jc w:val="center"/>
              <w:outlineLvl w:val="1"/>
              <w:rPr>
                <w:b w:val="0"/>
                <w:sz w:val="18"/>
                <w:szCs w:val="18"/>
              </w:rPr>
            </w:pPr>
            <w:r>
              <w:rPr>
                <w:b w:val="0"/>
                <w:sz w:val="18"/>
                <w:szCs w:val="18"/>
              </w:rPr>
              <w:t>Ref</w:t>
            </w:r>
          </w:p>
        </w:tc>
        <w:tc>
          <w:tcPr>
            <w:tcW w:w="284" w:type="dxa"/>
          </w:tcPr>
          <w:p w14:paraId="7AAF6092" w14:textId="77777777" w:rsidR="00053E6F" w:rsidRPr="00081383" w:rsidRDefault="00053E6F">
            <w:pPr>
              <w:pStyle w:val="Heading2"/>
              <w:spacing w:before="40" w:after="40" w:line="240" w:lineRule="auto"/>
              <w:jc w:val="center"/>
              <w:outlineLvl w:val="1"/>
              <w:rPr>
                <w:b w:val="0"/>
                <w:sz w:val="18"/>
                <w:szCs w:val="18"/>
              </w:rPr>
            </w:pPr>
          </w:p>
        </w:tc>
        <w:tc>
          <w:tcPr>
            <w:tcW w:w="2365" w:type="dxa"/>
          </w:tcPr>
          <w:p w14:paraId="3518C8CF" w14:textId="77777777" w:rsidR="00053E6F" w:rsidRPr="00081383" w:rsidRDefault="00053E6F">
            <w:pPr>
              <w:pStyle w:val="Heading2"/>
              <w:spacing w:before="40" w:after="40" w:line="240" w:lineRule="auto"/>
              <w:jc w:val="center"/>
              <w:outlineLvl w:val="1"/>
              <w:rPr>
                <w:b w:val="0"/>
                <w:sz w:val="18"/>
                <w:szCs w:val="18"/>
              </w:rPr>
            </w:pPr>
          </w:p>
        </w:tc>
      </w:tr>
      <w:tr w:rsidR="00053E6F" w:rsidRPr="0062250B" w14:paraId="16EA12C3" w14:textId="77777777" w:rsidTr="005265DE">
        <w:tc>
          <w:tcPr>
            <w:tcW w:w="1129" w:type="dxa"/>
          </w:tcPr>
          <w:p w14:paraId="46E671E0" w14:textId="73E83163"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11AB749F"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79A5ADDB" w14:textId="1D6F5B74"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3.12</w:t>
            </w:r>
          </w:p>
        </w:tc>
        <w:tc>
          <w:tcPr>
            <w:tcW w:w="284" w:type="dxa"/>
          </w:tcPr>
          <w:p w14:paraId="640BB04E"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2F778305" w14:textId="291F719E"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2.23 to 4.35</w:t>
            </w:r>
          </w:p>
        </w:tc>
      </w:tr>
      <w:tr w:rsidR="00053E6F" w:rsidRPr="0062250B" w14:paraId="124CFB15" w14:textId="77777777" w:rsidTr="005265DE">
        <w:tc>
          <w:tcPr>
            <w:tcW w:w="1129" w:type="dxa"/>
          </w:tcPr>
          <w:p w14:paraId="02C962BB" w14:textId="2DBBA125" w:rsidR="00053E6F" w:rsidRDefault="00053E6F" w:rsidP="005265DE">
            <w:pPr>
              <w:pStyle w:val="Heading2"/>
              <w:spacing w:before="40" w:after="40" w:line="240" w:lineRule="auto"/>
              <w:jc w:val="center"/>
              <w:outlineLvl w:val="1"/>
              <w:rPr>
                <w:b w:val="0"/>
                <w:sz w:val="18"/>
                <w:szCs w:val="18"/>
              </w:rPr>
            </w:pPr>
            <w:r w:rsidRPr="0062250B">
              <w:rPr>
                <w:sz w:val="18"/>
                <w:szCs w:val="18"/>
              </w:rPr>
              <w:t>Year 4</w:t>
            </w:r>
          </w:p>
        </w:tc>
        <w:tc>
          <w:tcPr>
            <w:tcW w:w="284" w:type="dxa"/>
          </w:tcPr>
          <w:p w14:paraId="02DD4600"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7DD32BF7"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294A9BE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2E4B1AB9"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53C285F3" w14:textId="77777777" w:rsidTr="005265DE">
        <w:tc>
          <w:tcPr>
            <w:tcW w:w="1129" w:type="dxa"/>
          </w:tcPr>
          <w:p w14:paraId="023C900F" w14:textId="1221DDCA" w:rsidR="00053E6F" w:rsidRDefault="00053E6F" w:rsidP="005265DE">
            <w:pPr>
              <w:pStyle w:val="Heading2"/>
              <w:spacing w:before="40" w:after="40" w:line="240" w:lineRule="auto"/>
              <w:jc w:val="center"/>
              <w:outlineLvl w:val="1"/>
              <w:rPr>
                <w:b w:val="0"/>
                <w:sz w:val="18"/>
                <w:szCs w:val="18"/>
              </w:rPr>
            </w:pPr>
            <w:r>
              <w:rPr>
                <w:b w:val="0"/>
                <w:sz w:val="18"/>
                <w:szCs w:val="18"/>
              </w:rPr>
              <w:t>Not-DV</w:t>
            </w:r>
          </w:p>
        </w:tc>
        <w:tc>
          <w:tcPr>
            <w:tcW w:w="284" w:type="dxa"/>
          </w:tcPr>
          <w:p w14:paraId="686F3702"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0D9E4457" w14:textId="38463D97" w:rsidR="00053E6F" w:rsidRPr="00053E6F" w:rsidRDefault="00053E6F" w:rsidP="005265DE">
            <w:pPr>
              <w:pStyle w:val="Heading2"/>
              <w:spacing w:before="40" w:after="40" w:line="240" w:lineRule="auto"/>
              <w:jc w:val="center"/>
              <w:outlineLvl w:val="1"/>
              <w:rPr>
                <w:b w:val="0"/>
                <w:sz w:val="18"/>
                <w:szCs w:val="18"/>
              </w:rPr>
            </w:pPr>
            <w:r w:rsidRPr="00053E6F">
              <w:rPr>
                <w:b w:val="0"/>
                <w:sz w:val="18"/>
                <w:szCs w:val="18"/>
              </w:rPr>
              <w:t>Ref</w:t>
            </w:r>
          </w:p>
        </w:tc>
        <w:tc>
          <w:tcPr>
            <w:tcW w:w="284" w:type="dxa"/>
          </w:tcPr>
          <w:p w14:paraId="0BB06459" w14:textId="77777777" w:rsidR="00053E6F" w:rsidRPr="00053E6F" w:rsidRDefault="00053E6F" w:rsidP="005265DE">
            <w:pPr>
              <w:pStyle w:val="Heading2"/>
              <w:spacing w:before="40" w:after="40" w:line="240" w:lineRule="auto"/>
              <w:jc w:val="center"/>
              <w:outlineLvl w:val="1"/>
              <w:rPr>
                <w:b w:val="0"/>
                <w:sz w:val="18"/>
                <w:szCs w:val="18"/>
              </w:rPr>
            </w:pPr>
          </w:p>
        </w:tc>
        <w:tc>
          <w:tcPr>
            <w:tcW w:w="2365" w:type="dxa"/>
          </w:tcPr>
          <w:p w14:paraId="09065A4A" w14:textId="77777777" w:rsidR="00053E6F" w:rsidRPr="00053E6F" w:rsidRDefault="00053E6F" w:rsidP="005265DE">
            <w:pPr>
              <w:pStyle w:val="Heading2"/>
              <w:spacing w:before="40" w:after="40" w:line="240" w:lineRule="auto"/>
              <w:jc w:val="center"/>
              <w:outlineLvl w:val="1"/>
              <w:rPr>
                <w:b w:val="0"/>
                <w:sz w:val="18"/>
                <w:szCs w:val="18"/>
              </w:rPr>
            </w:pPr>
          </w:p>
        </w:tc>
      </w:tr>
      <w:tr w:rsidR="00053E6F" w:rsidRPr="0062250B" w14:paraId="1F90F530" w14:textId="77777777" w:rsidTr="005265DE">
        <w:tc>
          <w:tcPr>
            <w:tcW w:w="1129" w:type="dxa"/>
          </w:tcPr>
          <w:p w14:paraId="2E911C3D" w14:textId="79B58DF6"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0FF5176C"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489033BF" w14:textId="2A31845B"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2.74</w:t>
            </w:r>
          </w:p>
        </w:tc>
        <w:tc>
          <w:tcPr>
            <w:tcW w:w="284" w:type="dxa"/>
          </w:tcPr>
          <w:p w14:paraId="5F1DF1FD"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1AD95B51" w14:textId="17167E89"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1.94 to 3.87</w:t>
            </w:r>
          </w:p>
        </w:tc>
      </w:tr>
      <w:tr w:rsidR="00053E6F" w:rsidRPr="0062250B" w14:paraId="01990F13" w14:textId="77777777" w:rsidTr="005265DE">
        <w:tc>
          <w:tcPr>
            <w:tcW w:w="1129" w:type="dxa"/>
          </w:tcPr>
          <w:p w14:paraId="55080126" w14:textId="45141AD7" w:rsidR="00053E6F" w:rsidRDefault="00053E6F" w:rsidP="005265DE">
            <w:pPr>
              <w:pStyle w:val="Heading2"/>
              <w:spacing w:before="40" w:after="40" w:line="240" w:lineRule="auto"/>
              <w:jc w:val="center"/>
              <w:outlineLvl w:val="1"/>
              <w:rPr>
                <w:b w:val="0"/>
                <w:sz w:val="18"/>
                <w:szCs w:val="18"/>
              </w:rPr>
            </w:pPr>
            <w:r w:rsidRPr="0062250B">
              <w:rPr>
                <w:sz w:val="18"/>
                <w:szCs w:val="18"/>
              </w:rPr>
              <w:t>Year 5</w:t>
            </w:r>
          </w:p>
        </w:tc>
        <w:tc>
          <w:tcPr>
            <w:tcW w:w="284" w:type="dxa"/>
          </w:tcPr>
          <w:p w14:paraId="2F20FADA"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1F445430"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1B5E8ADC"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1501D019"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757A4BC3" w14:textId="77777777" w:rsidTr="005265DE">
        <w:tc>
          <w:tcPr>
            <w:tcW w:w="1129" w:type="dxa"/>
          </w:tcPr>
          <w:p w14:paraId="6E987DBF" w14:textId="2F568957" w:rsidR="00053E6F" w:rsidRDefault="00053E6F" w:rsidP="005265DE">
            <w:pPr>
              <w:pStyle w:val="Heading2"/>
              <w:spacing w:before="40" w:after="40" w:line="240" w:lineRule="auto"/>
              <w:jc w:val="center"/>
              <w:outlineLvl w:val="1"/>
              <w:rPr>
                <w:b w:val="0"/>
                <w:sz w:val="18"/>
                <w:szCs w:val="18"/>
              </w:rPr>
            </w:pPr>
            <w:r>
              <w:rPr>
                <w:b w:val="0"/>
                <w:sz w:val="18"/>
                <w:szCs w:val="18"/>
              </w:rPr>
              <w:t>Not-DV</w:t>
            </w:r>
          </w:p>
        </w:tc>
        <w:tc>
          <w:tcPr>
            <w:tcW w:w="284" w:type="dxa"/>
          </w:tcPr>
          <w:p w14:paraId="6B1D0211"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52E545C7" w14:textId="25DFA347"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40B2CA05"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25FCFCC8"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1B5356F0" w14:textId="77777777" w:rsidTr="005265DE">
        <w:tc>
          <w:tcPr>
            <w:tcW w:w="1129" w:type="dxa"/>
          </w:tcPr>
          <w:p w14:paraId="462950B9" w14:textId="673AFD91"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3A0A9110"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426BF412" w14:textId="0639F186"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2.18</w:t>
            </w:r>
          </w:p>
        </w:tc>
        <w:tc>
          <w:tcPr>
            <w:tcW w:w="284" w:type="dxa"/>
          </w:tcPr>
          <w:p w14:paraId="427F2789"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231C9A2C" w14:textId="5CAD6D34"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1.57 to 3.01</w:t>
            </w:r>
          </w:p>
        </w:tc>
      </w:tr>
      <w:tr w:rsidR="00053E6F" w:rsidRPr="0062250B" w14:paraId="1E757E5D" w14:textId="77777777" w:rsidTr="005265DE">
        <w:tc>
          <w:tcPr>
            <w:tcW w:w="1129" w:type="dxa"/>
          </w:tcPr>
          <w:p w14:paraId="07D3B5D6" w14:textId="1C7D82BD" w:rsidR="00053E6F" w:rsidRDefault="00053E6F" w:rsidP="005265DE">
            <w:pPr>
              <w:pStyle w:val="Heading2"/>
              <w:spacing w:before="40" w:after="40" w:line="240" w:lineRule="auto"/>
              <w:jc w:val="center"/>
              <w:outlineLvl w:val="1"/>
              <w:rPr>
                <w:b w:val="0"/>
                <w:sz w:val="18"/>
                <w:szCs w:val="18"/>
              </w:rPr>
            </w:pPr>
            <w:r w:rsidRPr="0062250B">
              <w:rPr>
                <w:sz w:val="18"/>
                <w:szCs w:val="18"/>
              </w:rPr>
              <w:t>Year 6</w:t>
            </w:r>
          </w:p>
        </w:tc>
        <w:tc>
          <w:tcPr>
            <w:tcW w:w="284" w:type="dxa"/>
          </w:tcPr>
          <w:p w14:paraId="5FF37F19"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1B5FD04E"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45C6FB3B"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7DA0D76D"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3CF83CCC" w14:textId="77777777" w:rsidTr="005265DE">
        <w:tc>
          <w:tcPr>
            <w:tcW w:w="1129" w:type="dxa"/>
          </w:tcPr>
          <w:p w14:paraId="64F6F44D" w14:textId="1A413122" w:rsidR="00053E6F" w:rsidRPr="0062250B" w:rsidRDefault="00053E6F" w:rsidP="005265DE">
            <w:pPr>
              <w:pStyle w:val="Heading2"/>
              <w:spacing w:before="40" w:after="40" w:line="240" w:lineRule="auto"/>
              <w:jc w:val="center"/>
              <w:outlineLvl w:val="1"/>
              <w:rPr>
                <w:sz w:val="18"/>
                <w:szCs w:val="18"/>
              </w:rPr>
            </w:pPr>
            <w:r>
              <w:rPr>
                <w:b w:val="0"/>
                <w:sz w:val="18"/>
                <w:szCs w:val="18"/>
              </w:rPr>
              <w:t>Not-DV</w:t>
            </w:r>
          </w:p>
        </w:tc>
        <w:tc>
          <w:tcPr>
            <w:tcW w:w="284" w:type="dxa"/>
          </w:tcPr>
          <w:p w14:paraId="710726C1"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3A66B2D3" w14:textId="5206A2B8"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10E7141C"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0BFB2648"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0BE6139E" w14:textId="77777777" w:rsidTr="005265DE">
        <w:tc>
          <w:tcPr>
            <w:tcW w:w="1129" w:type="dxa"/>
          </w:tcPr>
          <w:p w14:paraId="577B4956" w14:textId="148B3C0A"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2FB94CA6"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72BE3F10" w14:textId="1C44569F"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2.25</w:t>
            </w:r>
          </w:p>
        </w:tc>
        <w:tc>
          <w:tcPr>
            <w:tcW w:w="284" w:type="dxa"/>
          </w:tcPr>
          <w:p w14:paraId="078642F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4C31AC0" w14:textId="21EE1CF5"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1.56 to 3.26</w:t>
            </w:r>
          </w:p>
        </w:tc>
      </w:tr>
      <w:tr w:rsidR="00053E6F" w:rsidRPr="0062250B" w14:paraId="50B75E6B" w14:textId="77777777" w:rsidTr="00DD5234">
        <w:tc>
          <w:tcPr>
            <w:tcW w:w="5273" w:type="dxa"/>
            <w:gridSpan w:val="5"/>
            <w:shd w:val="clear" w:color="auto" w:fill="D9E2F3" w:themeFill="accent1" w:themeFillTint="33"/>
          </w:tcPr>
          <w:p w14:paraId="56107723" w14:textId="53705D6F" w:rsidR="00053E6F" w:rsidRPr="005265DE" w:rsidRDefault="00053E6F" w:rsidP="00DD5234">
            <w:pPr>
              <w:pStyle w:val="Heading2"/>
              <w:spacing w:before="40" w:after="40" w:line="240" w:lineRule="auto"/>
              <w:outlineLvl w:val="1"/>
              <w:rPr>
                <w:sz w:val="18"/>
                <w:szCs w:val="18"/>
              </w:rPr>
            </w:pPr>
            <w:r w:rsidRPr="005265DE">
              <w:rPr>
                <w:sz w:val="18"/>
                <w:szCs w:val="18"/>
              </w:rPr>
              <w:t>Low subjective wellbeing</w:t>
            </w:r>
          </w:p>
        </w:tc>
      </w:tr>
      <w:tr w:rsidR="00053E6F" w:rsidRPr="0062250B" w14:paraId="4252FB5A" w14:textId="77777777" w:rsidTr="005265DE">
        <w:tc>
          <w:tcPr>
            <w:tcW w:w="1129" w:type="dxa"/>
          </w:tcPr>
          <w:p w14:paraId="44C935D1" w14:textId="10115ABD" w:rsidR="00053E6F" w:rsidRDefault="00053E6F" w:rsidP="005265DE">
            <w:pPr>
              <w:pStyle w:val="Heading2"/>
              <w:spacing w:before="40" w:after="40" w:line="240" w:lineRule="auto"/>
              <w:jc w:val="center"/>
              <w:outlineLvl w:val="1"/>
              <w:rPr>
                <w:b w:val="0"/>
                <w:sz w:val="18"/>
                <w:szCs w:val="18"/>
              </w:rPr>
            </w:pPr>
            <w:r>
              <w:rPr>
                <w:sz w:val="18"/>
                <w:szCs w:val="18"/>
              </w:rPr>
              <w:t>Year 3</w:t>
            </w:r>
          </w:p>
        </w:tc>
        <w:tc>
          <w:tcPr>
            <w:tcW w:w="284" w:type="dxa"/>
          </w:tcPr>
          <w:p w14:paraId="76226E8F"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21F869C6" w14:textId="77777777" w:rsidR="00053E6F" w:rsidRPr="00053E6F" w:rsidRDefault="00053E6F" w:rsidP="005265DE">
            <w:pPr>
              <w:pStyle w:val="Heading2"/>
              <w:spacing w:before="40" w:after="40" w:line="240" w:lineRule="auto"/>
              <w:jc w:val="center"/>
              <w:outlineLvl w:val="1"/>
              <w:rPr>
                <w:b w:val="0"/>
                <w:sz w:val="18"/>
                <w:szCs w:val="18"/>
              </w:rPr>
            </w:pPr>
          </w:p>
        </w:tc>
        <w:tc>
          <w:tcPr>
            <w:tcW w:w="284" w:type="dxa"/>
          </w:tcPr>
          <w:p w14:paraId="51FE944A" w14:textId="77777777" w:rsidR="00053E6F" w:rsidRPr="00053E6F" w:rsidRDefault="00053E6F" w:rsidP="005265DE">
            <w:pPr>
              <w:pStyle w:val="Heading2"/>
              <w:spacing w:before="40" w:after="40" w:line="240" w:lineRule="auto"/>
              <w:jc w:val="center"/>
              <w:outlineLvl w:val="1"/>
              <w:rPr>
                <w:b w:val="0"/>
                <w:sz w:val="18"/>
                <w:szCs w:val="18"/>
              </w:rPr>
            </w:pPr>
          </w:p>
        </w:tc>
        <w:tc>
          <w:tcPr>
            <w:tcW w:w="2365" w:type="dxa"/>
          </w:tcPr>
          <w:p w14:paraId="2E8BC00A" w14:textId="77777777" w:rsidR="00053E6F" w:rsidRPr="00053E6F" w:rsidRDefault="00053E6F" w:rsidP="005265DE">
            <w:pPr>
              <w:pStyle w:val="Heading2"/>
              <w:spacing w:before="40" w:after="40" w:line="240" w:lineRule="auto"/>
              <w:jc w:val="center"/>
              <w:outlineLvl w:val="1"/>
              <w:rPr>
                <w:b w:val="0"/>
                <w:sz w:val="18"/>
                <w:szCs w:val="18"/>
              </w:rPr>
            </w:pPr>
          </w:p>
        </w:tc>
      </w:tr>
      <w:tr w:rsidR="00053E6F" w:rsidRPr="0062250B" w14:paraId="1F74E7D8" w14:textId="77777777" w:rsidTr="005265DE">
        <w:tc>
          <w:tcPr>
            <w:tcW w:w="1129" w:type="dxa"/>
          </w:tcPr>
          <w:p w14:paraId="77678A79" w14:textId="04D2B6A4" w:rsidR="00053E6F" w:rsidRDefault="00053E6F" w:rsidP="005265DE">
            <w:pPr>
              <w:pStyle w:val="Heading2"/>
              <w:spacing w:before="40" w:after="40" w:line="240" w:lineRule="auto"/>
              <w:jc w:val="center"/>
              <w:outlineLvl w:val="1"/>
              <w:rPr>
                <w:b w:val="0"/>
                <w:sz w:val="18"/>
                <w:szCs w:val="18"/>
              </w:rPr>
            </w:pPr>
            <w:r>
              <w:rPr>
                <w:b w:val="0"/>
                <w:sz w:val="18"/>
                <w:szCs w:val="18"/>
              </w:rPr>
              <w:t>Not-DV</w:t>
            </w:r>
          </w:p>
        </w:tc>
        <w:tc>
          <w:tcPr>
            <w:tcW w:w="284" w:type="dxa"/>
          </w:tcPr>
          <w:p w14:paraId="5A382DC1"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3840313C" w14:textId="22B56AFA"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11ADA8C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E2FEBC6"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1632BFC0" w14:textId="77777777" w:rsidTr="005265DE">
        <w:tc>
          <w:tcPr>
            <w:tcW w:w="1129" w:type="dxa"/>
          </w:tcPr>
          <w:p w14:paraId="49246782" w14:textId="24D5B18B"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14A3CBE8"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6AD24969" w14:textId="07828FE1"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1.82</w:t>
            </w:r>
          </w:p>
        </w:tc>
        <w:tc>
          <w:tcPr>
            <w:tcW w:w="284" w:type="dxa"/>
          </w:tcPr>
          <w:p w14:paraId="205741F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E89C40B" w14:textId="421A21E7"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1.23 to 2.69</w:t>
            </w:r>
          </w:p>
        </w:tc>
      </w:tr>
      <w:tr w:rsidR="00053E6F" w:rsidRPr="0062250B" w14:paraId="1C925909" w14:textId="77777777" w:rsidTr="005265DE">
        <w:tc>
          <w:tcPr>
            <w:tcW w:w="1129" w:type="dxa"/>
          </w:tcPr>
          <w:p w14:paraId="2D1E4F9C" w14:textId="3508E83B" w:rsidR="00053E6F" w:rsidRDefault="00053E6F" w:rsidP="005265DE">
            <w:pPr>
              <w:pStyle w:val="Heading2"/>
              <w:spacing w:before="40" w:after="40" w:line="240" w:lineRule="auto"/>
              <w:jc w:val="center"/>
              <w:outlineLvl w:val="1"/>
              <w:rPr>
                <w:b w:val="0"/>
                <w:sz w:val="18"/>
                <w:szCs w:val="18"/>
              </w:rPr>
            </w:pPr>
            <w:r w:rsidRPr="0062250B">
              <w:rPr>
                <w:sz w:val="18"/>
                <w:szCs w:val="18"/>
              </w:rPr>
              <w:t>Year 4</w:t>
            </w:r>
          </w:p>
        </w:tc>
        <w:tc>
          <w:tcPr>
            <w:tcW w:w="284" w:type="dxa"/>
          </w:tcPr>
          <w:p w14:paraId="7EE0E2A5"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1463BF04"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51A3C5A8"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12E2A9A2"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14E115E1" w14:textId="77777777" w:rsidTr="005265DE">
        <w:tc>
          <w:tcPr>
            <w:tcW w:w="1129" w:type="dxa"/>
          </w:tcPr>
          <w:p w14:paraId="16327627" w14:textId="1A110BD8" w:rsidR="00053E6F" w:rsidRPr="0062250B" w:rsidRDefault="00053E6F" w:rsidP="005265DE">
            <w:pPr>
              <w:pStyle w:val="Heading2"/>
              <w:spacing w:before="40" w:after="40" w:line="240" w:lineRule="auto"/>
              <w:jc w:val="center"/>
              <w:outlineLvl w:val="1"/>
              <w:rPr>
                <w:sz w:val="18"/>
                <w:szCs w:val="18"/>
              </w:rPr>
            </w:pPr>
            <w:r>
              <w:rPr>
                <w:b w:val="0"/>
                <w:sz w:val="18"/>
                <w:szCs w:val="18"/>
              </w:rPr>
              <w:t>Not-DV</w:t>
            </w:r>
          </w:p>
        </w:tc>
        <w:tc>
          <w:tcPr>
            <w:tcW w:w="284" w:type="dxa"/>
          </w:tcPr>
          <w:p w14:paraId="28EB6646"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69BF566E" w14:textId="1B000C4D"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6C63B358"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7E41AB3"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2BD150C4" w14:textId="77777777" w:rsidTr="005265DE">
        <w:tc>
          <w:tcPr>
            <w:tcW w:w="1129" w:type="dxa"/>
          </w:tcPr>
          <w:p w14:paraId="369ED63F" w14:textId="181432B7"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068E092E"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1202D878" w14:textId="4E895D8F"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1.75</w:t>
            </w:r>
          </w:p>
        </w:tc>
        <w:tc>
          <w:tcPr>
            <w:tcW w:w="284" w:type="dxa"/>
          </w:tcPr>
          <w:p w14:paraId="1237344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6ADC9872" w14:textId="30EBF919"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1.09 to 2.82</w:t>
            </w:r>
          </w:p>
        </w:tc>
      </w:tr>
      <w:tr w:rsidR="00053E6F" w:rsidRPr="0062250B" w14:paraId="3DDE64B1" w14:textId="77777777" w:rsidTr="005265DE">
        <w:tc>
          <w:tcPr>
            <w:tcW w:w="1129" w:type="dxa"/>
          </w:tcPr>
          <w:p w14:paraId="71B66C4A" w14:textId="17C9ADB3" w:rsidR="00053E6F" w:rsidRDefault="00053E6F" w:rsidP="005265DE">
            <w:pPr>
              <w:pStyle w:val="Heading2"/>
              <w:spacing w:before="40" w:after="40" w:line="240" w:lineRule="auto"/>
              <w:jc w:val="center"/>
              <w:outlineLvl w:val="1"/>
              <w:rPr>
                <w:b w:val="0"/>
                <w:sz w:val="18"/>
                <w:szCs w:val="18"/>
              </w:rPr>
            </w:pPr>
            <w:r w:rsidRPr="0062250B">
              <w:rPr>
                <w:sz w:val="18"/>
                <w:szCs w:val="18"/>
              </w:rPr>
              <w:t>Year 5</w:t>
            </w:r>
          </w:p>
        </w:tc>
        <w:tc>
          <w:tcPr>
            <w:tcW w:w="284" w:type="dxa"/>
          </w:tcPr>
          <w:p w14:paraId="7E654538"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0E1D7CBE"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1C474132"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749CC92B"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0CF1D441" w14:textId="77777777" w:rsidTr="005265DE">
        <w:tc>
          <w:tcPr>
            <w:tcW w:w="1129" w:type="dxa"/>
          </w:tcPr>
          <w:p w14:paraId="2B2E0635" w14:textId="34687C82" w:rsidR="00053E6F" w:rsidRPr="0062250B" w:rsidRDefault="00053E6F" w:rsidP="005265DE">
            <w:pPr>
              <w:pStyle w:val="Heading2"/>
              <w:spacing w:before="40" w:after="40" w:line="240" w:lineRule="auto"/>
              <w:jc w:val="center"/>
              <w:outlineLvl w:val="1"/>
              <w:rPr>
                <w:sz w:val="18"/>
                <w:szCs w:val="18"/>
              </w:rPr>
            </w:pPr>
            <w:r>
              <w:rPr>
                <w:b w:val="0"/>
                <w:sz w:val="18"/>
                <w:szCs w:val="18"/>
              </w:rPr>
              <w:t>Not-DV</w:t>
            </w:r>
          </w:p>
        </w:tc>
        <w:tc>
          <w:tcPr>
            <w:tcW w:w="284" w:type="dxa"/>
          </w:tcPr>
          <w:p w14:paraId="1FB0E324"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6006A548" w14:textId="277D583A"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79FFA6C0"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5FAD0DA8"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059BBD86" w14:textId="77777777" w:rsidTr="005265DE">
        <w:tc>
          <w:tcPr>
            <w:tcW w:w="1129" w:type="dxa"/>
          </w:tcPr>
          <w:p w14:paraId="2433C0AF" w14:textId="42C27953"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7073ADF2"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20E51BD8" w14:textId="1C2BEEEE"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1.65</w:t>
            </w:r>
          </w:p>
        </w:tc>
        <w:tc>
          <w:tcPr>
            <w:tcW w:w="284" w:type="dxa"/>
          </w:tcPr>
          <w:p w14:paraId="1069FBEC"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CF24707" w14:textId="7DCAAF15"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1.13 to 2.41</w:t>
            </w:r>
          </w:p>
        </w:tc>
      </w:tr>
      <w:tr w:rsidR="00053E6F" w:rsidRPr="0062250B" w14:paraId="601F32A3" w14:textId="77777777" w:rsidTr="005265DE">
        <w:tc>
          <w:tcPr>
            <w:tcW w:w="1129" w:type="dxa"/>
          </w:tcPr>
          <w:p w14:paraId="2CA4CFE1" w14:textId="27E6769A" w:rsidR="00053E6F" w:rsidRDefault="00053E6F" w:rsidP="005265DE">
            <w:pPr>
              <w:pStyle w:val="Heading2"/>
              <w:spacing w:before="40" w:after="40" w:line="240" w:lineRule="auto"/>
              <w:jc w:val="center"/>
              <w:outlineLvl w:val="1"/>
              <w:rPr>
                <w:b w:val="0"/>
                <w:sz w:val="18"/>
                <w:szCs w:val="18"/>
              </w:rPr>
            </w:pPr>
            <w:r w:rsidRPr="0062250B">
              <w:rPr>
                <w:sz w:val="18"/>
                <w:szCs w:val="18"/>
              </w:rPr>
              <w:t>Year 6</w:t>
            </w:r>
          </w:p>
        </w:tc>
        <w:tc>
          <w:tcPr>
            <w:tcW w:w="284" w:type="dxa"/>
          </w:tcPr>
          <w:p w14:paraId="49C7BE82"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0EE45DEB"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69F3A7EE"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437E5211"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79F91601" w14:textId="77777777" w:rsidTr="005265DE">
        <w:tc>
          <w:tcPr>
            <w:tcW w:w="1129" w:type="dxa"/>
          </w:tcPr>
          <w:p w14:paraId="4577DDEA" w14:textId="63CE1700" w:rsidR="00053E6F" w:rsidRPr="0062250B" w:rsidRDefault="00053E6F" w:rsidP="005265DE">
            <w:pPr>
              <w:pStyle w:val="Heading2"/>
              <w:spacing w:before="40" w:after="40" w:line="240" w:lineRule="auto"/>
              <w:jc w:val="center"/>
              <w:outlineLvl w:val="1"/>
              <w:rPr>
                <w:sz w:val="18"/>
                <w:szCs w:val="18"/>
              </w:rPr>
            </w:pPr>
            <w:r>
              <w:rPr>
                <w:b w:val="0"/>
                <w:sz w:val="18"/>
                <w:szCs w:val="18"/>
              </w:rPr>
              <w:t>Not-DV</w:t>
            </w:r>
          </w:p>
        </w:tc>
        <w:tc>
          <w:tcPr>
            <w:tcW w:w="284" w:type="dxa"/>
          </w:tcPr>
          <w:p w14:paraId="22892BC2"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03606B7A" w14:textId="745557E7"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2507CB10"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3705F0F1"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43AD3CEF" w14:textId="77777777" w:rsidTr="005265DE">
        <w:tc>
          <w:tcPr>
            <w:tcW w:w="1129" w:type="dxa"/>
          </w:tcPr>
          <w:p w14:paraId="19F7D845" w14:textId="68076966"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543081DE"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63F30154" w14:textId="4016268C"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1.92</w:t>
            </w:r>
          </w:p>
        </w:tc>
        <w:tc>
          <w:tcPr>
            <w:tcW w:w="284" w:type="dxa"/>
          </w:tcPr>
          <w:p w14:paraId="7C86F1FE"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5FFE8E7D" w14:textId="50211788"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1.26 to 2.93</w:t>
            </w:r>
          </w:p>
        </w:tc>
      </w:tr>
      <w:tr w:rsidR="00053E6F" w:rsidRPr="0062250B" w14:paraId="27F57EC4" w14:textId="77777777" w:rsidTr="005265DE">
        <w:tc>
          <w:tcPr>
            <w:tcW w:w="1129" w:type="dxa"/>
          </w:tcPr>
          <w:p w14:paraId="69F0E382" w14:textId="100CF3F5" w:rsidR="00053E6F" w:rsidRDefault="00053E6F" w:rsidP="005265DE">
            <w:pPr>
              <w:pStyle w:val="Heading2"/>
              <w:spacing w:before="40" w:after="40" w:line="240" w:lineRule="auto"/>
              <w:jc w:val="center"/>
              <w:outlineLvl w:val="1"/>
              <w:rPr>
                <w:b w:val="0"/>
                <w:sz w:val="18"/>
                <w:szCs w:val="18"/>
              </w:rPr>
            </w:pPr>
            <w:r w:rsidRPr="0062250B">
              <w:rPr>
                <w:sz w:val="18"/>
                <w:szCs w:val="18"/>
              </w:rPr>
              <w:t>Year 7</w:t>
            </w:r>
          </w:p>
        </w:tc>
        <w:tc>
          <w:tcPr>
            <w:tcW w:w="284" w:type="dxa"/>
          </w:tcPr>
          <w:p w14:paraId="5954CFF6"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25BAF320" w14:textId="77777777" w:rsidR="00053E6F" w:rsidRPr="006A226B" w:rsidRDefault="00053E6F" w:rsidP="005265DE">
            <w:pPr>
              <w:pStyle w:val="Heading2"/>
              <w:spacing w:before="40" w:after="40" w:line="240" w:lineRule="auto"/>
              <w:jc w:val="center"/>
              <w:outlineLvl w:val="1"/>
              <w:rPr>
                <w:b w:val="0"/>
                <w:sz w:val="18"/>
                <w:szCs w:val="18"/>
              </w:rPr>
            </w:pPr>
          </w:p>
        </w:tc>
        <w:tc>
          <w:tcPr>
            <w:tcW w:w="284" w:type="dxa"/>
          </w:tcPr>
          <w:p w14:paraId="100DD58A"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7DC5CA79"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7FE6CDFB" w14:textId="77777777" w:rsidTr="005265DE">
        <w:tc>
          <w:tcPr>
            <w:tcW w:w="1129" w:type="dxa"/>
          </w:tcPr>
          <w:p w14:paraId="6908C975" w14:textId="54791A95" w:rsidR="00053E6F" w:rsidRPr="0062250B" w:rsidRDefault="00053E6F" w:rsidP="005265DE">
            <w:pPr>
              <w:pStyle w:val="Heading2"/>
              <w:spacing w:before="40" w:after="40" w:line="240" w:lineRule="auto"/>
              <w:jc w:val="center"/>
              <w:outlineLvl w:val="1"/>
              <w:rPr>
                <w:sz w:val="18"/>
                <w:szCs w:val="18"/>
              </w:rPr>
            </w:pPr>
            <w:r>
              <w:rPr>
                <w:b w:val="0"/>
                <w:sz w:val="18"/>
                <w:szCs w:val="18"/>
              </w:rPr>
              <w:t>Not-DV</w:t>
            </w:r>
          </w:p>
        </w:tc>
        <w:tc>
          <w:tcPr>
            <w:tcW w:w="284" w:type="dxa"/>
          </w:tcPr>
          <w:p w14:paraId="112585B1"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67869843" w14:textId="44FD9E78" w:rsidR="00053E6F" w:rsidRPr="006A226B" w:rsidRDefault="00053E6F" w:rsidP="005265DE">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318C2EB0"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69E7E270" w14:textId="77777777" w:rsidR="00053E6F" w:rsidRPr="002A228E" w:rsidRDefault="00053E6F" w:rsidP="005265DE">
            <w:pPr>
              <w:pStyle w:val="Heading2"/>
              <w:spacing w:before="40" w:after="40" w:line="240" w:lineRule="auto"/>
              <w:jc w:val="center"/>
              <w:outlineLvl w:val="1"/>
              <w:rPr>
                <w:b w:val="0"/>
                <w:sz w:val="18"/>
                <w:szCs w:val="18"/>
              </w:rPr>
            </w:pPr>
          </w:p>
        </w:tc>
      </w:tr>
      <w:tr w:rsidR="00053E6F" w:rsidRPr="0062250B" w14:paraId="3A237FDA" w14:textId="77777777" w:rsidTr="005265DE">
        <w:tc>
          <w:tcPr>
            <w:tcW w:w="1129" w:type="dxa"/>
          </w:tcPr>
          <w:p w14:paraId="18CA2461" w14:textId="7EEC8F74" w:rsidR="00053E6F" w:rsidRDefault="00053E6F" w:rsidP="005265DE">
            <w:pPr>
              <w:pStyle w:val="Heading2"/>
              <w:spacing w:before="40" w:after="40" w:line="240" w:lineRule="auto"/>
              <w:jc w:val="center"/>
              <w:outlineLvl w:val="1"/>
              <w:rPr>
                <w:b w:val="0"/>
                <w:sz w:val="18"/>
                <w:szCs w:val="18"/>
              </w:rPr>
            </w:pPr>
            <w:r>
              <w:rPr>
                <w:b w:val="0"/>
                <w:sz w:val="18"/>
                <w:szCs w:val="18"/>
              </w:rPr>
              <w:t>DV</w:t>
            </w:r>
          </w:p>
        </w:tc>
        <w:tc>
          <w:tcPr>
            <w:tcW w:w="284" w:type="dxa"/>
          </w:tcPr>
          <w:p w14:paraId="1DE2524A" w14:textId="77777777" w:rsidR="00053E6F" w:rsidRPr="00081383" w:rsidRDefault="00053E6F" w:rsidP="005265DE">
            <w:pPr>
              <w:pStyle w:val="Heading2"/>
              <w:spacing w:before="40" w:after="40" w:line="240" w:lineRule="auto"/>
              <w:jc w:val="center"/>
              <w:outlineLvl w:val="1"/>
              <w:rPr>
                <w:b w:val="0"/>
                <w:sz w:val="18"/>
                <w:szCs w:val="18"/>
              </w:rPr>
            </w:pPr>
          </w:p>
        </w:tc>
        <w:tc>
          <w:tcPr>
            <w:tcW w:w="1211" w:type="dxa"/>
          </w:tcPr>
          <w:p w14:paraId="0E7BAB71" w14:textId="77814073"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1.71</w:t>
            </w:r>
          </w:p>
        </w:tc>
        <w:tc>
          <w:tcPr>
            <w:tcW w:w="284" w:type="dxa"/>
          </w:tcPr>
          <w:p w14:paraId="396CB743" w14:textId="77777777" w:rsidR="00053E6F" w:rsidRPr="006A226B" w:rsidRDefault="00053E6F" w:rsidP="005265DE">
            <w:pPr>
              <w:pStyle w:val="Heading2"/>
              <w:spacing w:before="40" w:after="40" w:line="240" w:lineRule="auto"/>
              <w:jc w:val="center"/>
              <w:outlineLvl w:val="1"/>
              <w:rPr>
                <w:b w:val="0"/>
                <w:sz w:val="18"/>
                <w:szCs w:val="18"/>
              </w:rPr>
            </w:pPr>
          </w:p>
        </w:tc>
        <w:tc>
          <w:tcPr>
            <w:tcW w:w="2365" w:type="dxa"/>
          </w:tcPr>
          <w:p w14:paraId="1ABF5B6F" w14:textId="1D3EBF22" w:rsidR="00053E6F" w:rsidRPr="006A226B" w:rsidRDefault="00053E6F" w:rsidP="005265DE">
            <w:pPr>
              <w:pStyle w:val="Heading2"/>
              <w:spacing w:before="40" w:after="40" w:line="240" w:lineRule="auto"/>
              <w:jc w:val="center"/>
              <w:outlineLvl w:val="1"/>
              <w:rPr>
                <w:b w:val="0"/>
                <w:sz w:val="18"/>
                <w:szCs w:val="18"/>
              </w:rPr>
            </w:pPr>
            <w:r w:rsidRPr="005265DE">
              <w:rPr>
                <w:b w:val="0"/>
                <w:sz w:val="18"/>
                <w:szCs w:val="18"/>
              </w:rPr>
              <w:t>1.08 to 2.69</w:t>
            </w:r>
          </w:p>
        </w:tc>
      </w:tr>
    </w:tbl>
    <w:p w14:paraId="6F39BE67" w14:textId="77777777" w:rsidR="00053E6F" w:rsidRDefault="00053E6F" w:rsidP="005265DE"/>
    <w:p w14:paraId="5ECF5DB8" w14:textId="77777777" w:rsidR="00053E6F" w:rsidRDefault="00053E6F" w:rsidP="005265DE"/>
    <w:p w14:paraId="544B3947" w14:textId="77777777" w:rsidR="00053E6F" w:rsidRDefault="00053E6F" w:rsidP="005265DE"/>
    <w:p w14:paraId="338772DE" w14:textId="171B0636" w:rsidR="00B913A7" w:rsidRPr="00B913A7" w:rsidRDefault="00B913A7" w:rsidP="005265DE"/>
    <w:p w14:paraId="246A1C2A" w14:textId="77777777" w:rsidR="00053E6F" w:rsidRDefault="00053E6F" w:rsidP="00004A60">
      <w:pPr>
        <w:pStyle w:val="Heading2"/>
      </w:pPr>
    </w:p>
    <w:p w14:paraId="15C74736" w14:textId="77777777" w:rsidR="00053E6F" w:rsidRDefault="00053E6F" w:rsidP="00004A60">
      <w:pPr>
        <w:pStyle w:val="Heading2"/>
      </w:pPr>
    </w:p>
    <w:p w14:paraId="08E4DFB2" w14:textId="77777777" w:rsidR="00DD5234" w:rsidRDefault="00DD5234">
      <w:pPr>
        <w:spacing w:after="0" w:line="240" w:lineRule="auto"/>
        <w:rPr>
          <w:rFonts w:eastAsiaTheme="majorEastAsia" w:cstheme="majorBidi"/>
          <w:b/>
          <w:sz w:val="24"/>
          <w:szCs w:val="24"/>
        </w:rPr>
      </w:pPr>
      <w:r>
        <w:br w:type="page"/>
      </w:r>
    </w:p>
    <w:p w14:paraId="5A7E9DA4" w14:textId="51A6D922" w:rsidR="00004A60" w:rsidRDefault="00004A60" w:rsidP="00004A60">
      <w:pPr>
        <w:pStyle w:val="Heading2"/>
      </w:pPr>
      <w:r>
        <w:t>Chapter 4</w:t>
      </w:r>
    </w:p>
    <w:p w14:paraId="059BCDAB" w14:textId="28C55E31" w:rsidR="00053E6F" w:rsidRDefault="00053E6F" w:rsidP="00053E6F">
      <w:r>
        <w:t xml:space="preserve">Table </w:t>
      </w:r>
      <w:r w:rsidR="002E5114">
        <w:t>25</w:t>
      </w:r>
      <w:r>
        <w:t xml:space="preserve"> shows the Odds Ratios obtained from the unadjusted logistic regression analyses that were performed in order to estimate proportion</w:t>
      </w:r>
      <w:r w:rsidR="002A68CD">
        <w:t>s</w:t>
      </w:r>
      <w:r>
        <w:t xml:space="preserve"> of students </w:t>
      </w:r>
      <w:r w:rsidR="00A3393E">
        <w:t>reporting</w:t>
      </w:r>
      <w:r>
        <w:t xml:space="preserve"> (</w:t>
      </w:r>
      <w:proofErr w:type="spellStart"/>
      <w:r>
        <w:t>i</w:t>
      </w:r>
      <w:proofErr w:type="spellEnd"/>
      <w:r>
        <w:t xml:space="preserve">) peer support, and (ii) </w:t>
      </w:r>
      <w:r w:rsidR="00A3393E">
        <w:t>bullying</w:t>
      </w:r>
      <w:r>
        <w:t>, at Years 3, 4, 5, 6 and 7 (</w:t>
      </w:r>
      <w:r w:rsidRPr="008F562A">
        <w:t>by developmental vulnerability status</w:t>
      </w:r>
      <w:r>
        <w:t>) (Figure 8).</w:t>
      </w:r>
    </w:p>
    <w:p w14:paraId="452DD032" w14:textId="1FFCC89D" w:rsidR="00053E6F" w:rsidRPr="001B0E9A" w:rsidRDefault="001B0E9A" w:rsidP="001B0E9A">
      <w:pPr>
        <w:pStyle w:val="Caption"/>
        <w:rPr>
          <w:sz w:val="20"/>
        </w:rPr>
      </w:pPr>
      <w:bookmarkStart w:id="181" w:name="_Toc503780765"/>
      <w:r w:rsidRPr="001B0E9A">
        <w:rPr>
          <w:sz w:val="20"/>
        </w:rPr>
        <w:t xml:space="preserve">Table </w:t>
      </w:r>
      <w:r w:rsidRPr="001B0E9A">
        <w:rPr>
          <w:sz w:val="20"/>
        </w:rPr>
        <w:fldChar w:fldCharType="begin"/>
      </w:r>
      <w:r w:rsidRPr="001B0E9A">
        <w:rPr>
          <w:sz w:val="20"/>
        </w:rPr>
        <w:instrText xml:space="preserve"> SEQ Table \* ARABIC </w:instrText>
      </w:r>
      <w:r w:rsidRPr="001B0E9A">
        <w:rPr>
          <w:sz w:val="20"/>
        </w:rPr>
        <w:fldChar w:fldCharType="separate"/>
      </w:r>
      <w:r w:rsidR="004C27B3">
        <w:rPr>
          <w:noProof/>
          <w:sz w:val="20"/>
        </w:rPr>
        <w:t>25</w:t>
      </w:r>
      <w:r w:rsidRPr="001B0E9A">
        <w:rPr>
          <w:sz w:val="20"/>
        </w:rPr>
        <w:fldChar w:fldCharType="end"/>
      </w:r>
      <w:r w:rsidR="00053E6F" w:rsidRPr="001B0E9A">
        <w:rPr>
          <w:sz w:val="20"/>
        </w:rPr>
        <w:t xml:space="preserve">: Likelihood of </w:t>
      </w:r>
      <w:r w:rsidR="00A3393E" w:rsidRPr="001B0E9A">
        <w:rPr>
          <w:sz w:val="20"/>
        </w:rPr>
        <w:t>peer support/bullying</w:t>
      </w:r>
      <w:r w:rsidR="00053E6F" w:rsidRPr="001B0E9A">
        <w:rPr>
          <w:sz w:val="20"/>
        </w:rPr>
        <w:t xml:space="preserve"> in Years 3, 4, 5, 6 and 7 associated with developmental vulnerability status.</w:t>
      </w:r>
      <w:bookmarkEnd w:id="181"/>
    </w:p>
    <w:tbl>
      <w:tblPr>
        <w:tblStyle w:val="TableGrid"/>
        <w:tblpPr w:leftFromText="180" w:rightFromText="180" w:vertAnchor="text" w:tblpXSpec="center" w:tblpY="1"/>
        <w:tblOverlap w:val="never"/>
        <w:tblW w:w="0" w:type="auto"/>
        <w:tblBorders>
          <w:insideH w:val="none" w:sz="0" w:space="0" w:color="auto"/>
          <w:insideV w:val="none" w:sz="0" w:space="0" w:color="auto"/>
        </w:tblBorders>
        <w:tblLook w:val="04A0" w:firstRow="1" w:lastRow="0" w:firstColumn="1" w:lastColumn="0" w:noHBand="0" w:noVBand="1"/>
        <w:tblCaption w:val="Table 25. Likelihood of peer support/bullying in Years 3, 4, 5, 6 and 7 associated with developmental vulnerability status"/>
      </w:tblPr>
      <w:tblGrid>
        <w:gridCol w:w="1129"/>
        <w:gridCol w:w="284"/>
        <w:gridCol w:w="1211"/>
        <w:gridCol w:w="284"/>
        <w:gridCol w:w="2365"/>
      </w:tblGrid>
      <w:tr w:rsidR="00A3393E" w:rsidRPr="0062250B" w14:paraId="33ABC8AF" w14:textId="77777777" w:rsidTr="005265DE">
        <w:trPr>
          <w:trHeight w:val="226"/>
        </w:trPr>
        <w:tc>
          <w:tcPr>
            <w:tcW w:w="1129" w:type="dxa"/>
            <w:shd w:val="clear" w:color="auto" w:fill="0070C0"/>
          </w:tcPr>
          <w:p w14:paraId="28A76D73" w14:textId="77777777" w:rsidR="00A3393E" w:rsidRPr="0062250B" w:rsidRDefault="00A3393E" w:rsidP="006A226B">
            <w:pPr>
              <w:pStyle w:val="Heading2"/>
              <w:spacing w:before="40" w:after="40" w:line="240" w:lineRule="auto"/>
              <w:outlineLvl w:val="1"/>
              <w:rPr>
                <w:sz w:val="18"/>
                <w:szCs w:val="18"/>
              </w:rPr>
            </w:pPr>
          </w:p>
        </w:tc>
        <w:tc>
          <w:tcPr>
            <w:tcW w:w="284" w:type="dxa"/>
            <w:shd w:val="clear" w:color="auto" w:fill="0070C0"/>
          </w:tcPr>
          <w:p w14:paraId="3A1EA6E6" w14:textId="77777777" w:rsidR="00A3393E" w:rsidRPr="00B913A7" w:rsidRDefault="00A3393E" w:rsidP="006A226B">
            <w:pPr>
              <w:pStyle w:val="TableHeader1"/>
              <w:spacing w:after="40"/>
            </w:pPr>
          </w:p>
        </w:tc>
        <w:tc>
          <w:tcPr>
            <w:tcW w:w="1211" w:type="dxa"/>
            <w:shd w:val="clear" w:color="auto" w:fill="0070C0"/>
          </w:tcPr>
          <w:p w14:paraId="44F5A264" w14:textId="77777777" w:rsidR="00A3393E" w:rsidRPr="005265DE" w:rsidRDefault="00A3393E" w:rsidP="006A226B">
            <w:pPr>
              <w:pStyle w:val="TableHeader1"/>
              <w:spacing w:after="40"/>
            </w:pPr>
            <w:r w:rsidRPr="005265DE">
              <w:t>Odds Ratio</w:t>
            </w:r>
          </w:p>
        </w:tc>
        <w:tc>
          <w:tcPr>
            <w:tcW w:w="284" w:type="dxa"/>
            <w:shd w:val="clear" w:color="auto" w:fill="0070C0"/>
          </w:tcPr>
          <w:p w14:paraId="1E63B231" w14:textId="77777777" w:rsidR="00A3393E" w:rsidRPr="005265DE" w:rsidRDefault="00A3393E" w:rsidP="006A226B">
            <w:pPr>
              <w:pStyle w:val="TableHeader1"/>
              <w:spacing w:after="40"/>
            </w:pPr>
          </w:p>
        </w:tc>
        <w:tc>
          <w:tcPr>
            <w:tcW w:w="2365" w:type="dxa"/>
            <w:shd w:val="clear" w:color="auto" w:fill="0070C0"/>
          </w:tcPr>
          <w:p w14:paraId="71B7CFCC" w14:textId="77777777" w:rsidR="00A3393E" w:rsidRPr="005265DE" w:rsidRDefault="00A3393E" w:rsidP="006A226B">
            <w:pPr>
              <w:pStyle w:val="TableHeader1"/>
              <w:spacing w:after="40"/>
            </w:pPr>
            <w:r w:rsidRPr="005265DE">
              <w:t>95% Confidence Interval</w:t>
            </w:r>
          </w:p>
        </w:tc>
      </w:tr>
      <w:tr w:rsidR="00A3393E" w:rsidRPr="0062250B" w14:paraId="616F25C4" w14:textId="77777777" w:rsidTr="00DD5234">
        <w:trPr>
          <w:trHeight w:val="226"/>
        </w:trPr>
        <w:tc>
          <w:tcPr>
            <w:tcW w:w="5273" w:type="dxa"/>
            <w:gridSpan w:val="5"/>
            <w:shd w:val="clear" w:color="auto" w:fill="D9E2F3" w:themeFill="accent1" w:themeFillTint="33"/>
          </w:tcPr>
          <w:p w14:paraId="603EB9EA" w14:textId="4C5EFC21" w:rsidR="00A3393E" w:rsidRPr="0062250B" w:rsidRDefault="00A3393E" w:rsidP="006A226B">
            <w:pPr>
              <w:pStyle w:val="TableHeader1"/>
              <w:spacing w:after="40"/>
              <w:jc w:val="left"/>
              <w:rPr>
                <w:color w:val="000000" w:themeColor="text1"/>
              </w:rPr>
            </w:pPr>
            <w:r>
              <w:rPr>
                <w:color w:val="000000" w:themeColor="text1"/>
              </w:rPr>
              <w:t>Peer support</w:t>
            </w:r>
          </w:p>
        </w:tc>
      </w:tr>
      <w:tr w:rsidR="00A3393E" w:rsidRPr="0062250B" w14:paraId="52C108BD" w14:textId="77777777" w:rsidTr="005265DE">
        <w:tc>
          <w:tcPr>
            <w:tcW w:w="1129" w:type="dxa"/>
          </w:tcPr>
          <w:p w14:paraId="0008AF4B" w14:textId="77777777" w:rsidR="00A3393E" w:rsidRPr="0062250B" w:rsidRDefault="00A3393E" w:rsidP="006A226B">
            <w:pPr>
              <w:pStyle w:val="Heading2"/>
              <w:spacing w:before="40" w:after="40" w:line="240" w:lineRule="auto"/>
              <w:outlineLvl w:val="1"/>
              <w:rPr>
                <w:sz w:val="18"/>
                <w:szCs w:val="18"/>
              </w:rPr>
            </w:pPr>
            <w:r w:rsidRPr="0062250B">
              <w:rPr>
                <w:sz w:val="18"/>
                <w:szCs w:val="18"/>
              </w:rPr>
              <w:t>Year 3</w:t>
            </w:r>
          </w:p>
        </w:tc>
        <w:tc>
          <w:tcPr>
            <w:tcW w:w="284" w:type="dxa"/>
          </w:tcPr>
          <w:p w14:paraId="6839709D"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7EA222DB" w14:textId="77777777" w:rsidR="00A3393E" w:rsidRPr="0062250B" w:rsidRDefault="00A3393E" w:rsidP="006A226B">
            <w:pPr>
              <w:pStyle w:val="Heading2"/>
              <w:spacing w:before="40" w:after="40" w:line="240" w:lineRule="auto"/>
              <w:jc w:val="center"/>
              <w:outlineLvl w:val="1"/>
              <w:rPr>
                <w:b w:val="0"/>
                <w:sz w:val="18"/>
                <w:szCs w:val="18"/>
              </w:rPr>
            </w:pPr>
          </w:p>
        </w:tc>
        <w:tc>
          <w:tcPr>
            <w:tcW w:w="284" w:type="dxa"/>
          </w:tcPr>
          <w:p w14:paraId="2D2021A6"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44B79AF9" w14:textId="77777777" w:rsidR="00A3393E" w:rsidRPr="0062250B" w:rsidRDefault="00A3393E" w:rsidP="006A226B">
            <w:pPr>
              <w:pStyle w:val="Heading2"/>
              <w:spacing w:before="40" w:after="40" w:line="240" w:lineRule="auto"/>
              <w:jc w:val="center"/>
              <w:outlineLvl w:val="1"/>
              <w:rPr>
                <w:b w:val="0"/>
                <w:sz w:val="18"/>
                <w:szCs w:val="18"/>
              </w:rPr>
            </w:pPr>
          </w:p>
        </w:tc>
      </w:tr>
      <w:tr w:rsidR="00A3393E" w:rsidRPr="0062250B" w14:paraId="6F00A36D" w14:textId="77777777" w:rsidTr="005265DE">
        <w:tc>
          <w:tcPr>
            <w:tcW w:w="1129" w:type="dxa"/>
          </w:tcPr>
          <w:p w14:paraId="52792309" w14:textId="77777777" w:rsidR="00A3393E" w:rsidRPr="0062250B" w:rsidRDefault="00A3393E" w:rsidP="006A226B">
            <w:pPr>
              <w:pStyle w:val="Heading2"/>
              <w:spacing w:before="40" w:after="40" w:line="240" w:lineRule="auto"/>
              <w:outlineLvl w:val="1"/>
              <w:rPr>
                <w:sz w:val="18"/>
                <w:szCs w:val="18"/>
              </w:rPr>
            </w:pPr>
            <w:r w:rsidRPr="0062250B">
              <w:rPr>
                <w:b w:val="0"/>
                <w:sz w:val="18"/>
                <w:szCs w:val="18"/>
              </w:rPr>
              <w:t>Not-DV</w:t>
            </w:r>
          </w:p>
        </w:tc>
        <w:tc>
          <w:tcPr>
            <w:tcW w:w="284" w:type="dxa"/>
          </w:tcPr>
          <w:p w14:paraId="0C41EB16"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57E46429" w14:textId="77777777" w:rsidR="00A3393E" w:rsidRPr="006A226B" w:rsidRDefault="00A3393E" w:rsidP="006A226B">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6FE3696F"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0250C0C9"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6BB84734" w14:textId="77777777" w:rsidTr="005265DE">
        <w:tc>
          <w:tcPr>
            <w:tcW w:w="1129" w:type="dxa"/>
          </w:tcPr>
          <w:p w14:paraId="068A8696" w14:textId="77777777" w:rsidR="00A3393E" w:rsidRPr="0062250B" w:rsidRDefault="00A3393E" w:rsidP="006A226B">
            <w:pPr>
              <w:pStyle w:val="Heading2"/>
              <w:spacing w:before="40" w:after="40" w:line="240" w:lineRule="auto"/>
              <w:outlineLvl w:val="1"/>
              <w:rPr>
                <w:sz w:val="18"/>
                <w:szCs w:val="18"/>
              </w:rPr>
            </w:pPr>
            <w:r w:rsidRPr="0062250B">
              <w:rPr>
                <w:b w:val="0"/>
                <w:sz w:val="18"/>
                <w:szCs w:val="18"/>
              </w:rPr>
              <w:t>DV</w:t>
            </w:r>
          </w:p>
        </w:tc>
        <w:tc>
          <w:tcPr>
            <w:tcW w:w="284" w:type="dxa"/>
          </w:tcPr>
          <w:p w14:paraId="0B59E7F6"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13247614" w14:textId="1B8E73AD"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0.70</w:t>
            </w:r>
          </w:p>
        </w:tc>
        <w:tc>
          <w:tcPr>
            <w:tcW w:w="284" w:type="dxa"/>
          </w:tcPr>
          <w:p w14:paraId="78D28918"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3FE267E3" w14:textId="1EACBA67"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0.51 to 0.98</w:t>
            </w:r>
          </w:p>
        </w:tc>
      </w:tr>
      <w:tr w:rsidR="00A3393E" w:rsidRPr="0062250B" w14:paraId="40E43B47" w14:textId="77777777" w:rsidTr="005265DE">
        <w:tc>
          <w:tcPr>
            <w:tcW w:w="1129" w:type="dxa"/>
          </w:tcPr>
          <w:p w14:paraId="17908AA2" w14:textId="77777777" w:rsidR="00A3393E" w:rsidRPr="0062250B" w:rsidRDefault="00A3393E" w:rsidP="006A226B">
            <w:pPr>
              <w:pStyle w:val="Heading2"/>
              <w:spacing w:before="40" w:after="40" w:line="240" w:lineRule="auto"/>
              <w:outlineLvl w:val="1"/>
              <w:rPr>
                <w:sz w:val="18"/>
                <w:szCs w:val="18"/>
              </w:rPr>
            </w:pPr>
            <w:r w:rsidRPr="0062250B">
              <w:rPr>
                <w:sz w:val="18"/>
                <w:szCs w:val="18"/>
              </w:rPr>
              <w:t>Year 4</w:t>
            </w:r>
          </w:p>
        </w:tc>
        <w:tc>
          <w:tcPr>
            <w:tcW w:w="284" w:type="dxa"/>
          </w:tcPr>
          <w:p w14:paraId="1F231C54"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21029431" w14:textId="77777777" w:rsidR="00A3393E" w:rsidRPr="006A226B" w:rsidRDefault="00A3393E" w:rsidP="006A226B">
            <w:pPr>
              <w:pStyle w:val="Heading2"/>
              <w:spacing w:before="40" w:after="40" w:line="240" w:lineRule="auto"/>
              <w:jc w:val="center"/>
              <w:outlineLvl w:val="1"/>
              <w:rPr>
                <w:b w:val="0"/>
                <w:sz w:val="18"/>
                <w:szCs w:val="18"/>
              </w:rPr>
            </w:pPr>
          </w:p>
        </w:tc>
        <w:tc>
          <w:tcPr>
            <w:tcW w:w="284" w:type="dxa"/>
          </w:tcPr>
          <w:p w14:paraId="7AFBCED3"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293A693E"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53CDA54A" w14:textId="77777777" w:rsidTr="005265DE">
        <w:tc>
          <w:tcPr>
            <w:tcW w:w="1129" w:type="dxa"/>
          </w:tcPr>
          <w:p w14:paraId="0EC2DEC6"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Not-DV</w:t>
            </w:r>
          </w:p>
        </w:tc>
        <w:tc>
          <w:tcPr>
            <w:tcW w:w="284" w:type="dxa"/>
          </w:tcPr>
          <w:p w14:paraId="64E90C72"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5B8F6C4C" w14:textId="77777777" w:rsidR="00A3393E" w:rsidRPr="006A226B" w:rsidRDefault="00A3393E" w:rsidP="006A226B">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283A7541"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65B109B1"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62F5C904" w14:textId="77777777" w:rsidTr="005265DE">
        <w:tc>
          <w:tcPr>
            <w:tcW w:w="1129" w:type="dxa"/>
          </w:tcPr>
          <w:p w14:paraId="134AE77F"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DV</w:t>
            </w:r>
          </w:p>
        </w:tc>
        <w:tc>
          <w:tcPr>
            <w:tcW w:w="284" w:type="dxa"/>
          </w:tcPr>
          <w:p w14:paraId="3B9F9DEC"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757A35B5" w14:textId="185616E6"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0.74</w:t>
            </w:r>
          </w:p>
        </w:tc>
        <w:tc>
          <w:tcPr>
            <w:tcW w:w="284" w:type="dxa"/>
          </w:tcPr>
          <w:p w14:paraId="6C6B4BD3"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6B48CD38" w14:textId="01F4DEAB"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0.52 to 1.07</w:t>
            </w:r>
          </w:p>
        </w:tc>
      </w:tr>
      <w:tr w:rsidR="00A3393E" w:rsidRPr="0062250B" w14:paraId="4FC9C33E" w14:textId="77777777" w:rsidTr="005265DE">
        <w:tc>
          <w:tcPr>
            <w:tcW w:w="1129" w:type="dxa"/>
          </w:tcPr>
          <w:p w14:paraId="0A2D790C" w14:textId="77777777" w:rsidR="00A3393E" w:rsidRPr="0062250B" w:rsidRDefault="00A3393E" w:rsidP="006A226B">
            <w:pPr>
              <w:pStyle w:val="Heading2"/>
              <w:spacing w:before="40" w:after="40" w:line="240" w:lineRule="auto"/>
              <w:outlineLvl w:val="1"/>
              <w:rPr>
                <w:sz w:val="18"/>
                <w:szCs w:val="18"/>
              </w:rPr>
            </w:pPr>
            <w:r w:rsidRPr="0062250B">
              <w:rPr>
                <w:sz w:val="18"/>
                <w:szCs w:val="18"/>
              </w:rPr>
              <w:t>Year 5</w:t>
            </w:r>
          </w:p>
        </w:tc>
        <w:tc>
          <w:tcPr>
            <w:tcW w:w="284" w:type="dxa"/>
          </w:tcPr>
          <w:p w14:paraId="0D8965A1"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6B0C81AA" w14:textId="77777777" w:rsidR="00A3393E" w:rsidRPr="006A226B" w:rsidRDefault="00A3393E" w:rsidP="006A226B">
            <w:pPr>
              <w:pStyle w:val="Heading2"/>
              <w:spacing w:before="40" w:after="40" w:line="240" w:lineRule="auto"/>
              <w:jc w:val="center"/>
              <w:outlineLvl w:val="1"/>
              <w:rPr>
                <w:b w:val="0"/>
                <w:sz w:val="18"/>
                <w:szCs w:val="18"/>
              </w:rPr>
            </w:pPr>
          </w:p>
        </w:tc>
        <w:tc>
          <w:tcPr>
            <w:tcW w:w="284" w:type="dxa"/>
          </w:tcPr>
          <w:p w14:paraId="59D74F17"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34021AC5"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3D631E36" w14:textId="77777777" w:rsidTr="005265DE">
        <w:tc>
          <w:tcPr>
            <w:tcW w:w="1129" w:type="dxa"/>
          </w:tcPr>
          <w:p w14:paraId="0A540CE6"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Not-DV</w:t>
            </w:r>
          </w:p>
        </w:tc>
        <w:tc>
          <w:tcPr>
            <w:tcW w:w="284" w:type="dxa"/>
          </w:tcPr>
          <w:p w14:paraId="557F9232"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1A185C50" w14:textId="77777777" w:rsidR="00A3393E" w:rsidRPr="006A226B" w:rsidRDefault="00A3393E" w:rsidP="006A226B">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339A1BDD"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3A2BCCF8"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30C11309" w14:textId="77777777" w:rsidTr="005265DE">
        <w:tc>
          <w:tcPr>
            <w:tcW w:w="1129" w:type="dxa"/>
          </w:tcPr>
          <w:p w14:paraId="1E8AC879"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DV</w:t>
            </w:r>
          </w:p>
        </w:tc>
        <w:tc>
          <w:tcPr>
            <w:tcW w:w="284" w:type="dxa"/>
          </w:tcPr>
          <w:p w14:paraId="4D398F0A"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34315E9B" w14:textId="227EAD54"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0.72</w:t>
            </w:r>
          </w:p>
        </w:tc>
        <w:tc>
          <w:tcPr>
            <w:tcW w:w="284" w:type="dxa"/>
          </w:tcPr>
          <w:p w14:paraId="65073054"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5FD6066B" w14:textId="1C35C9E1"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0.52 to 1.00</w:t>
            </w:r>
          </w:p>
        </w:tc>
      </w:tr>
      <w:tr w:rsidR="00A3393E" w:rsidRPr="0062250B" w14:paraId="6A52CEE1" w14:textId="77777777" w:rsidTr="005265DE">
        <w:tc>
          <w:tcPr>
            <w:tcW w:w="1129" w:type="dxa"/>
          </w:tcPr>
          <w:p w14:paraId="7A0403C7" w14:textId="77777777" w:rsidR="00A3393E" w:rsidRPr="0062250B" w:rsidRDefault="00A3393E" w:rsidP="006A226B">
            <w:pPr>
              <w:pStyle w:val="Heading2"/>
              <w:spacing w:before="40" w:after="40" w:line="240" w:lineRule="auto"/>
              <w:outlineLvl w:val="1"/>
              <w:rPr>
                <w:sz w:val="18"/>
                <w:szCs w:val="18"/>
              </w:rPr>
            </w:pPr>
            <w:r w:rsidRPr="0062250B">
              <w:rPr>
                <w:sz w:val="18"/>
                <w:szCs w:val="18"/>
              </w:rPr>
              <w:t>Year 6</w:t>
            </w:r>
          </w:p>
        </w:tc>
        <w:tc>
          <w:tcPr>
            <w:tcW w:w="284" w:type="dxa"/>
          </w:tcPr>
          <w:p w14:paraId="0711DC63"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53407571" w14:textId="77777777" w:rsidR="00A3393E" w:rsidRPr="006A226B" w:rsidRDefault="00A3393E" w:rsidP="006A226B">
            <w:pPr>
              <w:pStyle w:val="Heading2"/>
              <w:spacing w:before="40" w:after="40" w:line="240" w:lineRule="auto"/>
              <w:jc w:val="center"/>
              <w:outlineLvl w:val="1"/>
              <w:rPr>
                <w:b w:val="0"/>
                <w:sz w:val="18"/>
                <w:szCs w:val="18"/>
              </w:rPr>
            </w:pPr>
          </w:p>
        </w:tc>
        <w:tc>
          <w:tcPr>
            <w:tcW w:w="284" w:type="dxa"/>
          </w:tcPr>
          <w:p w14:paraId="6AE641B8"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1E742F99"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5F028501" w14:textId="77777777" w:rsidTr="005265DE">
        <w:tc>
          <w:tcPr>
            <w:tcW w:w="1129" w:type="dxa"/>
          </w:tcPr>
          <w:p w14:paraId="05D786D4"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Not-DV</w:t>
            </w:r>
          </w:p>
        </w:tc>
        <w:tc>
          <w:tcPr>
            <w:tcW w:w="284" w:type="dxa"/>
          </w:tcPr>
          <w:p w14:paraId="385C1482"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3F8BA07C" w14:textId="77777777" w:rsidR="00A3393E" w:rsidRPr="006A226B" w:rsidRDefault="00A3393E" w:rsidP="006A226B">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6A98860B"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785B3B65"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6EA4206D" w14:textId="77777777" w:rsidTr="005265DE">
        <w:tc>
          <w:tcPr>
            <w:tcW w:w="1129" w:type="dxa"/>
          </w:tcPr>
          <w:p w14:paraId="7EB5662E"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DV</w:t>
            </w:r>
          </w:p>
        </w:tc>
        <w:tc>
          <w:tcPr>
            <w:tcW w:w="284" w:type="dxa"/>
          </w:tcPr>
          <w:p w14:paraId="101DE55B"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65F4843C" w14:textId="7FC33D45"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0.76</w:t>
            </w:r>
          </w:p>
        </w:tc>
        <w:tc>
          <w:tcPr>
            <w:tcW w:w="284" w:type="dxa"/>
          </w:tcPr>
          <w:p w14:paraId="7081EA21"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42FFE940" w14:textId="6344C0A2"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0.54 to 1.06</w:t>
            </w:r>
          </w:p>
        </w:tc>
      </w:tr>
      <w:tr w:rsidR="00A3393E" w:rsidRPr="0062250B" w14:paraId="72EE75CE" w14:textId="77777777" w:rsidTr="005265DE">
        <w:tc>
          <w:tcPr>
            <w:tcW w:w="1129" w:type="dxa"/>
          </w:tcPr>
          <w:p w14:paraId="297CF02F" w14:textId="77777777" w:rsidR="00A3393E" w:rsidRPr="0062250B" w:rsidRDefault="00A3393E" w:rsidP="006A226B">
            <w:pPr>
              <w:pStyle w:val="Heading2"/>
              <w:spacing w:before="40" w:after="40" w:line="240" w:lineRule="auto"/>
              <w:outlineLvl w:val="1"/>
              <w:rPr>
                <w:sz w:val="18"/>
                <w:szCs w:val="18"/>
              </w:rPr>
            </w:pPr>
            <w:r w:rsidRPr="0062250B">
              <w:rPr>
                <w:sz w:val="18"/>
                <w:szCs w:val="18"/>
              </w:rPr>
              <w:t>Year 7</w:t>
            </w:r>
          </w:p>
        </w:tc>
        <w:tc>
          <w:tcPr>
            <w:tcW w:w="284" w:type="dxa"/>
          </w:tcPr>
          <w:p w14:paraId="3916F4D8"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40BBDE08" w14:textId="77777777" w:rsidR="00A3393E" w:rsidRPr="006A226B" w:rsidRDefault="00A3393E" w:rsidP="006A226B">
            <w:pPr>
              <w:pStyle w:val="Heading2"/>
              <w:spacing w:before="40" w:after="40" w:line="240" w:lineRule="auto"/>
              <w:jc w:val="center"/>
              <w:outlineLvl w:val="1"/>
              <w:rPr>
                <w:b w:val="0"/>
                <w:sz w:val="18"/>
                <w:szCs w:val="18"/>
              </w:rPr>
            </w:pPr>
          </w:p>
        </w:tc>
        <w:tc>
          <w:tcPr>
            <w:tcW w:w="284" w:type="dxa"/>
          </w:tcPr>
          <w:p w14:paraId="0241B167"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2D3F5D63"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304F41D5" w14:textId="77777777" w:rsidTr="005265DE">
        <w:tc>
          <w:tcPr>
            <w:tcW w:w="1129" w:type="dxa"/>
          </w:tcPr>
          <w:p w14:paraId="412A64AF"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Not-DV</w:t>
            </w:r>
          </w:p>
        </w:tc>
        <w:tc>
          <w:tcPr>
            <w:tcW w:w="284" w:type="dxa"/>
          </w:tcPr>
          <w:p w14:paraId="1265695D"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5787DBD1" w14:textId="77777777" w:rsidR="00A3393E" w:rsidRPr="006A226B" w:rsidRDefault="00A3393E" w:rsidP="006A226B">
            <w:pPr>
              <w:pStyle w:val="Heading2"/>
              <w:spacing w:before="40" w:after="40" w:line="240" w:lineRule="auto"/>
              <w:jc w:val="center"/>
              <w:outlineLvl w:val="1"/>
              <w:rPr>
                <w:b w:val="0"/>
                <w:sz w:val="18"/>
                <w:szCs w:val="18"/>
              </w:rPr>
            </w:pPr>
            <w:r w:rsidRPr="006A226B">
              <w:rPr>
                <w:b w:val="0"/>
                <w:sz w:val="18"/>
                <w:szCs w:val="18"/>
              </w:rPr>
              <w:t>Ref</w:t>
            </w:r>
          </w:p>
        </w:tc>
        <w:tc>
          <w:tcPr>
            <w:tcW w:w="284" w:type="dxa"/>
          </w:tcPr>
          <w:p w14:paraId="1208C243"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751135F1"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19F1A062" w14:textId="77777777" w:rsidTr="005265DE">
        <w:tc>
          <w:tcPr>
            <w:tcW w:w="1129" w:type="dxa"/>
          </w:tcPr>
          <w:p w14:paraId="6B9D55C7" w14:textId="77777777" w:rsidR="00A3393E" w:rsidRPr="0062250B" w:rsidRDefault="00A3393E" w:rsidP="006A226B">
            <w:pPr>
              <w:pStyle w:val="Heading2"/>
              <w:spacing w:before="40" w:after="40" w:line="240" w:lineRule="auto"/>
              <w:outlineLvl w:val="1"/>
              <w:rPr>
                <w:b w:val="0"/>
                <w:sz w:val="18"/>
                <w:szCs w:val="18"/>
              </w:rPr>
            </w:pPr>
            <w:r w:rsidRPr="0062250B">
              <w:rPr>
                <w:b w:val="0"/>
                <w:sz w:val="18"/>
                <w:szCs w:val="18"/>
              </w:rPr>
              <w:t>DV</w:t>
            </w:r>
          </w:p>
        </w:tc>
        <w:tc>
          <w:tcPr>
            <w:tcW w:w="284" w:type="dxa"/>
          </w:tcPr>
          <w:p w14:paraId="0DF0A57D" w14:textId="77777777" w:rsidR="00A3393E" w:rsidRPr="0062250B" w:rsidRDefault="00A3393E" w:rsidP="006A226B">
            <w:pPr>
              <w:pStyle w:val="Heading2"/>
              <w:spacing w:before="40" w:after="40" w:line="240" w:lineRule="auto"/>
              <w:outlineLvl w:val="1"/>
              <w:rPr>
                <w:b w:val="0"/>
                <w:sz w:val="18"/>
                <w:szCs w:val="18"/>
              </w:rPr>
            </w:pPr>
          </w:p>
        </w:tc>
        <w:tc>
          <w:tcPr>
            <w:tcW w:w="1211" w:type="dxa"/>
          </w:tcPr>
          <w:p w14:paraId="640958FE" w14:textId="75FCAA77"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0.71</w:t>
            </w:r>
          </w:p>
        </w:tc>
        <w:tc>
          <w:tcPr>
            <w:tcW w:w="284" w:type="dxa"/>
          </w:tcPr>
          <w:p w14:paraId="55A7E509" w14:textId="77777777" w:rsidR="00A3393E" w:rsidRPr="006A226B" w:rsidRDefault="00A3393E" w:rsidP="006A226B">
            <w:pPr>
              <w:pStyle w:val="Heading2"/>
              <w:spacing w:before="40" w:after="40" w:line="240" w:lineRule="auto"/>
              <w:jc w:val="center"/>
              <w:outlineLvl w:val="1"/>
              <w:rPr>
                <w:b w:val="0"/>
                <w:sz w:val="18"/>
                <w:szCs w:val="18"/>
              </w:rPr>
            </w:pPr>
          </w:p>
        </w:tc>
        <w:tc>
          <w:tcPr>
            <w:tcW w:w="2365" w:type="dxa"/>
          </w:tcPr>
          <w:p w14:paraId="250A5F2A" w14:textId="1101A3A0"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0.50 to 1.01</w:t>
            </w:r>
          </w:p>
        </w:tc>
      </w:tr>
      <w:tr w:rsidR="00A3393E" w:rsidRPr="0062250B" w14:paraId="26FE62C4" w14:textId="77777777" w:rsidTr="00DD5234">
        <w:tc>
          <w:tcPr>
            <w:tcW w:w="5273" w:type="dxa"/>
            <w:gridSpan w:val="5"/>
            <w:shd w:val="clear" w:color="auto" w:fill="D9E2F3" w:themeFill="accent1" w:themeFillTint="33"/>
          </w:tcPr>
          <w:p w14:paraId="65A28613" w14:textId="40454FAC" w:rsidR="00A3393E" w:rsidRPr="0062250B" w:rsidRDefault="00A3393E" w:rsidP="006A226B">
            <w:pPr>
              <w:pStyle w:val="Heading2"/>
              <w:spacing w:before="40" w:after="40" w:line="240" w:lineRule="auto"/>
              <w:outlineLvl w:val="1"/>
              <w:rPr>
                <w:sz w:val="18"/>
                <w:szCs w:val="18"/>
              </w:rPr>
            </w:pPr>
            <w:r>
              <w:rPr>
                <w:sz w:val="18"/>
                <w:szCs w:val="18"/>
              </w:rPr>
              <w:t>Bullying</w:t>
            </w:r>
          </w:p>
        </w:tc>
      </w:tr>
      <w:tr w:rsidR="00A3393E" w:rsidRPr="00081383" w14:paraId="4F2B1EF8" w14:textId="77777777" w:rsidTr="005265DE">
        <w:tc>
          <w:tcPr>
            <w:tcW w:w="1129" w:type="dxa"/>
          </w:tcPr>
          <w:p w14:paraId="081FC735" w14:textId="77777777" w:rsidR="00A3393E" w:rsidRDefault="00A3393E" w:rsidP="006A226B">
            <w:pPr>
              <w:pStyle w:val="Heading2"/>
              <w:spacing w:before="40" w:after="40" w:line="240" w:lineRule="auto"/>
              <w:outlineLvl w:val="1"/>
              <w:rPr>
                <w:b w:val="0"/>
                <w:sz w:val="18"/>
                <w:szCs w:val="18"/>
              </w:rPr>
            </w:pPr>
            <w:r>
              <w:rPr>
                <w:sz w:val="18"/>
                <w:szCs w:val="18"/>
              </w:rPr>
              <w:t>Year 3</w:t>
            </w:r>
          </w:p>
        </w:tc>
        <w:tc>
          <w:tcPr>
            <w:tcW w:w="284" w:type="dxa"/>
          </w:tcPr>
          <w:p w14:paraId="4629F31A"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526004C9" w14:textId="77777777" w:rsidR="00A3393E" w:rsidRPr="00081383" w:rsidRDefault="00A3393E" w:rsidP="006A226B">
            <w:pPr>
              <w:pStyle w:val="Heading2"/>
              <w:spacing w:before="40" w:after="40" w:line="240" w:lineRule="auto"/>
              <w:jc w:val="center"/>
              <w:outlineLvl w:val="1"/>
              <w:rPr>
                <w:b w:val="0"/>
                <w:sz w:val="18"/>
                <w:szCs w:val="18"/>
              </w:rPr>
            </w:pPr>
          </w:p>
        </w:tc>
        <w:tc>
          <w:tcPr>
            <w:tcW w:w="284" w:type="dxa"/>
          </w:tcPr>
          <w:p w14:paraId="48A472C7" w14:textId="77777777" w:rsidR="00A3393E" w:rsidRPr="00081383" w:rsidRDefault="00A3393E" w:rsidP="006A226B">
            <w:pPr>
              <w:pStyle w:val="Heading2"/>
              <w:spacing w:before="40" w:after="40" w:line="240" w:lineRule="auto"/>
              <w:jc w:val="center"/>
              <w:outlineLvl w:val="1"/>
              <w:rPr>
                <w:b w:val="0"/>
                <w:sz w:val="18"/>
                <w:szCs w:val="18"/>
              </w:rPr>
            </w:pPr>
          </w:p>
        </w:tc>
        <w:tc>
          <w:tcPr>
            <w:tcW w:w="2365" w:type="dxa"/>
          </w:tcPr>
          <w:p w14:paraId="67D41B60" w14:textId="77777777" w:rsidR="00A3393E" w:rsidRPr="00081383" w:rsidRDefault="00A3393E" w:rsidP="006A226B">
            <w:pPr>
              <w:pStyle w:val="Heading2"/>
              <w:spacing w:before="40" w:after="40" w:line="240" w:lineRule="auto"/>
              <w:jc w:val="center"/>
              <w:outlineLvl w:val="1"/>
              <w:rPr>
                <w:b w:val="0"/>
                <w:sz w:val="18"/>
                <w:szCs w:val="18"/>
              </w:rPr>
            </w:pPr>
          </w:p>
        </w:tc>
      </w:tr>
      <w:tr w:rsidR="00A3393E" w:rsidRPr="00081383" w14:paraId="5A73C4D0" w14:textId="77777777" w:rsidTr="005265DE">
        <w:tc>
          <w:tcPr>
            <w:tcW w:w="1129" w:type="dxa"/>
          </w:tcPr>
          <w:p w14:paraId="444FFBEA" w14:textId="77777777" w:rsidR="00A3393E" w:rsidRDefault="00A3393E" w:rsidP="006A226B">
            <w:pPr>
              <w:pStyle w:val="Heading2"/>
              <w:spacing w:before="40" w:after="40" w:line="240" w:lineRule="auto"/>
              <w:outlineLvl w:val="1"/>
              <w:rPr>
                <w:b w:val="0"/>
                <w:sz w:val="18"/>
                <w:szCs w:val="18"/>
              </w:rPr>
            </w:pPr>
            <w:r>
              <w:rPr>
                <w:b w:val="0"/>
                <w:sz w:val="18"/>
                <w:szCs w:val="18"/>
              </w:rPr>
              <w:t>Not-DV</w:t>
            </w:r>
          </w:p>
        </w:tc>
        <w:tc>
          <w:tcPr>
            <w:tcW w:w="284" w:type="dxa"/>
          </w:tcPr>
          <w:p w14:paraId="4B802875"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0E9CF24A" w14:textId="77777777" w:rsidR="00A3393E" w:rsidRPr="00081383" w:rsidRDefault="00A3393E" w:rsidP="006A226B">
            <w:pPr>
              <w:pStyle w:val="Heading2"/>
              <w:spacing w:before="40" w:after="40" w:line="240" w:lineRule="auto"/>
              <w:jc w:val="center"/>
              <w:outlineLvl w:val="1"/>
              <w:rPr>
                <w:b w:val="0"/>
                <w:sz w:val="18"/>
                <w:szCs w:val="18"/>
              </w:rPr>
            </w:pPr>
            <w:r>
              <w:rPr>
                <w:b w:val="0"/>
                <w:sz w:val="18"/>
                <w:szCs w:val="18"/>
              </w:rPr>
              <w:t>Ref</w:t>
            </w:r>
          </w:p>
        </w:tc>
        <w:tc>
          <w:tcPr>
            <w:tcW w:w="284" w:type="dxa"/>
          </w:tcPr>
          <w:p w14:paraId="3607B5EF" w14:textId="77777777" w:rsidR="00A3393E" w:rsidRPr="00081383" w:rsidRDefault="00A3393E" w:rsidP="006A226B">
            <w:pPr>
              <w:pStyle w:val="Heading2"/>
              <w:spacing w:before="40" w:after="40" w:line="240" w:lineRule="auto"/>
              <w:jc w:val="center"/>
              <w:outlineLvl w:val="1"/>
              <w:rPr>
                <w:b w:val="0"/>
                <w:sz w:val="18"/>
                <w:szCs w:val="18"/>
              </w:rPr>
            </w:pPr>
          </w:p>
        </w:tc>
        <w:tc>
          <w:tcPr>
            <w:tcW w:w="2365" w:type="dxa"/>
          </w:tcPr>
          <w:p w14:paraId="60DB5C60" w14:textId="77777777" w:rsidR="00A3393E" w:rsidRPr="00081383" w:rsidRDefault="00A3393E" w:rsidP="006A226B">
            <w:pPr>
              <w:pStyle w:val="Heading2"/>
              <w:spacing w:before="40" w:after="40" w:line="240" w:lineRule="auto"/>
              <w:jc w:val="center"/>
              <w:outlineLvl w:val="1"/>
              <w:rPr>
                <w:b w:val="0"/>
                <w:sz w:val="18"/>
                <w:szCs w:val="18"/>
              </w:rPr>
            </w:pPr>
          </w:p>
        </w:tc>
      </w:tr>
      <w:tr w:rsidR="00A3393E" w:rsidRPr="0062250B" w14:paraId="40B16BC8" w14:textId="77777777" w:rsidTr="005265DE">
        <w:tc>
          <w:tcPr>
            <w:tcW w:w="1129" w:type="dxa"/>
          </w:tcPr>
          <w:p w14:paraId="265235A8" w14:textId="77777777" w:rsidR="00A3393E" w:rsidRDefault="00A3393E" w:rsidP="006A226B">
            <w:pPr>
              <w:pStyle w:val="Heading2"/>
              <w:spacing w:before="40" w:after="40" w:line="240" w:lineRule="auto"/>
              <w:outlineLvl w:val="1"/>
              <w:rPr>
                <w:b w:val="0"/>
                <w:sz w:val="18"/>
                <w:szCs w:val="18"/>
              </w:rPr>
            </w:pPr>
            <w:r>
              <w:rPr>
                <w:b w:val="0"/>
                <w:sz w:val="18"/>
                <w:szCs w:val="18"/>
              </w:rPr>
              <w:t>DV</w:t>
            </w:r>
          </w:p>
        </w:tc>
        <w:tc>
          <w:tcPr>
            <w:tcW w:w="284" w:type="dxa"/>
          </w:tcPr>
          <w:p w14:paraId="3AE13C8F"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6DDCFB36" w14:textId="7A501B84" w:rsidR="00A3393E" w:rsidRPr="0062250B" w:rsidRDefault="006A226B" w:rsidP="006A226B">
            <w:pPr>
              <w:pStyle w:val="Heading2"/>
              <w:spacing w:before="40" w:after="40" w:line="240" w:lineRule="auto"/>
              <w:jc w:val="center"/>
              <w:outlineLvl w:val="1"/>
              <w:rPr>
                <w:b w:val="0"/>
                <w:sz w:val="18"/>
                <w:szCs w:val="18"/>
              </w:rPr>
            </w:pPr>
            <w:r>
              <w:rPr>
                <w:b w:val="0"/>
                <w:sz w:val="18"/>
                <w:szCs w:val="18"/>
              </w:rPr>
              <w:t>1.51</w:t>
            </w:r>
          </w:p>
        </w:tc>
        <w:tc>
          <w:tcPr>
            <w:tcW w:w="284" w:type="dxa"/>
          </w:tcPr>
          <w:p w14:paraId="519E2879"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3B838C7D" w14:textId="2E11450A"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1.09 to 2.09</w:t>
            </w:r>
          </w:p>
        </w:tc>
      </w:tr>
      <w:tr w:rsidR="00A3393E" w:rsidRPr="0062250B" w14:paraId="54C6B61C" w14:textId="77777777" w:rsidTr="005265DE">
        <w:tc>
          <w:tcPr>
            <w:tcW w:w="1129" w:type="dxa"/>
          </w:tcPr>
          <w:p w14:paraId="71809F5C" w14:textId="77777777" w:rsidR="00A3393E" w:rsidRDefault="00A3393E" w:rsidP="006A226B">
            <w:pPr>
              <w:pStyle w:val="Heading2"/>
              <w:spacing w:before="40" w:after="40" w:line="240" w:lineRule="auto"/>
              <w:outlineLvl w:val="1"/>
              <w:rPr>
                <w:b w:val="0"/>
                <w:sz w:val="18"/>
                <w:szCs w:val="18"/>
              </w:rPr>
            </w:pPr>
            <w:r w:rsidRPr="0062250B">
              <w:rPr>
                <w:sz w:val="18"/>
                <w:szCs w:val="18"/>
              </w:rPr>
              <w:t>Year 4</w:t>
            </w:r>
          </w:p>
        </w:tc>
        <w:tc>
          <w:tcPr>
            <w:tcW w:w="284" w:type="dxa"/>
          </w:tcPr>
          <w:p w14:paraId="6E6E861A"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211B930D" w14:textId="77777777" w:rsidR="00A3393E" w:rsidRPr="0062250B" w:rsidRDefault="00A3393E" w:rsidP="006A226B">
            <w:pPr>
              <w:pStyle w:val="Heading2"/>
              <w:spacing w:before="40" w:after="40" w:line="240" w:lineRule="auto"/>
              <w:jc w:val="center"/>
              <w:outlineLvl w:val="1"/>
              <w:rPr>
                <w:b w:val="0"/>
                <w:sz w:val="18"/>
                <w:szCs w:val="18"/>
              </w:rPr>
            </w:pPr>
          </w:p>
        </w:tc>
        <w:tc>
          <w:tcPr>
            <w:tcW w:w="284" w:type="dxa"/>
          </w:tcPr>
          <w:p w14:paraId="39E51A16"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252698F5" w14:textId="77777777" w:rsidR="00A3393E" w:rsidRPr="006A226B" w:rsidRDefault="00A3393E" w:rsidP="006A226B">
            <w:pPr>
              <w:pStyle w:val="Heading2"/>
              <w:spacing w:before="40" w:after="40" w:line="240" w:lineRule="auto"/>
              <w:jc w:val="center"/>
              <w:outlineLvl w:val="1"/>
              <w:rPr>
                <w:b w:val="0"/>
                <w:sz w:val="18"/>
                <w:szCs w:val="18"/>
              </w:rPr>
            </w:pPr>
          </w:p>
        </w:tc>
      </w:tr>
      <w:tr w:rsidR="00A3393E" w:rsidRPr="0062250B" w14:paraId="3C607EBA" w14:textId="77777777" w:rsidTr="005265DE">
        <w:tc>
          <w:tcPr>
            <w:tcW w:w="1129" w:type="dxa"/>
          </w:tcPr>
          <w:p w14:paraId="66453878" w14:textId="77777777" w:rsidR="00A3393E" w:rsidRDefault="00A3393E" w:rsidP="006A226B">
            <w:pPr>
              <w:pStyle w:val="Heading2"/>
              <w:spacing w:before="40" w:after="40" w:line="240" w:lineRule="auto"/>
              <w:outlineLvl w:val="1"/>
              <w:rPr>
                <w:b w:val="0"/>
                <w:sz w:val="18"/>
                <w:szCs w:val="18"/>
              </w:rPr>
            </w:pPr>
            <w:r>
              <w:rPr>
                <w:b w:val="0"/>
                <w:sz w:val="18"/>
                <w:szCs w:val="18"/>
              </w:rPr>
              <w:t>Not-DV</w:t>
            </w:r>
          </w:p>
        </w:tc>
        <w:tc>
          <w:tcPr>
            <w:tcW w:w="284" w:type="dxa"/>
          </w:tcPr>
          <w:p w14:paraId="08944DCE"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3C799521" w14:textId="77777777" w:rsidR="00A3393E" w:rsidRPr="0062250B" w:rsidRDefault="00A3393E" w:rsidP="006A226B">
            <w:pPr>
              <w:pStyle w:val="Heading2"/>
              <w:spacing w:before="40" w:after="40" w:line="240" w:lineRule="auto"/>
              <w:jc w:val="center"/>
              <w:outlineLvl w:val="1"/>
              <w:rPr>
                <w:b w:val="0"/>
                <w:sz w:val="18"/>
                <w:szCs w:val="18"/>
              </w:rPr>
            </w:pPr>
            <w:r w:rsidRPr="0062250B">
              <w:rPr>
                <w:b w:val="0"/>
                <w:sz w:val="18"/>
                <w:szCs w:val="18"/>
              </w:rPr>
              <w:t>Ref</w:t>
            </w:r>
          </w:p>
        </w:tc>
        <w:tc>
          <w:tcPr>
            <w:tcW w:w="284" w:type="dxa"/>
          </w:tcPr>
          <w:p w14:paraId="1F5ADCCC"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7BD52E5C" w14:textId="77777777" w:rsidR="00A3393E" w:rsidRPr="002A228E" w:rsidRDefault="00A3393E" w:rsidP="006A226B">
            <w:pPr>
              <w:pStyle w:val="Heading2"/>
              <w:spacing w:before="40" w:after="40" w:line="240" w:lineRule="auto"/>
              <w:jc w:val="center"/>
              <w:outlineLvl w:val="1"/>
              <w:rPr>
                <w:b w:val="0"/>
                <w:sz w:val="18"/>
                <w:szCs w:val="18"/>
              </w:rPr>
            </w:pPr>
          </w:p>
        </w:tc>
      </w:tr>
      <w:tr w:rsidR="00A3393E" w:rsidRPr="0062250B" w14:paraId="4A7EBFEC" w14:textId="77777777" w:rsidTr="005265DE">
        <w:tc>
          <w:tcPr>
            <w:tcW w:w="1129" w:type="dxa"/>
          </w:tcPr>
          <w:p w14:paraId="5CEA706C" w14:textId="77777777" w:rsidR="00A3393E" w:rsidRDefault="00A3393E" w:rsidP="006A226B">
            <w:pPr>
              <w:pStyle w:val="Heading2"/>
              <w:spacing w:before="40" w:after="40" w:line="240" w:lineRule="auto"/>
              <w:outlineLvl w:val="1"/>
              <w:rPr>
                <w:b w:val="0"/>
                <w:sz w:val="18"/>
                <w:szCs w:val="18"/>
              </w:rPr>
            </w:pPr>
            <w:r>
              <w:rPr>
                <w:b w:val="0"/>
                <w:sz w:val="18"/>
                <w:szCs w:val="18"/>
              </w:rPr>
              <w:t>DV</w:t>
            </w:r>
          </w:p>
        </w:tc>
        <w:tc>
          <w:tcPr>
            <w:tcW w:w="284" w:type="dxa"/>
          </w:tcPr>
          <w:p w14:paraId="28E7CAAF"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5F57612E" w14:textId="6E3C8C37" w:rsidR="00A3393E" w:rsidRPr="0062250B" w:rsidRDefault="006A226B" w:rsidP="006A226B">
            <w:pPr>
              <w:pStyle w:val="Heading2"/>
              <w:spacing w:before="40" w:after="40" w:line="240" w:lineRule="auto"/>
              <w:jc w:val="center"/>
              <w:outlineLvl w:val="1"/>
              <w:rPr>
                <w:b w:val="0"/>
                <w:sz w:val="18"/>
                <w:szCs w:val="18"/>
              </w:rPr>
            </w:pPr>
            <w:r>
              <w:rPr>
                <w:b w:val="0"/>
                <w:sz w:val="18"/>
                <w:szCs w:val="18"/>
              </w:rPr>
              <w:t>1.37</w:t>
            </w:r>
          </w:p>
        </w:tc>
        <w:tc>
          <w:tcPr>
            <w:tcW w:w="284" w:type="dxa"/>
          </w:tcPr>
          <w:p w14:paraId="36381819"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210150A0" w14:textId="07B9947A"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0.98 to 1.92</w:t>
            </w:r>
          </w:p>
        </w:tc>
      </w:tr>
      <w:tr w:rsidR="00A3393E" w:rsidRPr="0062250B" w14:paraId="0CC5F114" w14:textId="77777777" w:rsidTr="005265DE">
        <w:tc>
          <w:tcPr>
            <w:tcW w:w="1129" w:type="dxa"/>
          </w:tcPr>
          <w:p w14:paraId="7B95AA9B" w14:textId="77777777" w:rsidR="00A3393E" w:rsidRDefault="00A3393E" w:rsidP="006A226B">
            <w:pPr>
              <w:pStyle w:val="Heading2"/>
              <w:spacing w:before="40" w:after="40" w:line="240" w:lineRule="auto"/>
              <w:outlineLvl w:val="1"/>
              <w:rPr>
                <w:b w:val="0"/>
                <w:sz w:val="18"/>
                <w:szCs w:val="18"/>
              </w:rPr>
            </w:pPr>
            <w:r w:rsidRPr="0062250B">
              <w:rPr>
                <w:sz w:val="18"/>
                <w:szCs w:val="18"/>
              </w:rPr>
              <w:t>Year 5</w:t>
            </w:r>
          </w:p>
        </w:tc>
        <w:tc>
          <w:tcPr>
            <w:tcW w:w="284" w:type="dxa"/>
          </w:tcPr>
          <w:p w14:paraId="37BEEF66"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32F2F5E5" w14:textId="77777777" w:rsidR="00A3393E" w:rsidRPr="0062250B" w:rsidRDefault="00A3393E" w:rsidP="006A226B">
            <w:pPr>
              <w:pStyle w:val="Heading2"/>
              <w:spacing w:before="40" w:after="40" w:line="240" w:lineRule="auto"/>
              <w:jc w:val="center"/>
              <w:outlineLvl w:val="1"/>
              <w:rPr>
                <w:b w:val="0"/>
                <w:sz w:val="18"/>
                <w:szCs w:val="18"/>
              </w:rPr>
            </w:pPr>
          </w:p>
        </w:tc>
        <w:tc>
          <w:tcPr>
            <w:tcW w:w="284" w:type="dxa"/>
          </w:tcPr>
          <w:p w14:paraId="2DD023DD"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24FCAEAD" w14:textId="77777777" w:rsidR="00A3393E" w:rsidRPr="006A226B" w:rsidRDefault="00A3393E" w:rsidP="006A226B">
            <w:pPr>
              <w:pStyle w:val="Heading2"/>
              <w:spacing w:before="40" w:after="40" w:line="240" w:lineRule="auto"/>
              <w:jc w:val="center"/>
              <w:outlineLvl w:val="1"/>
              <w:rPr>
                <w:b w:val="0"/>
                <w:sz w:val="18"/>
                <w:szCs w:val="18"/>
              </w:rPr>
            </w:pPr>
          </w:p>
        </w:tc>
      </w:tr>
      <w:tr w:rsidR="00A3393E" w:rsidRPr="0062250B" w14:paraId="4A575D7E" w14:textId="77777777" w:rsidTr="005265DE">
        <w:tc>
          <w:tcPr>
            <w:tcW w:w="1129" w:type="dxa"/>
          </w:tcPr>
          <w:p w14:paraId="20BE31A8" w14:textId="77777777" w:rsidR="00A3393E" w:rsidRDefault="00A3393E" w:rsidP="006A226B">
            <w:pPr>
              <w:pStyle w:val="Heading2"/>
              <w:spacing w:before="40" w:after="40" w:line="240" w:lineRule="auto"/>
              <w:outlineLvl w:val="1"/>
              <w:rPr>
                <w:b w:val="0"/>
                <w:sz w:val="18"/>
                <w:szCs w:val="18"/>
              </w:rPr>
            </w:pPr>
            <w:r>
              <w:rPr>
                <w:b w:val="0"/>
                <w:sz w:val="18"/>
                <w:szCs w:val="18"/>
              </w:rPr>
              <w:t>Not-DV</w:t>
            </w:r>
          </w:p>
        </w:tc>
        <w:tc>
          <w:tcPr>
            <w:tcW w:w="284" w:type="dxa"/>
          </w:tcPr>
          <w:p w14:paraId="3B83C602"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49501B9C" w14:textId="77777777" w:rsidR="00A3393E" w:rsidRPr="0062250B" w:rsidRDefault="00A3393E" w:rsidP="006A226B">
            <w:pPr>
              <w:pStyle w:val="Heading2"/>
              <w:spacing w:before="40" w:after="40" w:line="240" w:lineRule="auto"/>
              <w:jc w:val="center"/>
              <w:outlineLvl w:val="1"/>
              <w:rPr>
                <w:b w:val="0"/>
                <w:sz w:val="18"/>
                <w:szCs w:val="18"/>
              </w:rPr>
            </w:pPr>
            <w:r w:rsidRPr="0062250B">
              <w:rPr>
                <w:b w:val="0"/>
                <w:sz w:val="18"/>
                <w:szCs w:val="18"/>
              </w:rPr>
              <w:t>Ref</w:t>
            </w:r>
          </w:p>
        </w:tc>
        <w:tc>
          <w:tcPr>
            <w:tcW w:w="284" w:type="dxa"/>
          </w:tcPr>
          <w:p w14:paraId="21400431"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2FEDA172" w14:textId="77777777" w:rsidR="00A3393E" w:rsidRPr="006A226B" w:rsidRDefault="00A3393E" w:rsidP="006A226B">
            <w:pPr>
              <w:pStyle w:val="Heading2"/>
              <w:spacing w:before="40" w:after="40" w:line="240" w:lineRule="auto"/>
              <w:jc w:val="center"/>
              <w:outlineLvl w:val="1"/>
              <w:rPr>
                <w:b w:val="0"/>
                <w:sz w:val="18"/>
                <w:szCs w:val="18"/>
              </w:rPr>
            </w:pPr>
          </w:p>
        </w:tc>
      </w:tr>
      <w:tr w:rsidR="00A3393E" w:rsidRPr="0062250B" w14:paraId="3764F60F" w14:textId="77777777" w:rsidTr="005265DE">
        <w:tc>
          <w:tcPr>
            <w:tcW w:w="1129" w:type="dxa"/>
          </w:tcPr>
          <w:p w14:paraId="14AA84C4" w14:textId="77777777" w:rsidR="00A3393E" w:rsidRDefault="00A3393E" w:rsidP="006A226B">
            <w:pPr>
              <w:pStyle w:val="Heading2"/>
              <w:spacing w:before="40" w:after="40" w:line="240" w:lineRule="auto"/>
              <w:outlineLvl w:val="1"/>
              <w:rPr>
                <w:b w:val="0"/>
                <w:sz w:val="18"/>
                <w:szCs w:val="18"/>
              </w:rPr>
            </w:pPr>
            <w:r>
              <w:rPr>
                <w:b w:val="0"/>
                <w:sz w:val="18"/>
                <w:szCs w:val="18"/>
              </w:rPr>
              <w:t>DV</w:t>
            </w:r>
          </w:p>
        </w:tc>
        <w:tc>
          <w:tcPr>
            <w:tcW w:w="284" w:type="dxa"/>
          </w:tcPr>
          <w:p w14:paraId="6CB40C72"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524E68ED" w14:textId="23DBFE29" w:rsidR="00A3393E" w:rsidRPr="0062250B" w:rsidRDefault="006A226B" w:rsidP="006A226B">
            <w:pPr>
              <w:pStyle w:val="Heading2"/>
              <w:spacing w:before="40" w:after="40" w:line="240" w:lineRule="auto"/>
              <w:jc w:val="center"/>
              <w:outlineLvl w:val="1"/>
              <w:rPr>
                <w:b w:val="0"/>
                <w:sz w:val="18"/>
                <w:szCs w:val="18"/>
              </w:rPr>
            </w:pPr>
            <w:r>
              <w:rPr>
                <w:b w:val="0"/>
                <w:sz w:val="18"/>
                <w:szCs w:val="18"/>
              </w:rPr>
              <w:t>1.69</w:t>
            </w:r>
          </w:p>
        </w:tc>
        <w:tc>
          <w:tcPr>
            <w:tcW w:w="284" w:type="dxa"/>
          </w:tcPr>
          <w:p w14:paraId="251C1B26"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424A4C7C" w14:textId="7BD4C7C9"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1.15 to 2.49</w:t>
            </w:r>
          </w:p>
        </w:tc>
      </w:tr>
      <w:tr w:rsidR="00A3393E" w:rsidRPr="0062250B" w14:paraId="10EFDD7A" w14:textId="77777777" w:rsidTr="005265DE">
        <w:tc>
          <w:tcPr>
            <w:tcW w:w="1129" w:type="dxa"/>
          </w:tcPr>
          <w:p w14:paraId="37405C17" w14:textId="77777777" w:rsidR="00A3393E" w:rsidRDefault="00A3393E" w:rsidP="006A226B">
            <w:pPr>
              <w:pStyle w:val="Heading2"/>
              <w:spacing w:before="40" w:after="40" w:line="240" w:lineRule="auto"/>
              <w:outlineLvl w:val="1"/>
              <w:rPr>
                <w:b w:val="0"/>
                <w:sz w:val="18"/>
                <w:szCs w:val="18"/>
              </w:rPr>
            </w:pPr>
            <w:r w:rsidRPr="0062250B">
              <w:rPr>
                <w:sz w:val="18"/>
                <w:szCs w:val="18"/>
              </w:rPr>
              <w:t>Year 6</w:t>
            </w:r>
          </w:p>
        </w:tc>
        <w:tc>
          <w:tcPr>
            <w:tcW w:w="284" w:type="dxa"/>
          </w:tcPr>
          <w:p w14:paraId="3B19B280"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63E1B1AA" w14:textId="77777777" w:rsidR="00A3393E" w:rsidRPr="0062250B" w:rsidRDefault="00A3393E" w:rsidP="006A226B">
            <w:pPr>
              <w:pStyle w:val="Heading2"/>
              <w:spacing w:before="40" w:after="40" w:line="240" w:lineRule="auto"/>
              <w:jc w:val="center"/>
              <w:outlineLvl w:val="1"/>
              <w:rPr>
                <w:b w:val="0"/>
                <w:sz w:val="18"/>
                <w:szCs w:val="18"/>
              </w:rPr>
            </w:pPr>
          </w:p>
        </w:tc>
        <w:tc>
          <w:tcPr>
            <w:tcW w:w="284" w:type="dxa"/>
          </w:tcPr>
          <w:p w14:paraId="6469A670"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4423152B" w14:textId="77777777" w:rsidR="00A3393E" w:rsidRPr="006A226B" w:rsidRDefault="00A3393E" w:rsidP="006A226B">
            <w:pPr>
              <w:pStyle w:val="Heading2"/>
              <w:spacing w:before="40" w:after="40" w:line="240" w:lineRule="auto"/>
              <w:jc w:val="center"/>
              <w:outlineLvl w:val="1"/>
              <w:rPr>
                <w:b w:val="0"/>
                <w:sz w:val="18"/>
                <w:szCs w:val="18"/>
              </w:rPr>
            </w:pPr>
          </w:p>
        </w:tc>
      </w:tr>
      <w:tr w:rsidR="00A3393E" w:rsidRPr="0062250B" w14:paraId="7C7BC0BF" w14:textId="77777777" w:rsidTr="005265DE">
        <w:tc>
          <w:tcPr>
            <w:tcW w:w="1129" w:type="dxa"/>
          </w:tcPr>
          <w:p w14:paraId="5D105667" w14:textId="77777777" w:rsidR="00A3393E" w:rsidRPr="0062250B" w:rsidRDefault="00A3393E" w:rsidP="006A226B">
            <w:pPr>
              <w:pStyle w:val="Heading2"/>
              <w:spacing w:before="40" w:after="40" w:line="240" w:lineRule="auto"/>
              <w:outlineLvl w:val="1"/>
              <w:rPr>
                <w:sz w:val="18"/>
                <w:szCs w:val="18"/>
              </w:rPr>
            </w:pPr>
            <w:r>
              <w:rPr>
                <w:b w:val="0"/>
                <w:sz w:val="18"/>
                <w:szCs w:val="18"/>
              </w:rPr>
              <w:t>Not-DV</w:t>
            </w:r>
          </w:p>
        </w:tc>
        <w:tc>
          <w:tcPr>
            <w:tcW w:w="284" w:type="dxa"/>
          </w:tcPr>
          <w:p w14:paraId="56CF9963"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753C6159" w14:textId="77777777" w:rsidR="00A3393E" w:rsidRPr="0062250B" w:rsidRDefault="00A3393E" w:rsidP="006A226B">
            <w:pPr>
              <w:pStyle w:val="Heading2"/>
              <w:spacing w:before="40" w:after="40" w:line="240" w:lineRule="auto"/>
              <w:jc w:val="center"/>
              <w:outlineLvl w:val="1"/>
              <w:rPr>
                <w:b w:val="0"/>
                <w:sz w:val="18"/>
                <w:szCs w:val="18"/>
              </w:rPr>
            </w:pPr>
            <w:r w:rsidRPr="0062250B">
              <w:rPr>
                <w:b w:val="0"/>
                <w:sz w:val="18"/>
                <w:szCs w:val="18"/>
              </w:rPr>
              <w:t>Ref</w:t>
            </w:r>
          </w:p>
        </w:tc>
        <w:tc>
          <w:tcPr>
            <w:tcW w:w="284" w:type="dxa"/>
          </w:tcPr>
          <w:p w14:paraId="286F933D"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5B704108" w14:textId="77777777" w:rsidR="00A3393E" w:rsidRPr="006A226B" w:rsidRDefault="00A3393E" w:rsidP="006A226B">
            <w:pPr>
              <w:pStyle w:val="Heading2"/>
              <w:spacing w:before="40" w:after="40" w:line="240" w:lineRule="auto"/>
              <w:jc w:val="center"/>
              <w:outlineLvl w:val="1"/>
              <w:rPr>
                <w:b w:val="0"/>
                <w:sz w:val="18"/>
                <w:szCs w:val="18"/>
              </w:rPr>
            </w:pPr>
          </w:p>
        </w:tc>
      </w:tr>
      <w:tr w:rsidR="00A3393E" w:rsidRPr="0062250B" w14:paraId="529012AF" w14:textId="77777777" w:rsidTr="005265DE">
        <w:tc>
          <w:tcPr>
            <w:tcW w:w="1129" w:type="dxa"/>
          </w:tcPr>
          <w:p w14:paraId="329E4E5B" w14:textId="77777777" w:rsidR="00A3393E" w:rsidRDefault="00A3393E" w:rsidP="006A226B">
            <w:pPr>
              <w:pStyle w:val="Heading2"/>
              <w:spacing w:before="40" w:after="40" w:line="240" w:lineRule="auto"/>
              <w:outlineLvl w:val="1"/>
              <w:rPr>
                <w:b w:val="0"/>
                <w:sz w:val="18"/>
                <w:szCs w:val="18"/>
              </w:rPr>
            </w:pPr>
            <w:r>
              <w:rPr>
                <w:b w:val="0"/>
                <w:sz w:val="18"/>
                <w:szCs w:val="18"/>
              </w:rPr>
              <w:t>DV</w:t>
            </w:r>
          </w:p>
        </w:tc>
        <w:tc>
          <w:tcPr>
            <w:tcW w:w="284" w:type="dxa"/>
          </w:tcPr>
          <w:p w14:paraId="7E30D358" w14:textId="77777777" w:rsidR="00A3393E" w:rsidRPr="00081383" w:rsidRDefault="00A3393E" w:rsidP="006A226B">
            <w:pPr>
              <w:pStyle w:val="Heading2"/>
              <w:spacing w:before="40" w:after="40" w:line="240" w:lineRule="auto"/>
              <w:outlineLvl w:val="1"/>
              <w:rPr>
                <w:b w:val="0"/>
                <w:sz w:val="18"/>
                <w:szCs w:val="18"/>
              </w:rPr>
            </w:pPr>
          </w:p>
        </w:tc>
        <w:tc>
          <w:tcPr>
            <w:tcW w:w="1211" w:type="dxa"/>
          </w:tcPr>
          <w:p w14:paraId="3228D274" w14:textId="49B23F30" w:rsidR="00A3393E" w:rsidRPr="0062250B" w:rsidRDefault="006A226B" w:rsidP="006A226B">
            <w:pPr>
              <w:pStyle w:val="Heading2"/>
              <w:spacing w:before="40" w:after="40" w:line="240" w:lineRule="auto"/>
              <w:jc w:val="center"/>
              <w:outlineLvl w:val="1"/>
              <w:rPr>
                <w:b w:val="0"/>
                <w:sz w:val="18"/>
                <w:szCs w:val="18"/>
              </w:rPr>
            </w:pPr>
            <w:r>
              <w:rPr>
                <w:b w:val="0"/>
                <w:sz w:val="18"/>
                <w:szCs w:val="18"/>
              </w:rPr>
              <w:t>1.14</w:t>
            </w:r>
          </w:p>
        </w:tc>
        <w:tc>
          <w:tcPr>
            <w:tcW w:w="284" w:type="dxa"/>
          </w:tcPr>
          <w:p w14:paraId="631E6CCD" w14:textId="77777777" w:rsidR="00A3393E" w:rsidRPr="0062250B" w:rsidRDefault="00A3393E" w:rsidP="006A226B">
            <w:pPr>
              <w:pStyle w:val="Heading2"/>
              <w:spacing w:before="40" w:after="40" w:line="240" w:lineRule="auto"/>
              <w:jc w:val="center"/>
              <w:outlineLvl w:val="1"/>
              <w:rPr>
                <w:b w:val="0"/>
                <w:sz w:val="18"/>
                <w:szCs w:val="18"/>
              </w:rPr>
            </w:pPr>
          </w:p>
        </w:tc>
        <w:tc>
          <w:tcPr>
            <w:tcW w:w="2365" w:type="dxa"/>
          </w:tcPr>
          <w:p w14:paraId="2140EB50" w14:textId="43DFAA56" w:rsidR="00A3393E" w:rsidRPr="006A226B" w:rsidRDefault="006A226B" w:rsidP="006A226B">
            <w:pPr>
              <w:pStyle w:val="Heading2"/>
              <w:spacing w:before="40" w:after="40" w:line="240" w:lineRule="auto"/>
              <w:jc w:val="center"/>
              <w:outlineLvl w:val="1"/>
              <w:rPr>
                <w:b w:val="0"/>
                <w:sz w:val="18"/>
                <w:szCs w:val="18"/>
              </w:rPr>
            </w:pPr>
            <w:r w:rsidRPr="005265DE">
              <w:rPr>
                <w:b w:val="0"/>
                <w:sz w:val="18"/>
                <w:szCs w:val="18"/>
              </w:rPr>
              <w:t>0.69 to 1.88</w:t>
            </w:r>
          </w:p>
        </w:tc>
      </w:tr>
      <w:tr w:rsidR="006A226B" w:rsidRPr="0062250B" w14:paraId="21DF6255" w14:textId="77777777" w:rsidTr="005265DE">
        <w:tc>
          <w:tcPr>
            <w:tcW w:w="1129" w:type="dxa"/>
          </w:tcPr>
          <w:p w14:paraId="52448F78" w14:textId="29F30208" w:rsidR="006A226B" w:rsidRDefault="006A226B" w:rsidP="006A226B">
            <w:pPr>
              <w:pStyle w:val="Heading2"/>
              <w:spacing w:before="40" w:after="40" w:line="240" w:lineRule="auto"/>
              <w:outlineLvl w:val="1"/>
              <w:rPr>
                <w:b w:val="0"/>
                <w:sz w:val="18"/>
                <w:szCs w:val="18"/>
              </w:rPr>
            </w:pPr>
            <w:r w:rsidRPr="0062250B">
              <w:rPr>
                <w:sz w:val="18"/>
                <w:szCs w:val="18"/>
              </w:rPr>
              <w:t xml:space="preserve">Year </w:t>
            </w:r>
            <w:r>
              <w:rPr>
                <w:sz w:val="18"/>
                <w:szCs w:val="18"/>
              </w:rPr>
              <w:t>7</w:t>
            </w:r>
          </w:p>
        </w:tc>
        <w:tc>
          <w:tcPr>
            <w:tcW w:w="284" w:type="dxa"/>
          </w:tcPr>
          <w:p w14:paraId="2B40D0FA" w14:textId="77777777" w:rsidR="006A226B" w:rsidRPr="00081383" w:rsidRDefault="006A226B" w:rsidP="006A226B">
            <w:pPr>
              <w:pStyle w:val="Heading2"/>
              <w:spacing w:before="40" w:after="40" w:line="240" w:lineRule="auto"/>
              <w:outlineLvl w:val="1"/>
              <w:rPr>
                <w:b w:val="0"/>
                <w:sz w:val="18"/>
                <w:szCs w:val="18"/>
              </w:rPr>
            </w:pPr>
          </w:p>
        </w:tc>
        <w:tc>
          <w:tcPr>
            <w:tcW w:w="1211" w:type="dxa"/>
          </w:tcPr>
          <w:p w14:paraId="709DCD40" w14:textId="77777777" w:rsidR="006A226B" w:rsidRDefault="006A226B" w:rsidP="006A226B">
            <w:pPr>
              <w:pStyle w:val="Heading2"/>
              <w:spacing w:before="40" w:after="40" w:line="240" w:lineRule="auto"/>
              <w:jc w:val="center"/>
              <w:outlineLvl w:val="1"/>
              <w:rPr>
                <w:b w:val="0"/>
                <w:sz w:val="18"/>
                <w:szCs w:val="18"/>
              </w:rPr>
            </w:pPr>
          </w:p>
        </w:tc>
        <w:tc>
          <w:tcPr>
            <w:tcW w:w="284" w:type="dxa"/>
          </w:tcPr>
          <w:p w14:paraId="70D8068F" w14:textId="77777777" w:rsidR="006A226B" w:rsidRPr="0062250B" w:rsidRDefault="006A226B" w:rsidP="006A226B">
            <w:pPr>
              <w:pStyle w:val="Heading2"/>
              <w:spacing w:before="40" w:after="40" w:line="240" w:lineRule="auto"/>
              <w:jc w:val="center"/>
              <w:outlineLvl w:val="1"/>
              <w:rPr>
                <w:b w:val="0"/>
                <w:sz w:val="18"/>
                <w:szCs w:val="18"/>
              </w:rPr>
            </w:pPr>
          </w:p>
        </w:tc>
        <w:tc>
          <w:tcPr>
            <w:tcW w:w="2365" w:type="dxa"/>
          </w:tcPr>
          <w:p w14:paraId="2A8094F6" w14:textId="77777777" w:rsidR="006A226B" w:rsidRPr="006A226B" w:rsidRDefault="006A226B" w:rsidP="006A226B">
            <w:pPr>
              <w:pStyle w:val="Heading2"/>
              <w:spacing w:before="40" w:after="40" w:line="240" w:lineRule="auto"/>
              <w:jc w:val="center"/>
              <w:outlineLvl w:val="1"/>
              <w:rPr>
                <w:b w:val="0"/>
                <w:sz w:val="18"/>
                <w:szCs w:val="18"/>
              </w:rPr>
            </w:pPr>
          </w:p>
        </w:tc>
      </w:tr>
      <w:tr w:rsidR="006A226B" w:rsidRPr="0062250B" w14:paraId="5CC08B6B" w14:textId="77777777" w:rsidTr="005265DE">
        <w:tc>
          <w:tcPr>
            <w:tcW w:w="1129" w:type="dxa"/>
          </w:tcPr>
          <w:p w14:paraId="2E60ED25" w14:textId="7E2E6DC2" w:rsidR="006A226B" w:rsidRDefault="006A226B" w:rsidP="006A226B">
            <w:pPr>
              <w:pStyle w:val="Heading2"/>
              <w:spacing w:before="40" w:after="40" w:line="240" w:lineRule="auto"/>
              <w:outlineLvl w:val="1"/>
              <w:rPr>
                <w:b w:val="0"/>
                <w:sz w:val="18"/>
                <w:szCs w:val="18"/>
              </w:rPr>
            </w:pPr>
            <w:r>
              <w:rPr>
                <w:b w:val="0"/>
                <w:sz w:val="18"/>
                <w:szCs w:val="18"/>
              </w:rPr>
              <w:t>Not-DV</w:t>
            </w:r>
          </w:p>
        </w:tc>
        <w:tc>
          <w:tcPr>
            <w:tcW w:w="284" w:type="dxa"/>
          </w:tcPr>
          <w:p w14:paraId="57766148" w14:textId="77777777" w:rsidR="006A226B" w:rsidRPr="00081383" w:rsidRDefault="006A226B" w:rsidP="006A226B">
            <w:pPr>
              <w:pStyle w:val="Heading2"/>
              <w:spacing w:before="40" w:after="40" w:line="240" w:lineRule="auto"/>
              <w:outlineLvl w:val="1"/>
              <w:rPr>
                <w:b w:val="0"/>
                <w:sz w:val="18"/>
                <w:szCs w:val="18"/>
              </w:rPr>
            </w:pPr>
          </w:p>
        </w:tc>
        <w:tc>
          <w:tcPr>
            <w:tcW w:w="1211" w:type="dxa"/>
          </w:tcPr>
          <w:p w14:paraId="737EF3E0" w14:textId="6B9C4867" w:rsidR="006A226B" w:rsidRDefault="006A226B" w:rsidP="006A226B">
            <w:pPr>
              <w:pStyle w:val="Heading2"/>
              <w:spacing w:before="40" w:after="40" w:line="240" w:lineRule="auto"/>
              <w:jc w:val="center"/>
              <w:outlineLvl w:val="1"/>
              <w:rPr>
                <w:b w:val="0"/>
                <w:sz w:val="18"/>
                <w:szCs w:val="18"/>
              </w:rPr>
            </w:pPr>
            <w:r>
              <w:rPr>
                <w:b w:val="0"/>
                <w:sz w:val="18"/>
                <w:szCs w:val="18"/>
              </w:rPr>
              <w:t>Ref</w:t>
            </w:r>
          </w:p>
        </w:tc>
        <w:tc>
          <w:tcPr>
            <w:tcW w:w="284" w:type="dxa"/>
          </w:tcPr>
          <w:p w14:paraId="685EC7B7" w14:textId="77777777" w:rsidR="006A226B" w:rsidRPr="0062250B" w:rsidRDefault="006A226B" w:rsidP="006A226B">
            <w:pPr>
              <w:pStyle w:val="Heading2"/>
              <w:spacing w:before="40" w:after="40" w:line="240" w:lineRule="auto"/>
              <w:jc w:val="center"/>
              <w:outlineLvl w:val="1"/>
              <w:rPr>
                <w:b w:val="0"/>
                <w:sz w:val="18"/>
                <w:szCs w:val="18"/>
              </w:rPr>
            </w:pPr>
          </w:p>
        </w:tc>
        <w:tc>
          <w:tcPr>
            <w:tcW w:w="2365" w:type="dxa"/>
          </w:tcPr>
          <w:p w14:paraId="1720B4B0" w14:textId="77777777" w:rsidR="006A226B" w:rsidRPr="006A226B" w:rsidRDefault="006A226B" w:rsidP="006A226B">
            <w:pPr>
              <w:pStyle w:val="Heading2"/>
              <w:spacing w:before="40" w:after="40" w:line="240" w:lineRule="auto"/>
              <w:jc w:val="center"/>
              <w:outlineLvl w:val="1"/>
              <w:rPr>
                <w:b w:val="0"/>
                <w:sz w:val="18"/>
                <w:szCs w:val="18"/>
              </w:rPr>
            </w:pPr>
          </w:p>
        </w:tc>
      </w:tr>
      <w:tr w:rsidR="006A226B" w:rsidRPr="0062250B" w14:paraId="2D9DA8C6" w14:textId="77777777" w:rsidTr="005265DE">
        <w:tc>
          <w:tcPr>
            <w:tcW w:w="1129" w:type="dxa"/>
          </w:tcPr>
          <w:p w14:paraId="303DD885" w14:textId="5635B378" w:rsidR="006A226B" w:rsidRDefault="006A226B" w:rsidP="006A226B">
            <w:pPr>
              <w:pStyle w:val="Heading2"/>
              <w:spacing w:before="40" w:after="40" w:line="240" w:lineRule="auto"/>
              <w:outlineLvl w:val="1"/>
              <w:rPr>
                <w:b w:val="0"/>
                <w:sz w:val="18"/>
                <w:szCs w:val="18"/>
              </w:rPr>
            </w:pPr>
            <w:r>
              <w:rPr>
                <w:b w:val="0"/>
                <w:sz w:val="18"/>
                <w:szCs w:val="18"/>
              </w:rPr>
              <w:t>DV</w:t>
            </w:r>
          </w:p>
        </w:tc>
        <w:tc>
          <w:tcPr>
            <w:tcW w:w="284" w:type="dxa"/>
          </w:tcPr>
          <w:p w14:paraId="4FA8319E" w14:textId="77777777" w:rsidR="006A226B" w:rsidRPr="00081383" w:rsidRDefault="006A226B" w:rsidP="006A226B">
            <w:pPr>
              <w:pStyle w:val="Heading2"/>
              <w:spacing w:before="40" w:after="40" w:line="240" w:lineRule="auto"/>
              <w:outlineLvl w:val="1"/>
              <w:rPr>
                <w:b w:val="0"/>
                <w:sz w:val="18"/>
                <w:szCs w:val="18"/>
              </w:rPr>
            </w:pPr>
          </w:p>
        </w:tc>
        <w:tc>
          <w:tcPr>
            <w:tcW w:w="1211" w:type="dxa"/>
          </w:tcPr>
          <w:p w14:paraId="0284694C" w14:textId="65929299" w:rsidR="006A226B" w:rsidRDefault="006A226B" w:rsidP="006A226B">
            <w:pPr>
              <w:pStyle w:val="Heading2"/>
              <w:spacing w:before="40" w:after="40" w:line="240" w:lineRule="auto"/>
              <w:jc w:val="center"/>
              <w:outlineLvl w:val="1"/>
              <w:rPr>
                <w:b w:val="0"/>
                <w:sz w:val="18"/>
                <w:szCs w:val="18"/>
              </w:rPr>
            </w:pPr>
            <w:r>
              <w:rPr>
                <w:b w:val="0"/>
                <w:sz w:val="18"/>
                <w:szCs w:val="18"/>
              </w:rPr>
              <w:t>1.49</w:t>
            </w:r>
          </w:p>
        </w:tc>
        <w:tc>
          <w:tcPr>
            <w:tcW w:w="284" w:type="dxa"/>
          </w:tcPr>
          <w:p w14:paraId="2CC8357E" w14:textId="77777777" w:rsidR="006A226B" w:rsidRPr="0062250B" w:rsidRDefault="006A226B" w:rsidP="006A226B">
            <w:pPr>
              <w:pStyle w:val="Heading2"/>
              <w:spacing w:before="40" w:after="40" w:line="240" w:lineRule="auto"/>
              <w:jc w:val="center"/>
              <w:outlineLvl w:val="1"/>
              <w:rPr>
                <w:b w:val="0"/>
                <w:sz w:val="18"/>
                <w:szCs w:val="18"/>
              </w:rPr>
            </w:pPr>
          </w:p>
        </w:tc>
        <w:tc>
          <w:tcPr>
            <w:tcW w:w="2365" w:type="dxa"/>
          </w:tcPr>
          <w:p w14:paraId="17B8F50D" w14:textId="60F018D5" w:rsidR="006A226B" w:rsidRPr="006A226B" w:rsidRDefault="006A226B" w:rsidP="006A226B">
            <w:pPr>
              <w:pStyle w:val="Heading2"/>
              <w:spacing w:before="40" w:after="40" w:line="240" w:lineRule="auto"/>
              <w:jc w:val="center"/>
              <w:outlineLvl w:val="1"/>
              <w:rPr>
                <w:b w:val="0"/>
                <w:sz w:val="18"/>
                <w:szCs w:val="18"/>
              </w:rPr>
            </w:pPr>
            <w:r w:rsidRPr="005265DE">
              <w:rPr>
                <w:b w:val="0"/>
                <w:sz w:val="18"/>
                <w:szCs w:val="18"/>
              </w:rPr>
              <w:t>0.92 to 2.42</w:t>
            </w:r>
          </w:p>
        </w:tc>
      </w:tr>
    </w:tbl>
    <w:p w14:paraId="54485D5C" w14:textId="77777777" w:rsidR="00053E6F" w:rsidRDefault="00053E6F" w:rsidP="005265DE">
      <w:pPr>
        <w:pStyle w:val="Heading2"/>
      </w:pPr>
    </w:p>
    <w:p w14:paraId="773274F3" w14:textId="77777777" w:rsidR="00053E6F" w:rsidRDefault="00053E6F" w:rsidP="005265DE">
      <w:pPr>
        <w:pStyle w:val="Heading2"/>
      </w:pPr>
    </w:p>
    <w:p w14:paraId="65BD8902" w14:textId="77777777" w:rsidR="00053E6F" w:rsidRDefault="00053E6F" w:rsidP="005265DE">
      <w:pPr>
        <w:pStyle w:val="Heading2"/>
      </w:pPr>
    </w:p>
    <w:p w14:paraId="333DFFF2" w14:textId="77777777" w:rsidR="00053E6F" w:rsidRDefault="00053E6F" w:rsidP="005265DE">
      <w:pPr>
        <w:pStyle w:val="Heading2"/>
      </w:pPr>
    </w:p>
    <w:p w14:paraId="562EFB8A" w14:textId="77777777" w:rsidR="006A226B" w:rsidRDefault="006A226B">
      <w:pPr>
        <w:spacing w:after="0" w:line="240" w:lineRule="auto"/>
      </w:pPr>
    </w:p>
    <w:p w14:paraId="36B676BA" w14:textId="77777777" w:rsidR="00053E6F" w:rsidRDefault="00053E6F">
      <w:pPr>
        <w:spacing w:after="0" w:line="240" w:lineRule="auto"/>
        <w:rPr>
          <w:rFonts w:eastAsiaTheme="majorEastAsia" w:cstheme="majorBidi"/>
          <w:b/>
          <w:sz w:val="24"/>
          <w:szCs w:val="24"/>
        </w:rPr>
      </w:pPr>
      <w:r>
        <w:br w:type="page"/>
      </w:r>
    </w:p>
    <w:p w14:paraId="51D7E94A" w14:textId="3C662C18" w:rsidR="00004A60" w:rsidRDefault="00004A60" w:rsidP="005265DE">
      <w:pPr>
        <w:pStyle w:val="Heading2"/>
      </w:pPr>
      <w:r>
        <w:t>Chapter 5</w:t>
      </w:r>
    </w:p>
    <w:p w14:paraId="49B134A7" w14:textId="4AC22FE6" w:rsidR="00041DAB" w:rsidRDefault="009C423A" w:rsidP="00041DAB">
      <w:pPr>
        <w:spacing w:after="0"/>
      </w:pPr>
      <w:r>
        <w:t xml:space="preserve">Tables for regression models predicting attainment of the Year 7 reading </w:t>
      </w:r>
      <w:r w:rsidR="0095595F">
        <w:t>threshold</w:t>
      </w:r>
      <w:r>
        <w:t xml:space="preserve"> are provided.</w:t>
      </w:r>
    </w:p>
    <w:p w14:paraId="5529BEEC" w14:textId="2E3DBF90" w:rsidR="009C423A" w:rsidRDefault="009C423A" w:rsidP="00041DAB">
      <w:pPr>
        <w:spacing w:after="0"/>
      </w:pPr>
      <w:r>
        <w:t xml:space="preserve"> </w:t>
      </w:r>
    </w:p>
    <w:p w14:paraId="4041DF8A" w14:textId="485A3CB6" w:rsidR="009C423A" w:rsidRPr="001B0E9A" w:rsidRDefault="001B0E9A" w:rsidP="001B0E9A">
      <w:pPr>
        <w:pStyle w:val="Caption"/>
        <w:rPr>
          <w:sz w:val="20"/>
          <w:szCs w:val="20"/>
        </w:rPr>
      </w:pPr>
      <w:bookmarkStart w:id="182" w:name="_Toc503780766"/>
      <w:r w:rsidRPr="001B0E9A">
        <w:rPr>
          <w:sz w:val="20"/>
          <w:szCs w:val="20"/>
        </w:rPr>
        <w:t xml:space="preserve">Table </w:t>
      </w:r>
      <w:r w:rsidRPr="001B0E9A">
        <w:rPr>
          <w:sz w:val="20"/>
          <w:szCs w:val="20"/>
        </w:rPr>
        <w:fldChar w:fldCharType="begin"/>
      </w:r>
      <w:r w:rsidRPr="001B0E9A">
        <w:rPr>
          <w:sz w:val="20"/>
          <w:szCs w:val="20"/>
        </w:rPr>
        <w:instrText xml:space="preserve"> SEQ Table \* ARABIC </w:instrText>
      </w:r>
      <w:r w:rsidRPr="001B0E9A">
        <w:rPr>
          <w:sz w:val="20"/>
          <w:szCs w:val="20"/>
        </w:rPr>
        <w:fldChar w:fldCharType="separate"/>
      </w:r>
      <w:r w:rsidR="004C27B3">
        <w:rPr>
          <w:noProof/>
          <w:sz w:val="20"/>
          <w:szCs w:val="20"/>
        </w:rPr>
        <w:t>26</w:t>
      </w:r>
      <w:r w:rsidRPr="001B0E9A">
        <w:rPr>
          <w:sz w:val="20"/>
          <w:szCs w:val="20"/>
        </w:rPr>
        <w:fldChar w:fldCharType="end"/>
      </w:r>
      <w:r>
        <w:rPr>
          <w:sz w:val="20"/>
          <w:szCs w:val="20"/>
        </w:rPr>
        <w:t>:</w:t>
      </w:r>
      <w:r w:rsidR="009C423A" w:rsidRPr="001B0E9A">
        <w:rPr>
          <w:sz w:val="20"/>
          <w:szCs w:val="20"/>
        </w:rPr>
        <w:t xml:space="preserve"> Results of separate logistic regression models predicting non-attainment of the Year 7 reading </w:t>
      </w:r>
      <w:r w:rsidR="0095595F" w:rsidRPr="001B0E9A">
        <w:rPr>
          <w:sz w:val="20"/>
          <w:szCs w:val="20"/>
        </w:rPr>
        <w:t>threshold</w:t>
      </w:r>
      <w:r w:rsidR="009C423A" w:rsidRPr="001B0E9A">
        <w:rPr>
          <w:sz w:val="20"/>
          <w:szCs w:val="20"/>
        </w:rPr>
        <w:t xml:space="preserve"> with predictors: DV (Step 1), middle years indicator (Step 2), and DV and middle years indicator together (Step 3).</w:t>
      </w:r>
      <w:bookmarkEnd w:id="182"/>
    </w:p>
    <w:p w14:paraId="13A6900B" w14:textId="437816D8" w:rsidR="009C423A" w:rsidRPr="00041DAB" w:rsidRDefault="00BB0D05" w:rsidP="005265DE">
      <w:pPr>
        <w:pStyle w:val="ListParagraph"/>
        <w:numPr>
          <w:ilvl w:val="0"/>
          <w:numId w:val="24"/>
        </w:numPr>
        <w:spacing w:after="120"/>
        <w:ind w:left="714" w:hanging="357"/>
      </w:pPr>
      <w:r w:rsidRPr="00041DAB">
        <w:t xml:space="preserve">Middle years indicator - </w:t>
      </w:r>
      <w:r w:rsidR="00821162" w:rsidRPr="00041DAB">
        <w:t>s</w:t>
      </w:r>
      <w:r w:rsidR="009C423A" w:rsidRPr="00041DAB">
        <w:t>chool disengagement</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a) Middle years indicator - school disengagement"/>
      </w:tblPr>
      <w:tblGrid>
        <w:gridCol w:w="3118"/>
        <w:gridCol w:w="1701"/>
        <w:gridCol w:w="1701"/>
        <w:gridCol w:w="1701"/>
      </w:tblGrid>
      <w:tr w:rsidR="009C423A" w:rsidRPr="00297783" w14:paraId="755C6AEB" w14:textId="77777777" w:rsidTr="009C423A">
        <w:trPr>
          <w:jc w:val="center"/>
        </w:trPr>
        <w:tc>
          <w:tcPr>
            <w:tcW w:w="3118" w:type="dxa"/>
            <w:shd w:val="clear" w:color="auto" w:fill="0070C0"/>
          </w:tcPr>
          <w:p w14:paraId="77F0C019" w14:textId="77777777" w:rsidR="009C423A" w:rsidRPr="00297783" w:rsidRDefault="009C423A" w:rsidP="009C423A">
            <w:pPr>
              <w:pStyle w:val="TableHeader1"/>
            </w:pPr>
          </w:p>
        </w:tc>
        <w:tc>
          <w:tcPr>
            <w:tcW w:w="1701" w:type="dxa"/>
            <w:shd w:val="clear" w:color="auto" w:fill="0070C0"/>
          </w:tcPr>
          <w:p w14:paraId="6A067192" w14:textId="77777777" w:rsidR="009C423A" w:rsidRPr="00297783" w:rsidRDefault="009C423A" w:rsidP="009C423A">
            <w:pPr>
              <w:pStyle w:val="TableHeader1"/>
            </w:pPr>
            <w:r w:rsidRPr="00297783">
              <w:t>Step 1</w:t>
            </w:r>
          </w:p>
        </w:tc>
        <w:tc>
          <w:tcPr>
            <w:tcW w:w="1701" w:type="dxa"/>
            <w:shd w:val="clear" w:color="auto" w:fill="0070C0"/>
          </w:tcPr>
          <w:p w14:paraId="143FDCDC" w14:textId="77777777" w:rsidR="009C423A" w:rsidRPr="00297783" w:rsidRDefault="009C423A" w:rsidP="009C423A">
            <w:pPr>
              <w:pStyle w:val="TableHeader1"/>
            </w:pPr>
            <w:r w:rsidRPr="00297783">
              <w:t>Step 2</w:t>
            </w:r>
          </w:p>
        </w:tc>
        <w:tc>
          <w:tcPr>
            <w:tcW w:w="1701" w:type="dxa"/>
            <w:shd w:val="clear" w:color="auto" w:fill="0070C0"/>
          </w:tcPr>
          <w:p w14:paraId="7108B032" w14:textId="77777777" w:rsidR="009C423A" w:rsidRPr="00297783" w:rsidRDefault="009C423A" w:rsidP="009C423A">
            <w:pPr>
              <w:pStyle w:val="TableHeader1"/>
            </w:pPr>
            <w:r w:rsidRPr="00297783">
              <w:t>Step 3</w:t>
            </w:r>
          </w:p>
        </w:tc>
      </w:tr>
      <w:tr w:rsidR="009C423A" w:rsidRPr="00297783" w14:paraId="722E2A4D" w14:textId="77777777" w:rsidTr="00DD5234">
        <w:trPr>
          <w:jc w:val="center"/>
        </w:trPr>
        <w:tc>
          <w:tcPr>
            <w:tcW w:w="3118" w:type="dxa"/>
            <w:shd w:val="clear" w:color="auto" w:fill="D9E2F3" w:themeFill="accent1" w:themeFillTint="33"/>
          </w:tcPr>
          <w:p w14:paraId="2EF512CD" w14:textId="723AC1B5" w:rsidR="009C423A" w:rsidRPr="00297783" w:rsidRDefault="009C423A" w:rsidP="00280645">
            <w:pPr>
              <w:pStyle w:val="TableRowIndent"/>
            </w:pPr>
            <w:r w:rsidRPr="00297783">
              <w:t>Developmental</w:t>
            </w:r>
            <w:r w:rsidR="00280645">
              <w:t>ly</w:t>
            </w:r>
            <w:r w:rsidRPr="00297783">
              <w:t xml:space="preserve"> vulnerab</w:t>
            </w:r>
            <w:r w:rsidR="00280645">
              <w:t>le</w:t>
            </w:r>
          </w:p>
        </w:tc>
        <w:tc>
          <w:tcPr>
            <w:tcW w:w="1701" w:type="dxa"/>
            <w:shd w:val="clear" w:color="auto" w:fill="D9E2F3" w:themeFill="accent1" w:themeFillTint="33"/>
          </w:tcPr>
          <w:p w14:paraId="0ADF0516" w14:textId="77777777" w:rsidR="009C423A" w:rsidRPr="00D33045" w:rsidRDefault="009C423A" w:rsidP="009C423A">
            <w:pPr>
              <w:pStyle w:val="TableBody"/>
            </w:pPr>
          </w:p>
        </w:tc>
        <w:tc>
          <w:tcPr>
            <w:tcW w:w="1701" w:type="dxa"/>
            <w:shd w:val="clear" w:color="auto" w:fill="D9E2F3" w:themeFill="accent1" w:themeFillTint="33"/>
          </w:tcPr>
          <w:p w14:paraId="28D2E2D4" w14:textId="77777777" w:rsidR="009C423A" w:rsidRPr="00D33045" w:rsidRDefault="009C423A" w:rsidP="009C423A">
            <w:pPr>
              <w:pStyle w:val="TableBody"/>
            </w:pPr>
          </w:p>
        </w:tc>
        <w:tc>
          <w:tcPr>
            <w:tcW w:w="1701" w:type="dxa"/>
            <w:shd w:val="clear" w:color="auto" w:fill="D9E2F3" w:themeFill="accent1" w:themeFillTint="33"/>
          </w:tcPr>
          <w:p w14:paraId="3D549D95" w14:textId="77777777" w:rsidR="009C423A" w:rsidRPr="00D33045" w:rsidRDefault="009C423A" w:rsidP="009C423A">
            <w:pPr>
              <w:pStyle w:val="TableBody"/>
            </w:pPr>
          </w:p>
        </w:tc>
      </w:tr>
      <w:tr w:rsidR="009C423A" w:rsidRPr="00297783" w14:paraId="7D238780" w14:textId="77777777" w:rsidTr="009C423A">
        <w:trPr>
          <w:jc w:val="center"/>
        </w:trPr>
        <w:tc>
          <w:tcPr>
            <w:tcW w:w="3118" w:type="dxa"/>
          </w:tcPr>
          <w:p w14:paraId="7019CF9E" w14:textId="77777777" w:rsidR="009C423A" w:rsidRPr="00297783" w:rsidRDefault="009C423A" w:rsidP="009C423A">
            <w:pPr>
              <w:pStyle w:val="TableRowIndent"/>
            </w:pPr>
            <w:r w:rsidRPr="00297783">
              <w:t xml:space="preserve">   No</w:t>
            </w:r>
          </w:p>
        </w:tc>
        <w:tc>
          <w:tcPr>
            <w:tcW w:w="1701" w:type="dxa"/>
          </w:tcPr>
          <w:p w14:paraId="293EE626" w14:textId="77777777" w:rsidR="009C423A" w:rsidRPr="00D33045" w:rsidRDefault="009C423A" w:rsidP="009C423A">
            <w:pPr>
              <w:pStyle w:val="TableBody"/>
            </w:pPr>
            <w:r w:rsidRPr="00D33045">
              <w:t>1</w:t>
            </w:r>
          </w:p>
        </w:tc>
        <w:tc>
          <w:tcPr>
            <w:tcW w:w="1701" w:type="dxa"/>
          </w:tcPr>
          <w:p w14:paraId="6D0FFC1F" w14:textId="77777777" w:rsidR="009C423A" w:rsidRPr="00D33045" w:rsidRDefault="009C423A" w:rsidP="009C423A">
            <w:pPr>
              <w:pStyle w:val="TableBody"/>
            </w:pPr>
          </w:p>
        </w:tc>
        <w:tc>
          <w:tcPr>
            <w:tcW w:w="1701" w:type="dxa"/>
          </w:tcPr>
          <w:p w14:paraId="19481392" w14:textId="77777777" w:rsidR="009C423A" w:rsidRPr="00D33045" w:rsidRDefault="009C423A" w:rsidP="009C423A">
            <w:pPr>
              <w:pStyle w:val="TableBody"/>
            </w:pPr>
            <w:r w:rsidRPr="00D33045">
              <w:t>1</w:t>
            </w:r>
          </w:p>
        </w:tc>
      </w:tr>
      <w:tr w:rsidR="009C423A" w:rsidRPr="00297783" w14:paraId="042A6F64" w14:textId="77777777" w:rsidTr="009C423A">
        <w:trPr>
          <w:jc w:val="center"/>
        </w:trPr>
        <w:tc>
          <w:tcPr>
            <w:tcW w:w="3118" w:type="dxa"/>
          </w:tcPr>
          <w:p w14:paraId="571233EF" w14:textId="77777777" w:rsidR="009C423A" w:rsidRPr="00297783" w:rsidRDefault="009C423A" w:rsidP="009C423A">
            <w:pPr>
              <w:pStyle w:val="TableRowIndent"/>
            </w:pPr>
            <w:r w:rsidRPr="00297783">
              <w:t xml:space="preserve">   Yes</w:t>
            </w:r>
          </w:p>
        </w:tc>
        <w:tc>
          <w:tcPr>
            <w:tcW w:w="1701" w:type="dxa"/>
          </w:tcPr>
          <w:p w14:paraId="705F2A2B" w14:textId="77777777" w:rsidR="009C423A" w:rsidRPr="00D33045" w:rsidRDefault="009C423A" w:rsidP="009C423A">
            <w:pPr>
              <w:pStyle w:val="TableBody"/>
            </w:pPr>
            <w:r w:rsidRPr="00D33045">
              <w:t>3.45 (2.38-5.00)</w:t>
            </w:r>
          </w:p>
        </w:tc>
        <w:tc>
          <w:tcPr>
            <w:tcW w:w="1701" w:type="dxa"/>
          </w:tcPr>
          <w:p w14:paraId="0DE1A55E" w14:textId="77777777" w:rsidR="009C423A" w:rsidRPr="00D33045" w:rsidRDefault="009C423A" w:rsidP="009C423A">
            <w:pPr>
              <w:pStyle w:val="TableBody"/>
            </w:pPr>
          </w:p>
        </w:tc>
        <w:tc>
          <w:tcPr>
            <w:tcW w:w="1701" w:type="dxa"/>
          </w:tcPr>
          <w:p w14:paraId="2491B070" w14:textId="77777777" w:rsidR="009C423A" w:rsidRPr="00D33045" w:rsidRDefault="009C423A" w:rsidP="009C423A">
            <w:pPr>
              <w:pStyle w:val="TableBody"/>
            </w:pPr>
            <w:r w:rsidRPr="00D33045">
              <w:t>3.28 (2.24-4.79)</w:t>
            </w:r>
          </w:p>
        </w:tc>
      </w:tr>
      <w:tr w:rsidR="009C423A" w:rsidRPr="00297783" w14:paraId="37CD0CBC" w14:textId="77777777" w:rsidTr="00DD5234">
        <w:trPr>
          <w:jc w:val="center"/>
        </w:trPr>
        <w:tc>
          <w:tcPr>
            <w:tcW w:w="3118" w:type="dxa"/>
            <w:shd w:val="clear" w:color="auto" w:fill="D9E2F3" w:themeFill="accent1" w:themeFillTint="33"/>
          </w:tcPr>
          <w:p w14:paraId="6AFFF35E" w14:textId="77777777" w:rsidR="009C423A" w:rsidRPr="00297783" w:rsidRDefault="009C423A" w:rsidP="009C423A">
            <w:pPr>
              <w:pStyle w:val="TableRowIndent"/>
            </w:pPr>
            <w:r w:rsidRPr="00297783">
              <w:t>School disengagement</w:t>
            </w:r>
          </w:p>
        </w:tc>
        <w:tc>
          <w:tcPr>
            <w:tcW w:w="1701" w:type="dxa"/>
            <w:shd w:val="clear" w:color="auto" w:fill="D9E2F3" w:themeFill="accent1" w:themeFillTint="33"/>
          </w:tcPr>
          <w:p w14:paraId="78284525" w14:textId="77777777" w:rsidR="009C423A" w:rsidRPr="00D33045" w:rsidRDefault="009C423A" w:rsidP="009C423A">
            <w:pPr>
              <w:pStyle w:val="TableBody"/>
            </w:pPr>
          </w:p>
        </w:tc>
        <w:tc>
          <w:tcPr>
            <w:tcW w:w="1701" w:type="dxa"/>
            <w:shd w:val="clear" w:color="auto" w:fill="D9E2F3" w:themeFill="accent1" w:themeFillTint="33"/>
          </w:tcPr>
          <w:p w14:paraId="3BF1A124" w14:textId="77777777" w:rsidR="009C423A" w:rsidRPr="00D33045" w:rsidRDefault="009C423A" w:rsidP="009C423A">
            <w:pPr>
              <w:pStyle w:val="TableBody"/>
            </w:pPr>
          </w:p>
        </w:tc>
        <w:tc>
          <w:tcPr>
            <w:tcW w:w="1701" w:type="dxa"/>
            <w:shd w:val="clear" w:color="auto" w:fill="D9E2F3" w:themeFill="accent1" w:themeFillTint="33"/>
          </w:tcPr>
          <w:p w14:paraId="3FBFAFEE" w14:textId="77777777" w:rsidR="009C423A" w:rsidRPr="00D33045" w:rsidRDefault="009C423A" w:rsidP="009C423A">
            <w:pPr>
              <w:pStyle w:val="TableBody"/>
            </w:pPr>
          </w:p>
        </w:tc>
      </w:tr>
      <w:tr w:rsidR="009C423A" w:rsidRPr="00297783" w14:paraId="265A397C" w14:textId="77777777" w:rsidTr="009C423A">
        <w:trPr>
          <w:jc w:val="center"/>
        </w:trPr>
        <w:tc>
          <w:tcPr>
            <w:tcW w:w="3118" w:type="dxa"/>
          </w:tcPr>
          <w:p w14:paraId="506E68E1" w14:textId="77777777" w:rsidR="009C423A" w:rsidRPr="00297783" w:rsidRDefault="009C423A" w:rsidP="009C423A">
            <w:pPr>
              <w:pStyle w:val="TableRowIndent"/>
            </w:pPr>
            <w:r w:rsidRPr="00297783">
              <w:t xml:space="preserve">   None</w:t>
            </w:r>
          </w:p>
        </w:tc>
        <w:tc>
          <w:tcPr>
            <w:tcW w:w="1701" w:type="dxa"/>
          </w:tcPr>
          <w:p w14:paraId="36BA5EC0" w14:textId="77777777" w:rsidR="009C423A" w:rsidRPr="00D33045" w:rsidRDefault="009C423A" w:rsidP="009C423A">
            <w:pPr>
              <w:pStyle w:val="TableBody"/>
            </w:pPr>
          </w:p>
        </w:tc>
        <w:tc>
          <w:tcPr>
            <w:tcW w:w="1701" w:type="dxa"/>
          </w:tcPr>
          <w:p w14:paraId="26D1AB84" w14:textId="77777777" w:rsidR="009C423A" w:rsidRPr="00D33045" w:rsidRDefault="009C423A" w:rsidP="009C423A">
            <w:pPr>
              <w:pStyle w:val="TableBody"/>
            </w:pPr>
            <w:r w:rsidRPr="00D33045">
              <w:t>1</w:t>
            </w:r>
          </w:p>
        </w:tc>
        <w:tc>
          <w:tcPr>
            <w:tcW w:w="1701" w:type="dxa"/>
          </w:tcPr>
          <w:p w14:paraId="54ADB088" w14:textId="77777777" w:rsidR="009C423A" w:rsidRPr="00D33045" w:rsidRDefault="009C423A" w:rsidP="009C423A">
            <w:pPr>
              <w:pStyle w:val="TableBody"/>
            </w:pPr>
            <w:r w:rsidRPr="00D33045">
              <w:t>1</w:t>
            </w:r>
          </w:p>
        </w:tc>
      </w:tr>
      <w:tr w:rsidR="009C423A" w:rsidRPr="00297783" w14:paraId="24965472" w14:textId="77777777" w:rsidTr="009C423A">
        <w:trPr>
          <w:jc w:val="center"/>
        </w:trPr>
        <w:tc>
          <w:tcPr>
            <w:tcW w:w="3118" w:type="dxa"/>
          </w:tcPr>
          <w:p w14:paraId="6E5C08FC" w14:textId="77777777" w:rsidR="009C423A" w:rsidRPr="00297783" w:rsidRDefault="009C423A" w:rsidP="009C423A">
            <w:pPr>
              <w:pStyle w:val="TableRowIndent"/>
            </w:pPr>
            <w:r w:rsidRPr="00297783">
              <w:t xml:space="preserve">   1 or 2 years</w:t>
            </w:r>
          </w:p>
        </w:tc>
        <w:tc>
          <w:tcPr>
            <w:tcW w:w="1701" w:type="dxa"/>
          </w:tcPr>
          <w:p w14:paraId="5BD19B90" w14:textId="77777777" w:rsidR="009C423A" w:rsidRPr="00D33045" w:rsidRDefault="009C423A" w:rsidP="009C423A">
            <w:pPr>
              <w:pStyle w:val="TableBody"/>
            </w:pPr>
          </w:p>
        </w:tc>
        <w:tc>
          <w:tcPr>
            <w:tcW w:w="1701" w:type="dxa"/>
          </w:tcPr>
          <w:p w14:paraId="1349D26F" w14:textId="77777777" w:rsidR="009C423A" w:rsidRPr="00D33045" w:rsidRDefault="009C423A" w:rsidP="009C423A">
            <w:pPr>
              <w:pStyle w:val="TableBody"/>
            </w:pPr>
            <w:r w:rsidRPr="00D33045">
              <w:t>2.31 (1.57-3.39)</w:t>
            </w:r>
          </w:p>
        </w:tc>
        <w:tc>
          <w:tcPr>
            <w:tcW w:w="1701" w:type="dxa"/>
          </w:tcPr>
          <w:p w14:paraId="121AAE1D" w14:textId="77777777" w:rsidR="009C423A" w:rsidRPr="00D33045" w:rsidRDefault="009C423A" w:rsidP="009C423A">
            <w:pPr>
              <w:pStyle w:val="TableBody"/>
            </w:pPr>
            <w:r w:rsidRPr="00D33045">
              <w:t>2.12 (1.41-3.18)</w:t>
            </w:r>
          </w:p>
        </w:tc>
      </w:tr>
    </w:tbl>
    <w:p w14:paraId="36325EF3" w14:textId="77777777" w:rsidR="009C423A" w:rsidRPr="00BB0D05" w:rsidRDefault="009C423A" w:rsidP="00280645">
      <w:pPr>
        <w:spacing w:after="0"/>
        <w:rPr>
          <w:sz w:val="18"/>
          <w:szCs w:val="18"/>
        </w:rPr>
      </w:pPr>
    </w:p>
    <w:p w14:paraId="45715955" w14:textId="7CAA2AAC" w:rsidR="009C423A" w:rsidRPr="00041DAB" w:rsidRDefault="00BB0D05" w:rsidP="005265DE">
      <w:pPr>
        <w:pStyle w:val="ListParagraph"/>
        <w:numPr>
          <w:ilvl w:val="0"/>
          <w:numId w:val="24"/>
        </w:numPr>
        <w:spacing w:after="120"/>
        <w:ind w:left="714" w:hanging="357"/>
        <w:rPr>
          <w:szCs w:val="18"/>
        </w:rPr>
      </w:pPr>
      <w:r w:rsidRPr="00041DAB">
        <w:rPr>
          <w:szCs w:val="18"/>
        </w:rPr>
        <w:t xml:space="preserve">Middle years indicator - </w:t>
      </w:r>
      <w:r w:rsidR="00821162" w:rsidRPr="00041DAB">
        <w:rPr>
          <w:szCs w:val="18"/>
        </w:rPr>
        <w:t>e</w:t>
      </w:r>
      <w:r w:rsidR="009C423A" w:rsidRPr="00041DAB">
        <w:rPr>
          <w:szCs w:val="18"/>
        </w:rPr>
        <w:t>motional problems</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b) Middle years indicator - emotional problems"/>
      </w:tblPr>
      <w:tblGrid>
        <w:gridCol w:w="3118"/>
        <w:gridCol w:w="1701"/>
        <w:gridCol w:w="1701"/>
        <w:gridCol w:w="1701"/>
      </w:tblGrid>
      <w:tr w:rsidR="009C423A" w:rsidRPr="00297783" w14:paraId="5632AFBC" w14:textId="77777777" w:rsidTr="009C423A">
        <w:trPr>
          <w:jc w:val="center"/>
        </w:trPr>
        <w:tc>
          <w:tcPr>
            <w:tcW w:w="3118" w:type="dxa"/>
            <w:shd w:val="clear" w:color="auto" w:fill="0070C0"/>
          </w:tcPr>
          <w:p w14:paraId="287CEF8B" w14:textId="77777777" w:rsidR="009C423A" w:rsidRPr="00AE4C24" w:rsidRDefault="009C423A" w:rsidP="009C423A">
            <w:pPr>
              <w:pStyle w:val="TableHeader1"/>
            </w:pPr>
          </w:p>
        </w:tc>
        <w:tc>
          <w:tcPr>
            <w:tcW w:w="1701" w:type="dxa"/>
            <w:shd w:val="clear" w:color="auto" w:fill="0070C0"/>
          </w:tcPr>
          <w:p w14:paraId="5BFE5CEB" w14:textId="77777777" w:rsidR="009C423A" w:rsidRPr="00AE4C24" w:rsidRDefault="009C423A" w:rsidP="009C423A">
            <w:pPr>
              <w:pStyle w:val="TableHeader1"/>
            </w:pPr>
            <w:r w:rsidRPr="00AE4C24">
              <w:t>Step 1</w:t>
            </w:r>
          </w:p>
        </w:tc>
        <w:tc>
          <w:tcPr>
            <w:tcW w:w="1701" w:type="dxa"/>
            <w:shd w:val="clear" w:color="auto" w:fill="0070C0"/>
          </w:tcPr>
          <w:p w14:paraId="483F90C4" w14:textId="77777777" w:rsidR="009C423A" w:rsidRPr="00AE4C24" w:rsidRDefault="009C423A" w:rsidP="009C423A">
            <w:pPr>
              <w:pStyle w:val="TableHeader1"/>
            </w:pPr>
            <w:r w:rsidRPr="00AE4C24">
              <w:t>Step 2</w:t>
            </w:r>
          </w:p>
        </w:tc>
        <w:tc>
          <w:tcPr>
            <w:tcW w:w="1701" w:type="dxa"/>
            <w:shd w:val="clear" w:color="auto" w:fill="0070C0"/>
          </w:tcPr>
          <w:p w14:paraId="49A19089" w14:textId="77777777" w:rsidR="009C423A" w:rsidRPr="00AE4C24" w:rsidRDefault="009C423A" w:rsidP="009C423A">
            <w:pPr>
              <w:pStyle w:val="TableHeader1"/>
            </w:pPr>
            <w:r w:rsidRPr="00AE4C24">
              <w:t>Step 3</w:t>
            </w:r>
          </w:p>
        </w:tc>
      </w:tr>
      <w:tr w:rsidR="009C423A" w:rsidRPr="00297783" w14:paraId="70C23E1F" w14:textId="77777777" w:rsidTr="00DD5234">
        <w:trPr>
          <w:jc w:val="center"/>
        </w:trPr>
        <w:tc>
          <w:tcPr>
            <w:tcW w:w="3118" w:type="dxa"/>
            <w:shd w:val="clear" w:color="auto" w:fill="D9E2F3" w:themeFill="accent1" w:themeFillTint="33"/>
          </w:tcPr>
          <w:p w14:paraId="581A6815" w14:textId="6F7AC676" w:rsidR="009C423A" w:rsidRPr="008C43C6" w:rsidRDefault="00280645" w:rsidP="009C423A">
            <w:pPr>
              <w:pStyle w:val="TableRowIndent"/>
            </w:pPr>
            <w:r w:rsidRPr="00297783">
              <w:t>Developmental</w:t>
            </w:r>
            <w:r>
              <w:t>ly</w:t>
            </w:r>
            <w:r w:rsidRPr="00297783">
              <w:t xml:space="preserve"> vulnerab</w:t>
            </w:r>
            <w:r>
              <w:t>le</w:t>
            </w:r>
          </w:p>
        </w:tc>
        <w:tc>
          <w:tcPr>
            <w:tcW w:w="1701" w:type="dxa"/>
            <w:shd w:val="clear" w:color="auto" w:fill="D9E2F3" w:themeFill="accent1" w:themeFillTint="33"/>
          </w:tcPr>
          <w:p w14:paraId="0817CC58" w14:textId="77777777" w:rsidR="009C423A" w:rsidRPr="00D33045" w:rsidRDefault="009C423A" w:rsidP="009C423A">
            <w:pPr>
              <w:pStyle w:val="TableBody"/>
            </w:pPr>
          </w:p>
        </w:tc>
        <w:tc>
          <w:tcPr>
            <w:tcW w:w="1701" w:type="dxa"/>
            <w:shd w:val="clear" w:color="auto" w:fill="D9E2F3" w:themeFill="accent1" w:themeFillTint="33"/>
          </w:tcPr>
          <w:p w14:paraId="1406EFDD" w14:textId="77777777" w:rsidR="009C423A" w:rsidRPr="00D33045" w:rsidRDefault="009C423A" w:rsidP="009C423A">
            <w:pPr>
              <w:pStyle w:val="TableBody"/>
            </w:pPr>
          </w:p>
        </w:tc>
        <w:tc>
          <w:tcPr>
            <w:tcW w:w="1701" w:type="dxa"/>
            <w:shd w:val="clear" w:color="auto" w:fill="D9E2F3" w:themeFill="accent1" w:themeFillTint="33"/>
          </w:tcPr>
          <w:p w14:paraId="692CA4FC" w14:textId="77777777" w:rsidR="009C423A" w:rsidRPr="00D33045" w:rsidRDefault="009C423A" w:rsidP="009C423A">
            <w:pPr>
              <w:pStyle w:val="TableBody"/>
            </w:pPr>
          </w:p>
        </w:tc>
      </w:tr>
      <w:tr w:rsidR="009C423A" w:rsidRPr="00297783" w14:paraId="259ACFC1" w14:textId="77777777" w:rsidTr="009C423A">
        <w:trPr>
          <w:trHeight w:val="171"/>
          <w:jc w:val="center"/>
        </w:trPr>
        <w:tc>
          <w:tcPr>
            <w:tcW w:w="3118" w:type="dxa"/>
          </w:tcPr>
          <w:p w14:paraId="66D61EA6" w14:textId="77777777" w:rsidR="009C423A" w:rsidRPr="008C43C6" w:rsidRDefault="009C423A" w:rsidP="009C423A">
            <w:pPr>
              <w:pStyle w:val="TableRowIndent"/>
            </w:pPr>
            <w:r w:rsidRPr="008C43C6">
              <w:t xml:space="preserve">   No</w:t>
            </w:r>
          </w:p>
        </w:tc>
        <w:tc>
          <w:tcPr>
            <w:tcW w:w="1701" w:type="dxa"/>
            <w:shd w:val="clear" w:color="auto" w:fill="auto"/>
          </w:tcPr>
          <w:p w14:paraId="3F62BC04" w14:textId="77777777" w:rsidR="009C423A" w:rsidRPr="00D33045" w:rsidRDefault="009C423A" w:rsidP="009C423A">
            <w:pPr>
              <w:pStyle w:val="TableBody"/>
            </w:pPr>
            <w:r w:rsidRPr="00D33045">
              <w:t>1</w:t>
            </w:r>
          </w:p>
        </w:tc>
        <w:tc>
          <w:tcPr>
            <w:tcW w:w="1701" w:type="dxa"/>
            <w:shd w:val="clear" w:color="auto" w:fill="auto"/>
          </w:tcPr>
          <w:p w14:paraId="49D3CD01" w14:textId="77777777" w:rsidR="009C423A" w:rsidRPr="00D33045" w:rsidRDefault="009C423A" w:rsidP="009C423A">
            <w:pPr>
              <w:pStyle w:val="TableBody"/>
            </w:pPr>
          </w:p>
        </w:tc>
        <w:tc>
          <w:tcPr>
            <w:tcW w:w="1701" w:type="dxa"/>
            <w:shd w:val="clear" w:color="auto" w:fill="auto"/>
          </w:tcPr>
          <w:p w14:paraId="5D6C7A40" w14:textId="77777777" w:rsidR="009C423A" w:rsidRPr="00D33045" w:rsidRDefault="009C423A" w:rsidP="009C423A">
            <w:pPr>
              <w:pStyle w:val="TableBody"/>
            </w:pPr>
            <w:r w:rsidRPr="00D33045">
              <w:t>1</w:t>
            </w:r>
          </w:p>
        </w:tc>
      </w:tr>
      <w:tr w:rsidR="009C423A" w:rsidRPr="00297783" w14:paraId="110E805C" w14:textId="77777777" w:rsidTr="009C423A">
        <w:trPr>
          <w:jc w:val="center"/>
        </w:trPr>
        <w:tc>
          <w:tcPr>
            <w:tcW w:w="3118" w:type="dxa"/>
          </w:tcPr>
          <w:p w14:paraId="3F20E52C" w14:textId="77777777" w:rsidR="009C423A" w:rsidRPr="008C43C6" w:rsidRDefault="009C423A" w:rsidP="009C423A">
            <w:pPr>
              <w:pStyle w:val="TableRowIndent"/>
            </w:pPr>
            <w:r w:rsidRPr="008C43C6">
              <w:t xml:space="preserve">   Yes</w:t>
            </w:r>
          </w:p>
        </w:tc>
        <w:tc>
          <w:tcPr>
            <w:tcW w:w="1701" w:type="dxa"/>
            <w:shd w:val="clear" w:color="auto" w:fill="auto"/>
          </w:tcPr>
          <w:p w14:paraId="6C049C74" w14:textId="77777777" w:rsidR="009C423A" w:rsidRPr="00D33045" w:rsidRDefault="009C423A" w:rsidP="009C423A">
            <w:pPr>
              <w:pStyle w:val="TableBody"/>
            </w:pPr>
            <w:r w:rsidRPr="00D33045">
              <w:t>3.45 (2.38-5.00)</w:t>
            </w:r>
          </w:p>
        </w:tc>
        <w:tc>
          <w:tcPr>
            <w:tcW w:w="1701" w:type="dxa"/>
            <w:shd w:val="clear" w:color="auto" w:fill="auto"/>
          </w:tcPr>
          <w:p w14:paraId="07F2F552" w14:textId="77777777" w:rsidR="009C423A" w:rsidRPr="00D33045" w:rsidRDefault="009C423A" w:rsidP="009C423A">
            <w:pPr>
              <w:pStyle w:val="TableBody"/>
            </w:pPr>
          </w:p>
        </w:tc>
        <w:tc>
          <w:tcPr>
            <w:tcW w:w="1701" w:type="dxa"/>
            <w:shd w:val="clear" w:color="auto" w:fill="auto"/>
          </w:tcPr>
          <w:p w14:paraId="0EBA02EA" w14:textId="77777777" w:rsidR="009C423A" w:rsidRPr="00D33045" w:rsidRDefault="009C423A" w:rsidP="009C423A">
            <w:pPr>
              <w:pStyle w:val="TableBody"/>
            </w:pPr>
            <w:r w:rsidRPr="00D33045">
              <w:t>3.14 (2.16-4.57)</w:t>
            </w:r>
          </w:p>
        </w:tc>
      </w:tr>
      <w:tr w:rsidR="009C423A" w:rsidRPr="00297783" w14:paraId="2F7E5A1E" w14:textId="77777777" w:rsidTr="00DD5234">
        <w:trPr>
          <w:jc w:val="center"/>
        </w:trPr>
        <w:tc>
          <w:tcPr>
            <w:tcW w:w="3118" w:type="dxa"/>
            <w:shd w:val="clear" w:color="auto" w:fill="D9E2F3" w:themeFill="accent1" w:themeFillTint="33"/>
          </w:tcPr>
          <w:p w14:paraId="745F097C" w14:textId="77777777" w:rsidR="009C423A" w:rsidRPr="008C43C6" w:rsidRDefault="009C423A" w:rsidP="009C423A">
            <w:pPr>
              <w:pStyle w:val="TableRowIndent"/>
            </w:pPr>
            <w:r w:rsidRPr="008C43C6">
              <w:t>Emotional problems</w:t>
            </w:r>
          </w:p>
        </w:tc>
        <w:tc>
          <w:tcPr>
            <w:tcW w:w="1701" w:type="dxa"/>
            <w:shd w:val="clear" w:color="auto" w:fill="D9E2F3" w:themeFill="accent1" w:themeFillTint="33"/>
          </w:tcPr>
          <w:p w14:paraId="7CFBBF7F" w14:textId="77777777" w:rsidR="009C423A" w:rsidRPr="00D33045" w:rsidRDefault="009C423A" w:rsidP="009C423A">
            <w:pPr>
              <w:pStyle w:val="TableBody"/>
            </w:pPr>
          </w:p>
        </w:tc>
        <w:tc>
          <w:tcPr>
            <w:tcW w:w="1701" w:type="dxa"/>
            <w:shd w:val="clear" w:color="auto" w:fill="D9E2F3" w:themeFill="accent1" w:themeFillTint="33"/>
          </w:tcPr>
          <w:p w14:paraId="60EE693D" w14:textId="77777777" w:rsidR="009C423A" w:rsidRPr="00D33045" w:rsidRDefault="009C423A" w:rsidP="009C423A">
            <w:pPr>
              <w:pStyle w:val="TableBody"/>
            </w:pPr>
          </w:p>
        </w:tc>
        <w:tc>
          <w:tcPr>
            <w:tcW w:w="1701" w:type="dxa"/>
            <w:shd w:val="clear" w:color="auto" w:fill="D9E2F3" w:themeFill="accent1" w:themeFillTint="33"/>
          </w:tcPr>
          <w:p w14:paraId="35483DF9" w14:textId="77777777" w:rsidR="009C423A" w:rsidRPr="00D33045" w:rsidRDefault="009C423A" w:rsidP="009C423A">
            <w:pPr>
              <w:pStyle w:val="TableBody"/>
            </w:pPr>
          </w:p>
        </w:tc>
      </w:tr>
      <w:tr w:rsidR="009C423A" w:rsidRPr="00297783" w14:paraId="407CAADA" w14:textId="77777777" w:rsidTr="009C423A">
        <w:trPr>
          <w:jc w:val="center"/>
        </w:trPr>
        <w:tc>
          <w:tcPr>
            <w:tcW w:w="3118" w:type="dxa"/>
          </w:tcPr>
          <w:p w14:paraId="1D53F084" w14:textId="77777777" w:rsidR="009C423A" w:rsidRPr="008C43C6" w:rsidRDefault="009C423A" w:rsidP="009C423A">
            <w:pPr>
              <w:pStyle w:val="TableRowIndent"/>
            </w:pPr>
            <w:r w:rsidRPr="008C43C6">
              <w:t xml:space="preserve">   None</w:t>
            </w:r>
          </w:p>
        </w:tc>
        <w:tc>
          <w:tcPr>
            <w:tcW w:w="1701" w:type="dxa"/>
            <w:shd w:val="clear" w:color="auto" w:fill="auto"/>
          </w:tcPr>
          <w:p w14:paraId="383EB399" w14:textId="77777777" w:rsidR="009C423A" w:rsidRPr="00D33045" w:rsidRDefault="009C423A" w:rsidP="009C423A">
            <w:pPr>
              <w:pStyle w:val="TableBody"/>
            </w:pPr>
          </w:p>
        </w:tc>
        <w:tc>
          <w:tcPr>
            <w:tcW w:w="1701" w:type="dxa"/>
            <w:shd w:val="clear" w:color="auto" w:fill="auto"/>
          </w:tcPr>
          <w:p w14:paraId="587CBE89" w14:textId="77777777" w:rsidR="009C423A" w:rsidRPr="00D33045" w:rsidRDefault="009C423A" w:rsidP="009C423A">
            <w:pPr>
              <w:pStyle w:val="TableBody"/>
            </w:pPr>
            <w:r w:rsidRPr="00D33045">
              <w:t>1</w:t>
            </w:r>
          </w:p>
        </w:tc>
        <w:tc>
          <w:tcPr>
            <w:tcW w:w="1701" w:type="dxa"/>
            <w:shd w:val="clear" w:color="auto" w:fill="auto"/>
          </w:tcPr>
          <w:p w14:paraId="44A67253" w14:textId="77777777" w:rsidR="009C423A" w:rsidRPr="00D33045" w:rsidRDefault="009C423A" w:rsidP="009C423A">
            <w:pPr>
              <w:pStyle w:val="TableBody"/>
            </w:pPr>
            <w:r w:rsidRPr="00D33045">
              <w:t>1</w:t>
            </w:r>
          </w:p>
        </w:tc>
      </w:tr>
      <w:tr w:rsidR="009C423A" w:rsidRPr="00297783" w14:paraId="78E53C90" w14:textId="77777777" w:rsidTr="009C423A">
        <w:trPr>
          <w:jc w:val="center"/>
        </w:trPr>
        <w:tc>
          <w:tcPr>
            <w:tcW w:w="3118" w:type="dxa"/>
          </w:tcPr>
          <w:p w14:paraId="09B338BA" w14:textId="77777777" w:rsidR="009C423A" w:rsidRPr="008C43C6" w:rsidRDefault="009C423A" w:rsidP="009C423A">
            <w:pPr>
              <w:pStyle w:val="TableRowIndent"/>
            </w:pPr>
            <w:r w:rsidRPr="008C43C6">
              <w:t xml:space="preserve">   Single episode</w:t>
            </w:r>
          </w:p>
        </w:tc>
        <w:tc>
          <w:tcPr>
            <w:tcW w:w="1701" w:type="dxa"/>
            <w:shd w:val="clear" w:color="auto" w:fill="auto"/>
          </w:tcPr>
          <w:p w14:paraId="3B93EEA5" w14:textId="77777777" w:rsidR="009C423A" w:rsidRPr="00D33045" w:rsidRDefault="009C423A" w:rsidP="009C423A">
            <w:pPr>
              <w:pStyle w:val="TableBody"/>
            </w:pPr>
          </w:p>
        </w:tc>
        <w:tc>
          <w:tcPr>
            <w:tcW w:w="1701" w:type="dxa"/>
            <w:shd w:val="clear" w:color="auto" w:fill="auto"/>
          </w:tcPr>
          <w:p w14:paraId="3536F6D3" w14:textId="77777777" w:rsidR="009C423A" w:rsidRPr="00D33045" w:rsidRDefault="009C423A" w:rsidP="009C423A">
            <w:pPr>
              <w:pStyle w:val="TableBody"/>
            </w:pPr>
            <w:r w:rsidRPr="00D33045">
              <w:t>2.37 (1.68-3.35)</w:t>
            </w:r>
          </w:p>
        </w:tc>
        <w:tc>
          <w:tcPr>
            <w:tcW w:w="1701" w:type="dxa"/>
            <w:shd w:val="clear" w:color="auto" w:fill="auto"/>
          </w:tcPr>
          <w:p w14:paraId="18A7D00D" w14:textId="77777777" w:rsidR="009C423A" w:rsidRPr="00D33045" w:rsidRDefault="009C423A" w:rsidP="009C423A">
            <w:pPr>
              <w:pStyle w:val="TableBody"/>
            </w:pPr>
            <w:r w:rsidRPr="00D33045">
              <w:t>2.23 (1.57-3.18)</w:t>
            </w:r>
          </w:p>
        </w:tc>
      </w:tr>
      <w:tr w:rsidR="009C423A" w:rsidRPr="00297783" w14:paraId="74471D8B" w14:textId="77777777" w:rsidTr="009C423A">
        <w:trPr>
          <w:jc w:val="center"/>
        </w:trPr>
        <w:tc>
          <w:tcPr>
            <w:tcW w:w="3118" w:type="dxa"/>
          </w:tcPr>
          <w:p w14:paraId="0D516936" w14:textId="77777777" w:rsidR="009C423A" w:rsidRPr="008C43C6" w:rsidRDefault="009C423A" w:rsidP="009C423A">
            <w:pPr>
              <w:pStyle w:val="TableRowIndent"/>
            </w:pPr>
            <w:r w:rsidRPr="008C43C6">
              <w:t xml:space="preserve">   Persistent</w:t>
            </w:r>
          </w:p>
        </w:tc>
        <w:tc>
          <w:tcPr>
            <w:tcW w:w="1701" w:type="dxa"/>
            <w:shd w:val="clear" w:color="auto" w:fill="auto"/>
          </w:tcPr>
          <w:p w14:paraId="073DEAB4" w14:textId="77777777" w:rsidR="009C423A" w:rsidRPr="00D33045" w:rsidRDefault="009C423A" w:rsidP="009C423A">
            <w:pPr>
              <w:pStyle w:val="TableBody"/>
            </w:pPr>
          </w:p>
        </w:tc>
        <w:tc>
          <w:tcPr>
            <w:tcW w:w="1701" w:type="dxa"/>
            <w:shd w:val="clear" w:color="auto" w:fill="auto"/>
          </w:tcPr>
          <w:p w14:paraId="6D61A3B3" w14:textId="77777777" w:rsidR="009C423A" w:rsidRPr="00D33045" w:rsidRDefault="009C423A" w:rsidP="009C423A">
            <w:pPr>
              <w:pStyle w:val="TableBody"/>
            </w:pPr>
            <w:r w:rsidRPr="00D33045">
              <w:t>2.64 (1.76-3.97)</w:t>
            </w:r>
          </w:p>
        </w:tc>
        <w:tc>
          <w:tcPr>
            <w:tcW w:w="1701" w:type="dxa"/>
            <w:shd w:val="clear" w:color="auto" w:fill="auto"/>
          </w:tcPr>
          <w:p w14:paraId="55D1FF97" w14:textId="77777777" w:rsidR="009C423A" w:rsidRPr="00D33045" w:rsidRDefault="009C423A" w:rsidP="009C423A">
            <w:pPr>
              <w:pStyle w:val="TableBody"/>
            </w:pPr>
            <w:r w:rsidRPr="00D33045">
              <w:t>2.32 (1.53-3.54)</w:t>
            </w:r>
          </w:p>
        </w:tc>
      </w:tr>
    </w:tbl>
    <w:p w14:paraId="29C5DBEE" w14:textId="2438AF1F" w:rsidR="009C423A" w:rsidRPr="00BB0D05" w:rsidRDefault="009C423A" w:rsidP="00280645">
      <w:pPr>
        <w:spacing w:after="0"/>
        <w:rPr>
          <w:rFonts w:ascii="Times New Roman" w:hAnsi="Times New Roman" w:cs="Times New Roman"/>
          <w:sz w:val="18"/>
          <w:szCs w:val="18"/>
        </w:rPr>
      </w:pPr>
    </w:p>
    <w:p w14:paraId="2DA30F68" w14:textId="143802ED" w:rsidR="009C423A" w:rsidRPr="00041DAB" w:rsidRDefault="00BB0D05" w:rsidP="005265DE">
      <w:pPr>
        <w:pStyle w:val="ListParagraph"/>
        <w:numPr>
          <w:ilvl w:val="0"/>
          <w:numId w:val="24"/>
        </w:numPr>
        <w:spacing w:after="120"/>
        <w:ind w:left="714" w:hanging="357"/>
        <w:rPr>
          <w:rFonts w:cs="Times New Roman"/>
          <w:szCs w:val="18"/>
        </w:rPr>
      </w:pPr>
      <w:r w:rsidRPr="00041DAB">
        <w:rPr>
          <w:szCs w:val="18"/>
        </w:rPr>
        <w:t xml:space="preserve">Middle years indicator - </w:t>
      </w:r>
      <w:r w:rsidR="00821162" w:rsidRPr="00041DAB">
        <w:rPr>
          <w:rFonts w:cs="Times New Roman"/>
          <w:szCs w:val="18"/>
        </w:rPr>
        <w:t>b</w:t>
      </w:r>
      <w:r w:rsidR="009C423A" w:rsidRPr="00041DAB">
        <w:rPr>
          <w:rFonts w:cs="Times New Roman"/>
          <w:szCs w:val="18"/>
        </w:rPr>
        <w:t>ehaviour problems</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c) Middle years indicator - behaviour problems"/>
      </w:tblPr>
      <w:tblGrid>
        <w:gridCol w:w="3118"/>
        <w:gridCol w:w="1701"/>
        <w:gridCol w:w="1701"/>
        <w:gridCol w:w="1701"/>
      </w:tblGrid>
      <w:tr w:rsidR="009C423A" w14:paraId="1E38EE31" w14:textId="77777777" w:rsidTr="009C423A">
        <w:trPr>
          <w:jc w:val="center"/>
        </w:trPr>
        <w:tc>
          <w:tcPr>
            <w:tcW w:w="3118" w:type="dxa"/>
            <w:shd w:val="clear" w:color="auto" w:fill="0070C0"/>
          </w:tcPr>
          <w:p w14:paraId="67D873D9" w14:textId="77777777" w:rsidR="009C423A" w:rsidRDefault="009C423A" w:rsidP="009C423A">
            <w:pPr>
              <w:pStyle w:val="TableHeader1"/>
            </w:pPr>
          </w:p>
        </w:tc>
        <w:tc>
          <w:tcPr>
            <w:tcW w:w="1701" w:type="dxa"/>
            <w:shd w:val="clear" w:color="auto" w:fill="0070C0"/>
          </w:tcPr>
          <w:p w14:paraId="75E13FAB" w14:textId="77777777" w:rsidR="009C423A" w:rsidRDefault="009C423A" w:rsidP="009C423A">
            <w:pPr>
              <w:pStyle w:val="TableHeader1"/>
            </w:pPr>
            <w:r w:rsidRPr="00297783">
              <w:t>Step 1</w:t>
            </w:r>
          </w:p>
        </w:tc>
        <w:tc>
          <w:tcPr>
            <w:tcW w:w="1701" w:type="dxa"/>
            <w:shd w:val="clear" w:color="auto" w:fill="0070C0"/>
          </w:tcPr>
          <w:p w14:paraId="5D547C47" w14:textId="77777777" w:rsidR="009C423A" w:rsidRDefault="009C423A" w:rsidP="009C423A">
            <w:pPr>
              <w:pStyle w:val="TableHeader1"/>
            </w:pPr>
            <w:r w:rsidRPr="00297783">
              <w:t>Step 2</w:t>
            </w:r>
          </w:p>
        </w:tc>
        <w:tc>
          <w:tcPr>
            <w:tcW w:w="1701" w:type="dxa"/>
            <w:shd w:val="clear" w:color="auto" w:fill="0070C0"/>
          </w:tcPr>
          <w:p w14:paraId="0D30A50F" w14:textId="77777777" w:rsidR="009C423A" w:rsidRDefault="009C423A" w:rsidP="009C423A">
            <w:pPr>
              <w:pStyle w:val="TableHeader1"/>
            </w:pPr>
            <w:r w:rsidRPr="00297783">
              <w:t>Step 3</w:t>
            </w:r>
          </w:p>
        </w:tc>
      </w:tr>
      <w:tr w:rsidR="009C423A" w14:paraId="71674A0D" w14:textId="77777777" w:rsidTr="00DD5234">
        <w:trPr>
          <w:jc w:val="center"/>
        </w:trPr>
        <w:tc>
          <w:tcPr>
            <w:tcW w:w="3118" w:type="dxa"/>
            <w:shd w:val="clear" w:color="auto" w:fill="D9E2F3" w:themeFill="accent1" w:themeFillTint="33"/>
          </w:tcPr>
          <w:p w14:paraId="7CCDAF8C" w14:textId="371965F4" w:rsidR="009C423A" w:rsidRPr="00B46EDC" w:rsidRDefault="00280645" w:rsidP="009C423A">
            <w:pPr>
              <w:pStyle w:val="TableRowIndent"/>
            </w:pPr>
            <w:r w:rsidRPr="004733E7">
              <w:t>Developmental</w:t>
            </w:r>
            <w:r>
              <w:t>ly vulnerable</w:t>
            </w:r>
          </w:p>
        </w:tc>
        <w:tc>
          <w:tcPr>
            <w:tcW w:w="1701" w:type="dxa"/>
            <w:shd w:val="clear" w:color="auto" w:fill="D9E2F3" w:themeFill="accent1" w:themeFillTint="33"/>
          </w:tcPr>
          <w:p w14:paraId="79D48D76" w14:textId="77777777" w:rsidR="009C423A" w:rsidRPr="00D33045" w:rsidRDefault="009C423A" w:rsidP="009C423A">
            <w:pPr>
              <w:pStyle w:val="TableBody"/>
            </w:pPr>
          </w:p>
        </w:tc>
        <w:tc>
          <w:tcPr>
            <w:tcW w:w="1701" w:type="dxa"/>
            <w:shd w:val="clear" w:color="auto" w:fill="D9E2F3" w:themeFill="accent1" w:themeFillTint="33"/>
          </w:tcPr>
          <w:p w14:paraId="6A43CE97" w14:textId="77777777" w:rsidR="009C423A" w:rsidRPr="00D33045" w:rsidRDefault="009C423A" w:rsidP="009C423A">
            <w:pPr>
              <w:pStyle w:val="TableBody"/>
            </w:pPr>
          </w:p>
        </w:tc>
        <w:tc>
          <w:tcPr>
            <w:tcW w:w="1701" w:type="dxa"/>
            <w:shd w:val="clear" w:color="auto" w:fill="D9E2F3" w:themeFill="accent1" w:themeFillTint="33"/>
          </w:tcPr>
          <w:p w14:paraId="46597842" w14:textId="77777777" w:rsidR="009C423A" w:rsidRPr="00D33045" w:rsidRDefault="009C423A" w:rsidP="009C423A">
            <w:pPr>
              <w:pStyle w:val="TableBody"/>
            </w:pPr>
          </w:p>
        </w:tc>
      </w:tr>
      <w:tr w:rsidR="009C423A" w14:paraId="3EAF2B63" w14:textId="77777777" w:rsidTr="009C423A">
        <w:trPr>
          <w:jc w:val="center"/>
        </w:trPr>
        <w:tc>
          <w:tcPr>
            <w:tcW w:w="3118" w:type="dxa"/>
          </w:tcPr>
          <w:p w14:paraId="2290B8E7" w14:textId="77777777" w:rsidR="009C423A" w:rsidRPr="00B46EDC" w:rsidRDefault="009C423A" w:rsidP="009C423A">
            <w:pPr>
              <w:pStyle w:val="TableRowIndent"/>
            </w:pPr>
            <w:r w:rsidRPr="00B46EDC">
              <w:t xml:space="preserve">   No</w:t>
            </w:r>
          </w:p>
        </w:tc>
        <w:tc>
          <w:tcPr>
            <w:tcW w:w="1701" w:type="dxa"/>
          </w:tcPr>
          <w:p w14:paraId="25124A37" w14:textId="77777777" w:rsidR="009C423A" w:rsidRPr="00D33045" w:rsidRDefault="009C423A" w:rsidP="009C423A">
            <w:pPr>
              <w:pStyle w:val="TableBody"/>
            </w:pPr>
            <w:r w:rsidRPr="00D33045">
              <w:t>1</w:t>
            </w:r>
          </w:p>
        </w:tc>
        <w:tc>
          <w:tcPr>
            <w:tcW w:w="1701" w:type="dxa"/>
          </w:tcPr>
          <w:p w14:paraId="49B5E0B8" w14:textId="77777777" w:rsidR="009C423A" w:rsidRPr="00D33045" w:rsidRDefault="009C423A" w:rsidP="009C423A">
            <w:pPr>
              <w:pStyle w:val="TableBody"/>
            </w:pPr>
          </w:p>
        </w:tc>
        <w:tc>
          <w:tcPr>
            <w:tcW w:w="1701" w:type="dxa"/>
            <w:shd w:val="clear" w:color="auto" w:fill="auto"/>
          </w:tcPr>
          <w:p w14:paraId="617ACA49" w14:textId="77777777" w:rsidR="009C423A" w:rsidRPr="00D33045" w:rsidRDefault="009C423A" w:rsidP="009C423A">
            <w:pPr>
              <w:pStyle w:val="TableBody"/>
            </w:pPr>
            <w:r w:rsidRPr="00D33045">
              <w:t>1</w:t>
            </w:r>
          </w:p>
        </w:tc>
      </w:tr>
      <w:tr w:rsidR="009C423A" w14:paraId="5F723064" w14:textId="77777777" w:rsidTr="009C423A">
        <w:trPr>
          <w:jc w:val="center"/>
        </w:trPr>
        <w:tc>
          <w:tcPr>
            <w:tcW w:w="3118" w:type="dxa"/>
          </w:tcPr>
          <w:p w14:paraId="612038C6" w14:textId="77777777" w:rsidR="009C423A" w:rsidRPr="00B46EDC" w:rsidRDefault="009C423A" w:rsidP="009C423A">
            <w:pPr>
              <w:pStyle w:val="TableRowIndent"/>
            </w:pPr>
            <w:r w:rsidRPr="00B46EDC">
              <w:t xml:space="preserve">   Yes</w:t>
            </w:r>
          </w:p>
        </w:tc>
        <w:tc>
          <w:tcPr>
            <w:tcW w:w="1701" w:type="dxa"/>
          </w:tcPr>
          <w:p w14:paraId="2C2EEC88" w14:textId="77777777" w:rsidR="009C423A" w:rsidRPr="00D33045" w:rsidRDefault="009C423A" w:rsidP="009C423A">
            <w:pPr>
              <w:pStyle w:val="TableBody"/>
            </w:pPr>
            <w:r w:rsidRPr="00D33045">
              <w:t>3.45 (2.38-5.00)</w:t>
            </w:r>
          </w:p>
        </w:tc>
        <w:tc>
          <w:tcPr>
            <w:tcW w:w="1701" w:type="dxa"/>
          </w:tcPr>
          <w:p w14:paraId="1F34E6C3" w14:textId="77777777" w:rsidR="009C423A" w:rsidRPr="00D33045" w:rsidRDefault="009C423A" w:rsidP="009C423A">
            <w:pPr>
              <w:pStyle w:val="TableBody"/>
            </w:pPr>
          </w:p>
        </w:tc>
        <w:tc>
          <w:tcPr>
            <w:tcW w:w="1701" w:type="dxa"/>
            <w:shd w:val="clear" w:color="auto" w:fill="auto"/>
          </w:tcPr>
          <w:p w14:paraId="4B859A03" w14:textId="77777777" w:rsidR="009C423A" w:rsidRPr="00D33045" w:rsidRDefault="009C423A" w:rsidP="009C423A">
            <w:pPr>
              <w:pStyle w:val="TableBody"/>
            </w:pPr>
            <w:r w:rsidRPr="00D33045">
              <w:t>3.14 (2.14-4.58)</w:t>
            </w:r>
          </w:p>
        </w:tc>
      </w:tr>
      <w:tr w:rsidR="009C423A" w14:paraId="769C4B90" w14:textId="77777777" w:rsidTr="00DD5234">
        <w:trPr>
          <w:jc w:val="center"/>
        </w:trPr>
        <w:tc>
          <w:tcPr>
            <w:tcW w:w="3118" w:type="dxa"/>
            <w:shd w:val="clear" w:color="auto" w:fill="D9E2F3" w:themeFill="accent1" w:themeFillTint="33"/>
          </w:tcPr>
          <w:p w14:paraId="3AB75B39" w14:textId="77777777" w:rsidR="009C423A" w:rsidRPr="00B46EDC" w:rsidRDefault="009C423A" w:rsidP="009C423A">
            <w:pPr>
              <w:pStyle w:val="TableRowIndent"/>
            </w:pPr>
            <w:r w:rsidRPr="00B46EDC">
              <w:t>Behaviour problems</w:t>
            </w:r>
          </w:p>
        </w:tc>
        <w:tc>
          <w:tcPr>
            <w:tcW w:w="1701" w:type="dxa"/>
            <w:shd w:val="clear" w:color="auto" w:fill="D9E2F3" w:themeFill="accent1" w:themeFillTint="33"/>
          </w:tcPr>
          <w:p w14:paraId="27336CF4" w14:textId="77777777" w:rsidR="009C423A" w:rsidRPr="00D33045" w:rsidRDefault="009C423A" w:rsidP="009C423A">
            <w:pPr>
              <w:pStyle w:val="TableBody"/>
            </w:pPr>
          </w:p>
        </w:tc>
        <w:tc>
          <w:tcPr>
            <w:tcW w:w="1701" w:type="dxa"/>
            <w:shd w:val="clear" w:color="auto" w:fill="D9E2F3" w:themeFill="accent1" w:themeFillTint="33"/>
          </w:tcPr>
          <w:p w14:paraId="7AE79EE9" w14:textId="77777777" w:rsidR="009C423A" w:rsidRPr="00D33045" w:rsidRDefault="009C423A" w:rsidP="009C423A">
            <w:pPr>
              <w:pStyle w:val="TableBody"/>
            </w:pPr>
          </w:p>
        </w:tc>
        <w:tc>
          <w:tcPr>
            <w:tcW w:w="1701" w:type="dxa"/>
            <w:shd w:val="clear" w:color="auto" w:fill="D9E2F3" w:themeFill="accent1" w:themeFillTint="33"/>
          </w:tcPr>
          <w:p w14:paraId="22C83B6B" w14:textId="77777777" w:rsidR="009C423A" w:rsidRPr="00D33045" w:rsidRDefault="009C423A" w:rsidP="009C423A">
            <w:pPr>
              <w:pStyle w:val="TableBody"/>
            </w:pPr>
          </w:p>
        </w:tc>
      </w:tr>
      <w:tr w:rsidR="009C423A" w14:paraId="0707D42C" w14:textId="77777777" w:rsidTr="009C423A">
        <w:trPr>
          <w:jc w:val="center"/>
        </w:trPr>
        <w:tc>
          <w:tcPr>
            <w:tcW w:w="3118" w:type="dxa"/>
          </w:tcPr>
          <w:p w14:paraId="650BCF64" w14:textId="77777777" w:rsidR="009C423A" w:rsidRPr="00B46EDC" w:rsidRDefault="009C423A" w:rsidP="009C423A">
            <w:pPr>
              <w:pStyle w:val="TableRowIndent"/>
            </w:pPr>
            <w:r w:rsidRPr="00B46EDC">
              <w:t xml:space="preserve">   None</w:t>
            </w:r>
          </w:p>
        </w:tc>
        <w:tc>
          <w:tcPr>
            <w:tcW w:w="1701" w:type="dxa"/>
          </w:tcPr>
          <w:p w14:paraId="112027BE" w14:textId="77777777" w:rsidR="009C423A" w:rsidRPr="00D33045" w:rsidRDefault="009C423A" w:rsidP="009C423A">
            <w:pPr>
              <w:pStyle w:val="TableBody"/>
            </w:pPr>
          </w:p>
        </w:tc>
        <w:tc>
          <w:tcPr>
            <w:tcW w:w="1701" w:type="dxa"/>
          </w:tcPr>
          <w:p w14:paraId="19A15388" w14:textId="77777777" w:rsidR="009C423A" w:rsidRPr="00D33045" w:rsidRDefault="009C423A" w:rsidP="009C423A">
            <w:pPr>
              <w:pStyle w:val="TableBody"/>
            </w:pPr>
            <w:r w:rsidRPr="00D33045">
              <w:t>1</w:t>
            </w:r>
          </w:p>
        </w:tc>
        <w:tc>
          <w:tcPr>
            <w:tcW w:w="1701" w:type="dxa"/>
          </w:tcPr>
          <w:p w14:paraId="5D0E4206" w14:textId="77777777" w:rsidR="009C423A" w:rsidRPr="00D33045" w:rsidRDefault="009C423A" w:rsidP="009C423A">
            <w:pPr>
              <w:pStyle w:val="TableBody"/>
            </w:pPr>
            <w:r w:rsidRPr="00D33045">
              <w:t>1</w:t>
            </w:r>
          </w:p>
        </w:tc>
      </w:tr>
      <w:tr w:rsidR="009C423A" w14:paraId="73EE0DFA" w14:textId="77777777" w:rsidTr="009C423A">
        <w:trPr>
          <w:jc w:val="center"/>
        </w:trPr>
        <w:tc>
          <w:tcPr>
            <w:tcW w:w="3118" w:type="dxa"/>
          </w:tcPr>
          <w:p w14:paraId="5263565A" w14:textId="77777777" w:rsidR="009C423A" w:rsidRPr="00B46EDC" w:rsidRDefault="009C423A" w:rsidP="009C423A">
            <w:pPr>
              <w:pStyle w:val="TableRowIndent"/>
            </w:pPr>
            <w:r w:rsidRPr="00B46EDC">
              <w:t xml:space="preserve">   Single episode</w:t>
            </w:r>
          </w:p>
        </w:tc>
        <w:tc>
          <w:tcPr>
            <w:tcW w:w="1701" w:type="dxa"/>
          </w:tcPr>
          <w:p w14:paraId="47F4A7A4" w14:textId="77777777" w:rsidR="009C423A" w:rsidRPr="00D33045" w:rsidRDefault="009C423A" w:rsidP="009C423A">
            <w:pPr>
              <w:pStyle w:val="TableBody"/>
            </w:pPr>
          </w:p>
        </w:tc>
        <w:tc>
          <w:tcPr>
            <w:tcW w:w="1701" w:type="dxa"/>
          </w:tcPr>
          <w:p w14:paraId="0FD01C77" w14:textId="77777777" w:rsidR="009C423A" w:rsidRPr="00D33045" w:rsidRDefault="009C423A" w:rsidP="009C423A">
            <w:pPr>
              <w:pStyle w:val="TableBody"/>
            </w:pPr>
            <w:r w:rsidRPr="00D33045">
              <w:t>1.19 (0.80-1.75)</w:t>
            </w:r>
          </w:p>
        </w:tc>
        <w:tc>
          <w:tcPr>
            <w:tcW w:w="1701" w:type="dxa"/>
          </w:tcPr>
          <w:p w14:paraId="3DE0CB8F" w14:textId="77777777" w:rsidR="009C423A" w:rsidRPr="00D33045" w:rsidRDefault="009C423A" w:rsidP="009C423A">
            <w:pPr>
              <w:pStyle w:val="TableBody"/>
            </w:pPr>
            <w:r w:rsidRPr="00D33045">
              <w:t>1.13 (0.76-1.69)</w:t>
            </w:r>
          </w:p>
        </w:tc>
      </w:tr>
      <w:tr w:rsidR="009C423A" w14:paraId="11F80D2E" w14:textId="77777777" w:rsidTr="009C423A">
        <w:trPr>
          <w:jc w:val="center"/>
        </w:trPr>
        <w:tc>
          <w:tcPr>
            <w:tcW w:w="3118" w:type="dxa"/>
          </w:tcPr>
          <w:p w14:paraId="0E9B38A5" w14:textId="77777777" w:rsidR="009C423A" w:rsidRPr="00B46EDC" w:rsidRDefault="009C423A" w:rsidP="009C423A">
            <w:pPr>
              <w:pStyle w:val="TableRowIndent"/>
            </w:pPr>
            <w:r w:rsidRPr="00B46EDC">
              <w:t xml:space="preserve">   Persistent</w:t>
            </w:r>
          </w:p>
        </w:tc>
        <w:tc>
          <w:tcPr>
            <w:tcW w:w="1701" w:type="dxa"/>
          </w:tcPr>
          <w:p w14:paraId="73D8B920" w14:textId="77777777" w:rsidR="009C423A" w:rsidRPr="00D33045" w:rsidRDefault="009C423A" w:rsidP="009C423A">
            <w:pPr>
              <w:pStyle w:val="TableBody"/>
            </w:pPr>
          </w:p>
        </w:tc>
        <w:tc>
          <w:tcPr>
            <w:tcW w:w="1701" w:type="dxa"/>
          </w:tcPr>
          <w:p w14:paraId="5C4300C0" w14:textId="77777777" w:rsidR="009C423A" w:rsidRPr="00D33045" w:rsidRDefault="009C423A" w:rsidP="009C423A">
            <w:pPr>
              <w:pStyle w:val="TableBody"/>
            </w:pPr>
            <w:r w:rsidRPr="00D33045">
              <w:t>2.25 (1.51-3.36)</w:t>
            </w:r>
          </w:p>
        </w:tc>
        <w:tc>
          <w:tcPr>
            <w:tcW w:w="1701" w:type="dxa"/>
          </w:tcPr>
          <w:p w14:paraId="1180B6F8" w14:textId="77777777" w:rsidR="009C423A" w:rsidRPr="00D33045" w:rsidRDefault="009C423A" w:rsidP="009C423A">
            <w:pPr>
              <w:pStyle w:val="TableBody"/>
            </w:pPr>
            <w:r w:rsidRPr="00D33045">
              <w:t>1.84 (1.20-2.82)</w:t>
            </w:r>
          </w:p>
        </w:tc>
      </w:tr>
    </w:tbl>
    <w:p w14:paraId="741E6351" w14:textId="5D8E1AA5" w:rsidR="00330CAF" w:rsidRDefault="00330CAF" w:rsidP="00280645">
      <w:pPr>
        <w:spacing w:after="0"/>
        <w:rPr>
          <w:rFonts w:ascii="Times New Roman" w:hAnsi="Times New Roman" w:cs="Times New Roman"/>
        </w:rPr>
      </w:pPr>
    </w:p>
    <w:p w14:paraId="2FA11DE9" w14:textId="77777777" w:rsidR="00330CAF" w:rsidRDefault="00330CAF">
      <w:pPr>
        <w:spacing w:after="0" w:line="240" w:lineRule="auto"/>
        <w:rPr>
          <w:rFonts w:ascii="Times New Roman" w:hAnsi="Times New Roman" w:cs="Times New Roman"/>
        </w:rPr>
      </w:pPr>
      <w:r>
        <w:rPr>
          <w:rFonts w:ascii="Times New Roman" w:hAnsi="Times New Roman" w:cs="Times New Roman"/>
        </w:rPr>
        <w:br w:type="page"/>
      </w:r>
    </w:p>
    <w:p w14:paraId="2EE09180" w14:textId="5CC8749D" w:rsidR="009C423A" w:rsidRPr="00041DAB" w:rsidRDefault="00BB0D05" w:rsidP="005265DE">
      <w:pPr>
        <w:pStyle w:val="ListParagraph"/>
        <w:numPr>
          <w:ilvl w:val="0"/>
          <w:numId w:val="24"/>
        </w:numPr>
        <w:spacing w:after="120"/>
        <w:ind w:left="714" w:hanging="357"/>
        <w:rPr>
          <w:rFonts w:cs="Times New Roman"/>
          <w:szCs w:val="18"/>
        </w:rPr>
      </w:pPr>
      <w:r w:rsidRPr="00041DAB">
        <w:rPr>
          <w:szCs w:val="18"/>
        </w:rPr>
        <w:t xml:space="preserve">Middle years indicator - </w:t>
      </w:r>
      <w:r w:rsidR="00821162" w:rsidRPr="00041DAB">
        <w:rPr>
          <w:szCs w:val="18"/>
        </w:rPr>
        <w:t>p</w:t>
      </w:r>
      <w:r w:rsidR="009C423A" w:rsidRPr="00041DAB">
        <w:rPr>
          <w:rFonts w:cs="Times New Roman"/>
          <w:szCs w:val="18"/>
        </w:rPr>
        <w:t>oor subjective wellbeing</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d) Middle years indicator - poor subjective wellbeing"/>
      </w:tblPr>
      <w:tblGrid>
        <w:gridCol w:w="3118"/>
        <w:gridCol w:w="1701"/>
        <w:gridCol w:w="1701"/>
        <w:gridCol w:w="1701"/>
      </w:tblGrid>
      <w:tr w:rsidR="009C423A" w:rsidRPr="007626EF" w14:paraId="70579DCC" w14:textId="77777777" w:rsidTr="009C423A">
        <w:trPr>
          <w:jc w:val="center"/>
        </w:trPr>
        <w:tc>
          <w:tcPr>
            <w:tcW w:w="3118" w:type="dxa"/>
            <w:shd w:val="clear" w:color="auto" w:fill="0070C0"/>
          </w:tcPr>
          <w:p w14:paraId="4CD510D0" w14:textId="77777777" w:rsidR="009C423A" w:rsidRPr="007626EF" w:rsidRDefault="009C423A" w:rsidP="009C423A">
            <w:pPr>
              <w:pStyle w:val="TableHeader1"/>
            </w:pPr>
          </w:p>
        </w:tc>
        <w:tc>
          <w:tcPr>
            <w:tcW w:w="1701" w:type="dxa"/>
            <w:shd w:val="clear" w:color="auto" w:fill="0070C0"/>
          </w:tcPr>
          <w:p w14:paraId="24F2D51B" w14:textId="77777777" w:rsidR="009C423A" w:rsidRPr="007626EF" w:rsidRDefault="009C423A" w:rsidP="009C423A">
            <w:pPr>
              <w:pStyle w:val="TableHeader1"/>
            </w:pPr>
            <w:r w:rsidRPr="007626EF">
              <w:t>Step 1</w:t>
            </w:r>
          </w:p>
        </w:tc>
        <w:tc>
          <w:tcPr>
            <w:tcW w:w="1701" w:type="dxa"/>
            <w:shd w:val="clear" w:color="auto" w:fill="0070C0"/>
          </w:tcPr>
          <w:p w14:paraId="12E6229C" w14:textId="77777777" w:rsidR="009C423A" w:rsidRPr="007626EF" w:rsidRDefault="009C423A" w:rsidP="009C423A">
            <w:pPr>
              <w:pStyle w:val="TableHeader1"/>
            </w:pPr>
            <w:r w:rsidRPr="007626EF">
              <w:t>Step 2</w:t>
            </w:r>
          </w:p>
        </w:tc>
        <w:tc>
          <w:tcPr>
            <w:tcW w:w="1701" w:type="dxa"/>
            <w:shd w:val="clear" w:color="auto" w:fill="0070C0"/>
          </w:tcPr>
          <w:p w14:paraId="21CA7E2F" w14:textId="77777777" w:rsidR="009C423A" w:rsidRPr="007626EF" w:rsidRDefault="009C423A" w:rsidP="009C423A">
            <w:pPr>
              <w:pStyle w:val="TableHeader1"/>
            </w:pPr>
            <w:r w:rsidRPr="007626EF">
              <w:t>Step 3</w:t>
            </w:r>
          </w:p>
        </w:tc>
      </w:tr>
      <w:tr w:rsidR="009C423A" w:rsidRPr="007626EF" w14:paraId="7B2BFDC3" w14:textId="77777777" w:rsidTr="00DD5234">
        <w:trPr>
          <w:jc w:val="center"/>
        </w:trPr>
        <w:tc>
          <w:tcPr>
            <w:tcW w:w="3118" w:type="dxa"/>
            <w:shd w:val="clear" w:color="auto" w:fill="D9E2F3" w:themeFill="accent1" w:themeFillTint="33"/>
          </w:tcPr>
          <w:p w14:paraId="77D70F87" w14:textId="4C4DA60D" w:rsidR="009C423A" w:rsidRPr="007626EF" w:rsidRDefault="00280645" w:rsidP="009C423A">
            <w:pPr>
              <w:pStyle w:val="TableRowIndent"/>
            </w:pPr>
            <w:r w:rsidRPr="004733E7">
              <w:t>Developmental</w:t>
            </w:r>
            <w:r>
              <w:t>ly vulnerable</w:t>
            </w:r>
          </w:p>
        </w:tc>
        <w:tc>
          <w:tcPr>
            <w:tcW w:w="1701" w:type="dxa"/>
            <w:shd w:val="clear" w:color="auto" w:fill="D9E2F3" w:themeFill="accent1" w:themeFillTint="33"/>
          </w:tcPr>
          <w:p w14:paraId="107B9D8A" w14:textId="77777777" w:rsidR="009C423A" w:rsidRPr="00D33045" w:rsidRDefault="009C423A" w:rsidP="009C423A">
            <w:pPr>
              <w:pStyle w:val="TableBody"/>
            </w:pPr>
          </w:p>
        </w:tc>
        <w:tc>
          <w:tcPr>
            <w:tcW w:w="1701" w:type="dxa"/>
            <w:shd w:val="clear" w:color="auto" w:fill="D9E2F3" w:themeFill="accent1" w:themeFillTint="33"/>
          </w:tcPr>
          <w:p w14:paraId="71577565" w14:textId="77777777" w:rsidR="009C423A" w:rsidRPr="00D33045" w:rsidRDefault="009C423A" w:rsidP="009C423A">
            <w:pPr>
              <w:pStyle w:val="TableBody"/>
            </w:pPr>
          </w:p>
        </w:tc>
        <w:tc>
          <w:tcPr>
            <w:tcW w:w="1701" w:type="dxa"/>
            <w:shd w:val="clear" w:color="auto" w:fill="D9E2F3" w:themeFill="accent1" w:themeFillTint="33"/>
          </w:tcPr>
          <w:p w14:paraId="433FA1B9" w14:textId="77777777" w:rsidR="009C423A" w:rsidRPr="00D33045" w:rsidRDefault="009C423A" w:rsidP="009C423A">
            <w:pPr>
              <w:pStyle w:val="TableBody"/>
            </w:pPr>
          </w:p>
        </w:tc>
      </w:tr>
      <w:tr w:rsidR="009C423A" w:rsidRPr="007626EF" w14:paraId="3A387B59" w14:textId="77777777" w:rsidTr="009C423A">
        <w:trPr>
          <w:jc w:val="center"/>
        </w:trPr>
        <w:tc>
          <w:tcPr>
            <w:tcW w:w="3118" w:type="dxa"/>
          </w:tcPr>
          <w:p w14:paraId="61B30D96" w14:textId="77777777" w:rsidR="009C423A" w:rsidRPr="007626EF" w:rsidRDefault="009C423A" w:rsidP="009C423A">
            <w:pPr>
              <w:pStyle w:val="TableRowIndent"/>
            </w:pPr>
            <w:r w:rsidRPr="007626EF">
              <w:t xml:space="preserve">   No</w:t>
            </w:r>
          </w:p>
        </w:tc>
        <w:tc>
          <w:tcPr>
            <w:tcW w:w="1701" w:type="dxa"/>
          </w:tcPr>
          <w:p w14:paraId="2D1D1520" w14:textId="77777777" w:rsidR="009C423A" w:rsidRPr="00D33045" w:rsidRDefault="009C423A" w:rsidP="009C423A">
            <w:pPr>
              <w:pStyle w:val="TableBody"/>
            </w:pPr>
            <w:r w:rsidRPr="00D33045">
              <w:t>1</w:t>
            </w:r>
          </w:p>
        </w:tc>
        <w:tc>
          <w:tcPr>
            <w:tcW w:w="1701" w:type="dxa"/>
          </w:tcPr>
          <w:p w14:paraId="4FC03A1A" w14:textId="77777777" w:rsidR="009C423A" w:rsidRPr="00D33045" w:rsidRDefault="009C423A" w:rsidP="009C423A">
            <w:pPr>
              <w:pStyle w:val="TableBody"/>
            </w:pPr>
          </w:p>
        </w:tc>
        <w:tc>
          <w:tcPr>
            <w:tcW w:w="1701" w:type="dxa"/>
          </w:tcPr>
          <w:p w14:paraId="1C81CA3E" w14:textId="77777777" w:rsidR="009C423A" w:rsidRPr="00D33045" w:rsidRDefault="009C423A" w:rsidP="009C423A">
            <w:pPr>
              <w:pStyle w:val="TableBody"/>
            </w:pPr>
            <w:r w:rsidRPr="00D33045">
              <w:t>1</w:t>
            </w:r>
          </w:p>
        </w:tc>
      </w:tr>
      <w:tr w:rsidR="009C423A" w:rsidRPr="007626EF" w14:paraId="23DA39DC" w14:textId="77777777" w:rsidTr="009C423A">
        <w:trPr>
          <w:jc w:val="center"/>
        </w:trPr>
        <w:tc>
          <w:tcPr>
            <w:tcW w:w="3118" w:type="dxa"/>
          </w:tcPr>
          <w:p w14:paraId="23E0E278" w14:textId="77777777" w:rsidR="009C423A" w:rsidRPr="007626EF" w:rsidRDefault="009C423A" w:rsidP="009C423A">
            <w:pPr>
              <w:pStyle w:val="TableRowIndent"/>
            </w:pPr>
            <w:r w:rsidRPr="007626EF">
              <w:t xml:space="preserve">   Yes</w:t>
            </w:r>
          </w:p>
        </w:tc>
        <w:tc>
          <w:tcPr>
            <w:tcW w:w="1701" w:type="dxa"/>
          </w:tcPr>
          <w:p w14:paraId="055CE6F8" w14:textId="77777777" w:rsidR="009C423A" w:rsidRPr="00D33045" w:rsidRDefault="009C423A" w:rsidP="009C423A">
            <w:pPr>
              <w:pStyle w:val="TableBody"/>
            </w:pPr>
            <w:r w:rsidRPr="00D33045">
              <w:t>3.45 (2.38-5.00)</w:t>
            </w:r>
          </w:p>
        </w:tc>
        <w:tc>
          <w:tcPr>
            <w:tcW w:w="1701" w:type="dxa"/>
          </w:tcPr>
          <w:p w14:paraId="5815759C" w14:textId="77777777" w:rsidR="009C423A" w:rsidRPr="00D33045" w:rsidRDefault="009C423A" w:rsidP="009C423A">
            <w:pPr>
              <w:pStyle w:val="TableBody"/>
            </w:pPr>
          </w:p>
        </w:tc>
        <w:tc>
          <w:tcPr>
            <w:tcW w:w="1701" w:type="dxa"/>
          </w:tcPr>
          <w:p w14:paraId="4A4DC062" w14:textId="77777777" w:rsidR="009C423A" w:rsidRPr="00D33045" w:rsidRDefault="009C423A" w:rsidP="009C423A">
            <w:pPr>
              <w:pStyle w:val="TableBody"/>
            </w:pPr>
            <w:r w:rsidRPr="00D33045">
              <w:t>3.24 (2.23-4.71)</w:t>
            </w:r>
          </w:p>
        </w:tc>
      </w:tr>
      <w:tr w:rsidR="009C423A" w:rsidRPr="007626EF" w14:paraId="25189215" w14:textId="77777777" w:rsidTr="00DD5234">
        <w:trPr>
          <w:jc w:val="center"/>
        </w:trPr>
        <w:tc>
          <w:tcPr>
            <w:tcW w:w="3118" w:type="dxa"/>
            <w:shd w:val="clear" w:color="auto" w:fill="D9E2F3" w:themeFill="accent1" w:themeFillTint="33"/>
          </w:tcPr>
          <w:p w14:paraId="05EA60A0" w14:textId="77777777" w:rsidR="009C423A" w:rsidRPr="007626EF" w:rsidRDefault="009C423A" w:rsidP="009C423A">
            <w:pPr>
              <w:pStyle w:val="TableRowIndent"/>
            </w:pPr>
            <w:r w:rsidRPr="007626EF">
              <w:t>Poor subjective wellbeing</w:t>
            </w:r>
          </w:p>
        </w:tc>
        <w:tc>
          <w:tcPr>
            <w:tcW w:w="1701" w:type="dxa"/>
            <w:shd w:val="clear" w:color="auto" w:fill="D9E2F3" w:themeFill="accent1" w:themeFillTint="33"/>
          </w:tcPr>
          <w:p w14:paraId="0B899A58" w14:textId="77777777" w:rsidR="009C423A" w:rsidRPr="00D33045" w:rsidRDefault="009C423A" w:rsidP="009C423A">
            <w:pPr>
              <w:pStyle w:val="TableBody"/>
            </w:pPr>
          </w:p>
        </w:tc>
        <w:tc>
          <w:tcPr>
            <w:tcW w:w="1701" w:type="dxa"/>
            <w:shd w:val="clear" w:color="auto" w:fill="D9E2F3" w:themeFill="accent1" w:themeFillTint="33"/>
          </w:tcPr>
          <w:p w14:paraId="38F2C8A2" w14:textId="77777777" w:rsidR="009C423A" w:rsidRPr="00D33045" w:rsidRDefault="009C423A" w:rsidP="009C423A">
            <w:pPr>
              <w:pStyle w:val="TableBody"/>
            </w:pPr>
          </w:p>
        </w:tc>
        <w:tc>
          <w:tcPr>
            <w:tcW w:w="1701" w:type="dxa"/>
            <w:shd w:val="clear" w:color="auto" w:fill="D9E2F3" w:themeFill="accent1" w:themeFillTint="33"/>
          </w:tcPr>
          <w:p w14:paraId="5507BE33" w14:textId="77777777" w:rsidR="009C423A" w:rsidRPr="00D33045" w:rsidRDefault="009C423A" w:rsidP="009C423A">
            <w:pPr>
              <w:pStyle w:val="TableBody"/>
            </w:pPr>
          </w:p>
        </w:tc>
      </w:tr>
      <w:tr w:rsidR="00AF0350" w:rsidRPr="007626EF" w14:paraId="4D443BC7" w14:textId="77777777" w:rsidTr="009C423A">
        <w:trPr>
          <w:jc w:val="center"/>
        </w:trPr>
        <w:tc>
          <w:tcPr>
            <w:tcW w:w="3118" w:type="dxa"/>
          </w:tcPr>
          <w:p w14:paraId="3AA8E427" w14:textId="77777777" w:rsidR="00AF0350" w:rsidRPr="007626EF" w:rsidRDefault="00AF0350" w:rsidP="00AF0350">
            <w:pPr>
              <w:pStyle w:val="TableRowIndent"/>
            </w:pPr>
            <w:r w:rsidRPr="007626EF">
              <w:t xml:space="preserve">   None</w:t>
            </w:r>
          </w:p>
        </w:tc>
        <w:tc>
          <w:tcPr>
            <w:tcW w:w="1701" w:type="dxa"/>
          </w:tcPr>
          <w:p w14:paraId="7C4592AB" w14:textId="77777777" w:rsidR="00AF0350" w:rsidRPr="00D33045" w:rsidRDefault="00AF0350" w:rsidP="00AF0350">
            <w:pPr>
              <w:pStyle w:val="TableBody"/>
            </w:pPr>
          </w:p>
        </w:tc>
        <w:tc>
          <w:tcPr>
            <w:tcW w:w="1701" w:type="dxa"/>
          </w:tcPr>
          <w:p w14:paraId="1418968C" w14:textId="0620EDA8" w:rsidR="00AF0350" w:rsidRPr="00D33045" w:rsidRDefault="00AF0350" w:rsidP="00AF0350">
            <w:pPr>
              <w:pStyle w:val="TableBody"/>
            </w:pPr>
            <w:r w:rsidRPr="004C6B58">
              <w:t>1</w:t>
            </w:r>
          </w:p>
        </w:tc>
        <w:tc>
          <w:tcPr>
            <w:tcW w:w="1701" w:type="dxa"/>
          </w:tcPr>
          <w:p w14:paraId="0E54260B" w14:textId="0774933B" w:rsidR="00AF0350" w:rsidRPr="00D33045" w:rsidRDefault="00AF0350" w:rsidP="00AF0350">
            <w:pPr>
              <w:pStyle w:val="TableBody"/>
            </w:pPr>
            <w:r w:rsidRPr="004C6B58">
              <w:t>1</w:t>
            </w:r>
          </w:p>
        </w:tc>
      </w:tr>
      <w:tr w:rsidR="00AF0350" w:rsidRPr="007626EF" w14:paraId="23F02FAC" w14:textId="77777777" w:rsidTr="009C423A">
        <w:trPr>
          <w:jc w:val="center"/>
        </w:trPr>
        <w:tc>
          <w:tcPr>
            <w:tcW w:w="3118" w:type="dxa"/>
          </w:tcPr>
          <w:p w14:paraId="4DB61B95" w14:textId="77777777" w:rsidR="00AF0350" w:rsidRPr="007626EF" w:rsidRDefault="00AF0350" w:rsidP="00AF0350">
            <w:pPr>
              <w:pStyle w:val="TableRowIndent"/>
            </w:pPr>
            <w:r w:rsidRPr="007626EF">
              <w:t xml:space="preserve">   Single episode</w:t>
            </w:r>
          </w:p>
        </w:tc>
        <w:tc>
          <w:tcPr>
            <w:tcW w:w="1701" w:type="dxa"/>
          </w:tcPr>
          <w:p w14:paraId="5E4CF83F" w14:textId="77777777" w:rsidR="00AF0350" w:rsidRPr="00D33045" w:rsidRDefault="00AF0350" w:rsidP="00AF0350">
            <w:pPr>
              <w:pStyle w:val="TableBody"/>
            </w:pPr>
          </w:p>
        </w:tc>
        <w:tc>
          <w:tcPr>
            <w:tcW w:w="1701" w:type="dxa"/>
          </w:tcPr>
          <w:p w14:paraId="49DC6FEA" w14:textId="3EC0AFF8" w:rsidR="00AF0350" w:rsidRPr="00D33045" w:rsidRDefault="00AF0350" w:rsidP="00AF0350">
            <w:pPr>
              <w:pStyle w:val="TableBody"/>
            </w:pPr>
            <w:r w:rsidRPr="004C6B58">
              <w:t>1.85 (1.30-2.63)</w:t>
            </w:r>
          </w:p>
        </w:tc>
        <w:tc>
          <w:tcPr>
            <w:tcW w:w="1701" w:type="dxa"/>
          </w:tcPr>
          <w:p w14:paraId="28BE347C" w14:textId="7FE864E4" w:rsidR="00AF0350" w:rsidRPr="00D33045" w:rsidRDefault="00AF0350" w:rsidP="00AF0350">
            <w:pPr>
              <w:pStyle w:val="TableBody"/>
            </w:pPr>
            <w:r w:rsidRPr="004C6B58">
              <w:t>1.71 (1.20-2.44)</w:t>
            </w:r>
          </w:p>
        </w:tc>
      </w:tr>
      <w:tr w:rsidR="00AF0350" w:rsidRPr="007626EF" w14:paraId="2D428F22" w14:textId="77777777" w:rsidTr="009C423A">
        <w:trPr>
          <w:jc w:val="center"/>
        </w:trPr>
        <w:tc>
          <w:tcPr>
            <w:tcW w:w="3118" w:type="dxa"/>
          </w:tcPr>
          <w:p w14:paraId="50619CEB" w14:textId="77777777" w:rsidR="00AF0350" w:rsidRPr="007626EF" w:rsidRDefault="00AF0350" w:rsidP="00AF0350">
            <w:pPr>
              <w:pStyle w:val="TableRowIndent"/>
            </w:pPr>
            <w:r w:rsidRPr="007626EF">
              <w:t xml:space="preserve">   Persistent</w:t>
            </w:r>
          </w:p>
        </w:tc>
        <w:tc>
          <w:tcPr>
            <w:tcW w:w="1701" w:type="dxa"/>
          </w:tcPr>
          <w:p w14:paraId="4BCDCF7E" w14:textId="77777777" w:rsidR="00AF0350" w:rsidRPr="00D33045" w:rsidRDefault="00AF0350" w:rsidP="00AF0350">
            <w:pPr>
              <w:pStyle w:val="TableBody"/>
            </w:pPr>
          </w:p>
        </w:tc>
        <w:tc>
          <w:tcPr>
            <w:tcW w:w="1701" w:type="dxa"/>
          </w:tcPr>
          <w:p w14:paraId="319DF2BC" w14:textId="14CC4AFE" w:rsidR="00AF0350" w:rsidRPr="00D33045" w:rsidRDefault="00AF0350" w:rsidP="00AF0350">
            <w:pPr>
              <w:pStyle w:val="TableBody"/>
            </w:pPr>
            <w:r w:rsidRPr="004C6B58">
              <w:t>1.93 (1.26-2.95)</w:t>
            </w:r>
          </w:p>
        </w:tc>
        <w:tc>
          <w:tcPr>
            <w:tcW w:w="1701" w:type="dxa"/>
          </w:tcPr>
          <w:p w14:paraId="1375E799" w14:textId="620D6E80" w:rsidR="00AF0350" w:rsidRPr="00D33045" w:rsidRDefault="00AF0350" w:rsidP="00AF0350">
            <w:pPr>
              <w:pStyle w:val="TableBody"/>
            </w:pPr>
            <w:r w:rsidRPr="004C6B58">
              <w:t>1.72 (1.11-2.66)</w:t>
            </w:r>
          </w:p>
        </w:tc>
      </w:tr>
    </w:tbl>
    <w:p w14:paraId="01AF8753" w14:textId="77777777" w:rsidR="009C423A" w:rsidRDefault="009C423A" w:rsidP="00280645">
      <w:pPr>
        <w:spacing w:after="0"/>
        <w:rPr>
          <w:rFonts w:ascii="Times New Roman" w:hAnsi="Times New Roman" w:cs="Times New Roman"/>
        </w:rPr>
      </w:pPr>
    </w:p>
    <w:p w14:paraId="6D79C7D1" w14:textId="3DBED677" w:rsidR="009C423A" w:rsidRPr="00041DAB" w:rsidRDefault="00BB0D05" w:rsidP="005265DE">
      <w:pPr>
        <w:pStyle w:val="ListParagraph"/>
        <w:numPr>
          <w:ilvl w:val="0"/>
          <w:numId w:val="24"/>
        </w:numPr>
        <w:spacing w:after="120"/>
        <w:ind w:left="714" w:hanging="357"/>
        <w:rPr>
          <w:rFonts w:cs="Times New Roman"/>
          <w:szCs w:val="18"/>
        </w:rPr>
      </w:pPr>
      <w:r w:rsidRPr="00041DAB">
        <w:rPr>
          <w:szCs w:val="18"/>
        </w:rPr>
        <w:t xml:space="preserve">Middle years indicator - </w:t>
      </w:r>
      <w:r w:rsidR="00821162" w:rsidRPr="00041DAB">
        <w:rPr>
          <w:rFonts w:cs="Times New Roman"/>
          <w:szCs w:val="18"/>
        </w:rPr>
        <w:t>p</w:t>
      </w:r>
      <w:r w:rsidR="009C423A" w:rsidRPr="00041DAB">
        <w:rPr>
          <w:rFonts w:cs="Times New Roman"/>
          <w:szCs w:val="18"/>
        </w:rPr>
        <w:t>eer support</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e) Middle years indicator - peer support"/>
      </w:tblPr>
      <w:tblGrid>
        <w:gridCol w:w="3118"/>
        <w:gridCol w:w="1701"/>
        <w:gridCol w:w="1701"/>
        <w:gridCol w:w="1701"/>
      </w:tblGrid>
      <w:tr w:rsidR="009C423A" w:rsidRPr="004733E7" w14:paraId="0C1BB658" w14:textId="77777777" w:rsidTr="009C423A">
        <w:trPr>
          <w:jc w:val="center"/>
        </w:trPr>
        <w:tc>
          <w:tcPr>
            <w:tcW w:w="3118" w:type="dxa"/>
            <w:shd w:val="clear" w:color="auto" w:fill="0070C0"/>
          </w:tcPr>
          <w:p w14:paraId="73F38D2A" w14:textId="77777777" w:rsidR="009C423A" w:rsidRPr="00AE4C24" w:rsidRDefault="009C423A" w:rsidP="009C423A">
            <w:pPr>
              <w:pStyle w:val="TableHeader1"/>
            </w:pPr>
          </w:p>
        </w:tc>
        <w:tc>
          <w:tcPr>
            <w:tcW w:w="1701" w:type="dxa"/>
            <w:shd w:val="clear" w:color="auto" w:fill="0070C0"/>
          </w:tcPr>
          <w:p w14:paraId="617B885B" w14:textId="77777777" w:rsidR="009C423A" w:rsidRPr="00AE4C24" w:rsidRDefault="009C423A" w:rsidP="009C423A">
            <w:pPr>
              <w:pStyle w:val="TableHeader1"/>
            </w:pPr>
            <w:r w:rsidRPr="00AE4C24">
              <w:t>Step 1</w:t>
            </w:r>
          </w:p>
        </w:tc>
        <w:tc>
          <w:tcPr>
            <w:tcW w:w="1701" w:type="dxa"/>
            <w:shd w:val="clear" w:color="auto" w:fill="0070C0"/>
          </w:tcPr>
          <w:p w14:paraId="5B2AEDE3" w14:textId="77777777" w:rsidR="009C423A" w:rsidRPr="00AE4C24" w:rsidRDefault="009C423A" w:rsidP="009C423A">
            <w:pPr>
              <w:pStyle w:val="TableHeader1"/>
            </w:pPr>
            <w:r w:rsidRPr="00AE4C24">
              <w:t>Step 2</w:t>
            </w:r>
          </w:p>
        </w:tc>
        <w:tc>
          <w:tcPr>
            <w:tcW w:w="1701" w:type="dxa"/>
            <w:shd w:val="clear" w:color="auto" w:fill="0070C0"/>
          </w:tcPr>
          <w:p w14:paraId="18F50DB6" w14:textId="77777777" w:rsidR="009C423A" w:rsidRPr="00AE4C24" w:rsidRDefault="009C423A" w:rsidP="009C423A">
            <w:pPr>
              <w:pStyle w:val="TableHeader1"/>
            </w:pPr>
            <w:r w:rsidRPr="00AE4C24">
              <w:t>Step 3</w:t>
            </w:r>
          </w:p>
        </w:tc>
      </w:tr>
      <w:tr w:rsidR="009C423A" w:rsidRPr="004733E7" w14:paraId="78CD357C" w14:textId="77777777" w:rsidTr="00DD5234">
        <w:trPr>
          <w:jc w:val="center"/>
        </w:trPr>
        <w:tc>
          <w:tcPr>
            <w:tcW w:w="3118" w:type="dxa"/>
            <w:shd w:val="clear" w:color="auto" w:fill="D9E2F3" w:themeFill="accent1" w:themeFillTint="33"/>
          </w:tcPr>
          <w:p w14:paraId="4EA880D0" w14:textId="264B5AFA" w:rsidR="009C423A" w:rsidRPr="004733E7" w:rsidRDefault="00280645" w:rsidP="009C423A">
            <w:pPr>
              <w:pStyle w:val="TableRowIndent"/>
            </w:pPr>
            <w:r w:rsidRPr="004733E7">
              <w:t>Developmental</w:t>
            </w:r>
            <w:r>
              <w:t>ly vulnerable</w:t>
            </w:r>
          </w:p>
        </w:tc>
        <w:tc>
          <w:tcPr>
            <w:tcW w:w="1701" w:type="dxa"/>
            <w:shd w:val="clear" w:color="auto" w:fill="D9E2F3" w:themeFill="accent1" w:themeFillTint="33"/>
          </w:tcPr>
          <w:p w14:paraId="31628208" w14:textId="77777777" w:rsidR="009C423A" w:rsidRPr="004733E7" w:rsidRDefault="009C423A" w:rsidP="009C423A">
            <w:pPr>
              <w:pStyle w:val="TableBody"/>
            </w:pPr>
          </w:p>
        </w:tc>
        <w:tc>
          <w:tcPr>
            <w:tcW w:w="1701" w:type="dxa"/>
            <w:shd w:val="clear" w:color="auto" w:fill="D9E2F3" w:themeFill="accent1" w:themeFillTint="33"/>
          </w:tcPr>
          <w:p w14:paraId="2B2337E9" w14:textId="77777777" w:rsidR="009C423A" w:rsidRPr="00D33045" w:rsidRDefault="009C423A" w:rsidP="009C423A">
            <w:pPr>
              <w:pStyle w:val="TableBody"/>
            </w:pPr>
          </w:p>
        </w:tc>
        <w:tc>
          <w:tcPr>
            <w:tcW w:w="1701" w:type="dxa"/>
            <w:shd w:val="clear" w:color="auto" w:fill="D9E2F3" w:themeFill="accent1" w:themeFillTint="33"/>
          </w:tcPr>
          <w:p w14:paraId="0124B8AB" w14:textId="77777777" w:rsidR="009C423A" w:rsidRPr="00D33045" w:rsidRDefault="009C423A" w:rsidP="009C423A">
            <w:pPr>
              <w:pStyle w:val="TableBody"/>
            </w:pPr>
          </w:p>
        </w:tc>
      </w:tr>
      <w:tr w:rsidR="009C423A" w:rsidRPr="004733E7" w14:paraId="1938D66B" w14:textId="77777777" w:rsidTr="009C423A">
        <w:trPr>
          <w:jc w:val="center"/>
        </w:trPr>
        <w:tc>
          <w:tcPr>
            <w:tcW w:w="3118" w:type="dxa"/>
          </w:tcPr>
          <w:p w14:paraId="7389CD2E" w14:textId="77777777" w:rsidR="009C423A" w:rsidRPr="004733E7" w:rsidRDefault="009C423A" w:rsidP="009C423A">
            <w:pPr>
              <w:pStyle w:val="TableRowIndent"/>
            </w:pPr>
            <w:r w:rsidRPr="004733E7">
              <w:t xml:space="preserve">   No</w:t>
            </w:r>
          </w:p>
        </w:tc>
        <w:tc>
          <w:tcPr>
            <w:tcW w:w="1701" w:type="dxa"/>
          </w:tcPr>
          <w:p w14:paraId="0891621D" w14:textId="77777777" w:rsidR="009C423A" w:rsidRPr="004733E7" w:rsidRDefault="009C423A" w:rsidP="009C423A">
            <w:pPr>
              <w:pStyle w:val="TableBody"/>
            </w:pPr>
            <w:r w:rsidRPr="00143E04">
              <w:t>1</w:t>
            </w:r>
          </w:p>
        </w:tc>
        <w:tc>
          <w:tcPr>
            <w:tcW w:w="1701" w:type="dxa"/>
          </w:tcPr>
          <w:p w14:paraId="4C6DA483" w14:textId="77777777" w:rsidR="009C423A" w:rsidRPr="00D33045" w:rsidRDefault="009C423A" w:rsidP="009C423A">
            <w:pPr>
              <w:pStyle w:val="TableBody"/>
            </w:pPr>
          </w:p>
        </w:tc>
        <w:tc>
          <w:tcPr>
            <w:tcW w:w="1701" w:type="dxa"/>
          </w:tcPr>
          <w:p w14:paraId="254D155A" w14:textId="77777777" w:rsidR="009C423A" w:rsidRPr="00D33045" w:rsidRDefault="009C423A" w:rsidP="009C423A">
            <w:pPr>
              <w:pStyle w:val="TableBody"/>
            </w:pPr>
            <w:r w:rsidRPr="00D33045">
              <w:t>1</w:t>
            </w:r>
          </w:p>
        </w:tc>
      </w:tr>
      <w:tr w:rsidR="009C423A" w:rsidRPr="004733E7" w14:paraId="14703631" w14:textId="77777777" w:rsidTr="009C423A">
        <w:trPr>
          <w:jc w:val="center"/>
        </w:trPr>
        <w:tc>
          <w:tcPr>
            <w:tcW w:w="3118" w:type="dxa"/>
          </w:tcPr>
          <w:p w14:paraId="34868D9B" w14:textId="77777777" w:rsidR="009C423A" w:rsidRPr="004733E7" w:rsidRDefault="009C423A" w:rsidP="009C423A">
            <w:pPr>
              <w:pStyle w:val="TableRowIndent"/>
            </w:pPr>
            <w:r w:rsidRPr="004733E7">
              <w:t xml:space="preserve">   Yes</w:t>
            </w:r>
          </w:p>
        </w:tc>
        <w:tc>
          <w:tcPr>
            <w:tcW w:w="1701" w:type="dxa"/>
          </w:tcPr>
          <w:p w14:paraId="28F338C5" w14:textId="77777777" w:rsidR="009C423A" w:rsidRPr="004733E7" w:rsidRDefault="009C423A" w:rsidP="009C423A">
            <w:pPr>
              <w:pStyle w:val="TableBody"/>
            </w:pPr>
            <w:r>
              <w:t>3.45 (2.38-5.00)</w:t>
            </w:r>
          </w:p>
        </w:tc>
        <w:tc>
          <w:tcPr>
            <w:tcW w:w="1701" w:type="dxa"/>
          </w:tcPr>
          <w:p w14:paraId="15D59FA8" w14:textId="77777777" w:rsidR="009C423A" w:rsidRPr="00D33045" w:rsidRDefault="009C423A" w:rsidP="009C423A">
            <w:pPr>
              <w:pStyle w:val="TableBody"/>
            </w:pPr>
          </w:p>
        </w:tc>
        <w:tc>
          <w:tcPr>
            <w:tcW w:w="1701" w:type="dxa"/>
          </w:tcPr>
          <w:p w14:paraId="3F5AAB73" w14:textId="77777777" w:rsidR="009C423A" w:rsidRPr="00D33045" w:rsidRDefault="009C423A" w:rsidP="009C423A">
            <w:pPr>
              <w:pStyle w:val="TableBody"/>
            </w:pPr>
            <w:r w:rsidRPr="00D33045">
              <w:t>3.47 (2.40-5.02)</w:t>
            </w:r>
          </w:p>
        </w:tc>
      </w:tr>
      <w:tr w:rsidR="009C423A" w:rsidRPr="004733E7" w14:paraId="01A83051" w14:textId="77777777" w:rsidTr="00DD5234">
        <w:trPr>
          <w:jc w:val="center"/>
        </w:trPr>
        <w:tc>
          <w:tcPr>
            <w:tcW w:w="3118" w:type="dxa"/>
            <w:shd w:val="clear" w:color="auto" w:fill="D9E2F3" w:themeFill="accent1" w:themeFillTint="33"/>
          </w:tcPr>
          <w:p w14:paraId="2FDBC05B" w14:textId="77777777" w:rsidR="009C423A" w:rsidRPr="004733E7" w:rsidRDefault="009C423A" w:rsidP="009C423A">
            <w:pPr>
              <w:pStyle w:val="TableRowIndent"/>
            </w:pPr>
            <w:r w:rsidRPr="004733E7">
              <w:t>Peer support</w:t>
            </w:r>
          </w:p>
        </w:tc>
        <w:tc>
          <w:tcPr>
            <w:tcW w:w="1701" w:type="dxa"/>
            <w:shd w:val="clear" w:color="auto" w:fill="D9E2F3" w:themeFill="accent1" w:themeFillTint="33"/>
          </w:tcPr>
          <w:p w14:paraId="1C6F32A3" w14:textId="77777777" w:rsidR="009C423A" w:rsidRPr="004733E7" w:rsidRDefault="009C423A" w:rsidP="009C423A">
            <w:pPr>
              <w:pStyle w:val="TableBody"/>
            </w:pPr>
          </w:p>
        </w:tc>
        <w:tc>
          <w:tcPr>
            <w:tcW w:w="1701" w:type="dxa"/>
            <w:shd w:val="clear" w:color="auto" w:fill="D9E2F3" w:themeFill="accent1" w:themeFillTint="33"/>
          </w:tcPr>
          <w:p w14:paraId="70F646F1" w14:textId="77777777" w:rsidR="009C423A" w:rsidRPr="00D33045" w:rsidRDefault="009C423A" w:rsidP="009C423A">
            <w:pPr>
              <w:pStyle w:val="TableBody"/>
            </w:pPr>
          </w:p>
        </w:tc>
        <w:tc>
          <w:tcPr>
            <w:tcW w:w="1701" w:type="dxa"/>
            <w:shd w:val="clear" w:color="auto" w:fill="D9E2F3" w:themeFill="accent1" w:themeFillTint="33"/>
          </w:tcPr>
          <w:p w14:paraId="330C8071" w14:textId="77777777" w:rsidR="009C423A" w:rsidRPr="00D33045" w:rsidRDefault="009C423A" w:rsidP="009C423A">
            <w:pPr>
              <w:pStyle w:val="TableBody"/>
            </w:pPr>
          </w:p>
        </w:tc>
      </w:tr>
      <w:tr w:rsidR="009C423A" w:rsidRPr="004733E7" w14:paraId="46DB14EC" w14:textId="77777777" w:rsidTr="009C423A">
        <w:trPr>
          <w:jc w:val="center"/>
        </w:trPr>
        <w:tc>
          <w:tcPr>
            <w:tcW w:w="3118" w:type="dxa"/>
          </w:tcPr>
          <w:p w14:paraId="2C524EEC" w14:textId="77777777" w:rsidR="009C423A" w:rsidRPr="004733E7" w:rsidRDefault="009C423A" w:rsidP="009C423A">
            <w:pPr>
              <w:pStyle w:val="TableRowIndent"/>
            </w:pPr>
            <w:r w:rsidRPr="004733E7">
              <w:t xml:space="preserve">   None</w:t>
            </w:r>
          </w:p>
        </w:tc>
        <w:tc>
          <w:tcPr>
            <w:tcW w:w="1701" w:type="dxa"/>
          </w:tcPr>
          <w:p w14:paraId="6CAA6FC0" w14:textId="77777777" w:rsidR="009C423A" w:rsidRPr="004733E7" w:rsidRDefault="009C423A" w:rsidP="009C423A">
            <w:pPr>
              <w:pStyle w:val="TableBody"/>
            </w:pPr>
          </w:p>
        </w:tc>
        <w:tc>
          <w:tcPr>
            <w:tcW w:w="1701" w:type="dxa"/>
          </w:tcPr>
          <w:p w14:paraId="618E110C" w14:textId="77777777" w:rsidR="009C423A" w:rsidRPr="00D33045" w:rsidRDefault="009C423A" w:rsidP="009C423A">
            <w:pPr>
              <w:pStyle w:val="TableBody"/>
            </w:pPr>
            <w:r w:rsidRPr="00D33045">
              <w:t>1</w:t>
            </w:r>
          </w:p>
        </w:tc>
        <w:tc>
          <w:tcPr>
            <w:tcW w:w="1701" w:type="dxa"/>
          </w:tcPr>
          <w:p w14:paraId="2230D7FF" w14:textId="77777777" w:rsidR="009C423A" w:rsidRPr="00D33045" w:rsidRDefault="009C423A" w:rsidP="009C423A">
            <w:pPr>
              <w:pStyle w:val="TableBody"/>
            </w:pPr>
            <w:r w:rsidRPr="00D33045">
              <w:t>1</w:t>
            </w:r>
          </w:p>
        </w:tc>
      </w:tr>
      <w:tr w:rsidR="009C423A" w:rsidRPr="004733E7" w14:paraId="50E301FB" w14:textId="77777777" w:rsidTr="009C423A">
        <w:trPr>
          <w:jc w:val="center"/>
        </w:trPr>
        <w:tc>
          <w:tcPr>
            <w:tcW w:w="3118" w:type="dxa"/>
          </w:tcPr>
          <w:p w14:paraId="5DBE7FEB" w14:textId="77777777" w:rsidR="009C423A" w:rsidRPr="004733E7" w:rsidRDefault="009C423A" w:rsidP="009C423A">
            <w:pPr>
              <w:pStyle w:val="TableRowIndent"/>
            </w:pPr>
            <w:r w:rsidRPr="004733E7">
              <w:t xml:space="preserve">   Single episode</w:t>
            </w:r>
          </w:p>
        </w:tc>
        <w:tc>
          <w:tcPr>
            <w:tcW w:w="1701" w:type="dxa"/>
          </w:tcPr>
          <w:p w14:paraId="703E4092" w14:textId="77777777" w:rsidR="009C423A" w:rsidRPr="004733E7" w:rsidRDefault="009C423A" w:rsidP="009C423A">
            <w:pPr>
              <w:pStyle w:val="TableBody"/>
            </w:pPr>
          </w:p>
        </w:tc>
        <w:tc>
          <w:tcPr>
            <w:tcW w:w="1701" w:type="dxa"/>
          </w:tcPr>
          <w:p w14:paraId="1F4017F4" w14:textId="77777777" w:rsidR="009C423A" w:rsidRPr="00D33045" w:rsidRDefault="009C423A" w:rsidP="009C423A">
            <w:pPr>
              <w:pStyle w:val="TableBody"/>
            </w:pPr>
            <w:r w:rsidRPr="00D33045">
              <w:t>1.12 (0.68-1.84)</w:t>
            </w:r>
          </w:p>
        </w:tc>
        <w:tc>
          <w:tcPr>
            <w:tcW w:w="1701" w:type="dxa"/>
          </w:tcPr>
          <w:p w14:paraId="78E3A94E" w14:textId="77777777" w:rsidR="009C423A" w:rsidRPr="00D33045" w:rsidRDefault="009C423A" w:rsidP="009C423A">
            <w:pPr>
              <w:pStyle w:val="TableBody"/>
            </w:pPr>
            <w:r w:rsidRPr="00D33045">
              <w:t>1.18 (0.70-1.97)</w:t>
            </w:r>
          </w:p>
        </w:tc>
      </w:tr>
      <w:tr w:rsidR="009C423A" w:rsidRPr="004733E7" w14:paraId="6E33B5EB" w14:textId="77777777" w:rsidTr="009C423A">
        <w:trPr>
          <w:jc w:val="center"/>
        </w:trPr>
        <w:tc>
          <w:tcPr>
            <w:tcW w:w="3118" w:type="dxa"/>
          </w:tcPr>
          <w:p w14:paraId="2FCFE2B6" w14:textId="77777777" w:rsidR="009C423A" w:rsidRPr="004733E7" w:rsidRDefault="009C423A" w:rsidP="009C423A">
            <w:pPr>
              <w:pStyle w:val="TableRowIndent"/>
            </w:pPr>
            <w:r w:rsidRPr="004733E7">
              <w:t xml:space="preserve">   Persistent</w:t>
            </w:r>
          </w:p>
        </w:tc>
        <w:tc>
          <w:tcPr>
            <w:tcW w:w="1701" w:type="dxa"/>
          </w:tcPr>
          <w:p w14:paraId="55392281" w14:textId="77777777" w:rsidR="009C423A" w:rsidRPr="004733E7" w:rsidRDefault="009C423A" w:rsidP="009C423A">
            <w:pPr>
              <w:pStyle w:val="TableBody"/>
            </w:pPr>
          </w:p>
        </w:tc>
        <w:tc>
          <w:tcPr>
            <w:tcW w:w="1701" w:type="dxa"/>
          </w:tcPr>
          <w:p w14:paraId="0BED8629" w14:textId="77777777" w:rsidR="009C423A" w:rsidRPr="00D33045" w:rsidRDefault="009C423A" w:rsidP="009C423A">
            <w:pPr>
              <w:pStyle w:val="TableBody"/>
            </w:pPr>
            <w:r w:rsidRPr="00D33045">
              <w:t>1.02 (0.67-1.56)</w:t>
            </w:r>
          </w:p>
        </w:tc>
        <w:tc>
          <w:tcPr>
            <w:tcW w:w="1701" w:type="dxa"/>
          </w:tcPr>
          <w:p w14:paraId="32407776" w14:textId="77777777" w:rsidR="009C423A" w:rsidRPr="00D33045" w:rsidRDefault="009C423A" w:rsidP="009C423A">
            <w:pPr>
              <w:pStyle w:val="TableBody"/>
            </w:pPr>
            <w:r w:rsidRPr="00D33045">
              <w:t>1.12 (0.71-1.74)</w:t>
            </w:r>
          </w:p>
        </w:tc>
      </w:tr>
    </w:tbl>
    <w:p w14:paraId="7463486C" w14:textId="2DF5CAA5" w:rsidR="009C423A" w:rsidRDefault="009C423A" w:rsidP="00280645">
      <w:pPr>
        <w:spacing w:after="0"/>
        <w:rPr>
          <w:rFonts w:ascii="Times New Roman" w:hAnsi="Times New Roman" w:cs="Times New Roman"/>
        </w:rPr>
      </w:pPr>
    </w:p>
    <w:p w14:paraId="496BED9D" w14:textId="0ABB6BF5" w:rsidR="009C423A" w:rsidRPr="00041DAB" w:rsidRDefault="00BB0D05" w:rsidP="005265DE">
      <w:pPr>
        <w:pStyle w:val="ListParagraph"/>
        <w:numPr>
          <w:ilvl w:val="0"/>
          <w:numId w:val="24"/>
        </w:numPr>
        <w:spacing w:after="120"/>
        <w:ind w:left="714" w:hanging="357"/>
        <w:rPr>
          <w:rFonts w:ascii="Times New Roman" w:hAnsi="Times New Roman" w:cs="Times New Roman"/>
          <w:sz w:val="22"/>
        </w:rPr>
      </w:pPr>
      <w:r w:rsidRPr="00041DAB">
        <w:t xml:space="preserve">Middle years indicator - </w:t>
      </w:r>
      <w:r w:rsidR="00821162" w:rsidRPr="00041DAB">
        <w:t>b</w:t>
      </w:r>
      <w:r w:rsidR="00280645" w:rsidRPr="00041DAB">
        <w:t>ullying</w:t>
      </w:r>
    </w:p>
    <w:tbl>
      <w:tblPr>
        <w:tblStyle w:val="TableGrid"/>
        <w:tblW w:w="8221" w:type="dxa"/>
        <w:jc w:val="center"/>
        <w:tblBorders>
          <w:insideH w:val="none" w:sz="0" w:space="0" w:color="auto"/>
          <w:insideV w:val="none" w:sz="0" w:space="0" w:color="auto"/>
        </w:tblBorders>
        <w:tblLook w:val="04A0" w:firstRow="1" w:lastRow="0" w:firstColumn="1" w:lastColumn="0" w:noHBand="0" w:noVBand="1"/>
        <w:tblCaption w:val="Table 26. Results of separate logistic regression models predicting non-attainment of the Year 7 reading threshold with predictors DV (Step 1), Middle years indicator (Step 2), and DV and Middle years indicator together (Step 3) - f) Middle years indicator - bullying"/>
      </w:tblPr>
      <w:tblGrid>
        <w:gridCol w:w="3118"/>
        <w:gridCol w:w="1701"/>
        <w:gridCol w:w="1701"/>
        <w:gridCol w:w="1701"/>
      </w:tblGrid>
      <w:tr w:rsidR="009C423A" w14:paraId="7D44C73C" w14:textId="77777777" w:rsidTr="009C423A">
        <w:trPr>
          <w:jc w:val="center"/>
        </w:trPr>
        <w:tc>
          <w:tcPr>
            <w:tcW w:w="3118" w:type="dxa"/>
            <w:shd w:val="clear" w:color="auto" w:fill="0070C0"/>
          </w:tcPr>
          <w:p w14:paraId="5E64BB41" w14:textId="77777777" w:rsidR="009C423A" w:rsidRPr="00AE4C24" w:rsidRDefault="009C423A" w:rsidP="009C423A">
            <w:pPr>
              <w:pStyle w:val="TableHeader1"/>
            </w:pPr>
          </w:p>
        </w:tc>
        <w:tc>
          <w:tcPr>
            <w:tcW w:w="1701" w:type="dxa"/>
            <w:shd w:val="clear" w:color="auto" w:fill="0070C0"/>
          </w:tcPr>
          <w:p w14:paraId="59709091" w14:textId="77777777" w:rsidR="009C423A" w:rsidRPr="00AE4C24" w:rsidRDefault="009C423A" w:rsidP="009C423A">
            <w:pPr>
              <w:pStyle w:val="TableHeader1"/>
            </w:pPr>
            <w:r w:rsidRPr="00AE4C24">
              <w:t>Step 1</w:t>
            </w:r>
          </w:p>
        </w:tc>
        <w:tc>
          <w:tcPr>
            <w:tcW w:w="1701" w:type="dxa"/>
            <w:shd w:val="clear" w:color="auto" w:fill="0070C0"/>
          </w:tcPr>
          <w:p w14:paraId="4E66F05A" w14:textId="77777777" w:rsidR="009C423A" w:rsidRPr="00AE4C24" w:rsidRDefault="009C423A" w:rsidP="009C423A">
            <w:pPr>
              <w:pStyle w:val="TableHeader1"/>
            </w:pPr>
            <w:r w:rsidRPr="00AE4C24">
              <w:t>Step 2</w:t>
            </w:r>
          </w:p>
        </w:tc>
        <w:tc>
          <w:tcPr>
            <w:tcW w:w="1701" w:type="dxa"/>
            <w:shd w:val="clear" w:color="auto" w:fill="0070C0"/>
          </w:tcPr>
          <w:p w14:paraId="5E1F9931" w14:textId="77777777" w:rsidR="009C423A" w:rsidRPr="00AE4C24" w:rsidRDefault="009C423A" w:rsidP="009C423A">
            <w:pPr>
              <w:pStyle w:val="TableHeader1"/>
            </w:pPr>
            <w:r w:rsidRPr="00AE4C24">
              <w:t>Step 3</w:t>
            </w:r>
          </w:p>
        </w:tc>
      </w:tr>
      <w:tr w:rsidR="009C423A" w14:paraId="1E1B03C0" w14:textId="77777777" w:rsidTr="00DD5234">
        <w:trPr>
          <w:jc w:val="center"/>
        </w:trPr>
        <w:tc>
          <w:tcPr>
            <w:tcW w:w="3118" w:type="dxa"/>
            <w:shd w:val="clear" w:color="auto" w:fill="D9E2F3" w:themeFill="accent1" w:themeFillTint="33"/>
          </w:tcPr>
          <w:p w14:paraId="120B5E3D" w14:textId="285F9C67" w:rsidR="009C423A" w:rsidRPr="004733E7" w:rsidRDefault="009C423A" w:rsidP="00280645">
            <w:pPr>
              <w:pStyle w:val="TableRowIndent"/>
            </w:pPr>
            <w:r w:rsidRPr="004733E7">
              <w:t>Developmental</w:t>
            </w:r>
            <w:r w:rsidR="00280645">
              <w:t>ly vulnerable</w:t>
            </w:r>
          </w:p>
        </w:tc>
        <w:tc>
          <w:tcPr>
            <w:tcW w:w="1701" w:type="dxa"/>
            <w:shd w:val="clear" w:color="auto" w:fill="D9E2F3" w:themeFill="accent1" w:themeFillTint="33"/>
          </w:tcPr>
          <w:p w14:paraId="592B020E" w14:textId="77777777" w:rsidR="009C423A" w:rsidRPr="00D33045" w:rsidRDefault="009C423A" w:rsidP="009C423A">
            <w:pPr>
              <w:pStyle w:val="TableBody"/>
            </w:pPr>
          </w:p>
        </w:tc>
        <w:tc>
          <w:tcPr>
            <w:tcW w:w="1701" w:type="dxa"/>
            <w:shd w:val="clear" w:color="auto" w:fill="D9E2F3" w:themeFill="accent1" w:themeFillTint="33"/>
          </w:tcPr>
          <w:p w14:paraId="61FAC041" w14:textId="77777777" w:rsidR="009C423A" w:rsidRPr="00D33045" w:rsidRDefault="009C423A" w:rsidP="009C423A">
            <w:pPr>
              <w:pStyle w:val="TableBody"/>
            </w:pPr>
          </w:p>
        </w:tc>
        <w:tc>
          <w:tcPr>
            <w:tcW w:w="1701" w:type="dxa"/>
            <w:shd w:val="clear" w:color="auto" w:fill="D9E2F3" w:themeFill="accent1" w:themeFillTint="33"/>
          </w:tcPr>
          <w:p w14:paraId="6BAE7067" w14:textId="77777777" w:rsidR="009C423A" w:rsidRPr="00D33045" w:rsidRDefault="009C423A" w:rsidP="009C423A">
            <w:pPr>
              <w:pStyle w:val="TableBody"/>
            </w:pPr>
          </w:p>
        </w:tc>
      </w:tr>
      <w:tr w:rsidR="009C423A" w14:paraId="56CD7D3F" w14:textId="77777777" w:rsidTr="009C423A">
        <w:trPr>
          <w:jc w:val="center"/>
        </w:trPr>
        <w:tc>
          <w:tcPr>
            <w:tcW w:w="3118" w:type="dxa"/>
          </w:tcPr>
          <w:p w14:paraId="0D6B989F" w14:textId="77777777" w:rsidR="009C423A" w:rsidRPr="004733E7" w:rsidRDefault="009C423A" w:rsidP="009C423A">
            <w:pPr>
              <w:pStyle w:val="TableRowIndent"/>
            </w:pPr>
            <w:r w:rsidRPr="004733E7">
              <w:t xml:space="preserve">   No</w:t>
            </w:r>
          </w:p>
        </w:tc>
        <w:tc>
          <w:tcPr>
            <w:tcW w:w="1701" w:type="dxa"/>
          </w:tcPr>
          <w:p w14:paraId="73CAC441" w14:textId="77777777" w:rsidR="009C423A" w:rsidRPr="00D33045" w:rsidRDefault="009C423A" w:rsidP="009C423A">
            <w:pPr>
              <w:pStyle w:val="TableBody"/>
            </w:pPr>
            <w:r w:rsidRPr="00D33045">
              <w:t>1</w:t>
            </w:r>
          </w:p>
        </w:tc>
        <w:tc>
          <w:tcPr>
            <w:tcW w:w="1701" w:type="dxa"/>
          </w:tcPr>
          <w:p w14:paraId="44D7F02B" w14:textId="77777777" w:rsidR="009C423A" w:rsidRPr="00D33045" w:rsidRDefault="009C423A" w:rsidP="009C423A">
            <w:pPr>
              <w:pStyle w:val="TableBody"/>
            </w:pPr>
          </w:p>
        </w:tc>
        <w:tc>
          <w:tcPr>
            <w:tcW w:w="1701" w:type="dxa"/>
          </w:tcPr>
          <w:p w14:paraId="2B257385" w14:textId="77777777" w:rsidR="009C423A" w:rsidRPr="00D33045" w:rsidRDefault="009C423A" w:rsidP="009C423A">
            <w:pPr>
              <w:pStyle w:val="TableBody"/>
            </w:pPr>
            <w:r w:rsidRPr="00D33045">
              <w:t>1</w:t>
            </w:r>
          </w:p>
        </w:tc>
      </w:tr>
      <w:tr w:rsidR="009C423A" w14:paraId="0C826666" w14:textId="77777777" w:rsidTr="009C423A">
        <w:trPr>
          <w:jc w:val="center"/>
        </w:trPr>
        <w:tc>
          <w:tcPr>
            <w:tcW w:w="3118" w:type="dxa"/>
          </w:tcPr>
          <w:p w14:paraId="244AC21D" w14:textId="77777777" w:rsidR="009C423A" w:rsidRPr="004733E7" w:rsidRDefault="009C423A" w:rsidP="009C423A">
            <w:pPr>
              <w:pStyle w:val="TableRowIndent"/>
            </w:pPr>
            <w:r w:rsidRPr="004733E7">
              <w:t xml:space="preserve">   Yes</w:t>
            </w:r>
          </w:p>
        </w:tc>
        <w:tc>
          <w:tcPr>
            <w:tcW w:w="1701" w:type="dxa"/>
          </w:tcPr>
          <w:p w14:paraId="63059F69" w14:textId="77777777" w:rsidR="009C423A" w:rsidRPr="00D33045" w:rsidRDefault="009C423A" w:rsidP="009C423A">
            <w:pPr>
              <w:pStyle w:val="TableBody"/>
            </w:pPr>
            <w:r w:rsidRPr="00D33045">
              <w:t>3.45 (2.38-5.00)</w:t>
            </w:r>
          </w:p>
        </w:tc>
        <w:tc>
          <w:tcPr>
            <w:tcW w:w="1701" w:type="dxa"/>
          </w:tcPr>
          <w:p w14:paraId="69C166EB" w14:textId="77777777" w:rsidR="009C423A" w:rsidRPr="00D33045" w:rsidRDefault="009C423A" w:rsidP="009C423A">
            <w:pPr>
              <w:pStyle w:val="TableBody"/>
            </w:pPr>
          </w:p>
        </w:tc>
        <w:tc>
          <w:tcPr>
            <w:tcW w:w="1701" w:type="dxa"/>
          </w:tcPr>
          <w:p w14:paraId="3B96352A" w14:textId="77777777" w:rsidR="009C423A" w:rsidRPr="00D33045" w:rsidRDefault="009C423A" w:rsidP="009C423A">
            <w:pPr>
              <w:pStyle w:val="TableBody"/>
            </w:pPr>
            <w:r w:rsidRPr="00D33045">
              <w:t>3.35 (2.31-4.87)</w:t>
            </w:r>
          </w:p>
        </w:tc>
      </w:tr>
      <w:tr w:rsidR="009C423A" w14:paraId="165DADFE" w14:textId="77777777" w:rsidTr="00DD5234">
        <w:trPr>
          <w:jc w:val="center"/>
        </w:trPr>
        <w:tc>
          <w:tcPr>
            <w:tcW w:w="3118" w:type="dxa"/>
            <w:shd w:val="clear" w:color="auto" w:fill="D9E2F3" w:themeFill="accent1" w:themeFillTint="33"/>
          </w:tcPr>
          <w:p w14:paraId="019F1E3E" w14:textId="77777777" w:rsidR="009C423A" w:rsidRPr="004733E7" w:rsidRDefault="009C423A" w:rsidP="009C423A">
            <w:pPr>
              <w:pStyle w:val="TableRowIndent"/>
            </w:pPr>
            <w:r w:rsidRPr="004733E7">
              <w:t>Bullying</w:t>
            </w:r>
          </w:p>
        </w:tc>
        <w:tc>
          <w:tcPr>
            <w:tcW w:w="1701" w:type="dxa"/>
            <w:shd w:val="clear" w:color="auto" w:fill="D9E2F3" w:themeFill="accent1" w:themeFillTint="33"/>
          </w:tcPr>
          <w:p w14:paraId="5057D311" w14:textId="77777777" w:rsidR="009C423A" w:rsidRPr="00D33045" w:rsidRDefault="009C423A" w:rsidP="009C423A">
            <w:pPr>
              <w:pStyle w:val="TableBody"/>
            </w:pPr>
          </w:p>
        </w:tc>
        <w:tc>
          <w:tcPr>
            <w:tcW w:w="1701" w:type="dxa"/>
            <w:shd w:val="clear" w:color="auto" w:fill="D9E2F3" w:themeFill="accent1" w:themeFillTint="33"/>
          </w:tcPr>
          <w:p w14:paraId="544902E6" w14:textId="77777777" w:rsidR="009C423A" w:rsidRPr="00D33045" w:rsidRDefault="009C423A" w:rsidP="009C423A">
            <w:pPr>
              <w:pStyle w:val="TableBody"/>
            </w:pPr>
          </w:p>
        </w:tc>
        <w:tc>
          <w:tcPr>
            <w:tcW w:w="1701" w:type="dxa"/>
            <w:shd w:val="clear" w:color="auto" w:fill="D9E2F3" w:themeFill="accent1" w:themeFillTint="33"/>
          </w:tcPr>
          <w:p w14:paraId="1001210D" w14:textId="77777777" w:rsidR="009C423A" w:rsidRPr="00D33045" w:rsidRDefault="009C423A" w:rsidP="009C423A">
            <w:pPr>
              <w:pStyle w:val="TableBody"/>
            </w:pPr>
          </w:p>
        </w:tc>
      </w:tr>
      <w:tr w:rsidR="009C423A" w14:paraId="6F1521BF" w14:textId="77777777" w:rsidTr="009C423A">
        <w:trPr>
          <w:jc w:val="center"/>
        </w:trPr>
        <w:tc>
          <w:tcPr>
            <w:tcW w:w="3118" w:type="dxa"/>
          </w:tcPr>
          <w:p w14:paraId="22E89A94" w14:textId="77777777" w:rsidR="009C423A" w:rsidRPr="004733E7" w:rsidRDefault="009C423A" w:rsidP="009C423A">
            <w:pPr>
              <w:pStyle w:val="TableRowIndent"/>
            </w:pPr>
            <w:r w:rsidRPr="004733E7">
              <w:t xml:space="preserve">   None</w:t>
            </w:r>
          </w:p>
        </w:tc>
        <w:tc>
          <w:tcPr>
            <w:tcW w:w="1701" w:type="dxa"/>
          </w:tcPr>
          <w:p w14:paraId="507EE72C" w14:textId="77777777" w:rsidR="009C423A" w:rsidRPr="00D33045" w:rsidRDefault="009C423A" w:rsidP="009C423A">
            <w:pPr>
              <w:pStyle w:val="TableBody"/>
            </w:pPr>
          </w:p>
        </w:tc>
        <w:tc>
          <w:tcPr>
            <w:tcW w:w="1701" w:type="dxa"/>
          </w:tcPr>
          <w:p w14:paraId="2F7760CC" w14:textId="77777777" w:rsidR="009C423A" w:rsidRPr="00D33045" w:rsidRDefault="009C423A" w:rsidP="009C423A">
            <w:pPr>
              <w:pStyle w:val="TableBody"/>
            </w:pPr>
            <w:r w:rsidRPr="00D33045">
              <w:t>1</w:t>
            </w:r>
          </w:p>
        </w:tc>
        <w:tc>
          <w:tcPr>
            <w:tcW w:w="1701" w:type="dxa"/>
          </w:tcPr>
          <w:p w14:paraId="11C93579" w14:textId="77777777" w:rsidR="009C423A" w:rsidRPr="00D33045" w:rsidRDefault="009C423A" w:rsidP="009C423A">
            <w:pPr>
              <w:pStyle w:val="TableBody"/>
            </w:pPr>
            <w:r w:rsidRPr="00D33045">
              <w:t>1</w:t>
            </w:r>
          </w:p>
        </w:tc>
      </w:tr>
      <w:tr w:rsidR="009C423A" w14:paraId="566B04D7" w14:textId="77777777" w:rsidTr="009C423A">
        <w:trPr>
          <w:jc w:val="center"/>
        </w:trPr>
        <w:tc>
          <w:tcPr>
            <w:tcW w:w="3118" w:type="dxa"/>
          </w:tcPr>
          <w:p w14:paraId="18BC7E78" w14:textId="77777777" w:rsidR="009C423A" w:rsidRPr="004733E7" w:rsidRDefault="009C423A" w:rsidP="009C423A">
            <w:pPr>
              <w:pStyle w:val="TableRowIndent"/>
            </w:pPr>
            <w:r w:rsidRPr="004733E7">
              <w:t xml:space="preserve">   Single episode</w:t>
            </w:r>
          </w:p>
        </w:tc>
        <w:tc>
          <w:tcPr>
            <w:tcW w:w="1701" w:type="dxa"/>
          </w:tcPr>
          <w:p w14:paraId="124C9298" w14:textId="77777777" w:rsidR="009C423A" w:rsidRPr="00D33045" w:rsidRDefault="009C423A" w:rsidP="009C423A">
            <w:pPr>
              <w:pStyle w:val="TableBody"/>
            </w:pPr>
          </w:p>
        </w:tc>
        <w:tc>
          <w:tcPr>
            <w:tcW w:w="1701" w:type="dxa"/>
          </w:tcPr>
          <w:p w14:paraId="1EA09242" w14:textId="77777777" w:rsidR="009C423A" w:rsidRPr="00D33045" w:rsidRDefault="009C423A" w:rsidP="009C423A">
            <w:pPr>
              <w:pStyle w:val="TableBody"/>
            </w:pPr>
            <w:r w:rsidRPr="00D33045">
              <w:t>1.31 (0.92-1.88)</w:t>
            </w:r>
          </w:p>
        </w:tc>
        <w:tc>
          <w:tcPr>
            <w:tcW w:w="1701" w:type="dxa"/>
          </w:tcPr>
          <w:p w14:paraId="1117BAEE" w14:textId="77777777" w:rsidR="009C423A" w:rsidRPr="00D33045" w:rsidRDefault="009C423A" w:rsidP="009C423A">
            <w:pPr>
              <w:pStyle w:val="TableBody"/>
            </w:pPr>
            <w:r w:rsidRPr="00D33045">
              <w:t>1.29 (0.90-1.86)</w:t>
            </w:r>
          </w:p>
        </w:tc>
      </w:tr>
      <w:tr w:rsidR="009C423A" w14:paraId="53234117" w14:textId="77777777" w:rsidTr="009C423A">
        <w:trPr>
          <w:jc w:val="center"/>
        </w:trPr>
        <w:tc>
          <w:tcPr>
            <w:tcW w:w="3118" w:type="dxa"/>
          </w:tcPr>
          <w:p w14:paraId="62A597C7" w14:textId="77777777" w:rsidR="009C423A" w:rsidRPr="004733E7" w:rsidRDefault="009C423A" w:rsidP="009C423A">
            <w:pPr>
              <w:pStyle w:val="TableRowIndent"/>
            </w:pPr>
            <w:r w:rsidRPr="004733E7">
              <w:t xml:space="preserve">   Persistent</w:t>
            </w:r>
          </w:p>
        </w:tc>
        <w:tc>
          <w:tcPr>
            <w:tcW w:w="1701" w:type="dxa"/>
          </w:tcPr>
          <w:p w14:paraId="05BC87CF" w14:textId="77777777" w:rsidR="009C423A" w:rsidRPr="00D33045" w:rsidRDefault="009C423A" w:rsidP="009C423A">
            <w:pPr>
              <w:pStyle w:val="TableBody"/>
            </w:pPr>
          </w:p>
        </w:tc>
        <w:tc>
          <w:tcPr>
            <w:tcW w:w="1701" w:type="dxa"/>
          </w:tcPr>
          <w:p w14:paraId="2CB2D3DC" w14:textId="77777777" w:rsidR="009C423A" w:rsidRPr="00D33045" w:rsidRDefault="009C423A" w:rsidP="009C423A">
            <w:pPr>
              <w:pStyle w:val="TableBody"/>
            </w:pPr>
            <w:r w:rsidRPr="00D33045">
              <w:t>1.94 (1.34-2.82)</w:t>
            </w:r>
          </w:p>
        </w:tc>
        <w:tc>
          <w:tcPr>
            <w:tcW w:w="1701" w:type="dxa"/>
          </w:tcPr>
          <w:p w14:paraId="63767995" w14:textId="77777777" w:rsidR="009C423A" w:rsidRPr="00D33045" w:rsidRDefault="009C423A" w:rsidP="009C423A">
            <w:pPr>
              <w:pStyle w:val="TableBody"/>
            </w:pPr>
            <w:r w:rsidRPr="00D33045">
              <w:t>1.82 (1.24-2.69)</w:t>
            </w:r>
          </w:p>
        </w:tc>
      </w:tr>
    </w:tbl>
    <w:p w14:paraId="326F26AD" w14:textId="77777777" w:rsidR="009C423A" w:rsidRDefault="009C423A" w:rsidP="00280645">
      <w:pPr>
        <w:pStyle w:val="Belowtablecaption"/>
        <w:ind w:left="426" w:right="231"/>
      </w:pPr>
      <w:r w:rsidRPr="00B806B5">
        <w:t>* adjusted for child gender, child age (at school entry), and child SEIFA advantage/di</w:t>
      </w:r>
      <w:r>
        <w:t>sadvantage quintile (at Year 3</w:t>
      </w:r>
      <w:r w:rsidRPr="00B806B5">
        <w:t>).</w:t>
      </w:r>
      <w:r>
        <w:br/>
      </w:r>
    </w:p>
    <w:p w14:paraId="02F25A75" w14:textId="2EB82420" w:rsidR="0095248E" w:rsidRPr="005265DE" w:rsidRDefault="009C423A" w:rsidP="007F3A76">
      <w:pPr>
        <w:rPr>
          <w:lang w:val="en-US"/>
        </w:rPr>
      </w:pPr>
      <w:r>
        <w:t xml:space="preserve">DV status was strongly associated with Year 7 reading with DV students 3.45 times as likely </w:t>
      </w:r>
      <w:proofErr w:type="gramStart"/>
      <w:r>
        <w:t>to not reach</w:t>
      </w:r>
      <w:proofErr w:type="gramEnd"/>
      <w:r>
        <w:t xml:space="preserve"> the reading </w:t>
      </w:r>
      <w:r w:rsidR="0095595F">
        <w:t>threshold</w:t>
      </w:r>
      <w:r>
        <w:t xml:space="preserve"> (</w:t>
      </w:r>
      <w:r w:rsidR="0043740D">
        <w:fldChar w:fldCharType="begin"/>
      </w:r>
      <w:r w:rsidR="0043740D">
        <w:instrText xml:space="preserve"> REF _Ref501109348 \h </w:instrText>
      </w:r>
      <w:r w:rsidR="0043740D">
        <w:fldChar w:fldCharType="separate"/>
      </w:r>
      <w:r w:rsidR="004C27B3">
        <w:rPr>
          <w:b/>
          <w:bCs/>
          <w:lang w:val="en-US"/>
        </w:rPr>
        <w:t>Error! Reference source not found.</w:t>
      </w:r>
      <w:r w:rsidR="0043740D">
        <w:fldChar w:fldCharType="end"/>
      </w:r>
      <w:r w:rsidR="002F2F83">
        <w:t>6</w:t>
      </w:r>
      <w:r w:rsidR="005B1409">
        <w:t>). Disengagement (</w:t>
      </w:r>
      <w:r w:rsidR="005B1409">
        <w:fldChar w:fldCharType="begin"/>
      </w:r>
      <w:r w:rsidR="005B1409">
        <w:instrText xml:space="preserve"> REF _Ref501109348 \h </w:instrText>
      </w:r>
      <w:r w:rsidR="005B1409">
        <w:fldChar w:fldCharType="separate"/>
      </w:r>
      <w:r w:rsidR="004C27B3">
        <w:rPr>
          <w:b/>
          <w:bCs/>
          <w:lang w:val="en-US"/>
        </w:rPr>
        <w:t>Error! Reference source not found.</w:t>
      </w:r>
      <w:r w:rsidR="005B1409">
        <w:fldChar w:fldCharType="end"/>
      </w:r>
      <w:r w:rsidR="005265DE">
        <w:t>6</w:t>
      </w:r>
      <w:r w:rsidR="005B1409">
        <w:t>a), e</w:t>
      </w:r>
      <w:r>
        <w:t>motional problems (</w:t>
      </w:r>
      <w:r w:rsidR="005B1409">
        <w:t>b</w:t>
      </w:r>
      <w:r>
        <w:t>), persistent behaviour problems (</w:t>
      </w:r>
      <w:r w:rsidR="005B1409">
        <w:t>c</w:t>
      </w:r>
      <w:r>
        <w:t>), poor subjective wellbeing (</w:t>
      </w:r>
      <w:r w:rsidR="0004749E">
        <w:t>d</w:t>
      </w:r>
      <w:r w:rsidR="005B1409">
        <w:t xml:space="preserve">) </w:t>
      </w:r>
      <w:r>
        <w:t>and persistent bullying (</w:t>
      </w:r>
      <w:r w:rsidR="005B1409">
        <w:t>f</w:t>
      </w:r>
      <w:r>
        <w:t xml:space="preserve">) were each associated with higher likelihood of not attaining the reading </w:t>
      </w:r>
      <w:r w:rsidR="0095595F">
        <w:t>threshold</w:t>
      </w:r>
      <w:r>
        <w:t xml:space="preserve">. When the DV1 variable and each middle years indicator were included in models together there was little change in the association between DV1 and reading, which is similar to the numeracy results presented previously (compare </w:t>
      </w:r>
      <w:r w:rsidR="005B1409">
        <w:t>Step 3</w:t>
      </w:r>
      <w:r>
        <w:t xml:space="preserve"> with </w:t>
      </w:r>
      <w:r w:rsidR="005B1409">
        <w:t xml:space="preserve">Step 1 in </w:t>
      </w:r>
      <w:r w:rsidR="0043740D">
        <w:fldChar w:fldCharType="begin"/>
      </w:r>
      <w:r w:rsidR="0043740D">
        <w:instrText xml:space="preserve"> REF _Ref501109348 \h </w:instrText>
      </w:r>
      <w:r w:rsidR="0043740D">
        <w:fldChar w:fldCharType="separate"/>
      </w:r>
      <w:r w:rsidR="004C27B3">
        <w:rPr>
          <w:b/>
          <w:bCs/>
          <w:lang w:val="en-US"/>
        </w:rPr>
        <w:t>Error! Reference source not found.</w:t>
      </w:r>
      <w:r w:rsidR="0043740D">
        <w:fldChar w:fldCharType="end"/>
      </w:r>
      <w:r w:rsidR="002F2F83">
        <w:t>6</w:t>
      </w:r>
      <w:r w:rsidR="005B1409">
        <w:t>a</w:t>
      </w:r>
      <w:proofErr w:type="gramStart"/>
      <w:r w:rsidR="005B1409">
        <w:t>,</w:t>
      </w:r>
      <w:r w:rsidR="00825DFD">
        <w:t>b,c,d</w:t>
      </w:r>
      <w:proofErr w:type="gramEnd"/>
      <w:r w:rsidR="00825DFD">
        <w:t xml:space="preserve"> and f</w:t>
      </w:r>
      <w:r>
        <w:t>). Again, this suggests that the association between DV and academic failure appears to be largely independent of problems in the middle years. The associations between each middle year indicator and reading did not alter substantially when DV1 was included in the model (</w:t>
      </w:r>
      <w:r w:rsidR="00825DFD">
        <w:t>e.g.</w:t>
      </w:r>
      <w:r>
        <w:t xml:space="preserve"> for emotional problems compare </w:t>
      </w:r>
      <w:r w:rsidR="005B1409">
        <w:t xml:space="preserve">Step </w:t>
      </w:r>
      <w:r>
        <w:t>2 and</w:t>
      </w:r>
      <w:r w:rsidR="005B1409">
        <w:t xml:space="preserve"> Step</w:t>
      </w:r>
      <w:r>
        <w:t xml:space="preserve"> </w:t>
      </w:r>
      <w:proofErr w:type="gramStart"/>
      <w:r>
        <w:t>3</w:t>
      </w:r>
      <w:proofErr w:type="gramEnd"/>
      <w:r w:rsidR="005B1409">
        <w:t xml:space="preserve"> in </w:t>
      </w:r>
      <w:r w:rsidR="00D2248B">
        <w:fldChar w:fldCharType="begin"/>
      </w:r>
      <w:r w:rsidR="00D2248B">
        <w:instrText xml:space="preserve"> REF _Ref501109348 \h </w:instrText>
      </w:r>
      <w:r w:rsidR="00D2248B">
        <w:fldChar w:fldCharType="separate"/>
      </w:r>
      <w:r w:rsidR="004C27B3">
        <w:rPr>
          <w:b/>
          <w:bCs/>
          <w:lang w:val="en-US"/>
        </w:rPr>
        <w:t>Error! Reference source not found.</w:t>
      </w:r>
      <w:r w:rsidR="00D2248B">
        <w:fldChar w:fldCharType="end"/>
      </w:r>
      <w:r w:rsidR="002F2F83">
        <w:t>6</w:t>
      </w:r>
      <w:r w:rsidR="005B1409">
        <w:t>b</w:t>
      </w:r>
      <w:r>
        <w:t>) suggesting that these associations are relatively independent of whether or not the student was vulnerable to begin with.</w:t>
      </w:r>
    </w:p>
    <w:p w14:paraId="46FA2D63" w14:textId="5A4438FA" w:rsidR="00B627C2" w:rsidRDefault="00833C0A" w:rsidP="0031784D">
      <w:pPr>
        <w:pStyle w:val="Heading1"/>
        <w:spacing w:before="0" w:after="120"/>
      </w:pPr>
      <w:bookmarkStart w:id="183" w:name="_Toc501120770"/>
      <w:r>
        <w:t>Appendix 5 – Acronyms and Abbreviations</w:t>
      </w:r>
      <w:bookmarkEnd w:id="183"/>
    </w:p>
    <w:p w14:paraId="759F978E" w14:textId="77777777" w:rsidR="00833C0A" w:rsidRDefault="00833C0A" w:rsidP="00833C0A">
      <w:pPr>
        <w:pStyle w:val="NoSpacing"/>
      </w:pPr>
      <w:r w:rsidRPr="001F55A6">
        <w:t xml:space="preserve">ACARA </w:t>
      </w:r>
      <w:r>
        <w:t xml:space="preserve">- </w:t>
      </w:r>
      <w:r w:rsidRPr="001F55A6">
        <w:t>Australian Curriculum Asse</w:t>
      </w:r>
      <w:r>
        <w:t>ssment and Reporting Authority</w:t>
      </w:r>
    </w:p>
    <w:p w14:paraId="06860C3D" w14:textId="77777777" w:rsidR="00833C0A" w:rsidRDefault="00833C0A" w:rsidP="00833C0A">
      <w:pPr>
        <w:pStyle w:val="NoSpacing"/>
      </w:pPr>
      <w:r>
        <w:t>AEDC – Australian Early Development Census</w:t>
      </w:r>
    </w:p>
    <w:p w14:paraId="5F903821" w14:textId="77777777" w:rsidR="00833C0A" w:rsidRDefault="00833C0A" w:rsidP="00833C0A">
      <w:pPr>
        <w:pStyle w:val="NoSpacing"/>
      </w:pPr>
      <w:r>
        <w:t>AEDI – Australian Early Development Index</w:t>
      </w:r>
    </w:p>
    <w:p w14:paraId="3AC63E21" w14:textId="77777777" w:rsidR="00833C0A" w:rsidRDefault="00833C0A" w:rsidP="00833C0A">
      <w:pPr>
        <w:pStyle w:val="NoSpacing"/>
        <w:rPr>
          <w:rFonts w:cstheme="minorHAnsi"/>
          <w:color w:val="000000" w:themeColor="text1"/>
        </w:rPr>
      </w:pPr>
      <w:r>
        <w:rPr>
          <w:rFonts w:cstheme="minorHAnsi"/>
          <w:color w:val="000000" w:themeColor="text1"/>
        </w:rPr>
        <w:t xml:space="preserve">ATSI – Aboriginal and </w:t>
      </w:r>
      <w:r w:rsidRPr="00954108">
        <w:rPr>
          <w:rFonts w:cstheme="minorHAnsi"/>
          <w:color w:val="000000" w:themeColor="text1"/>
        </w:rPr>
        <w:t>Torres Strait Islander</w:t>
      </w:r>
    </w:p>
    <w:p w14:paraId="624A404B" w14:textId="77777777" w:rsidR="00833C0A" w:rsidRDefault="00833C0A" w:rsidP="00833C0A">
      <w:pPr>
        <w:pStyle w:val="NoSpacing"/>
        <w:rPr>
          <w:rFonts w:cstheme="minorHAnsi"/>
          <w:color w:val="000000" w:themeColor="text1"/>
        </w:rPr>
      </w:pPr>
      <w:r w:rsidRPr="000A3C65">
        <w:rPr>
          <w:rFonts w:cstheme="minorHAnsi"/>
          <w:color w:val="000000" w:themeColor="text1"/>
        </w:rPr>
        <w:t>CATS - Childhood to Adolescence Transition Study</w:t>
      </w:r>
    </w:p>
    <w:p w14:paraId="559161F3" w14:textId="77777777" w:rsidR="00833C0A" w:rsidRDefault="00833C0A" w:rsidP="00833C0A">
      <w:pPr>
        <w:pStyle w:val="NoSpacing"/>
        <w:rPr>
          <w:rFonts w:cstheme="minorHAnsi"/>
          <w:color w:val="000000" w:themeColor="text1"/>
        </w:rPr>
      </w:pPr>
      <w:r>
        <w:rPr>
          <w:rFonts w:cstheme="minorHAnsi"/>
          <w:color w:val="000000" w:themeColor="text1"/>
        </w:rPr>
        <w:t>CI – Confidence Interval</w:t>
      </w:r>
    </w:p>
    <w:p w14:paraId="456785E9" w14:textId="77777777" w:rsidR="00833C0A" w:rsidRDefault="00833C0A" w:rsidP="00833C0A">
      <w:pPr>
        <w:pStyle w:val="NoSpacing"/>
        <w:rPr>
          <w:rFonts w:cstheme="minorHAnsi"/>
          <w:color w:val="000000" w:themeColor="text1"/>
        </w:rPr>
      </w:pPr>
      <w:r>
        <w:rPr>
          <w:rFonts w:cstheme="minorHAnsi"/>
          <w:color w:val="000000" w:themeColor="text1"/>
        </w:rPr>
        <w:t>COAG – Council of Australian Governments</w:t>
      </w:r>
    </w:p>
    <w:p w14:paraId="2F89254B" w14:textId="77777777" w:rsidR="00833C0A" w:rsidRDefault="00833C0A" w:rsidP="00833C0A">
      <w:pPr>
        <w:pStyle w:val="NoSpacing"/>
        <w:rPr>
          <w:rFonts w:cstheme="minorHAnsi"/>
          <w:color w:val="000000" w:themeColor="text1"/>
        </w:rPr>
      </w:pPr>
      <w:r>
        <w:rPr>
          <w:rFonts w:cstheme="minorHAnsi"/>
          <w:color w:val="000000" w:themeColor="text1"/>
        </w:rPr>
        <w:t>DV – Developmentally vulnerable</w:t>
      </w:r>
    </w:p>
    <w:p w14:paraId="3B688C6E" w14:textId="77777777" w:rsidR="00833C0A" w:rsidRDefault="00833C0A" w:rsidP="00833C0A">
      <w:pPr>
        <w:pStyle w:val="NoSpacing"/>
        <w:rPr>
          <w:rFonts w:cstheme="minorHAnsi"/>
          <w:color w:val="000000" w:themeColor="text1"/>
        </w:rPr>
      </w:pPr>
      <w:r>
        <w:rPr>
          <w:rFonts w:cstheme="minorHAnsi"/>
          <w:color w:val="000000" w:themeColor="text1"/>
        </w:rPr>
        <w:t>DV1 – Developmentally vulnerable in 1 or more domains</w:t>
      </w:r>
    </w:p>
    <w:p w14:paraId="34E03E2A" w14:textId="77777777" w:rsidR="00833C0A" w:rsidRDefault="00833C0A" w:rsidP="00833C0A">
      <w:pPr>
        <w:pStyle w:val="NoSpacing"/>
        <w:rPr>
          <w:rFonts w:cstheme="minorHAnsi"/>
          <w:color w:val="000000" w:themeColor="text1"/>
        </w:rPr>
      </w:pPr>
      <w:r>
        <w:rPr>
          <w:rFonts w:cstheme="minorHAnsi"/>
          <w:color w:val="000000" w:themeColor="text1"/>
        </w:rPr>
        <w:t>DV2 – Developmentally vulnerable in 2 or more domains</w:t>
      </w:r>
    </w:p>
    <w:p w14:paraId="19BDA1CF" w14:textId="77777777" w:rsidR="00833C0A" w:rsidRDefault="00833C0A" w:rsidP="00833C0A">
      <w:pPr>
        <w:pStyle w:val="NoSpacing"/>
      </w:pPr>
      <w:r>
        <w:t>EDI – Early Development Index</w:t>
      </w:r>
    </w:p>
    <w:p w14:paraId="1AF53FCB" w14:textId="77777777" w:rsidR="00833C0A" w:rsidRDefault="00833C0A" w:rsidP="00833C0A">
      <w:pPr>
        <w:pStyle w:val="NoSpacing"/>
      </w:pPr>
      <w:r>
        <w:t>EYL – Equivalent Years of Learning</w:t>
      </w:r>
    </w:p>
    <w:p w14:paraId="4D9D0E0F" w14:textId="144B965A" w:rsidR="00833C0A" w:rsidRDefault="00833C0A" w:rsidP="00833C0A">
      <w:pPr>
        <w:pStyle w:val="NoSpacing"/>
      </w:pPr>
      <w:r w:rsidRPr="003803A0">
        <w:rPr>
          <w:rFonts w:cstheme="minorHAnsi"/>
          <w:lang w:val="en-GB"/>
        </w:rPr>
        <w:t>IRS</w:t>
      </w:r>
      <w:r w:rsidR="00AF629F">
        <w:rPr>
          <w:rFonts w:cstheme="minorHAnsi"/>
          <w:lang w:val="en-GB"/>
        </w:rPr>
        <w:t>E</w:t>
      </w:r>
      <w:r w:rsidRPr="003803A0">
        <w:rPr>
          <w:rFonts w:cstheme="minorHAnsi"/>
          <w:lang w:val="en-GB"/>
        </w:rPr>
        <w:t>AD - Index of Relative Socio-Economic Advantage and Disadvantage</w:t>
      </w:r>
      <w:r w:rsidRPr="0013322A">
        <w:rPr>
          <w:rFonts w:cstheme="minorHAnsi"/>
          <w:lang w:val="en-GB"/>
        </w:rPr>
        <w:t xml:space="preserve"> </w:t>
      </w:r>
    </w:p>
    <w:p w14:paraId="1D3141F3" w14:textId="22C3A96A" w:rsidR="00833C0A" w:rsidRDefault="00833C0A" w:rsidP="00833C0A">
      <w:pPr>
        <w:pStyle w:val="NoSpacing"/>
        <w:rPr>
          <w:rFonts w:cstheme="minorHAnsi"/>
          <w:lang w:val="en-GB"/>
        </w:rPr>
      </w:pPr>
      <w:r>
        <w:t xml:space="preserve">NAPLAN - </w:t>
      </w:r>
      <w:r w:rsidRPr="00E7550F">
        <w:rPr>
          <w:rFonts w:cstheme="minorHAnsi"/>
          <w:lang w:val="en-GB"/>
        </w:rPr>
        <w:t>National Assessment Program – Literacy and Numeracy</w:t>
      </w:r>
    </w:p>
    <w:p w14:paraId="05BBBB5B" w14:textId="77777777" w:rsidR="00833C0A" w:rsidRDefault="00833C0A" w:rsidP="00833C0A">
      <w:pPr>
        <w:pStyle w:val="NoSpacing"/>
        <w:rPr>
          <w:rFonts w:cstheme="minorHAnsi"/>
          <w:lang w:val="en-GB"/>
        </w:rPr>
      </w:pPr>
      <w:r>
        <w:rPr>
          <w:rFonts w:cstheme="minorHAnsi"/>
          <w:lang w:val="en-GB"/>
        </w:rPr>
        <w:t>NMS – National Minimum Standard</w:t>
      </w:r>
    </w:p>
    <w:p w14:paraId="4BD8E794" w14:textId="77777777" w:rsidR="00833C0A" w:rsidRDefault="00833C0A" w:rsidP="00833C0A">
      <w:pPr>
        <w:pStyle w:val="NoSpacing"/>
        <w:rPr>
          <w:rFonts w:cstheme="minorHAnsi"/>
          <w:lang w:val="en-GB"/>
        </w:rPr>
      </w:pPr>
      <w:r>
        <w:rPr>
          <w:rFonts w:cstheme="minorHAnsi"/>
          <w:lang w:val="en-GB"/>
        </w:rPr>
        <w:t>NSS – NAPLAN scale score</w:t>
      </w:r>
    </w:p>
    <w:p w14:paraId="7C4CFA88" w14:textId="5B38F440" w:rsidR="00833C0A" w:rsidRDefault="00833C0A" w:rsidP="00833C0A">
      <w:pPr>
        <w:pStyle w:val="NoSpacing"/>
        <w:rPr>
          <w:rFonts w:cstheme="minorHAnsi"/>
          <w:lang w:val="en-GB"/>
        </w:rPr>
      </w:pPr>
      <w:r>
        <w:rPr>
          <w:rFonts w:cstheme="minorHAnsi"/>
          <w:lang w:val="en-GB"/>
        </w:rPr>
        <w:t>Not-DV – Not developmentally vulnerable</w:t>
      </w:r>
    </w:p>
    <w:p w14:paraId="30342AFE" w14:textId="77777777" w:rsidR="00833C0A" w:rsidRDefault="00833C0A" w:rsidP="00833C0A">
      <w:pPr>
        <w:pStyle w:val="NoSpacing"/>
        <w:rPr>
          <w:rFonts w:cstheme="minorHAnsi"/>
          <w:lang w:val="en-GB"/>
        </w:rPr>
      </w:pPr>
      <w:r w:rsidRPr="006D6760">
        <w:rPr>
          <w:rFonts w:cstheme="minorHAnsi"/>
          <w:lang w:val="en-GB"/>
        </w:rPr>
        <w:t>OECD – Organisation for Economic Co-operation and Development</w:t>
      </w:r>
    </w:p>
    <w:p w14:paraId="5C622837" w14:textId="77777777" w:rsidR="00833C0A" w:rsidRPr="003803A0" w:rsidRDefault="00833C0A" w:rsidP="00833C0A">
      <w:pPr>
        <w:pStyle w:val="NoSpacing"/>
        <w:rPr>
          <w:rFonts w:cstheme="minorHAnsi"/>
          <w:lang w:val="en-GB"/>
        </w:rPr>
      </w:pPr>
      <w:r>
        <w:rPr>
          <w:rFonts w:cstheme="minorHAnsi"/>
          <w:lang w:val="en-GB"/>
        </w:rPr>
        <w:t>OR – Odds Ratio</w:t>
      </w:r>
    </w:p>
    <w:p w14:paraId="3CADACEF" w14:textId="09F72565" w:rsidR="00833C0A" w:rsidRDefault="00833C0A" w:rsidP="00833C0A">
      <w:pPr>
        <w:pStyle w:val="NoSpacing"/>
        <w:rPr>
          <w:rFonts w:cstheme="minorHAnsi"/>
          <w:lang w:val="en-GB"/>
        </w:rPr>
      </w:pPr>
      <w:proofErr w:type="spellStart"/>
      <w:r w:rsidRPr="003803A0">
        <w:rPr>
          <w:rFonts w:cstheme="minorHAnsi"/>
          <w:lang w:val="en-GB"/>
        </w:rPr>
        <w:t>Peds</w:t>
      </w:r>
      <w:r w:rsidR="005265DE">
        <w:rPr>
          <w:rFonts w:cstheme="minorHAnsi"/>
          <w:lang w:val="en-GB"/>
        </w:rPr>
        <w:t>Q</w:t>
      </w:r>
      <w:r w:rsidRPr="003803A0">
        <w:rPr>
          <w:rFonts w:cstheme="minorHAnsi"/>
          <w:lang w:val="en-GB"/>
        </w:rPr>
        <w:t>L</w:t>
      </w:r>
      <w:proofErr w:type="spellEnd"/>
      <w:r w:rsidRPr="003803A0">
        <w:rPr>
          <w:rFonts w:cstheme="minorHAnsi"/>
          <w:lang w:val="en-GB"/>
        </w:rPr>
        <w:t xml:space="preserve"> - Paediatric Quality of Life General Well-Being Scale</w:t>
      </w:r>
    </w:p>
    <w:p w14:paraId="6DD01654" w14:textId="77777777" w:rsidR="00833C0A" w:rsidRDefault="00833C0A" w:rsidP="00833C0A">
      <w:pPr>
        <w:pStyle w:val="NoSpacing"/>
        <w:rPr>
          <w:rFonts w:cstheme="minorHAnsi"/>
          <w:lang w:val="en-GB"/>
        </w:rPr>
      </w:pPr>
      <w:r>
        <w:rPr>
          <w:rFonts w:cstheme="minorHAnsi"/>
          <w:lang w:val="en-GB"/>
        </w:rPr>
        <w:t>PISA – The Programme for International Student Assessment</w:t>
      </w:r>
    </w:p>
    <w:p w14:paraId="62F5759F" w14:textId="77777777" w:rsidR="00833C0A" w:rsidRDefault="00833C0A" w:rsidP="00833C0A">
      <w:pPr>
        <w:pStyle w:val="NoSpacing"/>
        <w:rPr>
          <w:rFonts w:cstheme="minorHAnsi"/>
          <w:lang w:val="en-GB"/>
        </w:rPr>
      </w:pPr>
      <w:r>
        <w:rPr>
          <w:rFonts w:cstheme="minorHAnsi"/>
          <w:lang w:val="en-GB"/>
        </w:rPr>
        <w:t>RA – Research assistant</w:t>
      </w:r>
    </w:p>
    <w:p w14:paraId="7DAE3E2F" w14:textId="77777777" w:rsidR="00833C0A" w:rsidRDefault="00833C0A" w:rsidP="00833C0A">
      <w:pPr>
        <w:pStyle w:val="NoSpacing"/>
        <w:rPr>
          <w:rFonts w:cstheme="minorHAnsi"/>
          <w:lang w:val="en-GB"/>
        </w:rPr>
      </w:pPr>
      <w:r>
        <w:rPr>
          <w:rFonts w:cstheme="minorHAnsi"/>
          <w:lang w:val="en-GB"/>
        </w:rPr>
        <w:t>RR – Risk Ratio</w:t>
      </w:r>
    </w:p>
    <w:p w14:paraId="209480B8" w14:textId="77777777" w:rsidR="00833C0A" w:rsidRDefault="00833C0A" w:rsidP="00833C0A">
      <w:pPr>
        <w:pStyle w:val="NoSpacing"/>
        <w:rPr>
          <w:rFonts w:cstheme="minorHAnsi"/>
          <w:lang w:val="en-GB"/>
        </w:rPr>
      </w:pPr>
      <w:r w:rsidRPr="00E7550F">
        <w:rPr>
          <w:rFonts w:cstheme="minorHAnsi"/>
          <w:lang w:val="en-GB"/>
        </w:rPr>
        <w:t xml:space="preserve">SCAS </w:t>
      </w:r>
      <w:r>
        <w:rPr>
          <w:rFonts w:cstheme="minorHAnsi"/>
          <w:lang w:val="en-GB"/>
        </w:rPr>
        <w:t xml:space="preserve">- </w:t>
      </w:r>
      <w:r w:rsidRPr="00E7550F">
        <w:rPr>
          <w:rFonts w:cstheme="minorHAnsi"/>
          <w:lang w:val="en-GB"/>
        </w:rPr>
        <w:t>S</w:t>
      </w:r>
      <w:r>
        <w:rPr>
          <w:rFonts w:cstheme="minorHAnsi"/>
          <w:lang w:val="en-GB"/>
        </w:rPr>
        <w:t>pence Children’s Anxiety Scale</w:t>
      </w:r>
    </w:p>
    <w:p w14:paraId="7C1ADF31" w14:textId="77777777" w:rsidR="00833C0A" w:rsidRDefault="00833C0A" w:rsidP="00833C0A">
      <w:pPr>
        <w:pStyle w:val="NoSpacing"/>
        <w:rPr>
          <w:rFonts w:cstheme="minorHAnsi"/>
          <w:lang w:val="en-GB"/>
        </w:rPr>
      </w:pPr>
      <w:r w:rsidRPr="000B2D71">
        <w:rPr>
          <w:rFonts w:cstheme="minorHAnsi"/>
          <w:lang w:val="en-GB"/>
        </w:rPr>
        <w:t>SD – Standard Deviation</w:t>
      </w:r>
    </w:p>
    <w:p w14:paraId="2DF15E87" w14:textId="77777777" w:rsidR="00833C0A" w:rsidRDefault="00833C0A" w:rsidP="00833C0A">
      <w:pPr>
        <w:pStyle w:val="NoSpacing"/>
        <w:rPr>
          <w:rFonts w:cstheme="minorHAnsi"/>
          <w:lang w:val="en-GB"/>
        </w:rPr>
      </w:pPr>
      <w:r>
        <w:rPr>
          <w:rFonts w:cstheme="minorHAnsi"/>
          <w:lang w:val="en-GB"/>
        </w:rPr>
        <w:t xml:space="preserve">SE – </w:t>
      </w:r>
      <w:r w:rsidRPr="003803A0">
        <w:rPr>
          <w:rFonts w:cstheme="minorHAnsi"/>
          <w:lang w:val="en-GB"/>
        </w:rPr>
        <w:t>Standard Error</w:t>
      </w:r>
    </w:p>
    <w:p w14:paraId="1FC4211C" w14:textId="4BFD6D6B" w:rsidR="00833C0A" w:rsidRDefault="00833C0A" w:rsidP="00833C0A">
      <w:pPr>
        <w:pStyle w:val="NoSpacing"/>
        <w:rPr>
          <w:rFonts w:cstheme="minorHAnsi"/>
          <w:lang w:val="en-GB"/>
        </w:rPr>
      </w:pPr>
      <w:r>
        <w:t xml:space="preserve">SEIFA - </w:t>
      </w:r>
      <w:r w:rsidRPr="007F1C0A">
        <w:rPr>
          <w:rFonts w:cstheme="minorHAnsi"/>
          <w:lang w:val="en-GB"/>
        </w:rPr>
        <w:t>Socio-Economic Index</w:t>
      </w:r>
      <w:r w:rsidR="00AF629F">
        <w:rPr>
          <w:rFonts w:cstheme="minorHAnsi"/>
          <w:lang w:val="en-GB"/>
        </w:rPr>
        <w:t>es</w:t>
      </w:r>
      <w:r w:rsidRPr="007F1C0A">
        <w:rPr>
          <w:rFonts w:cstheme="minorHAnsi"/>
          <w:lang w:val="en-GB"/>
        </w:rPr>
        <w:t xml:space="preserve"> for Areas</w:t>
      </w:r>
    </w:p>
    <w:p w14:paraId="4236EE43" w14:textId="77777777" w:rsidR="00833C0A" w:rsidRDefault="00833C0A" w:rsidP="00833C0A">
      <w:pPr>
        <w:pStyle w:val="NoSpacing"/>
        <w:rPr>
          <w:rFonts w:cstheme="minorHAnsi"/>
          <w:lang w:val="en-GB"/>
        </w:rPr>
      </w:pPr>
      <w:r>
        <w:rPr>
          <w:rFonts w:cstheme="minorHAnsi"/>
          <w:lang w:val="en-GB"/>
        </w:rPr>
        <w:t>SES – Socio-economic status</w:t>
      </w:r>
    </w:p>
    <w:p w14:paraId="505F57EE" w14:textId="77777777" w:rsidR="00833C0A" w:rsidRDefault="00833C0A" w:rsidP="00833C0A">
      <w:pPr>
        <w:pStyle w:val="NoSpacing"/>
        <w:rPr>
          <w:rFonts w:cstheme="minorHAnsi"/>
          <w:lang w:val="en-GB"/>
        </w:rPr>
      </w:pPr>
      <w:r w:rsidRPr="00E7550F">
        <w:rPr>
          <w:rFonts w:cstheme="minorHAnsi"/>
          <w:lang w:val="en-GB"/>
        </w:rPr>
        <w:t>SMFQ</w:t>
      </w:r>
      <w:r>
        <w:rPr>
          <w:rFonts w:cstheme="minorHAnsi"/>
          <w:lang w:val="en-GB"/>
        </w:rPr>
        <w:t xml:space="preserve"> - </w:t>
      </w:r>
      <w:r w:rsidRPr="00E7550F">
        <w:rPr>
          <w:rFonts w:cstheme="minorHAnsi"/>
          <w:lang w:val="en-GB"/>
        </w:rPr>
        <w:t>Short M</w:t>
      </w:r>
      <w:r>
        <w:rPr>
          <w:rFonts w:cstheme="minorHAnsi"/>
          <w:lang w:val="en-GB"/>
        </w:rPr>
        <w:t>ood and Feelings Questionnaire</w:t>
      </w:r>
    </w:p>
    <w:p w14:paraId="74BD2C42" w14:textId="77777777" w:rsidR="00833C0A" w:rsidRPr="005265DE" w:rsidRDefault="00833C0A" w:rsidP="00833C0A">
      <w:pPr>
        <w:pStyle w:val="NoSpacing"/>
        <w:rPr>
          <w:lang w:val="en-GB"/>
        </w:rPr>
      </w:pPr>
      <w:r w:rsidRPr="00AF629F">
        <w:rPr>
          <w:rFonts w:cstheme="minorHAnsi"/>
          <w:lang w:val="en-GB"/>
        </w:rPr>
        <w:t xml:space="preserve">SQ - </w:t>
      </w:r>
      <w:r w:rsidRPr="005265DE">
        <w:rPr>
          <w:lang w:val="en-GB"/>
        </w:rPr>
        <w:t>Student Questionnaire</w:t>
      </w:r>
    </w:p>
    <w:p w14:paraId="1857E846" w14:textId="77777777" w:rsidR="00833C0A" w:rsidRPr="00AF629F" w:rsidRDefault="00833C0A" w:rsidP="00833C0A">
      <w:pPr>
        <w:pStyle w:val="NoSpacing"/>
        <w:rPr>
          <w:rFonts w:cstheme="minorHAnsi"/>
          <w:lang w:val="en-GB"/>
        </w:rPr>
      </w:pPr>
      <w:r w:rsidRPr="005265DE">
        <w:rPr>
          <w:lang w:val="en-GB"/>
        </w:rPr>
        <w:t>TIMSS – Trends in International Mathematics and Science Study</w:t>
      </w:r>
    </w:p>
    <w:p w14:paraId="7F76887D" w14:textId="77777777" w:rsidR="00833C0A" w:rsidRPr="00AF629F" w:rsidRDefault="00833C0A" w:rsidP="00833C0A">
      <w:pPr>
        <w:pStyle w:val="NoSpacing"/>
      </w:pPr>
      <w:r w:rsidRPr="00AF629F">
        <w:t>YOP – Years of Progress</w:t>
      </w:r>
    </w:p>
    <w:p w14:paraId="015F130F" w14:textId="77777777" w:rsidR="00833C0A" w:rsidRPr="00AF629F" w:rsidRDefault="00833C0A" w:rsidP="00833C0A">
      <w:pPr>
        <w:pStyle w:val="NoSpacing"/>
        <w:rPr>
          <w:rFonts w:cstheme="minorHAnsi"/>
          <w:lang w:val="en-GB"/>
        </w:rPr>
      </w:pPr>
      <w:r w:rsidRPr="00AF629F">
        <w:rPr>
          <w:rFonts w:cstheme="minorHAnsi"/>
          <w:lang w:val="en-GB"/>
        </w:rPr>
        <w:t>VCAA - Victorian Curriculum and Assessment Authority</w:t>
      </w:r>
    </w:p>
    <w:p w14:paraId="5DC40E75" w14:textId="77777777" w:rsidR="007035A6" w:rsidRDefault="007035A6" w:rsidP="00D52B12"/>
    <w:p w14:paraId="577DF517" w14:textId="77777777" w:rsidR="00833C0A" w:rsidRDefault="00833C0A" w:rsidP="00D52B12"/>
    <w:p w14:paraId="16305763" w14:textId="77777777" w:rsidR="00833C0A" w:rsidRDefault="00833C0A" w:rsidP="00D52B12"/>
    <w:p w14:paraId="5795373F" w14:textId="77777777" w:rsidR="00833C0A" w:rsidRDefault="00833C0A" w:rsidP="00D52B12"/>
    <w:p w14:paraId="12755444" w14:textId="77777777" w:rsidR="00833C0A" w:rsidRDefault="00833C0A" w:rsidP="00D52B12"/>
    <w:p w14:paraId="3A2E6927" w14:textId="77777777" w:rsidR="00833C0A" w:rsidRDefault="00833C0A" w:rsidP="00D52B12"/>
    <w:p w14:paraId="2184DCB4" w14:textId="77777777" w:rsidR="00833C0A" w:rsidRDefault="00833C0A" w:rsidP="00D52B12"/>
    <w:p w14:paraId="0113AF93" w14:textId="77777777" w:rsidR="00833C0A" w:rsidRDefault="00833C0A" w:rsidP="00D52B12"/>
    <w:p w14:paraId="3B3D3C08" w14:textId="77777777" w:rsidR="00833C0A" w:rsidRDefault="00833C0A" w:rsidP="00D52B12"/>
    <w:p w14:paraId="3734DAD8" w14:textId="77777777" w:rsidR="00833C0A" w:rsidRDefault="00833C0A" w:rsidP="00D52B12"/>
    <w:p w14:paraId="01BC6571" w14:textId="77777777" w:rsidR="00833C0A" w:rsidRDefault="00833C0A" w:rsidP="00D52B12"/>
    <w:p w14:paraId="338C52C7" w14:textId="77777777" w:rsidR="00833C0A" w:rsidRDefault="00833C0A" w:rsidP="00D52B12"/>
    <w:p w14:paraId="29507503" w14:textId="77777777" w:rsidR="00833C0A" w:rsidRDefault="00833C0A" w:rsidP="00D52B12"/>
    <w:p w14:paraId="0EA5C0F8" w14:textId="77777777" w:rsidR="00833C0A" w:rsidRDefault="00833C0A" w:rsidP="00D52B12"/>
    <w:p w14:paraId="6B434722" w14:textId="77777777" w:rsidR="00833C0A" w:rsidRDefault="00833C0A" w:rsidP="00D52B12"/>
    <w:p w14:paraId="0F0CCE0E" w14:textId="77777777" w:rsidR="00833C0A" w:rsidRDefault="00833C0A" w:rsidP="00D52B12"/>
    <w:p w14:paraId="11DD0DB7" w14:textId="77777777" w:rsidR="0022511C" w:rsidRDefault="0022511C">
      <w:pPr>
        <w:spacing w:after="0" w:line="240" w:lineRule="auto"/>
      </w:pPr>
      <w:r>
        <w:br w:type="page"/>
      </w:r>
    </w:p>
    <w:p w14:paraId="456B73D9" w14:textId="610EDA64" w:rsidR="007035A6" w:rsidRPr="00545FD3" w:rsidRDefault="007035A6" w:rsidP="0031784D">
      <w:pPr>
        <w:pStyle w:val="Heading1"/>
        <w:spacing w:before="0"/>
      </w:pPr>
      <w:bookmarkStart w:id="184" w:name="_Toc501120771"/>
      <w:r w:rsidRPr="00545FD3">
        <w:t>References</w:t>
      </w:r>
      <w:bookmarkEnd w:id="184"/>
    </w:p>
    <w:p w14:paraId="257AB2E4" w14:textId="77777777" w:rsidR="0004749E" w:rsidRPr="005265DE" w:rsidRDefault="00B22107" w:rsidP="0004749E">
      <w:pPr>
        <w:pStyle w:val="EndNoteBibliography"/>
        <w:spacing w:after="0"/>
        <w:ind w:left="720" w:hanging="720"/>
        <w:rPr>
          <w:rFonts w:ascii="Trebuchet MS" w:hAnsi="Trebuchet MS"/>
          <w:noProof/>
          <w:sz w:val="20"/>
        </w:rPr>
      </w:pPr>
      <w:r w:rsidRPr="0031784D">
        <w:rPr>
          <w:rFonts w:ascii="Trebuchet MS" w:hAnsi="Trebuchet MS"/>
          <w:noProof/>
          <w:sz w:val="20"/>
        </w:rPr>
        <w:fldChar w:fldCharType="begin"/>
      </w:r>
      <w:r w:rsidRPr="0031784D">
        <w:rPr>
          <w:rFonts w:ascii="Trebuchet MS" w:hAnsi="Trebuchet MS"/>
          <w:noProof/>
          <w:sz w:val="20"/>
        </w:rPr>
        <w:instrText xml:space="preserve"> ADDIN EN.REFLIST </w:instrText>
      </w:r>
      <w:r w:rsidRPr="0031784D">
        <w:rPr>
          <w:rFonts w:ascii="Trebuchet MS" w:hAnsi="Trebuchet MS"/>
          <w:noProof/>
          <w:sz w:val="20"/>
        </w:rPr>
        <w:fldChar w:fldCharType="separate"/>
      </w:r>
      <w:r w:rsidR="0004749E" w:rsidRPr="005265DE">
        <w:rPr>
          <w:rFonts w:ascii="Trebuchet MS" w:hAnsi="Trebuchet MS"/>
          <w:noProof/>
          <w:sz w:val="20"/>
        </w:rPr>
        <w:t>1.</w:t>
      </w:r>
      <w:r w:rsidR="0004749E" w:rsidRPr="005265DE">
        <w:rPr>
          <w:rFonts w:ascii="Trebuchet MS" w:hAnsi="Trebuchet MS"/>
          <w:noProof/>
          <w:sz w:val="20"/>
        </w:rPr>
        <w:tab/>
        <w:t xml:space="preserve">Cunningham, A.E. and K.E. Stanovich, </w:t>
      </w:r>
      <w:r w:rsidR="0004749E" w:rsidRPr="005265DE">
        <w:rPr>
          <w:rFonts w:ascii="Trebuchet MS" w:hAnsi="Trebuchet MS"/>
          <w:i/>
          <w:noProof/>
          <w:sz w:val="20"/>
        </w:rPr>
        <w:t>Early reading acquisition and its relation to reading experience and ability 10 years later.</w:t>
      </w:r>
      <w:r w:rsidR="0004749E" w:rsidRPr="005265DE">
        <w:rPr>
          <w:rFonts w:ascii="Trebuchet MS" w:hAnsi="Trebuchet MS"/>
          <w:noProof/>
          <w:sz w:val="20"/>
        </w:rPr>
        <w:t xml:space="preserve"> Developmental Psychology, 1997. </w:t>
      </w:r>
      <w:r w:rsidR="0004749E" w:rsidRPr="005265DE">
        <w:rPr>
          <w:rFonts w:ascii="Trebuchet MS" w:hAnsi="Trebuchet MS"/>
          <w:b/>
          <w:noProof/>
          <w:sz w:val="20"/>
        </w:rPr>
        <w:t>33</w:t>
      </w:r>
      <w:r w:rsidR="0004749E" w:rsidRPr="005265DE">
        <w:rPr>
          <w:rFonts w:ascii="Trebuchet MS" w:hAnsi="Trebuchet MS"/>
          <w:noProof/>
          <w:sz w:val="20"/>
        </w:rPr>
        <w:t>(6): p. 934-945.</w:t>
      </w:r>
    </w:p>
    <w:p w14:paraId="6BCDADE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w:t>
      </w:r>
      <w:r w:rsidRPr="005265DE">
        <w:rPr>
          <w:rFonts w:ascii="Trebuchet MS" w:hAnsi="Trebuchet MS"/>
          <w:noProof/>
          <w:sz w:val="20"/>
        </w:rPr>
        <w:tab/>
        <w:t xml:space="preserve">Australian Department of Education and Training, </w:t>
      </w:r>
      <w:r w:rsidRPr="005265DE">
        <w:rPr>
          <w:rFonts w:ascii="Trebuchet MS" w:hAnsi="Trebuchet MS"/>
          <w:i/>
          <w:noProof/>
          <w:sz w:val="20"/>
        </w:rPr>
        <w:t>Australian Early Development Census National Report 2015</w:t>
      </w:r>
      <w:r w:rsidRPr="005265DE">
        <w:rPr>
          <w:rFonts w:ascii="Trebuchet MS" w:hAnsi="Trebuchet MS"/>
          <w:noProof/>
          <w:sz w:val="20"/>
        </w:rPr>
        <w:t>. 2016.</w:t>
      </w:r>
    </w:p>
    <w:p w14:paraId="21D31ADD"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w:t>
      </w:r>
      <w:r w:rsidRPr="005265DE">
        <w:rPr>
          <w:rFonts w:ascii="Trebuchet MS" w:hAnsi="Trebuchet MS"/>
          <w:noProof/>
          <w:sz w:val="20"/>
        </w:rPr>
        <w:tab/>
        <w:t xml:space="preserve">Brinkman, S.A., et al., </w:t>
      </w:r>
      <w:r w:rsidRPr="005265DE">
        <w:rPr>
          <w:rFonts w:ascii="Trebuchet MS" w:hAnsi="Trebuchet MS"/>
          <w:i/>
          <w:noProof/>
          <w:sz w:val="20"/>
        </w:rPr>
        <w:t>Data resource profile: the Australian early development index (AEDI).</w:t>
      </w:r>
      <w:r w:rsidRPr="005265DE">
        <w:rPr>
          <w:rFonts w:ascii="Trebuchet MS" w:hAnsi="Trebuchet MS"/>
          <w:noProof/>
          <w:sz w:val="20"/>
        </w:rPr>
        <w:t xml:space="preserve"> International Journal Of Epidemiology, 2014. </w:t>
      </w:r>
      <w:r w:rsidRPr="005265DE">
        <w:rPr>
          <w:rFonts w:ascii="Trebuchet MS" w:hAnsi="Trebuchet MS"/>
          <w:b/>
          <w:noProof/>
          <w:sz w:val="20"/>
        </w:rPr>
        <w:t>43</w:t>
      </w:r>
      <w:r w:rsidRPr="005265DE">
        <w:rPr>
          <w:rFonts w:ascii="Trebuchet MS" w:hAnsi="Trebuchet MS"/>
          <w:noProof/>
          <w:sz w:val="20"/>
        </w:rPr>
        <w:t>(4): p. 1089-1096.</w:t>
      </w:r>
    </w:p>
    <w:p w14:paraId="3987E2F9"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w:t>
      </w:r>
      <w:r w:rsidRPr="005265DE">
        <w:rPr>
          <w:rFonts w:ascii="Trebuchet MS" w:hAnsi="Trebuchet MS"/>
          <w:noProof/>
          <w:sz w:val="20"/>
        </w:rPr>
        <w:tab/>
        <w:t xml:space="preserve">Bundy, D.A.P., et al., </w:t>
      </w:r>
      <w:r w:rsidRPr="005265DE">
        <w:rPr>
          <w:rFonts w:ascii="Trebuchet MS" w:hAnsi="Trebuchet MS"/>
          <w:i/>
          <w:noProof/>
          <w:sz w:val="20"/>
        </w:rPr>
        <w:t>Investment in child and adolescent health and development: key messages from Disease Control Priorities, 3rd Edition.</w:t>
      </w:r>
      <w:r w:rsidRPr="005265DE">
        <w:rPr>
          <w:rFonts w:ascii="Trebuchet MS" w:hAnsi="Trebuchet MS"/>
          <w:noProof/>
          <w:sz w:val="20"/>
        </w:rPr>
        <w:t xml:space="preserve"> The Lancet.</w:t>
      </w:r>
    </w:p>
    <w:p w14:paraId="0AB8E20B"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5.</w:t>
      </w:r>
      <w:r w:rsidRPr="005265DE">
        <w:rPr>
          <w:rFonts w:ascii="Trebuchet MS" w:hAnsi="Trebuchet MS"/>
          <w:noProof/>
          <w:sz w:val="20"/>
        </w:rPr>
        <w:tab/>
        <w:t xml:space="preserve">Evans-Whipp, T., et al., </w:t>
      </w:r>
      <w:r w:rsidRPr="005265DE">
        <w:rPr>
          <w:rFonts w:ascii="Trebuchet MS" w:hAnsi="Trebuchet MS"/>
          <w:i/>
          <w:noProof/>
          <w:sz w:val="20"/>
        </w:rPr>
        <w:t>Student wellbeing, engagement and learning across the middle years</w:t>
      </w:r>
      <w:r w:rsidRPr="005265DE">
        <w:rPr>
          <w:rFonts w:ascii="Trebuchet MS" w:hAnsi="Trebuchet MS"/>
          <w:noProof/>
          <w:sz w:val="20"/>
        </w:rPr>
        <w:t>. 2017, Centre for Adolescent Health, MCRI.</w:t>
      </w:r>
    </w:p>
    <w:p w14:paraId="2EC0C169"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6.</w:t>
      </w:r>
      <w:r w:rsidRPr="005265DE">
        <w:rPr>
          <w:rFonts w:ascii="Trebuchet MS" w:hAnsi="Trebuchet MS"/>
          <w:noProof/>
          <w:sz w:val="20"/>
        </w:rPr>
        <w:tab/>
        <w:t xml:space="preserve">Lamb, S., et al., </w:t>
      </w:r>
      <w:r w:rsidRPr="005265DE">
        <w:rPr>
          <w:rFonts w:ascii="Trebuchet MS" w:hAnsi="Trebuchet MS"/>
          <w:i/>
          <w:noProof/>
          <w:sz w:val="20"/>
        </w:rPr>
        <w:t>Educational opportunity in Australia 2015: Who succeeds and who misses out</w:t>
      </w:r>
      <w:r w:rsidRPr="005265DE">
        <w:rPr>
          <w:rFonts w:ascii="Trebuchet MS" w:hAnsi="Trebuchet MS"/>
          <w:noProof/>
          <w:sz w:val="20"/>
        </w:rPr>
        <w:t>. 2015, Centre for International Research on Education Systems, Victoria University, for the Mitchell Institute: Melbourne.</w:t>
      </w:r>
    </w:p>
    <w:p w14:paraId="34AE0F56"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7.</w:t>
      </w:r>
      <w:r w:rsidRPr="005265DE">
        <w:rPr>
          <w:rFonts w:ascii="Trebuchet MS" w:hAnsi="Trebuchet MS"/>
          <w:noProof/>
          <w:sz w:val="20"/>
        </w:rPr>
        <w:tab/>
        <w:t xml:space="preserve">Australian Curriculum Assessment and Reporting Authority, </w:t>
      </w:r>
      <w:r w:rsidRPr="005265DE">
        <w:rPr>
          <w:rFonts w:ascii="Trebuchet MS" w:hAnsi="Trebuchet MS"/>
          <w:i/>
          <w:noProof/>
          <w:sz w:val="20"/>
        </w:rPr>
        <w:t>NAPLAN Achievement in Reading, Writing, Language Conventions and Numeracy: National Report for 2016</w:t>
      </w:r>
      <w:r w:rsidRPr="005265DE">
        <w:rPr>
          <w:rFonts w:ascii="Trebuchet MS" w:hAnsi="Trebuchet MS"/>
          <w:noProof/>
          <w:sz w:val="20"/>
        </w:rPr>
        <w:t>. 2016, ACARA: Sydney.</w:t>
      </w:r>
    </w:p>
    <w:p w14:paraId="3301EA5A"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8.</w:t>
      </w:r>
      <w:r w:rsidRPr="005265DE">
        <w:rPr>
          <w:rFonts w:ascii="Trebuchet MS" w:hAnsi="Trebuchet MS"/>
          <w:noProof/>
          <w:sz w:val="20"/>
        </w:rPr>
        <w:tab/>
        <w:t xml:space="preserve">Stanovich, K.E., </w:t>
      </w:r>
      <w:r w:rsidRPr="005265DE">
        <w:rPr>
          <w:rFonts w:ascii="Trebuchet MS" w:hAnsi="Trebuchet MS"/>
          <w:i/>
          <w:noProof/>
          <w:sz w:val="20"/>
        </w:rPr>
        <w:t>Matthew Effects in Reading: Some Consequences of Individual Differences in the Acquisition of Literacy.</w:t>
      </w:r>
      <w:r w:rsidRPr="005265DE">
        <w:rPr>
          <w:rFonts w:ascii="Trebuchet MS" w:hAnsi="Trebuchet MS"/>
          <w:noProof/>
          <w:sz w:val="20"/>
        </w:rPr>
        <w:t xml:space="preserve"> Journal of Education, 2009. </w:t>
      </w:r>
      <w:r w:rsidRPr="005265DE">
        <w:rPr>
          <w:rFonts w:ascii="Trebuchet MS" w:hAnsi="Trebuchet MS"/>
          <w:b/>
          <w:noProof/>
          <w:sz w:val="20"/>
        </w:rPr>
        <w:t>189</w:t>
      </w:r>
      <w:r w:rsidRPr="005265DE">
        <w:rPr>
          <w:rFonts w:ascii="Trebuchet MS" w:hAnsi="Trebuchet MS"/>
          <w:noProof/>
          <w:sz w:val="20"/>
        </w:rPr>
        <w:t>(1-2): p. 23-55.</w:t>
      </w:r>
    </w:p>
    <w:p w14:paraId="69DBA46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9.</w:t>
      </w:r>
      <w:r w:rsidRPr="005265DE">
        <w:rPr>
          <w:rFonts w:ascii="Trebuchet MS" w:hAnsi="Trebuchet MS"/>
          <w:noProof/>
          <w:sz w:val="20"/>
        </w:rPr>
        <w:tab/>
        <w:t xml:space="preserve">Goss, P., et al., </w:t>
      </w:r>
      <w:r w:rsidRPr="005265DE">
        <w:rPr>
          <w:rFonts w:ascii="Trebuchet MS" w:hAnsi="Trebuchet MS"/>
          <w:i/>
          <w:noProof/>
          <w:sz w:val="20"/>
        </w:rPr>
        <w:t>Widening gaps: What NAPLAN tells us about student progress</w:t>
      </w:r>
      <w:r w:rsidRPr="005265DE">
        <w:rPr>
          <w:rFonts w:ascii="Trebuchet MS" w:hAnsi="Trebuchet MS"/>
          <w:noProof/>
          <w:sz w:val="20"/>
        </w:rPr>
        <w:t>. 2016, Grattan Institute.</w:t>
      </w:r>
    </w:p>
    <w:p w14:paraId="7F9F17B3"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10.</w:t>
      </w:r>
      <w:r w:rsidRPr="005265DE">
        <w:rPr>
          <w:rFonts w:ascii="Trebuchet MS" w:hAnsi="Trebuchet MS"/>
          <w:noProof/>
          <w:sz w:val="20"/>
        </w:rPr>
        <w:tab/>
        <w:t xml:space="preserve">Institute of Medicine, </w:t>
      </w:r>
      <w:r w:rsidRPr="005265DE">
        <w:rPr>
          <w:rFonts w:ascii="Trebuchet MS" w:hAnsi="Trebuchet MS"/>
          <w:i/>
          <w:noProof/>
          <w:sz w:val="20"/>
        </w:rPr>
        <w:t>From Neurons to Neighborhoods: The Science of Early Childhood Development</w:t>
      </w:r>
      <w:r w:rsidRPr="005265DE">
        <w:rPr>
          <w:rFonts w:ascii="Trebuchet MS" w:hAnsi="Trebuchet MS"/>
          <w:noProof/>
          <w:sz w:val="20"/>
        </w:rPr>
        <w:t>, ed. J. Shonkoff, P. and D. Phillips, A. 2000, Washington, DC: The National Academies Press.</w:t>
      </w:r>
    </w:p>
    <w:p w14:paraId="5A8733C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11.</w:t>
      </w:r>
      <w:r w:rsidRPr="005265DE">
        <w:rPr>
          <w:rFonts w:ascii="Trebuchet MS" w:hAnsi="Trebuchet MS"/>
          <w:noProof/>
          <w:sz w:val="20"/>
        </w:rPr>
        <w:tab/>
        <w:t xml:space="preserve">Goldfeld, S., et al., </w:t>
      </w:r>
      <w:r w:rsidRPr="005265DE">
        <w:rPr>
          <w:rFonts w:ascii="Trebuchet MS" w:hAnsi="Trebuchet MS"/>
          <w:i/>
          <w:noProof/>
          <w:sz w:val="20"/>
        </w:rPr>
        <w:t>The Process and Policy Challenges of Adapting and Implementing the Early Development Instrument in Australia.</w:t>
      </w:r>
      <w:r w:rsidRPr="005265DE">
        <w:rPr>
          <w:rFonts w:ascii="Trebuchet MS" w:hAnsi="Trebuchet MS"/>
          <w:noProof/>
          <w:sz w:val="20"/>
        </w:rPr>
        <w:t xml:space="preserve"> Early Education &amp; Development, 2009. </w:t>
      </w:r>
      <w:r w:rsidRPr="005265DE">
        <w:rPr>
          <w:rFonts w:ascii="Trebuchet MS" w:hAnsi="Trebuchet MS"/>
          <w:b/>
          <w:noProof/>
          <w:sz w:val="20"/>
        </w:rPr>
        <w:t>20</w:t>
      </w:r>
      <w:r w:rsidRPr="005265DE">
        <w:rPr>
          <w:rFonts w:ascii="Trebuchet MS" w:hAnsi="Trebuchet MS"/>
          <w:noProof/>
          <w:sz w:val="20"/>
        </w:rPr>
        <w:t>(6): p. 978-991.</w:t>
      </w:r>
    </w:p>
    <w:p w14:paraId="7390A97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12.</w:t>
      </w:r>
      <w:r w:rsidRPr="005265DE">
        <w:rPr>
          <w:rFonts w:ascii="Trebuchet MS" w:hAnsi="Trebuchet MS"/>
          <w:noProof/>
          <w:sz w:val="20"/>
        </w:rPr>
        <w:tab/>
        <w:t xml:space="preserve">Calman, R.C. and P.J. Crawford, </w:t>
      </w:r>
      <w:r w:rsidRPr="005265DE">
        <w:rPr>
          <w:rFonts w:ascii="Trebuchet MS" w:hAnsi="Trebuchet MS"/>
          <w:i/>
          <w:noProof/>
          <w:sz w:val="20"/>
        </w:rPr>
        <w:t>Starting Early: Teaching, Learning and Assessment. Linking early-childhood development with academic outcomes—a detailed look</w:t>
      </w:r>
      <w:r w:rsidRPr="005265DE">
        <w:rPr>
          <w:rFonts w:ascii="Trebuchet MS" w:hAnsi="Trebuchet MS"/>
          <w:noProof/>
          <w:sz w:val="20"/>
        </w:rPr>
        <w:t>. 2013, Education Quality and Accountability Office (EQAO): Ontario.</w:t>
      </w:r>
    </w:p>
    <w:p w14:paraId="07E6A6A3"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13.</w:t>
      </w:r>
      <w:r w:rsidRPr="005265DE">
        <w:rPr>
          <w:rFonts w:ascii="Trebuchet MS" w:hAnsi="Trebuchet MS"/>
          <w:noProof/>
          <w:sz w:val="20"/>
        </w:rPr>
        <w:tab/>
        <w:t xml:space="preserve">Duncan, G.J., et al., </w:t>
      </w:r>
      <w:r w:rsidRPr="005265DE">
        <w:rPr>
          <w:rFonts w:ascii="Trebuchet MS" w:hAnsi="Trebuchet MS"/>
          <w:i/>
          <w:noProof/>
          <w:sz w:val="20"/>
        </w:rPr>
        <w:t>School readiness and later achievement.</w:t>
      </w:r>
      <w:r w:rsidRPr="005265DE">
        <w:rPr>
          <w:rFonts w:ascii="Trebuchet MS" w:hAnsi="Trebuchet MS"/>
          <w:noProof/>
          <w:sz w:val="20"/>
        </w:rPr>
        <w:t xml:space="preserve"> Developmental psychology, 2007. </w:t>
      </w:r>
      <w:r w:rsidRPr="005265DE">
        <w:rPr>
          <w:rFonts w:ascii="Trebuchet MS" w:hAnsi="Trebuchet MS"/>
          <w:b/>
          <w:noProof/>
          <w:sz w:val="20"/>
        </w:rPr>
        <w:t>43</w:t>
      </w:r>
      <w:r w:rsidRPr="005265DE">
        <w:rPr>
          <w:rFonts w:ascii="Trebuchet MS" w:hAnsi="Trebuchet MS"/>
          <w:noProof/>
          <w:sz w:val="20"/>
        </w:rPr>
        <w:t>(6): p. 1428.</w:t>
      </w:r>
    </w:p>
    <w:p w14:paraId="1D7C28B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14.</w:t>
      </w:r>
      <w:r w:rsidRPr="005265DE">
        <w:rPr>
          <w:rFonts w:ascii="Trebuchet MS" w:hAnsi="Trebuchet MS"/>
          <w:noProof/>
          <w:sz w:val="20"/>
        </w:rPr>
        <w:tab/>
        <w:t xml:space="preserve">Claessens, A., G. Duncan, and M. Engel, </w:t>
      </w:r>
      <w:r w:rsidRPr="005265DE">
        <w:rPr>
          <w:rFonts w:ascii="Trebuchet MS" w:hAnsi="Trebuchet MS"/>
          <w:i/>
          <w:noProof/>
          <w:sz w:val="20"/>
        </w:rPr>
        <w:t>Kindergarten skills and fifth-grade achievement: Evidence from the ECLS-K.</w:t>
      </w:r>
      <w:r w:rsidRPr="005265DE">
        <w:rPr>
          <w:rFonts w:ascii="Trebuchet MS" w:hAnsi="Trebuchet MS"/>
          <w:noProof/>
          <w:sz w:val="20"/>
        </w:rPr>
        <w:t xml:space="preserve"> Economics of Education Review, 2009. </w:t>
      </w:r>
      <w:r w:rsidRPr="005265DE">
        <w:rPr>
          <w:rFonts w:ascii="Trebuchet MS" w:hAnsi="Trebuchet MS"/>
          <w:b/>
          <w:noProof/>
          <w:sz w:val="20"/>
        </w:rPr>
        <w:t>28</w:t>
      </w:r>
      <w:r w:rsidRPr="005265DE">
        <w:rPr>
          <w:rFonts w:ascii="Trebuchet MS" w:hAnsi="Trebuchet MS"/>
          <w:noProof/>
          <w:sz w:val="20"/>
        </w:rPr>
        <w:t>(4): p. 415-427.</w:t>
      </w:r>
    </w:p>
    <w:p w14:paraId="05C0E7B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15.</w:t>
      </w:r>
      <w:r w:rsidRPr="005265DE">
        <w:rPr>
          <w:rFonts w:ascii="Trebuchet MS" w:hAnsi="Trebuchet MS"/>
          <w:noProof/>
          <w:sz w:val="20"/>
        </w:rPr>
        <w:tab/>
        <w:t xml:space="preserve">OECD, </w:t>
      </w:r>
      <w:r w:rsidRPr="005265DE">
        <w:rPr>
          <w:rFonts w:ascii="Trebuchet MS" w:hAnsi="Trebuchet MS"/>
          <w:i/>
          <w:noProof/>
          <w:sz w:val="20"/>
        </w:rPr>
        <w:t>Skills for Social Progress: The Power of Social and Emotional Skills</w:t>
      </w:r>
      <w:r w:rsidRPr="005265DE">
        <w:rPr>
          <w:rFonts w:ascii="Trebuchet MS" w:hAnsi="Trebuchet MS"/>
          <w:noProof/>
          <w:sz w:val="20"/>
        </w:rPr>
        <w:t>. 2015, OECD Skills Studies.</w:t>
      </w:r>
    </w:p>
    <w:p w14:paraId="00CFEF1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16.</w:t>
      </w:r>
      <w:r w:rsidRPr="005265DE">
        <w:rPr>
          <w:rFonts w:ascii="Trebuchet MS" w:hAnsi="Trebuchet MS"/>
          <w:noProof/>
          <w:sz w:val="20"/>
        </w:rPr>
        <w:tab/>
        <w:t xml:space="preserve">La Paro, K.M. and R.C. Pianta, </w:t>
      </w:r>
      <w:r w:rsidRPr="005265DE">
        <w:rPr>
          <w:rFonts w:ascii="Trebuchet MS" w:hAnsi="Trebuchet MS"/>
          <w:i/>
          <w:noProof/>
          <w:sz w:val="20"/>
        </w:rPr>
        <w:t>Predicting children's competence in the early school years: A meta-analytic review.</w:t>
      </w:r>
      <w:r w:rsidRPr="005265DE">
        <w:rPr>
          <w:rFonts w:ascii="Trebuchet MS" w:hAnsi="Trebuchet MS"/>
          <w:noProof/>
          <w:sz w:val="20"/>
        </w:rPr>
        <w:t xml:space="preserve"> Review of educational research, 2000. </w:t>
      </w:r>
      <w:r w:rsidRPr="005265DE">
        <w:rPr>
          <w:rFonts w:ascii="Trebuchet MS" w:hAnsi="Trebuchet MS"/>
          <w:b/>
          <w:noProof/>
          <w:sz w:val="20"/>
        </w:rPr>
        <w:t>70</w:t>
      </w:r>
      <w:r w:rsidRPr="005265DE">
        <w:rPr>
          <w:rFonts w:ascii="Trebuchet MS" w:hAnsi="Trebuchet MS"/>
          <w:noProof/>
          <w:sz w:val="20"/>
        </w:rPr>
        <w:t>(4): p. 443-484.</w:t>
      </w:r>
    </w:p>
    <w:p w14:paraId="3D305602"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17.</w:t>
      </w:r>
      <w:r w:rsidRPr="005265DE">
        <w:rPr>
          <w:rFonts w:ascii="Trebuchet MS" w:hAnsi="Trebuchet MS"/>
          <w:noProof/>
          <w:sz w:val="20"/>
        </w:rPr>
        <w:tab/>
        <w:t xml:space="preserve">Greenberg, M.T., et al., </w:t>
      </w:r>
      <w:r w:rsidRPr="005265DE">
        <w:rPr>
          <w:rFonts w:ascii="Trebuchet MS" w:hAnsi="Trebuchet MS"/>
          <w:i/>
          <w:noProof/>
          <w:sz w:val="20"/>
        </w:rPr>
        <w:t>Enhancing school-based prevention and youth development through coordinated social, emotional, and academic learning.</w:t>
      </w:r>
      <w:r w:rsidRPr="005265DE">
        <w:rPr>
          <w:rFonts w:ascii="Trebuchet MS" w:hAnsi="Trebuchet MS"/>
          <w:noProof/>
          <w:sz w:val="20"/>
        </w:rPr>
        <w:t xml:space="preserve"> The American Psychologist, 2003. </w:t>
      </w:r>
      <w:r w:rsidRPr="005265DE">
        <w:rPr>
          <w:rFonts w:ascii="Trebuchet MS" w:hAnsi="Trebuchet MS"/>
          <w:b/>
          <w:noProof/>
          <w:sz w:val="20"/>
        </w:rPr>
        <w:t>58</w:t>
      </w:r>
      <w:r w:rsidRPr="005265DE">
        <w:rPr>
          <w:rFonts w:ascii="Trebuchet MS" w:hAnsi="Trebuchet MS"/>
          <w:noProof/>
          <w:sz w:val="20"/>
        </w:rPr>
        <w:t>(6-7): p. 466–474.</w:t>
      </w:r>
    </w:p>
    <w:p w14:paraId="46C842CE"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18.</w:t>
      </w:r>
      <w:r w:rsidRPr="005265DE">
        <w:rPr>
          <w:rFonts w:ascii="Trebuchet MS" w:hAnsi="Trebuchet MS"/>
          <w:noProof/>
          <w:sz w:val="20"/>
        </w:rPr>
        <w:tab/>
        <w:t xml:space="preserve">Patton, G.C., et al., </w:t>
      </w:r>
      <w:r w:rsidRPr="005265DE">
        <w:rPr>
          <w:rFonts w:ascii="Trebuchet MS" w:hAnsi="Trebuchet MS"/>
          <w:i/>
          <w:noProof/>
          <w:sz w:val="20"/>
        </w:rPr>
        <w:t>Our future: a Lancet commission on adolescent health and wellbeing.</w:t>
      </w:r>
      <w:r w:rsidRPr="005265DE">
        <w:rPr>
          <w:rFonts w:ascii="Trebuchet MS" w:hAnsi="Trebuchet MS"/>
          <w:noProof/>
          <w:sz w:val="20"/>
        </w:rPr>
        <w:t xml:space="preserve"> The Lancet, 2016. </w:t>
      </w:r>
      <w:r w:rsidRPr="005265DE">
        <w:rPr>
          <w:rFonts w:ascii="Trebuchet MS" w:hAnsi="Trebuchet MS"/>
          <w:b/>
          <w:noProof/>
          <w:sz w:val="20"/>
        </w:rPr>
        <w:t>387</w:t>
      </w:r>
      <w:r w:rsidRPr="005265DE">
        <w:rPr>
          <w:rFonts w:ascii="Trebuchet MS" w:hAnsi="Trebuchet MS"/>
          <w:noProof/>
          <w:sz w:val="20"/>
        </w:rPr>
        <w:t>(10036): p. 2423-2478.</w:t>
      </w:r>
    </w:p>
    <w:p w14:paraId="519F3C5D"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19.</w:t>
      </w:r>
      <w:r w:rsidRPr="005265DE">
        <w:rPr>
          <w:rFonts w:ascii="Trebuchet MS" w:hAnsi="Trebuchet MS"/>
          <w:noProof/>
          <w:sz w:val="20"/>
        </w:rPr>
        <w:tab/>
        <w:t xml:space="preserve">Patton, G.C. and R. Viner, </w:t>
      </w:r>
      <w:r w:rsidRPr="005265DE">
        <w:rPr>
          <w:rFonts w:ascii="Trebuchet MS" w:hAnsi="Trebuchet MS"/>
          <w:i/>
          <w:noProof/>
          <w:sz w:val="20"/>
        </w:rPr>
        <w:t>Pubertal transitions in health.</w:t>
      </w:r>
      <w:r w:rsidRPr="005265DE">
        <w:rPr>
          <w:rFonts w:ascii="Trebuchet MS" w:hAnsi="Trebuchet MS"/>
          <w:noProof/>
          <w:sz w:val="20"/>
        </w:rPr>
        <w:t xml:space="preserve"> Lancet, 2007. </w:t>
      </w:r>
      <w:r w:rsidRPr="005265DE">
        <w:rPr>
          <w:rFonts w:ascii="Trebuchet MS" w:hAnsi="Trebuchet MS"/>
          <w:b/>
          <w:noProof/>
          <w:sz w:val="20"/>
        </w:rPr>
        <w:t>369</w:t>
      </w:r>
      <w:r w:rsidRPr="005265DE">
        <w:rPr>
          <w:rFonts w:ascii="Trebuchet MS" w:hAnsi="Trebuchet MS"/>
          <w:noProof/>
          <w:sz w:val="20"/>
        </w:rPr>
        <w:t>(9567): p. 1130-9.</w:t>
      </w:r>
    </w:p>
    <w:p w14:paraId="564195B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20.</w:t>
      </w:r>
      <w:r w:rsidRPr="005265DE">
        <w:rPr>
          <w:rFonts w:ascii="Trebuchet MS" w:hAnsi="Trebuchet MS"/>
          <w:noProof/>
          <w:sz w:val="20"/>
        </w:rPr>
        <w:tab/>
        <w:t xml:space="preserve">Del Giudice, M., </w:t>
      </w:r>
      <w:r w:rsidRPr="005265DE">
        <w:rPr>
          <w:rFonts w:ascii="Trebuchet MS" w:hAnsi="Trebuchet MS"/>
          <w:i/>
          <w:noProof/>
          <w:sz w:val="20"/>
        </w:rPr>
        <w:t>Sex, attachment, and the development of reproductive strategies.</w:t>
      </w:r>
      <w:r w:rsidRPr="005265DE">
        <w:rPr>
          <w:rFonts w:ascii="Trebuchet MS" w:hAnsi="Trebuchet MS"/>
          <w:noProof/>
          <w:sz w:val="20"/>
        </w:rPr>
        <w:t xml:space="preserve"> The Behavioral and brain sciences, 2009. </w:t>
      </w:r>
      <w:r w:rsidRPr="005265DE">
        <w:rPr>
          <w:rFonts w:ascii="Trebuchet MS" w:hAnsi="Trebuchet MS"/>
          <w:b/>
          <w:noProof/>
          <w:sz w:val="20"/>
        </w:rPr>
        <w:t>32</w:t>
      </w:r>
      <w:r w:rsidRPr="005265DE">
        <w:rPr>
          <w:rFonts w:ascii="Trebuchet MS" w:hAnsi="Trebuchet MS"/>
          <w:noProof/>
          <w:sz w:val="20"/>
        </w:rPr>
        <w:t>(1): p. 1-21; discussion 21-67.</w:t>
      </w:r>
    </w:p>
    <w:p w14:paraId="0B72C9DE"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21.</w:t>
      </w:r>
      <w:r w:rsidRPr="005265DE">
        <w:rPr>
          <w:rFonts w:ascii="Trebuchet MS" w:hAnsi="Trebuchet MS"/>
          <w:noProof/>
          <w:sz w:val="20"/>
        </w:rPr>
        <w:tab/>
        <w:t xml:space="preserve">Fares, J., V. Gauri, and E.Y. Jimenez, </w:t>
      </w:r>
      <w:r w:rsidRPr="005265DE">
        <w:rPr>
          <w:rFonts w:ascii="Trebuchet MS" w:hAnsi="Trebuchet MS"/>
          <w:i/>
          <w:noProof/>
          <w:sz w:val="20"/>
        </w:rPr>
        <w:t>World development report 2007: development and the next generation</w:t>
      </w:r>
      <w:r w:rsidRPr="005265DE">
        <w:rPr>
          <w:rFonts w:ascii="Trebuchet MS" w:hAnsi="Trebuchet MS"/>
          <w:noProof/>
          <w:sz w:val="20"/>
        </w:rPr>
        <w:t>. 2006, DC World Bank Group: Washington.</w:t>
      </w:r>
    </w:p>
    <w:p w14:paraId="7E5EDA36"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22.</w:t>
      </w:r>
      <w:r w:rsidRPr="005265DE">
        <w:rPr>
          <w:rFonts w:ascii="Trebuchet MS" w:hAnsi="Trebuchet MS"/>
          <w:noProof/>
          <w:sz w:val="20"/>
        </w:rPr>
        <w:tab/>
        <w:t xml:space="preserve">Victorian Auditor-General's Report, </w:t>
      </w:r>
      <w:r w:rsidRPr="005265DE">
        <w:rPr>
          <w:rFonts w:ascii="Trebuchet MS" w:hAnsi="Trebuchet MS"/>
          <w:i/>
          <w:noProof/>
          <w:sz w:val="20"/>
        </w:rPr>
        <w:t>Education Transitions</w:t>
      </w:r>
      <w:r w:rsidRPr="005265DE">
        <w:rPr>
          <w:rFonts w:ascii="Trebuchet MS" w:hAnsi="Trebuchet MS"/>
          <w:noProof/>
          <w:sz w:val="20"/>
        </w:rPr>
        <w:t>. 2015, Auditor-General: Melbourne.</w:t>
      </w:r>
    </w:p>
    <w:p w14:paraId="69D226DE"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23.</w:t>
      </w:r>
      <w:r w:rsidRPr="005265DE">
        <w:rPr>
          <w:rFonts w:ascii="Trebuchet MS" w:hAnsi="Trebuchet MS"/>
          <w:noProof/>
          <w:sz w:val="20"/>
        </w:rPr>
        <w:tab/>
        <w:t xml:space="preserve">Durlak, J.A., et al., </w:t>
      </w:r>
      <w:r w:rsidRPr="005265DE">
        <w:rPr>
          <w:rFonts w:ascii="Trebuchet MS" w:hAnsi="Trebuchet MS"/>
          <w:i/>
          <w:noProof/>
          <w:sz w:val="20"/>
        </w:rPr>
        <w:t>The Impact of Enhancing Students’ Social and Emotional Learning: A Meta-Analysis of School-Based Universal Interventions.</w:t>
      </w:r>
      <w:r w:rsidRPr="005265DE">
        <w:rPr>
          <w:rFonts w:ascii="Trebuchet MS" w:hAnsi="Trebuchet MS"/>
          <w:noProof/>
          <w:sz w:val="20"/>
        </w:rPr>
        <w:t xml:space="preserve"> Child Development, 2011. </w:t>
      </w:r>
      <w:r w:rsidRPr="005265DE">
        <w:rPr>
          <w:rFonts w:ascii="Trebuchet MS" w:hAnsi="Trebuchet MS"/>
          <w:b/>
          <w:noProof/>
          <w:sz w:val="20"/>
        </w:rPr>
        <w:t>82</w:t>
      </w:r>
      <w:r w:rsidRPr="005265DE">
        <w:rPr>
          <w:rFonts w:ascii="Trebuchet MS" w:hAnsi="Trebuchet MS"/>
          <w:noProof/>
          <w:sz w:val="20"/>
        </w:rPr>
        <w:t>(1): p. 405-432.</w:t>
      </w:r>
    </w:p>
    <w:p w14:paraId="1DCF7607"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24.</w:t>
      </w:r>
      <w:r w:rsidRPr="005265DE">
        <w:rPr>
          <w:rFonts w:ascii="Trebuchet MS" w:hAnsi="Trebuchet MS"/>
          <w:noProof/>
          <w:sz w:val="20"/>
        </w:rPr>
        <w:tab/>
        <w:t xml:space="preserve">Kessler, R.C., et al., </w:t>
      </w:r>
      <w:r w:rsidRPr="005265DE">
        <w:rPr>
          <w:rFonts w:ascii="Trebuchet MS" w:hAnsi="Trebuchet MS"/>
          <w:i/>
          <w:noProof/>
          <w:sz w:val="20"/>
        </w:rPr>
        <w:t>Lifetime prevalence and age-of-onset distributions of DSM-IV disorders in the National Comorbidity Survey Replication.</w:t>
      </w:r>
      <w:r w:rsidRPr="005265DE">
        <w:rPr>
          <w:rFonts w:ascii="Trebuchet MS" w:hAnsi="Trebuchet MS"/>
          <w:noProof/>
          <w:sz w:val="20"/>
        </w:rPr>
        <w:t xml:space="preserve"> Archives of General Psychiatry, 2005. </w:t>
      </w:r>
      <w:r w:rsidRPr="005265DE">
        <w:rPr>
          <w:rFonts w:ascii="Trebuchet MS" w:hAnsi="Trebuchet MS"/>
          <w:b/>
          <w:noProof/>
          <w:sz w:val="20"/>
        </w:rPr>
        <w:t>62</w:t>
      </w:r>
      <w:r w:rsidRPr="005265DE">
        <w:rPr>
          <w:rFonts w:ascii="Trebuchet MS" w:hAnsi="Trebuchet MS"/>
          <w:noProof/>
          <w:sz w:val="20"/>
        </w:rPr>
        <w:t>(6): p. 593-602.</w:t>
      </w:r>
    </w:p>
    <w:p w14:paraId="15433ADB"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25.</w:t>
      </w:r>
      <w:r w:rsidRPr="005265DE">
        <w:rPr>
          <w:rFonts w:ascii="Trebuchet MS" w:hAnsi="Trebuchet MS"/>
          <w:noProof/>
          <w:sz w:val="20"/>
        </w:rPr>
        <w:tab/>
        <w:t xml:space="preserve">Mundy, L.K., et al., </w:t>
      </w:r>
      <w:r w:rsidRPr="005265DE">
        <w:rPr>
          <w:rFonts w:ascii="Trebuchet MS" w:hAnsi="Trebuchet MS"/>
          <w:i/>
          <w:noProof/>
          <w:sz w:val="20"/>
        </w:rPr>
        <w:t>Academic Performance in Primary School Children With Common Emotional and Behavioral Problems.</w:t>
      </w:r>
      <w:r w:rsidRPr="005265DE">
        <w:rPr>
          <w:rFonts w:ascii="Trebuchet MS" w:hAnsi="Trebuchet MS"/>
          <w:noProof/>
          <w:sz w:val="20"/>
        </w:rPr>
        <w:t xml:space="preserve"> Journal of School Health, 2017. </w:t>
      </w:r>
      <w:r w:rsidRPr="005265DE">
        <w:rPr>
          <w:rFonts w:ascii="Trebuchet MS" w:hAnsi="Trebuchet MS"/>
          <w:b/>
          <w:noProof/>
          <w:sz w:val="20"/>
        </w:rPr>
        <w:t>87</w:t>
      </w:r>
      <w:r w:rsidRPr="005265DE">
        <w:rPr>
          <w:rFonts w:ascii="Trebuchet MS" w:hAnsi="Trebuchet MS"/>
          <w:noProof/>
          <w:sz w:val="20"/>
        </w:rPr>
        <w:t>(8): p. 593-601.</w:t>
      </w:r>
    </w:p>
    <w:p w14:paraId="35527430"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26.</w:t>
      </w:r>
      <w:r w:rsidRPr="005265DE">
        <w:rPr>
          <w:rFonts w:ascii="Trebuchet MS" w:hAnsi="Trebuchet MS"/>
          <w:noProof/>
          <w:sz w:val="20"/>
        </w:rPr>
        <w:tab/>
        <w:t xml:space="preserve">Kessler, R.C., et al., </w:t>
      </w:r>
      <w:r w:rsidRPr="005265DE">
        <w:rPr>
          <w:rFonts w:ascii="Trebuchet MS" w:hAnsi="Trebuchet MS"/>
          <w:i/>
          <w:noProof/>
          <w:sz w:val="20"/>
        </w:rPr>
        <w:t>Social consequences of psychiatric disorders, I: Educational attainment.</w:t>
      </w:r>
      <w:r w:rsidRPr="005265DE">
        <w:rPr>
          <w:rFonts w:ascii="Trebuchet MS" w:hAnsi="Trebuchet MS"/>
          <w:noProof/>
          <w:sz w:val="20"/>
        </w:rPr>
        <w:t xml:space="preserve"> American Journal of Psychiatry, 1995. </w:t>
      </w:r>
      <w:r w:rsidRPr="005265DE">
        <w:rPr>
          <w:rFonts w:ascii="Trebuchet MS" w:hAnsi="Trebuchet MS"/>
          <w:b/>
          <w:noProof/>
          <w:sz w:val="20"/>
        </w:rPr>
        <w:t>152</w:t>
      </w:r>
      <w:r w:rsidRPr="005265DE">
        <w:rPr>
          <w:rFonts w:ascii="Trebuchet MS" w:hAnsi="Trebuchet MS"/>
          <w:noProof/>
          <w:sz w:val="20"/>
        </w:rPr>
        <w:t>(7): p. 1026-1032.</w:t>
      </w:r>
    </w:p>
    <w:p w14:paraId="51441ED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27.</w:t>
      </w:r>
      <w:r w:rsidRPr="005265DE">
        <w:rPr>
          <w:rFonts w:ascii="Trebuchet MS" w:hAnsi="Trebuchet MS"/>
          <w:noProof/>
          <w:sz w:val="20"/>
        </w:rPr>
        <w:tab/>
        <w:t xml:space="preserve">Janus, M. and D.R. Offord, </w:t>
      </w:r>
      <w:r w:rsidRPr="005265DE">
        <w:rPr>
          <w:rFonts w:ascii="Trebuchet MS" w:hAnsi="Trebuchet MS"/>
          <w:i/>
          <w:noProof/>
          <w:sz w:val="20"/>
        </w:rPr>
        <w:t>Development and psychometric properties of the Early Development Instrument (EDI): A measure of children's school readiness.</w:t>
      </w:r>
      <w:r w:rsidRPr="005265DE">
        <w:rPr>
          <w:rFonts w:ascii="Trebuchet MS" w:hAnsi="Trebuchet MS"/>
          <w:noProof/>
          <w:sz w:val="20"/>
        </w:rPr>
        <w:t xml:space="preserve"> Canadian Journal of Behavioural Science, 2007. </w:t>
      </w:r>
      <w:r w:rsidRPr="005265DE">
        <w:rPr>
          <w:rFonts w:ascii="Trebuchet MS" w:hAnsi="Trebuchet MS"/>
          <w:b/>
          <w:noProof/>
          <w:sz w:val="20"/>
        </w:rPr>
        <w:t>39</w:t>
      </w:r>
      <w:r w:rsidRPr="005265DE">
        <w:rPr>
          <w:rFonts w:ascii="Trebuchet MS" w:hAnsi="Trebuchet MS"/>
          <w:noProof/>
          <w:sz w:val="20"/>
        </w:rPr>
        <w:t>(1): p. 1-22.</w:t>
      </w:r>
    </w:p>
    <w:p w14:paraId="0195B0C3"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28.</w:t>
      </w:r>
      <w:r w:rsidRPr="005265DE">
        <w:rPr>
          <w:rFonts w:ascii="Trebuchet MS" w:hAnsi="Trebuchet MS"/>
          <w:noProof/>
          <w:sz w:val="20"/>
        </w:rPr>
        <w:tab/>
        <w:t xml:space="preserve">Brinkman, S.A., et al., </w:t>
      </w:r>
      <w:r w:rsidRPr="005265DE">
        <w:rPr>
          <w:rFonts w:ascii="Trebuchet MS" w:hAnsi="Trebuchet MS"/>
          <w:i/>
          <w:noProof/>
          <w:sz w:val="20"/>
        </w:rPr>
        <w:t>Validity and Reliability of the Early Development Instrument in Indonesia.</w:t>
      </w:r>
      <w:r w:rsidRPr="005265DE">
        <w:rPr>
          <w:rFonts w:ascii="Trebuchet MS" w:hAnsi="Trebuchet MS"/>
          <w:noProof/>
          <w:sz w:val="20"/>
        </w:rPr>
        <w:t xml:space="preserve"> Child Indicators Research, 2017. </w:t>
      </w:r>
      <w:r w:rsidRPr="005265DE">
        <w:rPr>
          <w:rFonts w:ascii="Trebuchet MS" w:hAnsi="Trebuchet MS"/>
          <w:b/>
          <w:noProof/>
          <w:sz w:val="20"/>
        </w:rPr>
        <w:t>10</w:t>
      </w:r>
      <w:r w:rsidRPr="005265DE">
        <w:rPr>
          <w:rFonts w:ascii="Trebuchet MS" w:hAnsi="Trebuchet MS"/>
          <w:noProof/>
          <w:sz w:val="20"/>
        </w:rPr>
        <w:t>(2): p. 331-352.</w:t>
      </w:r>
    </w:p>
    <w:p w14:paraId="2DDCE34E"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29.</w:t>
      </w:r>
      <w:r w:rsidRPr="005265DE">
        <w:rPr>
          <w:rFonts w:ascii="Trebuchet MS" w:hAnsi="Trebuchet MS"/>
          <w:noProof/>
          <w:sz w:val="20"/>
        </w:rPr>
        <w:tab/>
        <w:t xml:space="preserve">Brinkman, S.A., et al., </w:t>
      </w:r>
      <w:r w:rsidRPr="005265DE">
        <w:rPr>
          <w:rFonts w:ascii="Trebuchet MS" w:hAnsi="Trebuchet MS"/>
          <w:i/>
          <w:noProof/>
          <w:sz w:val="20"/>
        </w:rPr>
        <w:t>Investigating the Validity of the Australian Early Development Index.</w:t>
      </w:r>
      <w:r w:rsidRPr="005265DE">
        <w:rPr>
          <w:rFonts w:ascii="Trebuchet MS" w:hAnsi="Trebuchet MS"/>
          <w:noProof/>
          <w:sz w:val="20"/>
        </w:rPr>
        <w:t xml:space="preserve"> Early Education and Development, 2007. </w:t>
      </w:r>
      <w:r w:rsidRPr="005265DE">
        <w:rPr>
          <w:rFonts w:ascii="Trebuchet MS" w:hAnsi="Trebuchet MS"/>
          <w:b/>
          <w:noProof/>
          <w:sz w:val="20"/>
        </w:rPr>
        <w:t>18</w:t>
      </w:r>
      <w:r w:rsidRPr="005265DE">
        <w:rPr>
          <w:rFonts w:ascii="Trebuchet MS" w:hAnsi="Trebuchet MS"/>
          <w:noProof/>
          <w:sz w:val="20"/>
        </w:rPr>
        <w:t>(3): p. 427-451.</w:t>
      </w:r>
    </w:p>
    <w:p w14:paraId="28E36EBC"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30.</w:t>
      </w:r>
      <w:r w:rsidRPr="005265DE">
        <w:rPr>
          <w:rFonts w:ascii="Trebuchet MS" w:hAnsi="Trebuchet MS"/>
          <w:noProof/>
          <w:sz w:val="20"/>
        </w:rPr>
        <w:tab/>
        <w:t xml:space="preserve">Andrich, D. and I. Styles, </w:t>
      </w:r>
      <w:r w:rsidRPr="005265DE">
        <w:rPr>
          <w:rFonts w:ascii="Trebuchet MS" w:hAnsi="Trebuchet MS"/>
          <w:i/>
          <w:noProof/>
          <w:sz w:val="20"/>
        </w:rPr>
        <w:t>Report on the Rasch analysis of the Australian Early Development Instrument (AEDI) using 2004 data from 6 states</w:t>
      </w:r>
      <w:r w:rsidRPr="005265DE">
        <w:rPr>
          <w:rFonts w:ascii="Trebuchet MS" w:hAnsi="Trebuchet MS"/>
          <w:noProof/>
          <w:sz w:val="20"/>
        </w:rPr>
        <w:t>. 2005: Perth.</w:t>
      </w:r>
    </w:p>
    <w:p w14:paraId="2445C0A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31.</w:t>
      </w:r>
      <w:r w:rsidRPr="005265DE">
        <w:rPr>
          <w:rFonts w:ascii="Trebuchet MS" w:hAnsi="Trebuchet MS"/>
          <w:noProof/>
          <w:sz w:val="20"/>
        </w:rPr>
        <w:tab/>
        <w:t xml:space="preserve">Silburn, S., et al., </w:t>
      </w:r>
      <w:r w:rsidRPr="005265DE">
        <w:rPr>
          <w:rFonts w:ascii="Trebuchet MS" w:hAnsi="Trebuchet MS"/>
          <w:i/>
          <w:noProof/>
          <w:sz w:val="20"/>
        </w:rPr>
        <w:t>The Australian Early Development Index (AEDI) Indigenous Adaptation Study.</w:t>
      </w:r>
      <w:r w:rsidRPr="005265DE">
        <w:rPr>
          <w:rFonts w:ascii="Trebuchet MS" w:hAnsi="Trebuchet MS"/>
          <w:noProof/>
          <w:sz w:val="20"/>
        </w:rPr>
        <w:t xml:space="preserve"> 2009, Curtin University of Technology and Telethon Institute for Child Health Research: Perth.</w:t>
      </w:r>
    </w:p>
    <w:p w14:paraId="34C37919"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32.</w:t>
      </w:r>
      <w:r w:rsidRPr="005265DE">
        <w:rPr>
          <w:rFonts w:ascii="Trebuchet MS" w:hAnsi="Trebuchet MS"/>
          <w:noProof/>
          <w:sz w:val="20"/>
        </w:rPr>
        <w:tab/>
        <w:t xml:space="preserve">Australian Department of Education and Training, </w:t>
      </w:r>
      <w:r w:rsidRPr="005265DE">
        <w:rPr>
          <w:rFonts w:ascii="Trebuchet MS" w:hAnsi="Trebuchet MS"/>
          <w:i/>
          <w:noProof/>
          <w:sz w:val="20"/>
        </w:rPr>
        <w:t>Australian Early Development Census (AEDC): Data Guidelines</w:t>
      </w:r>
      <w:r w:rsidRPr="005265DE">
        <w:rPr>
          <w:rFonts w:ascii="Trebuchet MS" w:hAnsi="Trebuchet MS"/>
          <w:noProof/>
          <w:sz w:val="20"/>
        </w:rPr>
        <w:t>. 2017.</w:t>
      </w:r>
    </w:p>
    <w:p w14:paraId="16855ED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33.</w:t>
      </w:r>
      <w:r w:rsidRPr="005265DE">
        <w:rPr>
          <w:rFonts w:ascii="Trebuchet MS" w:hAnsi="Trebuchet MS"/>
          <w:noProof/>
          <w:sz w:val="20"/>
        </w:rPr>
        <w:tab/>
        <w:t xml:space="preserve">Sayers, M., et al., </w:t>
      </w:r>
      <w:r w:rsidRPr="005265DE">
        <w:rPr>
          <w:rFonts w:ascii="Trebuchet MS" w:hAnsi="Trebuchet MS"/>
          <w:i/>
          <w:noProof/>
          <w:sz w:val="20"/>
        </w:rPr>
        <w:t>Building Better Communities for Children: Community Implementation and Evaluation of the Australian Early Development Index.</w:t>
      </w:r>
      <w:r w:rsidRPr="005265DE">
        <w:rPr>
          <w:rFonts w:ascii="Trebuchet MS" w:hAnsi="Trebuchet MS"/>
          <w:noProof/>
          <w:sz w:val="20"/>
        </w:rPr>
        <w:t xml:space="preserve"> Early Education and Development, 2007. </w:t>
      </w:r>
      <w:r w:rsidRPr="005265DE">
        <w:rPr>
          <w:rFonts w:ascii="Trebuchet MS" w:hAnsi="Trebuchet MS"/>
          <w:b/>
          <w:noProof/>
          <w:sz w:val="20"/>
        </w:rPr>
        <w:t>18</w:t>
      </w:r>
      <w:r w:rsidRPr="005265DE">
        <w:rPr>
          <w:rFonts w:ascii="Trebuchet MS" w:hAnsi="Trebuchet MS"/>
          <w:noProof/>
          <w:sz w:val="20"/>
        </w:rPr>
        <w:t>(3): p. 519-534.</w:t>
      </w:r>
    </w:p>
    <w:p w14:paraId="4CE8DE1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34.</w:t>
      </w:r>
      <w:r w:rsidRPr="005265DE">
        <w:rPr>
          <w:rFonts w:ascii="Trebuchet MS" w:hAnsi="Trebuchet MS"/>
          <w:noProof/>
          <w:sz w:val="20"/>
        </w:rPr>
        <w:tab/>
        <w:t xml:space="preserve">D'Angiulli, A., et al., </w:t>
      </w:r>
      <w:r w:rsidRPr="005265DE">
        <w:rPr>
          <w:rFonts w:ascii="Trebuchet MS" w:hAnsi="Trebuchet MS"/>
          <w:i/>
          <w:noProof/>
          <w:sz w:val="20"/>
        </w:rPr>
        <w:t>Population-level associations between preschool vulnerability and grade-four basic skills.</w:t>
      </w:r>
      <w:r w:rsidRPr="005265DE">
        <w:rPr>
          <w:rFonts w:ascii="Trebuchet MS" w:hAnsi="Trebuchet MS"/>
          <w:noProof/>
          <w:sz w:val="20"/>
        </w:rPr>
        <w:t xml:space="preserve"> PLoS One, 2009. </w:t>
      </w:r>
      <w:r w:rsidRPr="005265DE">
        <w:rPr>
          <w:rFonts w:ascii="Trebuchet MS" w:hAnsi="Trebuchet MS"/>
          <w:b/>
          <w:noProof/>
          <w:sz w:val="20"/>
        </w:rPr>
        <w:t>4</w:t>
      </w:r>
      <w:r w:rsidRPr="005265DE">
        <w:rPr>
          <w:rFonts w:ascii="Trebuchet MS" w:hAnsi="Trebuchet MS"/>
          <w:noProof/>
          <w:sz w:val="20"/>
        </w:rPr>
        <w:t>(11): p. e7692.</w:t>
      </w:r>
    </w:p>
    <w:p w14:paraId="0B8E70D6"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35.</w:t>
      </w:r>
      <w:r w:rsidRPr="005265DE">
        <w:rPr>
          <w:rFonts w:ascii="Trebuchet MS" w:hAnsi="Trebuchet MS"/>
          <w:noProof/>
          <w:sz w:val="20"/>
        </w:rPr>
        <w:tab/>
        <w:t xml:space="preserve">Guhn, M., et al., </w:t>
      </w:r>
      <w:r w:rsidRPr="005265DE">
        <w:rPr>
          <w:rFonts w:ascii="Trebuchet MS" w:hAnsi="Trebuchet MS"/>
          <w:i/>
          <w:noProof/>
          <w:sz w:val="20"/>
        </w:rPr>
        <w:t>Associations of teacher-rated social, emotional, and cognitive development in kindergarten to self-reported wellbeing, peer relations, and academic test scores in middle childhood.</w:t>
      </w:r>
      <w:r w:rsidRPr="005265DE">
        <w:rPr>
          <w:rFonts w:ascii="Trebuchet MS" w:hAnsi="Trebuchet MS"/>
          <w:noProof/>
          <w:sz w:val="20"/>
        </w:rPr>
        <w:t xml:space="preserve"> Early Childhood Research Quarterly, 2016. </w:t>
      </w:r>
      <w:r w:rsidRPr="005265DE">
        <w:rPr>
          <w:rFonts w:ascii="Trebuchet MS" w:hAnsi="Trebuchet MS"/>
          <w:b/>
          <w:noProof/>
          <w:sz w:val="20"/>
        </w:rPr>
        <w:t>35</w:t>
      </w:r>
      <w:r w:rsidRPr="005265DE">
        <w:rPr>
          <w:rFonts w:ascii="Trebuchet MS" w:hAnsi="Trebuchet MS"/>
          <w:noProof/>
          <w:sz w:val="20"/>
        </w:rPr>
        <w:t>: p. 76-84.</w:t>
      </w:r>
    </w:p>
    <w:p w14:paraId="59022CA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36.</w:t>
      </w:r>
      <w:r w:rsidRPr="005265DE">
        <w:rPr>
          <w:rFonts w:ascii="Trebuchet MS" w:hAnsi="Trebuchet MS"/>
          <w:noProof/>
          <w:sz w:val="20"/>
        </w:rPr>
        <w:tab/>
        <w:t xml:space="preserve">Davies, S., et al., </w:t>
      </w:r>
      <w:r w:rsidRPr="005265DE">
        <w:rPr>
          <w:rFonts w:ascii="Trebuchet MS" w:hAnsi="Trebuchet MS"/>
          <w:i/>
          <w:noProof/>
          <w:sz w:val="20"/>
        </w:rPr>
        <w:t>Using the Early Development Instrument to examine cognitive and non-cognitive school readiness and elementary student achievement.</w:t>
      </w:r>
      <w:r w:rsidRPr="005265DE">
        <w:rPr>
          <w:rFonts w:ascii="Trebuchet MS" w:hAnsi="Trebuchet MS"/>
          <w:noProof/>
          <w:sz w:val="20"/>
        </w:rPr>
        <w:t xml:space="preserve"> Early Childhood Research Quarterly, 2016. </w:t>
      </w:r>
      <w:r w:rsidRPr="005265DE">
        <w:rPr>
          <w:rFonts w:ascii="Trebuchet MS" w:hAnsi="Trebuchet MS"/>
          <w:b/>
          <w:noProof/>
          <w:sz w:val="20"/>
        </w:rPr>
        <w:t>35</w:t>
      </w:r>
      <w:r w:rsidRPr="005265DE">
        <w:rPr>
          <w:rFonts w:ascii="Trebuchet MS" w:hAnsi="Trebuchet MS"/>
          <w:noProof/>
          <w:sz w:val="20"/>
        </w:rPr>
        <w:t>: p. 63-75.</w:t>
      </w:r>
    </w:p>
    <w:p w14:paraId="0261B79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37.</w:t>
      </w:r>
      <w:r w:rsidRPr="005265DE">
        <w:rPr>
          <w:rFonts w:ascii="Trebuchet MS" w:hAnsi="Trebuchet MS"/>
          <w:noProof/>
          <w:sz w:val="20"/>
        </w:rPr>
        <w:tab/>
        <w:t xml:space="preserve">Brinkman, S., et al., </w:t>
      </w:r>
      <w:r w:rsidRPr="005265DE">
        <w:rPr>
          <w:rFonts w:ascii="Trebuchet MS" w:hAnsi="Trebuchet MS"/>
          <w:i/>
          <w:noProof/>
          <w:sz w:val="20"/>
        </w:rPr>
        <w:t>Associations Between the Early Development Instrument at Age 5, and Reading and Numeracy Skills at Ages 8, 10 and 12: A Prospective Linked Data Study.</w:t>
      </w:r>
      <w:r w:rsidRPr="005265DE">
        <w:rPr>
          <w:rFonts w:ascii="Trebuchet MS" w:hAnsi="Trebuchet MS"/>
          <w:noProof/>
          <w:sz w:val="20"/>
        </w:rPr>
        <w:t xml:space="preserve"> Child Indicators Research, 2013. </w:t>
      </w:r>
      <w:r w:rsidRPr="005265DE">
        <w:rPr>
          <w:rFonts w:ascii="Trebuchet MS" w:hAnsi="Trebuchet MS"/>
          <w:b/>
          <w:noProof/>
          <w:sz w:val="20"/>
        </w:rPr>
        <w:t>6</w:t>
      </w:r>
      <w:r w:rsidRPr="005265DE">
        <w:rPr>
          <w:rFonts w:ascii="Trebuchet MS" w:hAnsi="Trebuchet MS"/>
          <w:noProof/>
          <w:sz w:val="20"/>
        </w:rPr>
        <w:t>(4): p. 695-708.</w:t>
      </w:r>
    </w:p>
    <w:p w14:paraId="69EB3B5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38.</w:t>
      </w:r>
      <w:r w:rsidRPr="005265DE">
        <w:rPr>
          <w:rFonts w:ascii="Trebuchet MS" w:hAnsi="Trebuchet MS"/>
          <w:noProof/>
          <w:sz w:val="20"/>
        </w:rPr>
        <w:tab/>
        <w:t xml:space="preserve">Fredricks, J.A., P.C. Blumenfeld, and A.H. Paris, </w:t>
      </w:r>
      <w:r w:rsidRPr="005265DE">
        <w:rPr>
          <w:rFonts w:ascii="Trebuchet MS" w:hAnsi="Trebuchet MS"/>
          <w:i/>
          <w:noProof/>
          <w:sz w:val="20"/>
        </w:rPr>
        <w:t>School engagement: Potential of the concept, state of the evidence.</w:t>
      </w:r>
      <w:r w:rsidRPr="005265DE">
        <w:rPr>
          <w:rFonts w:ascii="Trebuchet MS" w:hAnsi="Trebuchet MS"/>
          <w:noProof/>
          <w:sz w:val="20"/>
        </w:rPr>
        <w:t xml:space="preserve"> Review of Educational Research, 2004. </w:t>
      </w:r>
      <w:r w:rsidRPr="005265DE">
        <w:rPr>
          <w:rFonts w:ascii="Trebuchet MS" w:hAnsi="Trebuchet MS"/>
          <w:b/>
          <w:noProof/>
          <w:sz w:val="20"/>
        </w:rPr>
        <w:t>74</w:t>
      </w:r>
      <w:r w:rsidRPr="005265DE">
        <w:rPr>
          <w:rFonts w:ascii="Trebuchet MS" w:hAnsi="Trebuchet MS"/>
          <w:noProof/>
          <w:sz w:val="20"/>
        </w:rPr>
        <w:t>(1): p. 59-109.</w:t>
      </w:r>
    </w:p>
    <w:p w14:paraId="17C4A35B"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39.</w:t>
      </w:r>
      <w:r w:rsidRPr="005265DE">
        <w:rPr>
          <w:rFonts w:ascii="Trebuchet MS" w:hAnsi="Trebuchet MS"/>
          <w:noProof/>
          <w:sz w:val="20"/>
        </w:rPr>
        <w:tab/>
        <w:t xml:space="preserve">Hancock, K.J. and S.R. Zubrick, </w:t>
      </w:r>
      <w:r w:rsidRPr="005265DE">
        <w:rPr>
          <w:rFonts w:ascii="Trebuchet MS" w:hAnsi="Trebuchet MS"/>
          <w:i/>
          <w:noProof/>
          <w:sz w:val="20"/>
        </w:rPr>
        <w:t>Children and young people at risk of disengagement from school</w:t>
      </w:r>
      <w:r w:rsidRPr="005265DE">
        <w:rPr>
          <w:rFonts w:ascii="Trebuchet MS" w:hAnsi="Trebuchet MS"/>
          <w:noProof/>
          <w:sz w:val="20"/>
        </w:rPr>
        <w:t>. 2015, Telethon Kids Institute, University of Western Australia.</w:t>
      </w:r>
    </w:p>
    <w:p w14:paraId="23E32CA8"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40.</w:t>
      </w:r>
      <w:r w:rsidRPr="005265DE">
        <w:rPr>
          <w:rFonts w:ascii="Trebuchet MS" w:hAnsi="Trebuchet MS"/>
          <w:noProof/>
          <w:sz w:val="20"/>
        </w:rPr>
        <w:tab/>
        <w:t xml:space="preserve">OECD, </w:t>
      </w:r>
      <w:r w:rsidRPr="005265DE">
        <w:rPr>
          <w:rFonts w:ascii="Trebuchet MS" w:hAnsi="Trebuchet MS"/>
          <w:i/>
          <w:noProof/>
          <w:sz w:val="20"/>
        </w:rPr>
        <w:t>PISA 2015 Results (Volume III): Students’ Well-Being</w:t>
      </w:r>
      <w:r w:rsidRPr="005265DE">
        <w:rPr>
          <w:rFonts w:ascii="Trebuchet MS" w:hAnsi="Trebuchet MS"/>
          <w:noProof/>
          <w:sz w:val="20"/>
        </w:rPr>
        <w:t>. 2017, PISA, OECD Publishing: Paris.</w:t>
      </w:r>
    </w:p>
    <w:p w14:paraId="532F740A"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41.</w:t>
      </w:r>
      <w:r w:rsidRPr="005265DE">
        <w:rPr>
          <w:rFonts w:ascii="Trebuchet MS" w:hAnsi="Trebuchet MS"/>
          <w:noProof/>
          <w:sz w:val="20"/>
        </w:rPr>
        <w:tab/>
        <w:t xml:space="preserve">Nakamoto, J. and D. Schwartz, </w:t>
      </w:r>
      <w:r w:rsidRPr="005265DE">
        <w:rPr>
          <w:rFonts w:ascii="Trebuchet MS" w:hAnsi="Trebuchet MS"/>
          <w:i/>
          <w:noProof/>
          <w:sz w:val="20"/>
        </w:rPr>
        <w:t>Is Peer Victimization Associated with Academic Achievement? A Meta-analytic Review.</w:t>
      </w:r>
      <w:r w:rsidRPr="005265DE">
        <w:rPr>
          <w:rFonts w:ascii="Trebuchet MS" w:hAnsi="Trebuchet MS"/>
          <w:noProof/>
          <w:sz w:val="20"/>
        </w:rPr>
        <w:t xml:space="preserve"> Social Development, 2010. </w:t>
      </w:r>
      <w:r w:rsidRPr="005265DE">
        <w:rPr>
          <w:rFonts w:ascii="Trebuchet MS" w:hAnsi="Trebuchet MS"/>
          <w:b/>
          <w:noProof/>
          <w:sz w:val="20"/>
        </w:rPr>
        <w:t>19</w:t>
      </w:r>
      <w:r w:rsidRPr="005265DE">
        <w:rPr>
          <w:rFonts w:ascii="Trebuchet MS" w:hAnsi="Trebuchet MS"/>
          <w:noProof/>
          <w:sz w:val="20"/>
        </w:rPr>
        <w:t>(2): p. 221-242.</w:t>
      </w:r>
    </w:p>
    <w:p w14:paraId="5F8466FE"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42.</w:t>
      </w:r>
      <w:r w:rsidRPr="005265DE">
        <w:rPr>
          <w:rFonts w:ascii="Trebuchet MS" w:hAnsi="Trebuchet MS"/>
          <w:noProof/>
          <w:sz w:val="20"/>
        </w:rPr>
        <w:tab/>
        <w:t xml:space="preserve">Espelage, D.L., et al., </w:t>
      </w:r>
      <w:r w:rsidRPr="005265DE">
        <w:rPr>
          <w:rFonts w:ascii="Trebuchet MS" w:hAnsi="Trebuchet MS"/>
          <w:i/>
          <w:noProof/>
          <w:sz w:val="20"/>
        </w:rPr>
        <w:t>Associations between peer victimization and academic performance.</w:t>
      </w:r>
      <w:r w:rsidRPr="005265DE">
        <w:rPr>
          <w:rFonts w:ascii="Trebuchet MS" w:hAnsi="Trebuchet MS"/>
          <w:noProof/>
          <w:sz w:val="20"/>
        </w:rPr>
        <w:t xml:space="preserve"> Theory Into Practice, 2013. </w:t>
      </w:r>
      <w:r w:rsidRPr="005265DE">
        <w:rPr>
          <w:rFonts w:ascii="Trebuchet MS" w:hAnsi="Trebuchet MS"/>
          <w:b/>
          <w:noProof/>
          <w:sz w:val="20"/>
        </w:rPr>
        <w:t>52</w:t>
      </w:r>
      <w:r w:rsidRPr="005265DE">
        <w:rPr>
          <w:rFonts w:ascii="Trebuchet MS" w:hAnsi="Trebuchet MS"/>
          <w:noProof/>
          <w:sz w:val="20"/>
        </w:rPr>
        <w:t>(4): p. 233-240.</w:t>
      </w:r>
    </w:p>
    <w:p w14:paraId="72C5E54D"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43.</w:t>
      </w:r>
      <w:r w:rsidRPr="005265DE">
        <w:rPr>
          <w:rFonts w:ascii="Trebuchet MS" w:hAnsi="Trebuchet MS"/>
          <w:noProof/>
          <w:sz w:val="20"/>
        </w:rPr>
        <w:tab/>
        <w:t xml:space="preserve">Cook, C.R., et al., </w:t>
      </w:r>
      <w:r w:rsidRPr="005265DE">
        <w:rPr>
          <w:rFonts w:ascii="Trebuchet MS" w:hAnsi="Trebuchet MS"/>
          <w:i/>
          <w:noProof/>
          <w:sz w:val="20"/>
        </w:rPr>
        <w:t>Predictors of bullying and victimization in childhood and adolescence: A meta-analytic investigation.</w:t>
      </w:r>
      <w:r w:rsidRPr="005265DE">
        <w:rPr>
          <w:rFonts w:ascii="Trebuchet MS" w:hAnsi="Trebuchet MS"/>
          <w:noProof/>
          <w:sz w:val="20"/>
        </w:rPr>
        <w:t xml:space="preserve"> School Psychology Quarterly, 2010. </w:t>
      </w:r>
      <w:r w:rsidRPr="005265DE">
        <w:rPr>
          <w:rFonts w:ascii="Trebuchet MS" w:hAnsi="Trebuchet MS"/>
          <w:b/>
          <w:noProof/>
          <w:sz w:val="20"/>
        </w:rPr>
        <w:t>25</w:t>
      </w:r>
      <w:r w:rsidRPr="005265DE">
        <w:rPr>
          <w:rFonts w:ascii="Trebuchet MS" w:hAnsi="Trebuchet MS"/>
          <w:noProof/>
          <w:sz w:val="20"/>
        </w:rPr>
        <w:t>(2): p. 65-83.</w:t>
      </w:r>
    </w:p>
    <w:p w14:paraId="2930A794"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44.</w:t>
      </w:r>
      <w:r w:rsidRPr="005265DE">
        <w:rPr>
          <w:rFonts w:ascii="Trebuchet MS" w:hAnsi="Trebuchet MS"/>
          <w:noProof/>
          <w:sz w:val="20"/>
        </w:rPr>
        <w:tab/>
        <w:t xml:space="preserve">Australian Bureau of Statistics, </w:t>
      </w:r>
      <w:r w:rsidRPr="005265DE">
        <w:rPr>
          <w:rFonts w:ascii="Trebuchet MS" w:hAnsi="Trebuchet MS"/>
          <w:i/>
          <w:noProof/>
          <w:sz w:val="20"/>
        </w:rPr>
        <w:t>Socio-Economic Indexes for Areas (SEIFA) 2011</w:t>
      </w:r>
      <w:r w:rsidRPr="005265DE">
        <w:rPr>
          <w:rFonts w:ascii="Trebuchet MS" w:hAnsi="Trebuchet MS"/>
          <w:noProof/>
          <w:sz w:val="20"/>
        </w:rPr>
        <w:t>, Commonwealth of Australia, Editor. Accessed April 2015, Australian Bureau of Statistics,: Canberra, ACT, Australia.</w:t>
      </w:r>
    </w:p>
    <w:p w14:paraId="46382ADB"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45.</w:t>
      </w:r>
      <w:r w:rsidRPr="005265DE">
        <w:rPr>
          <w:rFonts w:ascii="Trebuchet MS" w:hAnsi="Trebuchet MS"/>
          <w:noProof/>
          <w:sz w:val="20"/>
        </w:rPr>
        <w:tab/>
        <w:t xml:space="preserve">Spence, S., et al., </w:t>
      </w:r>
      <w:r w:rsidRPr="005265DE">
        <w:rPr>
          <w:rFonts w:ascii="Trebuchet MS" w:hAnsi="Trebuchet MS"/>
          <w:i/>
          <w:noProof/>
          <w:sz w:val="20"/>
        </w:rPr>
        <w:t>The beyondblue Schools Research Initiative: conceptual framework and intervention.</w:t>
      </w:r>
      <w:r w:rsidRPr="005265DE">
        <w:rPr>
          <w:rFonts w:ascii="Trebuchet MS" w:hAnsi="Trebuchet MS"/>
          <w:noProof/>
          <w:sz w:val="20"/>
        </w:rPr>
        <w:t xml:space="preserve"> Australasian Psychiatry, 2005. </w:t>
      </w:r>
      <w:r w:rsidRPr="005265DE">
        <w:rPr>
          <w:rFonts w:ascii="Trebuchet MS" w:hAnsi="Trebuchet MS"/>
          <w:b/>
          <w:noProof/>
          <w:sz w:val="20"/>
        </w:rPr>
        <w:t>13</w:t>
      </w:r>
      <w:r w:rsidRPr="005265DE">
        <w:rPr>
          <w:rFonts w:ascii="Trebuchet MS" w:hAnsi="Trebuchet MS"/>
          <w:noProof/>
          <w:sz w:val="20"/>
        </w:rPr>
        <w:t>(2): p. 159-164.</w:t>
      </w:r>
    </w:p>
    <w:p w14:paraId="1EAACFB2"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46.</w:t>
      </w:r>
      <w:r w:rsidRPr="005265DE">
        <w:rPr>
          <w:rFonts w:ascii="Trebuchet MS" w:hAnsi="Trebuchet MS"/>
          <w:noProof/>
          <w:sz w:val="20"/>
        </w:rPr>
        <w:tab/>
        <w:t xml:space="preserve">Angold, A., et al., </w:t>
      </w:r>
      <w:r w:rsidRPr="005265DE">
        <w:rPr>
          <w:rFonts w:ascii="Trebuchet MS" w:hAnsi="Trebuchet MS"/>
          <w:i/>
          <w:noProof/>
          <w:sz w:val="20"/>
        </w:rPr>
        <w:t>Development of a short questionnaire for use in epidemiological studies of depression in children and adolescents.</w:t>
      </w:r>
      <w:r w:rsidRPr="005265DE">
        <w:rPr>
          <w:rFonts w:ascii="Trebuchet MS" w:hAnsi="Trebuchet MS"/>
          <w:noProof/>
          <w:sz w:val="20"/>
        </w:rPr>
        <w:t xml:space="preserve"> International Journal of Methods in Psychiatric Research, 1995. </w:t>
      </w:r>
      <w:r w:rsidRPr="005265DE">
        <w:rPr>
          <w:rFonts w:ascii="Trebuchet MS" w:hAnsi="Trebuchet MS"/>
          <w:b/>
          <w:noProof/>
          <w:sz w:val="20"/>
        </w:rPr>
        <w:t>5</w:t>
      </w:r>
      <w:r w:rsidRPr="005265DE">
        <w:rPr>
          <w:rFonts w:ascii="Trebuchet MS" w:hAnsi="Trebuchet MS"/>
          <w:noProof/>
          <w:sz w:val="20"/>
        </w:rPr>
        <w:t>: p. 237-249.</w:t>
      </w:r>
    </w:p>
    <w:p w14:paraId="69F8CE8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47.</w:t>
      </w:r>
      <w:r w:rsidRPr="005265DE">
        <w:rPr>
          <w:rFonts w:ascii="Trebuchet MS" w:hAnsi="Trebuchet MS"/>
          <w:noProof/>
          <w:sz w:val="20"/>
        </w:rPr>
        <w:tab/>
        <w:t xml:space="preserve">Rhew, I.C., et al., </w:t>
      </w:r>
      <w:r w:rsidRPr="005265DE">
        <w:rPr>
          <w:rFonts w:ascii="Trebuchet MS" w:hAnsi="Trebuchet MS"/>
          <w:i/>
          <w:noProof/>
          <w:sz w:val="20"/>
        </w:rPr>
        <w:t>Criterion validity of the Short Mood and Feelings Questionnaire and one-and two-item depression screens in young adolescents.</w:t>
      </w:r>
      <w:r w:rsidRPr="005265DE">
        <w:rPr>
          <w:rFonts w:ascii="Trebuchet MS" w:hAnsi="Trebuchet MS"/>
          <w:noProof/>
          <w:sz w:val="20"/>
        </w:rPr>
        <w:t xml:space="preserve"> Child and Adolescent Psychiatry and Mental Health, 2010. </w:t>
      </w:r>
      <w:r w:rsidRPr="005265DE">
        <w:rPr>
          <w:rFonts w:ascii="Trebuchet MS" w:hAnsi="Trebuchet MS"/>
          <w:b/>
          <w:noProof/>
          <w:sz w:val="20"/>
        </w:rPr>
        <w:t>4</w:t>
      </w:r>
      <w:r w:rsidRPr="005265DE">
        <w:rPr>
          <w:rFonts w:ascii="Trebuchet MS" w:hAnsi="Trebuchet MS"/>
          <w:noProof/>
          <w:sz w:val="20"/>
        </w:rPr>
        <w:t>(1): p. 1.</w:t>
      </w:r>
    </w:p>
    <w:p w14:paraId="2ADFFCF5"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48.</w:t>
      </w:r>
      <w:r w:rsidRPr="005265DE">
        <w:rPr>
          <w:rFonts w:ascii="Trebuchet MS" w:hAnsi="Trebuchet MS"/>
          <w:noProof/>
          <w:sz w:val="20"/>
        </w:rPr>
        <w:tab/>
        <w:t xml:space="preserve">Spence, S.H., P.M. Barrett, and C.M. Turner, </w:t>
      </w:r>
      <w:r w:rsidRPr="005265DE">
        <w:rPr>
          <w:rFonts w:ascii="Trebuchet MS" w:hAnsi="Trebuchet MS"/>
          <w:i/>
          <w:noProof/>
          <w:sz w:val="20"/>
        </w:rPr>
        <w:t>Psychometric properties of the Spence Children’s Anxiety Scale with young adolescents.</w:t>
      </w:r>
      <w:r w:rsidRPr="005265DE">
        <w:rPr>
          <w:rFonts w:ascii="Trebuchet MS" w:hAnsi="Trebuchet MS"/>
          <w:noProof/>
          <w:sz w:val="20"/>
        </w:rPr>
        <w:t xml:space="preserve"> Journal of Anxiety Disorders, 2003. </w:t>
      </w:r>
      <w:r w:rsidRPr="005265DE">
        <w:rPr>
          <w:rFonts w:ascii="Trebuchet MS" w:hAnsi="Trebuchet MS"/>
          <w:b/>
          <w:noProof/>
          <w:sz w:val="20"/>
        </w:rPr>
        <w:t>17</w:t>
      </w:r>
      <w:r w:rsidRPr="005265DE">
        <w:rPr>
          <w:rFonts w:ascii="Trebuchet MS" w:hAnsi="Trebuchet MS"/>
          <w:noProof/>
          <w:sz w:val="20"/>
        </w:rPr>
        <w:t>(6): p. 605-625.</w:t>
      </w:r>
    </w:p>
    <w:p w14:paraId="5DABF35C"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49.</w:t>
      </w:r>
      <w:r w:rsidRPr="005265DE">
        <w:rPr>
          <w:rFonts w:ascii="Trebuchet MS" w:hAnsi="Trebuchet MS"/>
          <w:noProof/>
          <w:sz w:val="20"/>
        </w:rPr>
        <w:tab/>
        <w:t xml:space="preserve">Varni, J.W., M. Seid, and P.S. Kurtin, </w:t>
      </w:r>
      <w:r w:rsidRPr="005265DE">
        <w:rPr>
          <w:rFonts w:ascii="Trebuchet MS" w:hAnsi="Trebuchet MS"/>
          <w:i/>
          <w:noProof/>
          <w:sz w:val="20"/>
        </w:rPr>
        <w:t>Pediatric Health-Related Quality of Life Measurement Technology: A Guide for Health Care Decision Makers.</w:t>
      </w:r>
      <w:r w:rsidRPr="005265DE">
        <w:rPr>
          <w:rFonts w:ascii="Trebuchet MS" w:hAnsi="Trebuchet MS"/>
          <w:noProof/>
          <w:sz w:val="20"/>
        </w:rPr>
        <w:t xml:space="preserve"> JCOM, 1999. </w:t>
      </w:r>
      <w:r w:rsidRPr="005265DE">
        <w:rPr>
          <w:rFonts w:ascii="Trebuchet MS" w:hAnsi="Trebuchet MS"/>
          <w:b/>
          <w:noProof/>
          <w:sz w:val="20"/>
        </w:rPr>
        <w:t>6</w:t>
      </w:r>
      <w:r w:rsidRPr="005265DE">
        <w:rPr>
          <w:rFonts w:ascii="Trebuchet MS" w:hAnsi="Trebuchet MS"/>
          <w:noProof/>
          <w:sz w:val="20"/>
        </w:rPr>
        <w:t>(4): p. 33 - 40.</w:t>
      </w:r>
    </w:p>
    <w:p w14:paraId="627DF25F"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50.</w:t>
      </w:r>
      <w:r w:rsidRPr="005265DE">
        <w:rPr>
          <w:rFonts w:ascii="Trebuchet MS" w:hAnsi="Trebuchet MS"/>
          <w:noProof/>
          <w:sz w:val="20"/>
        </w:rPr>
        <w:tab/>
        <w:t xml:space="preserve">Hallstrand, T.S., et al., </w:t>
      </w:r>
      <w:r w:rsidRPr="005265DE">
        <w:rPr>
          <w:rFonts w:ascii="Trebuchet MS" w:hAnsi="Trebuchet MS"/>
          <w:i/>
          <w:noProof/>
          <w:sz w:val="20"/>
        </w:rPr>
        <w:t>Quality of life in adolescents with mild asthma.</w:t>
      </w:r>
      <w:r w:rsidRPr="005265DE">
        <w:rPr>
          <w:rFonts w:ascii="Trebuchet MS" w:hAnsi="Trebuchet MS"/>
          <w:noProof/>
          <w:sz w:val="20"/>
        </w:rPr>
        <w:t xml:space="preserve"> Pediatr Pulmonol, 2003. </w:t>
      </w:r>
      <w:r w:rsidRPr="005265DE">
        <w:rPr>
          <w:rFonts w:ascii="Trebuchet MS" w:hAnsi="Trebuchet MS"/>
          <w:b/>
          <w:noProof/>
          <w:sz w:val="20"/>
        </w:rPr>
        <w:t>36</w:t>
      </w:r>
      <w:r w:rsidRPr="005265DE">
        <w:rPr>
          <w:rFonts w:ascii="Trebuchet MS" w:hAnsi="Trebuchet MS"/>
          <w:noProof/>
          <w:sz w:val="20"/>
        </w:rPr>
        <w:t>(6): p. 536-43.</w:t>
      </w:r>
    </w:p>
    <w:p w14:paraId="57B9AEC1" w14:textId="77777777" w:rsidR="0004749E" w:rsidRPr="005265DE" w:rsidRDefault="0004749E" w:rsidP="0004749E">
      <w:pPr>
        <w:pStyle w:val="EndNoteBibliography"/>
        <w:spacing w:after="0"/>
        <w:ind w:left="720" w:hanging="720"/>
        <w:rPr>
          <w:rFonts w:ascii="Trebuchet MS" w:hAnsi="Trebuchet MS"/>
          <w:noProof/>
          <w:sz w:val="20"/>
        </w:rPr>
      </w:pPr>
      <w:r w:rsidRPr="005265DE">
        <w:rPr>
          <w:rFonts w:ascii="Trebuchet MS" w:hAnsi="Trebuchet MS"/>
          <w:noProof/>
          <w:sz w:val="20"/>
        </w:rPr>
        <w:t>51.</w:t>
      </w:r>
      <w:r w:rsidRPr="005265DE">
        <w:rPr>
          <w:rFonts w:ascii="Trebuchet MS" w:hAnsi="Trebuchet MS"/>
          <w:noProof/>
          <w:sz w:val="20"/>
        </w:rPr>
        <w:tab/>
        <w:t xml:space="preserve">StataCorp, </w:t>
      </w:r>
      <w:r w:rsidRPr="005265DE">
        <w:rPr>
          <w:rFonts w:ascii="Trebuchet MS" w:hAnsi="Trebuchet MS"/>
          <w:i/>
          <w:noProof/>
          <w:sz w:val="20"/>
        </w:rPr>
        <w:t>Stata Statistical Software: Release 15</w:t>
      </w:r>
      <w:r w:rsidRPr="005265DE">
        <w:rPr>
          <w:rFonts w:ascii="Trebuchet MS" w:hAnsi="Trebuchet MS"/>
          <w:noProof/>
          <w:sz w:val="20"/>
        </w:rPr>
        <w:t>. 2017, StataCorp LLC: College Station, TX.</w:t>
      </w:r>
    </w:p>
    <w:p w14:paraId="241E4812" w14:textId="77777777" w:rsidR="0004749E" w:rsidRPr="005265DE" w:rsidRDefault="0004749E" w:rsidP="0004749E">
      <w:pPr>
        <w:pStyle w:val="EndNoteBibliography"/>
        <w:ind w:left="720" w:hanging="720"/>
        <w:rPr>
          <w:rFonts w:ascii="Trebuchet MS" w:hAnsi="Trebuchet MS"/>
          <w:noProof/>
          <w:sz w:val="20"/>
        </w:rPr>
      </w:pPr>
      <w:r w:rsidRPr="005265DE">
        <w:rPr>
          <w:rFonts w:ascii="Trebuchet MS" w:hAnsi="Trebuchet MS"/>
          <w:noProof/>
          <w:sz w:val="20"/>
        </w:rPr>
        <w:t>52.</w:t>
      </w:r>
      <w:r w:rsidRPr="005265DE">
        <w:rPr>
          <w:rFonts w:ascii="Trebuchet MS" w:hAnsi="Trebuchet MS"/>
          <w:noProof/>
          <w:sz w:val="20"/>
        </w:rPr>
        <w:tab/>
        <w:t xml:space="preserve">Forget-Dubois, N., et al., </w:t>
      </w:r>
      <w:r w:rsidRPr="005265DE">
        <w:rPr>
          <w:rFonts w:ascii="Trebuchet MS" w:hAnsi="Trebuchet MS"/>
          <w:i/>
          <w:noProof/>
          <w:sz w:val="20"/>
        </w:rPr>
        <w:t>Predicting Early School Achievement with the EDI: A Longitudinal Population-Based Study.</w:t>
      </w:r>
      <w:r w:rsidRPr="005265DE">
        <w:rPr>
          <w:rFonts w:ascii="Trebuchet MS" w:hAnsi="Trebuchet MS"/>
          <w:noProof/>
          <w:sz w:val="20"/>
        </w:rPr>
        <w:t xml:space="preserve"> Early Education and Development, 2007. </w:t>
      </w:r>
      <w:r w:rsidRPr="005265DE">
        <w:rPr>
          <w:rFonts w:ascii="Trebuchet MS" w:hAnsi="Trebuchet MS"/>
          <w:b/>
          <w:noProof/>
          <w:sz w:val="20"/>
        </w:rPr>
        <w:t>18</w:t>
      </w:r>
      <w:r w:rsidRPr="005265DE">
        <w:rPr>
          <w:rFonts w:ascii="Trebuchet MS" w:hAnsi="Trebuchet MS"/>
          <w:noProof/>
          <w:sz w:val="20"/>
        </w:rPr>
        <w:t>(3): p. 405-426.</w:t>
      </w:r>
    </w:p>
    <w:p w14:paraId="1EC56FE4" w14:textId="256E443F" w:rsidR="0022511C" w:rsidRPr="0031784D" w:rsidRDefault="00B22107" w:rsidP="004A73F6">
      <w:pPr>
        <w:pStyle w:val="EndNoteBibliography"/>
        <w:spacing w:after="120" w:line="276" w:lineRule="auto"/>
        <w:rPr>
          <w:rFonts w:ascii="Trebuchet MS" w:hAnsi="Trebuchet MS"/>
          <w:noProof/>
          <w:sz w:val="20"/>
        </w:rPr>
      </w:pPr>
      <w:r w:rsidRPr="0031784D">
        <w:rPr>
          <w:rFonts w:ascii="Trebuchet MS" w:hAnsi="Trebuchet MS"/>
          <w:noProof/>
          <w:sz w:val="20"/>
        </w:rPr>
        <w:fldChar w:fldCharType="end"/>
      </w:r>
    </w:p>
    <w:sectPr w:rsidR="0022511C" w:rsidRPr="0031784D" w:rsidSect="0022511C">
      <w:pgSz w:w="11900" w:h="16840"/>
      <w:pgMar w:top="2552" w:right="1440" w:bottom="1134"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1B6A8" w14:textId="77777777" w:rsidR="000B596B" w:rsidRDefault="000B596B" w:rsidP="00D52B12">
      <w:r>
        <w:separator/>
      </w:r>
    </w:p>
  </w:endnote>
  <w:endnote w:type="continuationSeparator" w:id="0">
    <w:p w14:paraId="09525B09" w14:textId="77777777" w:rsidR="000B596B" w:rsidRDefault="000B596B" w:rsidP="00D5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6214"/>
      <w:docPartObj>
        <w:docPartGallery w:val="Page Numbers (Bottom of Page)"/>
        <w:docPartUnique/>
      </w:docPartObj>
    </w:sdtPr>
    <w:sdtEndPr>
      <w:rPr>
        <w:noProof/>
      </w:rPr>
    </w:sdtEndPr>
    <w:sdtContent>
      <w:p w14:paraId="714DB4AC" w14:textId="08340C73" w:rsidR="000B596B" w:rsidRDefault="00403501">
        <w:pPr>
          <w:pStyle w:val="Footer"/>
        </w:pPr>
      </w:p>
    </w:sdtContent>
  </w:sdt>
  <w:p w14:paraId="5DA2747A" w14:textId="77777777" w:rsidR="000B596B" w:rsidRDefault="000B5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78610"/>
      <w:docPartObj>
        <w:docPartGallery w:val="Page Numbers (Bottom of Page)"/>
        <w:docPartUnique/>
      </w:docPartObj>
    </w:sdtPr>
    <w:sdtEndPr>
      <w:rPr>
        <w:noProof/>
      </w:rPr>
    </w:sdtEndPr>
    <w:sdtContent>
      <w:p w14:paraId="094169AC" w14:textId="16512BCE" w:rsidR="000B596B" w:rsidRDefault="000B596B">
        <w:pPr>
          <w:pStyle w:val="Footer"/>
          <w:jc w:val="right"/>
        </w:pPr>
        <w:r>
          <w:fldChar w:fldCharType="begin"/>
        </w:r>
        <w:r>
          <w:instrText xml:space="preserve"> PAGE   \* MERGEFORMAT </w:instrText>
        </w:r>
        <w:r>
          <w:fldChar w:fldCharType="separate"/>
        </w:r>
        <w:r w:rsidR="00403501">
          <w:rPr>
            <w:noProof/>
          </w:rPr>
          <w:t>i</w:t>
        </w:r>
        <w:r>
          <w:rPr>
            <w:noProof/>
          </w:rPr>
          <w:fldChar w:fldCharType="end"/>
        </w:r>
      </w:p>
    </w:sdtContent>
  </w:sdt>
  <w:p w14:paraId="64FE3B41" w14:textId="77777777" w:rsidR="000B596B" w:rsidRDefault="000B5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1763" w14:textId="77777777" w:rsidR="000B596B" w:rsidRDefault="000B596B" w:rsidP="00D52B12">
      <w:r>
        <w:separator/>
      </w:r>
    </w:p>
  </w:footnote>
  <w:footnote w:type="continuationSeparator" w:id="0">
    <w:p w14:paraId="119403B6" w14:textId="77777777" w:rsidR="000B596B" w:rsidRDefault="000B596B" w:rsidP="00D5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DE1F" w14:textId="38B3808D" w:rsidR="000B596B" w:rsidRDefault="000B596B" w:rsidP="00D52B12">
    <w:pPr>
      <w:pStyle w:val="Header"/>
    </w:pPr>
    <w:r>
      <w:rPr>
        <w:noProof/>
        <w:lang w:eastAsia="en-AU"/>
      </w:rPr>
      <w:drawing>
        <wp:anchor distT="0" distB="0" distL="114300" distR="114300" simplePos="0" relativeHeight="251658240" behindDoc="0" locked="0" layoutInCell="1" allowOverlap="1" wp14:anchorId="51F7CB1E" wp14:editId="3C1DC74A">
          <wp:simplePos x="0" y="0"/>
          <wp:positionH relativeFrom="column">
            <wp:posOffset>2538484</wp:posOffset>
          </wp:positionH>
          <wp:positionV relativeFrom="paragraph">
            <wp:posOffset>74930</wp:posOffset>
          </wp:positionV>
          <wp:extent cx="2900680" cy="900000"/>
          <wp:effectExtent l="0" t="0" r="0" b="0"/>
          <wp:wrapThrough wrapText="bothSides">
            <wp:wrapPolygon edited="0">
              <wp:start x="0" y="0"/>
              <wp:lineTo x="0" y="21036"/>
              <wp:lineTo x="21420" y="21036"/>
              <wp:lineTo x="21420" y="0"/>
              <wp:lineTo x="0" y="0"/>
            </wp:wrapPolygon>
          </wp:wrapThrough>
          <wp:docPr id="277" name="Picture 277" descr="In same colour scheme as MCRI logo" title="Colourful head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hfs1\adol\Projects\Phase-A\Administration\CATS Logo images\MCRI dig to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68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6CBD7C07" wp14:editId="14AC0505">
          <wp:extent cx="1828800" cy="974605"/>
          <wp:effectExtent l="0" t="0" r="0" b="0"/>
          <wp:docPr id="278" name="Picture 278" descr="Coloured logo of MCRI, using stylised brightly coloured letters" title="Murdoch Children's Research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tudy PR\MCRI RCH &amp; MelbUni Logos\New MCRI logo 2017.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2858" cy="9820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A09"/>
    <w:multiLevelType w:val="hybridMultilevel"/>
    <w:tmpl w:val="C322A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C17996"/>
    <w:multiLevelType w:val="hybridMultilevel"/>
    <w:tmpl w:val="6ACC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FF56CB"/>
    <w:multiLevelType w:val="hybridMultilevel"/>
    <w:tmpl w:val="22849E80"/>
    <w:lvl w:ilvl="0" w:tplc="37B818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0638F"/>
    <w:multiLevelType w:val="hybridMultilevel"/>
    <w:tmpl w:val="60588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7FFE"/>
    <w:multiLevelType w:val="hybridMultilevel"/>
    <w:tmpl w:val="330CCA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F8933BD"/>
    <w:multiLevelType w:val="hybridMultilevel"/>
    <w:tmpl w:val="3A5E7C7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07E25"/>
    <w:multiLevelType w:val="hybridMultilevel"/>
    <w:tmpl w:val="674C2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76CF2"/>
    <w:multiLevelType w:val="hybridMultilevel"/>
    <w:tmpl w:val="C02274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7B4B18"/>
    <w:multiLevelType w:val="hybridMultilevel"/>
    <w:tmpl w:val="586E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3172EB"/>
    <w:multiLevelType w:val="hybridMultilevel"/>
    <w:tmpl w:val="ECAE60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F27AC"/>
    <w:multiLevelType w:val="hybridMultilevel"/>
    <w:tmpl w:val="ACE43348"/>
    <w:lvl w:ilvl="0" w:tplc="AB56A1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9327A"/>
    <w:multiLevelType w:val="hybridMultilevel"/>
    <w:tmpl w:val="CE4E3E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FA37F5"/>
    <w:multiLevelType w:val="hybridMultilevel"/>
    <w:tmpl w:val="F40616CA"/>
    <w:lvl w:ilvl="0" w:tplc="9BEE7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774D6"/>
    <w:multiLevelType w:val="hybridMultilevel"/>
    <w:tmpl w:val="32486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431BFC"/>
    <w:multiLevelType w:val="hybridMultilevel"/>
    <w:tmpl w:val="8AF8D1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16649CF"/>
    <w:multiLevelType w:val="hybridMultilevel"/>
    <w:tmpl w:val="FB18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22835"/>
    <w:multiLevelType w:val="hybridMultilevel"/>
    <w:tmpl w:val="55588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9C3834"/>
    <w:multiLevelType w:val="hybridMultilevel"/>
    <w:tmpl w:val="D0F25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663818"/>
    <w:multiLevelType w:val="hybridMultilevel"/>
    <w:tmpl w:val="3984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677073"/>
    <w:multiLevelType w:val="hybridMultilevel"/>
    <w:tmpl w:val="73F6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71DEB"/>
    <w:multiLevelType w:val="hybridMultilevel"/>
    <w:tmpl w:val="63C01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FD7EE0"/>
    <w:multiLevelType w:val="hybridMultilevel"/>
    <w:tmpl w:val="6E32F12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3574D3"/>
    <w:multiLevelType w:val="hybridMultilevel"/>
    <w:tmpl w:val="0276D0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651205"/>
    <w:multiLevelType w:val="hybridMultilevel"/>
    <w:tmpl w:val="DD00C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B7609"/>
    <w:multiLevelType w:val="hybridMultilevel"/>
    <w:tmpl w:val="1750CE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33D17"/>
    <w:multiLevelType w:val="hybridMultilevel"/>
    <w:tmpl w:val="475AB0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B237E7"/>
    <w:multiLevelType w:val="multilevel"/>
    <w:tmpl w:val="AC420FB2"/>
    <w:lvl w:ilvl="0">
      <w:start w:val="2"/>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057D82"/>
    <w:multiLevelType w:val="hybridMultilevel"/>
    <w:tmpl w:val="5FB62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670428"/>
    <w:multiLevelType w:val="hybridMultilevel"/>
    <w:tmpl w:val="5EF08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2C2298"/>
    <w:multiLevelType w:val="hybridMultilevel"/>
    <w:tmpl w:val="A2D0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9F7C37"/>
    <w:multiLevelType w:val="hybridMultilevel"/>
    <w:tmpl w:val="602E5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720637"/>
    <w:multiLevelType w:val="hybridMultilevel"/>
    <w:tmpl w:val="4F52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2257E"/>
    <w:multiLevelType w:val="hybridMultilevel"/>
    <w:tmpl w:val="B2C823D8"/>
    <w:lvl w:ilvl="0" w:tplc="9BEE7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F10772"/>
    <w:multiLevelType w:val="hybridMultilevel"/>
    <w:tmpl w:val="989E6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12D9A"/>
    <w:multiLevelType w:val="hybridMultilevel"/>
    <w:tmpl w:val="967CB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5C2497"/>
    <w:multiLevelType w:val="hybridMultilevel"/>
    <w:tmpl w:val="E870B74E"/>
    <w:lvl w:ilvl="0" w:tplc="9BEE7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70DFA"/>
    <w:multiLevelType w:val="hybridMultilevel"/>
    <w:tmpl w:val="4BD47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5B518A"/>
    <w:multiLevelType w:val="hybridMultilevel"/>
    <w:tmpl w:val="E4B0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A6A89"/>
    <w:multiLevelType w:val="hybridMultilevel"/>
    <w:tmpl w:val="BD76E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644C8A"/>
    <w:multiLevelType w:val="hybridMultilevel"/>
    <w:tmpl w:val="21AE702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C6172"/>
    <w:multiLevelType w:val="hybridMultilevel"/>
    <w:tmpl w:val="38A09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41132"/>
    <w:multiLevelType w:val="hybridMultilevel"/>
    <w:tmpl w:val="D6A4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610F1C"/>
    <w:multiLevelType w:val="hybridMultilevel"/>
    <w:tmpl w:val="AB927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7E2C34"/>
    <w:multiLevelType w:val="hybridMultilevel"/>
    <w:tmpl w:val="27CAD9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9B0378"/>
    <w:multiLevelType w:val="hybridMultilevel"/>
    <w:tmpl w:val="915C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1C3A85"/>
    <w:multiLevelType w:val="hybridMultilevel"/>
    <w:tmpl w:val="990AA0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3DD2AC3"/>
    <w:multiLevelType w:val="hybridMultilevel"/>
    <w:tmpl w:val="50F8BC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500AE7"/>
    <w:multiLevelType w:val="hybridMultilevel"/>
    <w:tmpl w:val="4C98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BE75BD"/>
    <w:multiLevelType w:val="hybridMultilevel"/>
    <w:tmpl w:val="58449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D95DFD"/>
    <w:multiLevelType w:val="hybridMultilevel"/>
    <w:tmpl w:val="5BA06F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7A26454A"/>
    <w:multiLevelType w:val="hybridMultilevel"/>
    <w:tmpl w:val="7278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A33C3B"/>
    <w:multiLevelType w:val="hybridMultilevel"/>
    <w:tmpl w:val="AC6C4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9"/>
  </w:num>
  <w:num w:numId="4">
    <w:abstractNumId w:val="38"/>
  </w:num>
  <w:num w:numId="5">
    <w:abstractNumId w:val="41"/>
  </w:num>
  <w:num w:numId="6">
    <w:abstractNumId w:val="7"/>
  </w:num>
  <w:num w:numId="7">
    <w:abstractNumId w:val="0"/>
  </w:num>
  <w:num w:numId="8">
    <w:abstractNumId w:val="37"/>
  </w:num>
  <w:num w:numId="9">
    <w:abstractNumId w:val="19"/>
  </w:num>
  <w:num w:numId="10">
    <w:abstractNumId w:val="40"/>
  </w:num>
  <w:num w:numId="11">
    <w:abstractNumId w:val="20"/>
  </w:num>
  <w:num w:numId="12">
    <w:abstractNumId w:val="43"/>
  </w:num>
  <w:num w:numId="13">
    <w:abstractNumId w:val="26"/>
  </w:num>
  <w:num w:numId="14">
    <w:abstractNumId w:val="3"/>
  </w:num>
  <w:num w:numId="15">
    <w:abstractNumId w:val="34"/>
  </w:num>
  <w:num w:numId="16">
    <w:abstractNumId w:val="28"/>
  </w:num>
  <w:num w:numId="17">
    <w:abstractNumId w:val="22"/>
  </w:num>
  <w:num w:numId="18">
    <w:abstractNumId w:val="36"/>
  </w:num>
  <w:num w:numId="19">
    <w:abstractNumId w:val="24"/>
  </w:num>
  <w:num w:numId="20">
    <w:abstractNumId w:val="39"/>
  </w:num>
  <w:num w:numId="21">
    <w:abstractNumId w:val="30"/>
  </w:num>
  <w:num w:numId="22">
    <w:abstractNumId w:val="46"/>
  </w:num>
  <w:num w:numId="23">
    <w:abstractNumId w:val="25"/>
  </w:num>
  <w:num w:numId="24">
    <w:abstractNumId w:val="11"/>
  </w:num>
  <w:num w:numId="25">
    <w:abstractNumId w:val="51"/>
  </w:num>
  <w:num w:numId="26">
    <w:abstractNumId w:val="16"/>
  </w:num>
  <w:num w:numId="27">
    <w:abstractNumId w:val="36"/>
  </w:num>
  <w:num w:numId="28">
    <w:abstractNumId w:val="32"/>
  </w:num>
  <w:num w:numId="29">
    <w:abstractNumId w:val="48"/>
  </w:num>
  <w:num w:numId="30">
    <w:abstractNumId w:val="50"/>
  </w:num>
  <w:num w:numId="31">
    <w:abstractNumId w:val="17"/>
  </w:num>
  <w:num w:numId="32">
    <w:abstractNumId w:val="31"/>
  </w:num>
  <w:num w:numId="33">
    <w:abstractNumId w:val="18"/>
  </w:num>
  <w:num w:numId="34">
    <w:abstractNumId w:val="8"/>
  </w:num>
  <w:num w:numId="35">
    <w:abstractNumId w:val="2"/>
  </w:num>
  <w:num w:numId="36">
    <w:abstractNumId w:val="21"/>
  </w:num>
  <w:num w:numId="37">
    <w:abstractNumId w:val="4"/>
  </w:num>
  <w:num w:numId="38">
    <w:abstractNumId w:val="45"/>
  </w:num>
  <w:num w:numId="39">
    <w:abstractNumId w:val="44"/>
  </w:num>
  <w:num w:numId="40">
    <w:abstractNumId w:val="13"/>
  </w:num>
  <w:num w:numId="41">
    <w:abstractNumId w:val="14"/>
  </w:num>
  <w:num w:numId="42">
    <w:abstractNumId w:val="27"/>
  </w:num>
  <w:num w:numId="43">
    <w:abstractNumId w:val="15"/>
  </w:num>
  <w:num w:numId="44">
    <w:abstractNumId w:val="23"/>
  </w:num>
  <w:num w:numId="45">
    <w:abstractNumId w:val="35"/>
  </w:num>
  <w:num w:numId="46">
    <w:abstractNumId w:val="12"/>
  </w:num>
  <w:num w:numId="47">
    <w:abstractNumId w:val="1"/>
  </w:num>
  <w:num w:numId="48">
    <w:abstractNumId w:val="29"/>
  </w:num>
  <w:num w:numId="49">
    <w:abstractNumId w:val="6"/>
  </w:num>
  <w:num w:numId="50">
    <w:abstractNumId w:val="47"/>
  </w:num>
  <w:num w:numId="51">
    <w:abstractNumId w:val="42"/>
  </w:num>
  <w:num w:numId="52">
    <w:abstractNumId w:val="33"/>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tfxtw2kew9raetd235rfx625vrvpf9e0df&quot;&gt;cats@mcri.edu.au&lt;record-ids&gt;&lt;item&gt;24&lt;/item&gt;&lt;item&gt;67&lt;/item&gt;&lt;item&gt;200&lt;/item&gt;&lt;item&gt;229&lt;/item&gt;&lt;item&gt;368&lt;/item&gt;&lt;item&gt;372&lt;/item&gt;&lt;item&gt;603&lt;/item&gt;&lt;item&gt;694&lt;/item&gt;&lt;item&gt;775&lt;/item&gt;&lt;item&gt;1066&lt;/item&gt;&lt;item&gt;1130&lt;/item&gt;&lt;item&gt;1158&lt;/item&gt;&lt;item&gt;1171&lt;/item&gt;&lt;item&gt;1188&lt;/item&gt;&lt;item&gt;1196&lt;/item&gt;&lt;item&gt;1235&lt;/item&gt;&lt;item&gt;1241&lt;/item&gt;&lt;item&gt;1244&lt;/item&gt;&lt;item&gt;1245&lt;/item&gt;&lt;item&gt;1249&lt;/item&gt;&lt;item&gt;1258&lt;/item&gt;&lt;item&gt;1259&lt;/item&gt;&lt;item&gt;1264&lt;/item&gt;&lt;item&gt;1266&lt;/item&gt;&lt;item&gt;1267&lt;/item&gt;&lt;item&gt;1270&lt;/item&gt;&lt;item&gt;1271&lt;/item&gt;&lt;item&gt;1273&lt;/item&gt;&lt;item&gt;1274&lt;/item&gt;&lt;item&gt;1277&lt;/item&gt;&lt;item&gt;1280&lt;/item&gt;&lt;item&gt;1281&lt;/item&gt;&lt;item&gt;1283&lt;/item&gt;&lt;item&gt;1284&lt;/item&gt;&lt;item&gt;1287&lt;/item&gt;&lt;item&gt;1288&lt;/item&gt;&lt;item&gt;1291&lt;/item&gt;&lt;item&gt;1293&lt;/item&gt;&lt;item&gt;1299&lt;/item&gt;&lt;item&gt;1300&lt;/item&gt;&lt;item&gt;1303&lt;/item&gt;&lt;item&gt;1311&lt;/item&gt;&lt;item&gt;1312&lt;/item&gt;&lt;item&gt;1314&lt;/item&gt;&lt;item&gt;1316&lt;/item&gt;&lt;item&gt;1317&lt;/item&gt;&lt;item&gt;1323&lt;/item&gt;&lt;item&gt;1324&lt;/item&gt;&lt;item&gt;1325&lt;/item&gt;&lt;item&gt;1326&lt;/item&gt;&lt;item&gt;1328&lt;/item&gt;&lt;item&gt;1330&lt;/item&gt;&lt;/record-ids&gt;&lt;/item&gt;&lt;/Libraries&gt;"/>
  </w:docVars>
  <w:rsids>
    <w:rsidRoot w:val="00E54563"/>
    <w:rsid w:val="0000158B"/>
    <w:rsid w:val="00004A60"/>
    <w:rsid w:val="00007CCC"/>
    <w:rsid w:val="00017545"/>
    <w:rsid w:val="00036D0F"/>
    <w:rsid w:val="00036E9A"/>
    <w:rsid w:val="00041DAB"/>
    <w:rsid w:val="00044192"/>
    <w:rsid w:val="00044B94"/>
    <w:rsid w:val="0004551A"/>
    <w:rsid w:val="00045996"/>
    <w:rsid w:val="0004749E"/>
    <w:rsid w:val="00053E6F"/>
    <w:rsid w:val="00054365"/>
    <w:rsid w:val="00057A30"/>
    <w:rsid w:val="00061AA9"/>
    <w:rsid w:val="0007629B"/>
    <w:rsid w:val="00081383"/>
    <w:rsid w:val="000816A9"/>
    <w:rsid w:val="00082486"/>
    <w:rsid w:val="000A08A6"/>
    <w:rsid w:val="000A7645"/>
    <w:rsid w:val="000B1908"/>
    <w:rsid w:val="000B400F"/>
    <w:rsid w:val="000B596B"/>
    <w:rsid w:val="000C02DE"/>
    <w:rsid w:val="000C0CFC"/>
    <w:rsid w:val="000C664C"/>
    <w:rsid w:val="000D1348"/>
    <w:rsid w:val="000D4819"/>
    <w:rsid w:val="000D4DF6"/>
    <w:rsid w:val="000E00A6"/>
    <w:rsid w:val="000E3BF3"/>
    <w:rsid w:val="000E4A29"/>
    <w:rsid w:val="000E53EC"/>
    <w:rsid w:val="000E616B"/>
    <w:rsid w:val="000F54B8"/>
    <w:rsid w:val="000F6B65"/>
    <w:rsid w:val="001035F7"/>
    <w:rsid w:val="00103A64"/>
    <w:rsid w:val="00103CF7"/>
    <w:rsid w:val="001040C3"/>
    <w:rsid w:val="00106C66"/>
    <w:rsid w:val="00110DD8"/>
    <w:rsid w:val="00113A85"/>
    <w:rsid w:val="0011574C"/>
    <w:rsid w:val="0011778F"/>
    <w:rsid w:val="00122C6B"/>
    <w:rsid w:val="0012400E"/>
    <w:rsid w:val="00131CEF"/>
    <w:rsid w:val="00141B7F"/>
    <w:rsid w:val="00142567"/>
    <w:rsid w:val="00142BEE"/>
    <w:rsid w:val="001434A1"/>
    <w:rsid w:val="00145869"/>
    <w:rsid w:val="0015683D"/>
    <w:rsid w:val="0015696C"/>
    <w:rsid w:val="00160EF6"/>
    <w:rsid w:val="001615A0"/>
    <w:rsid w:val="00163178"/>
    <w:rsid w:val="00163D45"/>
    <w:rsid w:val="00180E52"/>
    <w:rsid w:val="00184D10"/>
    <w:rsid w:val="00187F89"/>
    <w:rsid w:val="00192E28"/>
    <w:rsid w:val="00195EF8"/>
    <w:rsid w:val="00196E19"/>
    <w:rsid w:val="001A20DB"/>
    <w:rsid w:val="001B0E9A"/>
    <w:rsid w:val="001B1A4A"/>
    <w:rsid w:val="001B5561"/>
    <w:rsid w:val="001B680A"/>
    <w:rsid w:val="001C1C99"/>
    <w:rsid w:val="001C6257"/>
    <w:rsid w:val="001D1554"/>
    <w:rsid w:val="001D39F3"/>
    <w:rsid w:val="001D711E"/>
    <w:rsid w:val="001E25C3"/>
    <w:rsid w:val="001E67AE"/>
    <w:rsid w:val="001F3C0C"/>
    <w:rsid w:val="001F5D56"/>
    <w:rsid w:val="001F7033"/>
    <w:rsid w:val="00205404"/>
    <w:rsid w:val="002104F2"/>
    <w:rsid w:val="00210BA8"/>
    <w:rsid w:val="00211561"/>
    <w:rsid w:val="002135C2"/>
    <w:rsid w:val="002225C0"/>
    <w:rsid w:val="00222D2B"/>
    <w:rsid w:val="00222F6C"/>
    <w:rsid w:val="0022353B"/>
    <w:rsid w:val="0022511C"/>
    <w:rsid w:val="00234B4B"/>
    <w:rsid w:val="00235296"/>
    <w:rsid w:val="002373DE"/>
    <w:rsid w:val="00240CF5"/>
    <w:rsid w:val="0025203E"/>
    <w:rsid w:val="0026660C"/>
    <w:rsid w:val="00280645"/>
    <w:rsid w:val="00294DAD"/>
    <w:rsid w:val="00296703"/>
    <w:rsid w:val="00296B7A"/>
    <w:rsid w:val="002A228E"/>
    <w:rsid w:val="002A68CD"/>
    <w:rsid w:val="002B1340"/>
    <w:rsid w:val="002C0F80"/>
    <w:rsid w:val="002C5169"/>
    <w:rsid w:val="002C5CA1"/>
    <w:rsid w:val="002C5CBD"/>
    <w:rsid w:val="002C607D"/>
    <w:rsid w:val="002C6C53"/>
    <w:rsid w:val="002E414E"/>
    <w:rsid w:val="002E4E1E"/>
    <w:rsid w:val="002E5114"/>
    <w:rsid w:val="002F1010"/>
    <w:rsid w:val="002F2F83"/>
    <w:rsid w:val="002F310B"/>
    <w:rsid w:val="002F36CB"/>
    <w:rsid w:val="002F48E1"/>
    <w:rsid w:val="00300948"/>
    <w:rsid w:val="00301504"/>
    <w:rsid w:val="00311F25"/>
    <w:rsid w:val="00314353"/>
    <w:rsid w:val="0031784D"/>
    <w:rsid w:val="0032145C"/>
    <w:rsid w:val="003242CF"/>
    <w:rsid w:val="00326095"/>
    <w:rsid w:val="00330CAF"/>
    <w:rsid w:val="0033430F"/>
    <w:rsid w:val="00340F1A"/>
    <w:rsid w:val="0034102F"/>
    <w:rsid w:val="00346741"/>
    <w:rsid w:val="00352D30"/>
    <w:rsid w:val="003530F9"/>
    <w:rsid w:val="00353310"/>
    <w:rsid w:val="003607C8"/>
    <w:rsid w:val="00364849"/>
    <w:rsid w:val="003674E3"/>
    <w:rsid w:val="00367B53"/>
    <w:rsid w:val="003724FB"/>
    <w:rsid w:val="003776DF"/>
    <w:rsid w:val="0037783D"/>
    <w:rsid w:val="00392D73"/>
    <w:rsid w:val="003947EB"/>
    <w:rsid w:val="003A3D5E"/>
    <w:rsid w:val="003A4BF8"/>
    <w:rsid w:val="003A5A7B"/>
    <w:rsid w:val="003B2441"/>
    <w:rsid w:val="003C5DC2"/>
    <w:rsid w:val="003D135A"/>
    <w:rsid w:val="003D5B62"/>
    <w:rsid w:val="003E013C"/>
    <w:rsid w:val="003E602C"/>
    <w:rsid w:val="003E7673"/>
    <w:rsid w:val="003F04C9"/>
    <w:rsid w:val="003F47C0"/>
    <w:rsid w:val="003F59C4"/>
    <w:rsid w:val="003F7DA2"/>
    <w:rsid w:val="00401D57"/>
    <w:rsid w:val="00403501"/>
    <w:rsid w:val="00403E9F"/>
    <w:rsid w:val="00404055"/>
    <w:rsid w:val="004079BB"/>
    <w:rsid w:val="00416212"/>
    <w:rsid w:val="00416CA1"/>
    <w:rsid w:val="00417EDC"/>
    <w:rsid w:val="00425D0B"/>
    <w:rsid w:val="004306EB"/>
    <w:rsid w:val="00431927"/>
    <w:rsid w:val="00433B6E"/>
    <w:rsid w:val="00436E19"/>
    <w:rsid w:val="0043740D"/>
    <w:rsid w:val="00440193"/>
    <w:rsid w:val="00451226"/>
    <w:rsid w:val="004566A2"/>
    <w:rsid w:val="00456C77"/>
    <w:rsid w:val="00457C85"/>
    <w:rsid w:val="00464F89"/>
    <w:rsid w:val="0046576B"/>
    <w:rsid w:val="00466A8B"/>
    <w:rsid w:val="0047380D"/>
    <w:rsid w:val="004745EF"/>
    <w:rsid w:val="004811E5"/>
    <w:rsid w:val="004837BD"/>
    <w:rsid w:val="00486071"/>
    <w:rsid w:val="004938AC"/>
    <w:rsid w:val="00493FB2"/>
    <w:rsid w:val="004A73F6"/>
    <w:rsid w:val="004B1929"/>
    <w:rsid w:val="004B52BA"/>
    <w:rsid w:val="004C27B3"/>
    <w:rsid w:val="004C744C"/>
    <w:rsid w:val="004D027A"/>
    <w:rsid w:val="004D27F9"/>
    <w:rsid w:val="004E15D7"/>
    <w:rsid w:val="004E41F7"/>
    <w:rsid w:val="004E4E79"/>
    <w:rsid w:val="004E61A5"/>
    <w:rsid w:val="004F2C6A"/>
    <w:rsid w:val="004F2E7B"/>
    <w:rsid w:val="00510743"/>
    <w:rsid w:val="005144E7"/>
    <w:rsid w:val="005265DE"/>
    <w:rsid w:val="00527FF9"/>
    <w:rsid w:val="00535E89"/>
    <w:rsid w:val="0053781A"/>
    <w:rsid w:val="00542F1F"/>
    <w:rsid w:val="00545FD3"/>
    <w:rsid w:val="00551D82"/>
    <w:rsid w:val="005558E6"/>
    <w:rsid w:val="00561C5F"/>
    <w:rsid w:val="0056258A"/>
    <w:rsid w:val="00564DE0"/>
    <w:rsid w:val="005655BA"/>
    <w:rsid w:val="00571352"/>
    <w:rsid w:val="00581215"/>
    <w:rsid w:val="005829AD"/>
    <w:rsid w:val="00583C22"/>
    <w:rsid w:val="00593C60"/>
    <w:rsid w:val="005952E5"/>
    <w:rsid w:val="005A2153"/>
    <w:rsid w:val="005A235F"/>
    <w:rsid w:val="005A3394"/>
    <w:rsid w:val="005A4595"/>
    <w:rsid w:val="005A6397"/>
    <w:rsid w:val="005A6900"/>
    <w:rsid w:val="005A691F"/>
    <w:rsid w:val="005A736C"/>
    <w:rsid w:val="005B1409"/>
    <w:rsid w:val="005B2C60"/>
    <w:rsid w:val="005B418A"/>
    <w:rsid w:val="005B4643"/>
    <w:rsid w:val="005C0169"/>
    <w:rsid w:val="005C3DF0"/>
    <w:rsid w:val="005C4382"/>
    <w:rsid w:val="005C6C85"/>
    <w:rsid w:val="005E2643"/>
    <w:rsid w:val="005E6CF6"/>
    <w:rsid w:val="00600DBD"/>
    <w:rsid w:val="006031AC"/>
    <w:rsid w:val="00603412"/>
    <w:rsid w:val="0060407A"/>
    <w:rsid w:val="006060E8"/>
    <w:rsid w:val="00607F4E"/>
    <w:rsid w:val="00611F57"/>
    <w:rsid w:val="00614C71"/>
    <w:rsid w:val="00617121"/>
    <w:rsid w:val="00624247"/>
    <w:rsid w:val="00624811"/>
    <w:rsid w:val="006327A0"/>
    <w:rsid w:val="00636518"/>
    <w:rsid w:val="00640CEB"/>
    <w:rsid w:val="00643C1F"/>
    <w:rsid w:val="00645CBB"/>
    <w:rsid w:val="00663658"/>
    <w:rsid w:val="00664A0E"/>
    <w:rsid w:val="006657E1"/>
    <w:rsid w:val="00666A06"/>
    <w:rsid w:val="00670D43"/>
    <w:rsid w:val="006766E0"/>
    <w:rsid w:val="0068067A"/>
    <w:rsid w:val="00682986"/>
    <w:rsid w:val="00692721"/>
    <w:rsid w:val="00694F83"/>
    <w:rsid w:val="0069648D"/>
    <w:rsid w:val="00696811"/>
    <w:rsid w:val="006A17C2"/>
    <w:rsid w:val="006A1FE7"/>
    <w:rsid w:val="006A214E"/>
    <w:rsid w:val="006A226B"/>
    <w:rsid w:val="006A31E7"/>
    <w:rsid w:val="006A36B8"/>
    <w:rsid w:val="006A3EFD"/>
    <w:rsid w:val="006A4DA0"/>
    <w:rsid w:val="006A633F"/>
    <w:rsid w:val="006B17CE"/>
    <w:rsid w:val="006B509A"/>
    <w:rsid w:val="006D27C8"/>
    <w:rsid w:val="006D42B1"/>
    <w:rsid w:val="006E09EE"/>
    <w:rsid w:val="006E1CBB"/>
    <w:rsid w:val="006E2E95"/>
    <w:rsid w:val="006E31DA"/>
    <w:rsid w:val="006E40E2"/>
    <w:rsid w:val="006F1F73"/>
    <w:rsid w:val="007035A6"/>
    <w:rsid w:val="00705626"/>
    <w:rsid w:val="00706669"/>
    <w:rsid w:val="00710258"/>
    <w:rsid w:val="00711D85"/>
    <w:rsid w:val="00720227"/>
    <w:rsid w:val="00725213"/>
    <w:rsid w:val="007357C4"/>
    <w:rsid w:val="007438EC"/>
    <w:rsid w:val="00747435"/>
    <w:rsid w:val="00762434"/>
    <w:rsid w:val="0076541C"/>
    <w:rsid w:val="00766ABB"/>
    <w:rsid w:val="00773366"/>
    <w:rsid w:val="007746B4"/>
    <w:rsid w:val="007758A4"/>
    <w:rsid w:val="00777654"/>
    <w:rsid w:val="00782E9F"/>
    <w:rsid w:val="00785532"/>
    <w:rsid w:val="00785F1F"/>
    <w:rsid w:val="00787444"/>
    <w:rsid w:val="00790E95"/>
    <w:rsid w:val="00796201"/>
    <w:rsid w:val="007A0E5E"/>
    <w:rsid w:val="007A1DF7"/>
    <w:rsid w:val="007A5579"/>
    <w:rsid w:val="007B4E9B"/>
    <w:rsid w:val="007C54EF"/>
    <w:rsid w:val="007D2173"/>
    <w:rsid w:val="007D6820"/>
    <w:rsid w:val="007D7FE9"/>
    <w:rsid w:val="007E3056"/>
    <w:rsid w:val="007E3122"/>
    <w:rsid w:val="007F0164"/>
    <w:rsid w:val="007F10B5"/>
    <w:rsid w:val="007F3A76"/>
    <w:rsid w:val="007F570B"/>
    <w:rsid w:val="007F76A2"/>
    <w:rsid w:val="0080039C"/>
    <w:rsid w:val="00801BD7"/>
    <w:rsid w:val="0080253C"/>
    <w:rsid w:val="008056CF"/>
    <w:rsid w:val="0080673D"/>
    <w:rsid w:val="00817557"/>
    <w:rsid w:val="00817F0C"/>
    <w:rsid w:val="00821162"/>
    <w:rsid w:val="0082430A"/>
    <w:rsid w:val="00825DFD"/>
    <w:rsid w:val="008272EE"/>
    <w:rsid w:val="00833630"/>
    <w:rsid w:val="00833C0A"/>
    <w:rsid w:val="00840C0C"/>
    <w:rsid w:val="008416A2"/>
    <w:rsid w:val="008445C8"/>
    <w:rsid w:val="00855700"/>
    <w:rsid w:val="008557EF"/>
    <w:rsid w:val="00856ABE"/>
    <w:rsid w:val="008608EC"/>
    <w:rsid w:val="00861E0F"/>
    <w:rsid w:val="00865D28"/>
    <w:rsid w:val="00870D49"/>
    <w:rsid w:val="00880D48"/>
    <w:rsid w:val="008831D1"/>
    <w:rsid w:val="008837D6"/>
    <w:rsid w:val="00883F1E"/>
    <w:rsid w:val="00895CEB"/>
    <w:rsid w:val="008A04A7"/>
    <w:rsid w:val="008A1970"/>
    <w:rsid w:val="008A3FA0"/>
    <w:rsid w:val="008B0B9E"/>
    <w:rsid w:val="008B45C0"/>
    <w:rsid w:val="008B59F0"/>
    <w:rsid w:val="008B7B09"/>
    <w:rsid w:val="008B7B99"/>
    <w:rsid w:val="008C6130"/>
    <w:rsid w:val="008C7ADB"/>
    <w:rsid w:val="008D1C2C"/>
    <w:rsid w:val="008D1F20"/>
    <w:rsid w:val="008D25F0"/>
    <w:rsid w:val="008D3B2F"/>
    <w:rsid w:val="008D7569"/>
    <w:rsid w:val="008E57EF"/>
    <w:rsid w:val="008F26B0"/>
    <w:rsid w:val="00900B5C"/>
    <w:rsid w:val="0090383F"/>
    <w:rsid w:val="0090590B"/>
    <w:rsid w:val="0091304F"/>
    <w:rsid w:val="00914036"/>
    <w:rsid w:val="009152BD"/>
    <w:rsid w:val="00920381"/>
    <w:rsid w:val="00931197"/>
    <w:rsid w:val="00932892"/>
    <w:rsid w:val="00951F3F"/>
    <w:rsid w:val="009522D3"/>
    <w:rsid w:val="0095248E"/>
    <w:rsid w:val="0095595F"/>
    <w:rsid w:val="00961552"/>
    <w:rsid w:val="0096460E"/>
    <w:rsid w:val="009667EB"/>
    <w:rsid w:val="00972309"/>
    <w:rsid w:val="0097278B"/>
    <w:rsid w:val="00972D94"/>
    <w:rsid w:val="00977207"/>
    <w:rsid w:val="00977222"/>
    <w:rsid w:val="0098004D"/>
    <w:rsid w:val="0098085C"/>
    <w:rsid w:val="00985EF4"/>
    <w:rsid w:val="009A17DD"/>
    <w:rsid w:val="009B08AA"/>
    <w:rsid w:val="009B3A84"/>
    <w:rsid w:val="009C370B"/>
    <w:rsid w:val="009C423A"/>
    <w:rsid w:val="009C75D7"/>
    <w:rsid w:val="009C7867"/>
    <w:rsid w:val="009D158F"/>
    <w:rsid w:val="009E259A"/>
    <w:rsid w:val="009E77DF"/>
    <w:rsid w:val="009E7DF1"/>
    <w:rsid w:val="009F11A1"/>
    <w:rsid w:val="009F4A94"/>
    <w:rsid w:val="009F54FD"/>
    <w:rsid w:val="009F7122"/>
    <w:rsid w:val="00A01FE3"/>
    <w:rsid w:val="00A05FA3"/>
    <w:rsid w:val="00A121FA"/>
    <w:rsid w:val="00A1228B"/>
    <w:rsid w:val="00A14ABE"/>
    <w:rsid w:val="00A218B6"/>
    <w:rsid w:val="00A237AA"/>
    <w:rsid w:val="00A24521"/>
    <w:rsid w:val="00A30AAF"/>
    <w:rsid w:val="00A31AE8"/>
    <w:rsid w:val="00A3393E"/>
    <w:rsid w:val="00A34B9A"/>
    <w:rsid w:val="00A43BBD"/>
    <w:rsid w:val="00A45E8F"/>
    <w:rsid w:val="00A54143"/>
    <w:rsid w:val="00A63AB9"/>
    <w:rsid w:val="00A66CD9"/>
    <w:rsid w:val="00A92D05"/>
    <w:rsid w:val="00A92D70"/>
    <w:rsid w:val="00AA3DC0"/>
    <w:rsid w:val="00AB2D00"/>
    <w:rsid w:val="00AB5F88"/>
    <w:rsid w:val="00AC380B"/>
    <w:rsid w:val="00AE1F55"/>
    <w:rsid w:val="00AE3E92"/>
    <w:rsid w:val="00AE4C24"/>
    <w:rsid w:val="00AE53F0"/>
    <w:rsid w:val="00AF0350"/>
    <w:rsid w:val="00AF5DAB"/>
    <w:rsid w:val="00AF629F"/>
    <w:rsid w:val="00B04C49"/>
    <w:rsid w:val="00B0660E"/>
    <w:rsid w:val="00B13C69"/>
    <w:rsid w:val="00B15C88"/>
    <w:rsid w:val="00B22107"/>
    <w:rsid w:val="00B2760C"/>
    <w:rsid w:val="00B27630"/>
    <w:rsid w:val="00B32862"/>
    <w:rsid w:val="00B33FD8"/>
    <w:rsid w:val="00B3766D"/>
    <w:rsid w:val="00B53384"/>
    <w:rsid w:val="00B54F1C"/>
    <w:rsid w:val="00B60AE5"/>
    <w:rsid w:val="00B627C2"/>
    <w:rsid w:val="00B631EF"/>
    <w:rsid w:val="00B72CBE"/>
    <w:rsid w:val="00B72D72"/>
    <w:rsid w:val="00B75E97"/>
    <w:rsid w:val="00B83637"/>
    <w:rsid w:val="00B857FB"/>
    <w:rsid w:val="00B85A58"/>
    <w:rsid w:val="00B913A7"/>
    <w:rsid w:val="00B91D79"/>
    <w:rsid w:val="00B9419C"/>
    <w:rsid w:val="00B950ED"/>
    <w:rsid w:val="00BA00B7"/>
    <w:rsid w:val="00BA057A"/>
    <w:rsid w:val="00BA2BA4"/>
    <w:rsid w:val="00BA4375"/>
    <w:rsid w:val="00BB0D05"/>
    <w:rsid w:val="00BB1EF8"/>
    <w:rsid w:val="00BC1D2E"/>
    <w:rsid w:val="00BC3CD1"/>
    <w:rsid w:val="00BC6809"/>
    <w:rsid w:val="00BC689E"/>
    <w:rsid w:val="00BD33C5"/>
    <w:rsid w:val="00BD33EF"/>
    <w:rsid w:val="00BD5178"/>
    <w:rsid w:val="00BE6CB9"/>
    <w:rsid w:val="00BF474D"/>
    <w:rsid w:val="00BF5A98"/>
    <w:rsid w:val="00C03178"/>
    <w:rsid w:val="00C06C9C"/>
    <w:rsid w:val="00C1218A"/>
    <w:rsid w:val="00C126F1"/>
    <w:rsid w:val="00C13F9C"/>
    <w:rsid w:val="00C173AB"/>
    <w:rsid w:val="00C27E99"/>
    <w:rsid w:val="00C31CD9"/>
    <w:rsid w:val="00C34A56"/>
    <w:rsid w:val="00C37067"/>
    <w:rsid w:val="00C4109E"/>
    <w:rsid w:val="00C43223"/>
    <w:rsid w:val="00C6358A"/>
    <w:rsid w:val="00C6643A"/>
    <w:rsid w:val="00C72A59"/>
    <w:rsid w:val="00C84B74"/>
    <w:rsid w:val="00CA3929"/>
    <w:rsid w:val="00CB02EA"/>
    <w:rsid w:val="00CB17AD"/>
    <w:rsid w:val="00CB69BE"/>
    <w:rsid w:val="00CB7C9B"/>
    <w:rsid w:val="00CC009C"/>
    <w:rsid w:val="00CC1CEB"/>
    <w:rsid w:val="00CC34BE"/>
    <w:rsid w:val="00CE4FE7"/>
    <w:rsid w:val="00CE68B5"/>
    <w:rsid w:val="00CE73EB"/>
    <w:rsid w:val="00CF0811"/>
    <w:rsid w:val="00D00134"/>
    <w:rsid w:val="00D0170B"/>
    <w:rsid w:val="00D10493"/>
    <w:rsid w:val="00D10E77"/>
    <w:rsid w:val="00D14A58"/>
    <w:rsid w:val="00D211A0"/>
    <w:rsid w:val="00D2248B"/>
    <w:rsid w:val="00D31253"/>
    <w:rsid w:val="00D31B7A"/>
    <w:rsid w:val="00D33045"/>
    <w:rsid w:val="00D35662"/>
    <w:rsid w:val="00D52B12"/>
    <w:rsid w:val="00D55F1A"/>
    <w:rsid w:val="00D6008C"/>
    <w:rsid w:val="00D6187B"/>
    <w:rsid w:val="00D642BD"/>
    <w:rsid w:val="00D661B0"/>
    <w:rsid w:val="00D66C1F"/>
    <w:rsid w:val="00D707B7"/>
    <w:rsid w:val="00D71D60"/>
    <w:rsid w:val="00D768BA"/>
    <w:rsid w:val="00D869C8"/>
    <w:rsid w:val="00D90C7E"/>
    <w:rsid w:val="00D9387B"/>
    <w:rsid w:val="00D97041"/>
    <w:rsid w:val="00D97324"/>
    <w:rsid w:val="00DA0258"/>
    <w:rsid w:val="00DA5DD7"/>
    <w:rsid w:val="00DA6652"/>
    <w:rsid w:val="00DA6B56"/>
    <w:rsid w:val="00DB5C03"/>
    <w:rsid w:val="00DC0B1C"/>
    <w:rsid w:val="00DC6391"/>
    <w:rsid w:val="00DD0561"/>
    <w:rsid w:val="00DD5234"/>
    <w:rsid w:val="00DD7194"/>
    <w:rsid w:val="00DF15DF"/>
    <w:rsid w:val="00DF5A21"/>
    <w:rsid w:val="00E02128"/>
    <w:rsid w:val="00E06A83"/>
    <w:rsid w:val="00E1164F"/>
    <w:rsid w:val="00E22F1E"/>
    <w:rsid w:val="00E24445"/>
    <w:rsid w:val="00E2781C"/>
    <w:rsid w:val="00E37934"/>
    <w:rsid w:val="00E40FEF"/>
    <w:rsid w:val="00E45CB9"/>
    <w:rsid w:val="00E474CF"/>
    <w:rsid w:val="00E5163F"/>
    <w:rsid w:val="00E52F52"/>
    <w:rsid w:val="00E54563"/>
    <w:rsid w:val="00E6098B"/>
    <w:rsid w:val="00E63075"/>
    <w:rsid w:val="00E6343D"/>
    <w:rsid w:val="00E63B44"/>
    <w:rsid w:val="00E6485F"/>
    <w:rsid w:val="00E64A09"/>
    <w:rsid w:val="00E6712B"/>
    <w:rsid w:val="00E760A7"/>
    <w:rsid w:val="00E85C34"/>
    <w:rsid w:val="00E94CE0"/>
    <w:rsid w:val="00EA46C2"/>
    <w:rsid w:val="00EB0B04"/>
    <w:rsid w:val="00EB2277"/>
    <w:rsid w:val="00EB3C44"/>
    <w:rsid w:val="00ED08C1"/>
    <w:rsid w:val="00ED2824"/>
    <w:rsid w:val="00ED6054"/>
    <w:rsid w:val="00ED6EC2"/>
    <w:rsid w:val="00EE1784"/>
    <w:rsid w:val="00EE1C61"/>
    <w:rsid w:val="00EF21DA"/>
    <w:rsid w:val="00EF402C"/>
    <w:rsid w:val="00EF5C30"/>
    <w:rsid w:val="00F01637"/>
    <w:rsid w:val="00F0743A"/>
    <w:rsid w:val="00F07880"/>
    <w:rsid w:val="00F079B1"/>
    <w:rsid w:val="00F107FD"/>
    <w:rsid w:val="00F135C9"/>
    <w:rsid w:val="00F2716D"/>
    <w:rsid w:val="00F274B3"/>
    <w:rsid w:val="00F326F3"/>
    <w:rsid w:val="00F37E65"/>
    <w:rsid w:val="00F40603"/>
    <w:rsid w:val="00F41A8A"/>
    <w:rsid w:val="00F44494"/>
    <w:rsid w:val="00F45BBD"/>
    <w:rsid w:val="00F475C7"/>
    <w:rsid w:val="00F527BA"/>
    <w:rsid w:val="00F551DA"/>
    <w:rsid w:val="00F55B57"/>
    <w:rsid w:val="00F61BFB"/>
    <w:rsid w:val="00F61FEF"/>
    <w:rsid w:val="00F630EF"/>
    <w:rsid w:val="00F65AE3"/>
    <w:rsid w:val="00F65CF8"/>
    <w:rsid w:val="00F65D58"/>
    <w:rsid w:val="00F67F3E"/>
    <w:rsid w:val="00F71C65"/>
    <w:rsid w:val="00F74B3A"/>
    <w:rsid w:val="00F76923"/>
    <w:rsid w:val="00F80868"/>
    <w:rsid w:val="00F812FB"/>
    <w:rsid w:val="00F820C8"/>
    <w:rsid w:val="00F83B43"/>
    <w:rsid w:val="00F861B7"/>
    <w:rsid w:val="00F923D7"/>
    <w:rsid w:val="00F93616"/>
    <w:rsid w:val="00F945A2"/>
    <w:rsid w:val="00F95817"/>
    <w:rsid w:val="00FA0C28"/>
    <w:rsid w:val="00FA6B12"/>
    <w:rsid w:val="00FB7AB6"/>
    <w:rsid w:val="00FC39B8"/>
    <w:rsid w:val="00FC46AD"/>
    <w:rsid w:val="00FD00FF"/>
    <w:rsid w:val="00FD6B16"/>
    <w:rsid w:val="00FE1C88"/>
    <w:rsid w:val="00FE47DC"/>
    <w:rsid w:val="00FF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FF5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10B"/>
    <w:pPr>
      <w:spacing w:after="240" w:line="276" w:lineRule="auto"/>
    </w:pPr>
    <w:rPr>
      <w:rFonts w:ascii="Trebuchet MS" w:hAnsi="Trebuchet MS"/>
      <w:sz w:val="20"/>
      <w:szCs w:val="20"/>
      <w:lang w:val="en-AU"/>
    </w:rPr>
  </w:style>
  <w:style w:type="paragraph" w:styleId="Heading1">
    <w:name w:val="heading 1"/>
    <w:basedOn w:val="Normal"/>
    <w:next w:val="Normal"/>
    <w:link w:val="Heading1Char"/>
    <w:uiPriority w:val="9"/>
    <w:qFormat/>
    <w:rsid w:val="00FC46AD"/>
    <w:pPr>
      <w:keepNext/>
      <w:keepLines/>
      <w:spacing w:before="480"/>
      <w:outlineLvl w:val="0"/>
    </w:pPr>
    <w:rPr>
      <w:rFonts w:eastAsiaTheme="majorEastAsia"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1164F"/>
    <w:pPr>
      <w:keepNext/>
      <w:keepLines/>
      <w:spacing w:before="200"/>
      <w:outlineLvl w:val="1"/>
    </w:pPr>
    <w:rPr>
      <w:rFonts w:eastAsiaTheme="majorEastAsia" w:cstheme="majorBidi"/>
      <w:b/>
      <w:sz w:val="24"/>
      <w:szCs w:val="24"/>
    </w:rPr>
  </w:style>
  <w:style w:type="paragraph" w:styleId="Heading3">
    <w:name w:val="heading 3"/>
    <w:basedOn w:val="Normal"/>
    <w:next w:val="Normal"/>
    <w:link w:val="Heading3Char"/>
    <w:uiPriority w:val="9"/>
    <w:unhideWhenUsed/>
    <w:qFormat/>
    <w:rsid w:val="00E1164F"/>
    <w:pPr>
      <w:keepNext/>
      <w:keepLines/>
      <w:spacing w:before="200" w:after="80"/>
      <w:outlineLvl w:val="2"/>
    </w:pPr>
    <w:rPr>
      <w:rFonts w:eastAsiaTheme="majorEastAsia" w:cstheme="majorBidi"/>
      <w:b/>
    </w:rPr>
  </w:style>
  <w:style w:type="paragraph" w:styleId="Heading4">
    <w:name w:val="heading 4"/>
    <w:basedOn w:val="Normal"/>
    <w:next w:val="Normal"/>
    <w:link w:val="Heading4Char"/>
    <w:uiPriority w:val="9"/>
    <w:unhideWhenUsed/>
    <w:qFormat/>
    <w:rsid w:val="00E1164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563"/>
    <w:pPr>
      <w:ind w:left="720"/>
      <w:contextualSpacing/>
    </w:pPr>
  </w:style>
  <w:style w:type="table" w:styleId="TableGrid">
    <w:name w:val="Table Grid"/>
    <w:basedOn w:val="TableNormal"/>
    <w:uiPriority w:val="39"/>
    <w:rsid w:val="00122C6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6AD"/>
    <w:rPr>
      <w:rFonts w:ascii="Trebuchet MS" w:eastAsiaTheme="majorEastAsia" w:hAnsi="Trebuchet MS"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F65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AE3"/>
    <w:rPr>
      <w:rFonts w:ascii="Segoe UI" w:hAnsi="Segoe UI" w:cs="Segoe UI"/>
      <w:sz w:val="18"/>
      <w:szCs w:val="18"/>
    </w:rPr>
  </w:style>
  <w:style w:type="character" w:customStyle="1" w:styleId="Heading2Char">
    <w:name w:val="Heading 2 Char"/>
    <w:basedOn w:val="DefaultParagraphFont"/>
    <w:link w:val="Heading2"/>
    <w:uiPriority w:val="9"/>
    <w:rsid w:val="00E1164F"/>
    <w:rPr>
      <w:rFonts w:ascii="Trebuchet MS" w:eastAsiaTheme="majorEastAsia" w:hAnsi="Trebuchet MS" w:cstheme="majorBidi"/>
      <w:b/>
      <w:lang w:val="en-AU"/>
    </w:rPr>
  </w:style>
  <w:style w:type="character" w:styleId="CommentReference">
    <w:name w:val="annotation reference"/>
    <w:basedOn w:val="DefaultParagraphFont"/>
    <w:uiPriority w:val="99"/>
    <w:semiHidden/>
    <w:unhideWhenUsed/>
    <w:rsid w:val="00DB5C03"/>
    <w:rPr>
      <w:sz w:val="16"/>
      <w:szCs w:val="16"/>
    </w:rPr>
  </w:style>
  <w:style w:type="paragraph" w:styleId="CommentText">
    <w:name w:val="annotation text"/>
    <w:basedOn w:val="Normal"/>
    <w:link w:val="CommentTextChar"/>
    <w:uiPriority w:val="99"/>
    <w:unhideWhenUsed/>
    <w:rsid w:val="00DB5C03"/>
  </w:style>
  <w:style w:type="character" w:customStyle="1" w:styleId="CommentTextChar">
    <w:name w:val="Comment Text Char"/>
    <w:basedOn w:val="DefaultParagraphFont"/>
    <w:link w:val="CommentText"/>
    <w:uiPriority w:val="99"/>
    <w:rsid w:val="00DB5C03"/>
    <w:rPr>
      <w:sz w:val="20"/>
      <w:szCs w:val="20"/>
    </w:rPr>
  </w:style>
  <w:style w:type="paragraph" w:styleId="CommentSubject">
    <w:name w:val="annotation subject"/>
    <w:basedOn w:val="CommentText"/>
    <w:next w:val="CommentText"/>
    <w:link w:val="CommentSubjectChar"/>
    <w:uiPriority w:val="99"/>
    <w:semiHidden/>
    <w:unhideWhenUsed/>
    <w:rsid w:val="00DB5C03"/>
    <w:rPr>
      <w:b/>
      <w:bCs/>
    </w:rPr>
  </w:style>
  <w:style w:type="character" w:customStyle="1" w:styleId="CommentSubjectChar">
    <w:name w:val="Comment Subject Char"/>
    <w:basedOn w:val="CommentTextChar"/>
    <w:link w:val="CommentSubject"/>
    <w:uiPriority w:val="99"/>
    <w:semiHidden/>
    <w:rsid w:val="00DB5C03"/>
    <w:rPr>
      <w:b/>
      <w:bCs/>
      <w:sz w:val="20"/>
      <w:szCs w:val="20"/>
    </w:rPr>
  </w:style>
  <w:style w:type="paragraph" w:customStyle="1" w:styleId="EndNoteBibliographyTitle">
    <w:name w:val="EndNote Bibliography Title"/>
    <w:basedOn w:val="Normal"/>
    <w:rsid w:val="008D1F20"/>
    <w:pPr>
      <w:jc w:val="center"/>
    </w:pPr>
    <w:rPr>
      <w:rFonts w:ascii="Calibri" w:hAnsi="Calibri"/>
      <w:sz w:val="24"/>
      <w:lang w:val="en-US"/>
    </w:rPr>
  </w:style>
  <w:style w:type="paragraph" w:customStyle="1" w:styleId="EndNoteBibliography">
    <w:name w:val="EndNote Bibliography"/>
    <w:basedOn w:val="Normal"/>
    <w:link w:val="EndNoteBibliographyChar"/>
    <w:rsid w:val="008D1F20"/>
    <w:pPr>
      <w:spacing w:line="240" w:lineRule="auto"/>
    </w:pPr>
    <w:rPr>
      <w:rFonts w:ascii="Calibri" w:hAnsi="Calibri"/>
      <w:sz w:val="24"/>
      <w:lang w:val="en-US"/>
    </w:rPr>
  </w:style>
  <w:style w:type="paragraph" w:styleId="Subtitle">
    <w:name w:val="Subtitle"/>
    <w:basedOn w:val="Normal"/>
    <w:next w:val="Normal"/>
    <w:link w:val="SubtitleChar"/>
    <w:uiPriority w:val="11"/>
    <w:qFormat/>
    <w:rsid w:val="00187F8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87F89"/>
    <w:rPr>
      <w:rFonts w:eastAsiaTheme="minorEastAsia"/>
      <w:color w:val="5A5A5A" w:themeColor="text1" w:themeTint="A5"/>
      <w:spacing w:val="15"/>
      <w:sz w:val="22"/>
      <w:szCs w:val="22"/>
    </w:rPr>
  </w:style>
  <w:style w:type="paragraph" w:styleId="Caption">
    <w:name w:val="caption"/>
    <w:aliases w:val="*Caption*"/>
    <w:basedOn w:val="Normal"/>
    <w:next w:val="Normal"/>
    <w:uiPriority w:val="35"/>
    <w:unhideWhenUsed/>
    <w:rsid w:val="00581215"/>
    <w:pPr>
      <w:keepNext/>
      <w:autoSpaceDE w:val="0"/>
      <w:autoSpaceDN w:val="0"/>
      <w:adjustRightInd w:val="0"/>
      <w:spacing w:before="120" w:after="120"/>
    </w:pPr>
    <w:rPr>
      <w:rFonts w:eastAsiaTheme="minorEastAsia" w:cs="ArialMT"/>
      <w:b/>
      <w:bCs/>
      <w:color w:val="222A35" w:themeColor="text2" w:themeShade="80"/>
      <w:sz w:val="18"/>
      <w:szCs w:val="18"/>
    </w:rPr>
  </w:style>
  <w:style w:type="paragraph" w:styleId="Revision">
    <w:name w:val="Revision"/>
    <w:hidden/>
    <w:uiPriority w:val="99"/>
    <w:semiHidden/>
    <w:rsid w:val="00F135C9"/>
  </w:style>
  <w:style w:type="character" w:customStyle="1" w:styleId="Heading3Char">
    <w:name w:val="Heading 3 Char"/>
    <w:basedOn w:val="DefaultParagraphFont"/>
    <w:link w:val="Heading3"/>
    <w:uiPriority w:val="9"/>
    <w:rsid w:val="00E1164F"/>
    <w:rPr>
      <w:rFonts w:ascii="Trebuchet MS" w:eastAsiaTheme="majorEastAsia" w:hAnsi="Trebuchet MS" w:cstheme="majorBidi"/>
      <w:b/>
      <w:sz w:val="20"/>
      <w:szCs w:val="20"/>
      <w:lang w:val="en-AU"/>
    </w:rPr>
  </w:style>
  <w:style w:type="character" w:styleId="Hyperlink">
    <w:name w:val="Hyperlink"/>
    <w:basedOn w:val="DefaultParagraphFont"/>
    <w:uiPriority w:val="99"/>
    <w:unhideWhenUsed/>
    <w:rsid w:val="00C72A59"/>
    <w:rPr>
      <w:color w:val="0563C1" w:themeColor="hyperlink"/>
      <w:u w:val="single"/>
    </w:rPr>
  </w:style>
  <w:style w:type="paragraph" w:styleId="NormalWeb">
    <w:name w:val="Normal (Web)"/>
    <w:basedOn w:val="Normal"/>
    <w:uiPriority w:val="99"/>
    <w:unhideWhenUsed/>
    <w:rsid w:val="00C72A59"/>
    <w:pPr>
      <w:autoSpaceDE w:val="0"/>
      <w:autoSpaceDN w:val="0"/>
      <w:adjustRightInd w:val="0"/>
      <w:spacing w:before="100" w:beforeAutospacing="1" w:after="100" w:afterAutospacing="1"/>
      <w:jc w:val="both"/>
    </w:pPr>
    <w:rPr>
      <w:rFonts w:ascii="Times New Roman" w:eastAsiaTheme="minorEastAsia" w:hAnsi="Times New Roman" w:cs="Times New Roman"/>
      <w:color w:val="000000"/>
      <w:lang w:eastAsia="en-AU"/>
    </w:rPr>
  </w:style>
  <w:style w:type="table" w:styleId="LightList-Accent1">
    <w:name w:val="Light List Accent 1"/>
    <w:basedOn w:val="TableNormal"/>
    <w:uiPriority w:val="61"/>
    <w:rsid w:val="00C72A59"/>
    <w:rPr>
      <w:rFonts w:eastAsiaTheme="minorEastAsia"/>
      <w:sz w:val="22"/>
      <w:szCs w:val="22"/>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3-Accent11">
    <w:name w:val="List Table 3 - Accent 11"/>
    <w:basedOn w:val="TableNormal"/>
    <w:uiPriority w:val="48"/>
    <w:rsid w:val="00C72A59"/>
    <w:rPr>
      <w:rFonts w:eastAsiaTheme="minorEastAsia"/>
      <w:sz w:val="22"/>
      <w:szCs w:val="22"/>
      <w:lang w:val="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E1164F"/>
    <w:rPr>
      <w:rFonts w:ascii="Trebuchet MS" w:eastAsiaTheme="majorEastAsia" w:hAnsi="Trebuchet MS" w:cstheme="majorBidi"/>
      <w:i/>
      <w:iCs/>
      <w:sz w:val="20"/>
      <w:szCs w:val="20"/>
      <w:lang w:val="en-AU"/>
    </w:rPr>
  </w:style>
  <w:style w:type="table" w:customStyle="1" w:styleId="LightList-Accent11">
    <w:name w:val="Light List - Accent 11"/>
    <w:basedOn w:val="TableNormal"/>
    <w:next w:val="LightList-Accent1"/>
    <w:uiPriority w:val="61"/>
    <w:rsid w:val="0033430F"/>
    <w:rPr>
      <w:rFonts w:eastAsia="MS Mincho"/>
      <w:sz w:val="22"/>
      <w:szCs w:val="22"/>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ndNoteBibliographyChar">
    <w:name w:val="EndNote Bibliography Char"/>
    <w:basedOn w:val="DefaultParagraphFont"/>
    <w:link w:val="EndNoteBibliography"/>
    <w:rsid w:val="0033430F"/>
    <w:rPr>
      <w:rFonts w:ascii="Calibri" w:hAnsi="Calibri"/>
      <w:szCs w:val="20"/>
      <w:lang w:val="en-US"/>
    </w:rPr>
  </w:style>
  <w:style w:type="paragraph" w:customStyle="1" w:styleId="Default">
    <w:name w:val="Default"/>
    <w:rsid w:val="009F4A94"/>
    <w:pPr>
      <w:autoSpaceDE w:val="0"/>
      <w:autoSpaceDN w:val="0"/>
      <w:adjustRightInd w:val="0"/>
    </w:pPr>
    <w:rPr>
      <w:rFonts w:ascii="Calibri" w:hAnsi="Calibri" w:cs="Calibri"/>
      <w:color w:val="000000"/>
      <w:lang w:val="en-AU"/>
    </w:rPr>
  </w:style>
  <w:style w:type="paragraph" w:styleId="Title">
    <w:name w:val="Title"/>
    <w:basedOn w:val="Normal"/>
    <w:next w:val="Normal"/>
    <w:link w:val="TitleChar"/>
    <w:uiPriority w:val="10"/>
    <w:qFormat/>
    <w:rsid w:val="00AE3E92"/>
    <w:pPr>
      <w:autoSpaceDE w:val="0"/>
      <w:autoSpaceDN w:val="0"/>
      <w:adjustRightInd w:val="0"/>
    </w:pPr>
    <w:rPr>
      <w:rFonts w:eastAsiaTheme="minorEastAsia" w:cs="Arial"/>
      <w:color w:val="000000"/>
      <w:sz w:val="50"/>
      <w:szCs w:val="50"/>
    </w:rPr>
  </w:style>
  <w:style w:type="character" w:customStyle="1" w:styleId="TitleChar">
    <w:name w:val="Title Char"/>
    <w:basedOn w:val="DefaultParagraphFont"/>
    <w:link w:val="Title"/>
    <w:uiPriority w:val="10"/>
    <w:rsid w:val="00AE3E92"/>
    <w:rPr>
      <w:rFonts w:ascii="Trebuchet MS" w:eastAsiaTheme="minorEastAsia" w:hAnsi="Trebuchet MS" w:cs="Arial"/>
      <w:color w:val="000000"/>
      <w:sz w:val="50"/>
      <w:szCs w:val="50"/>
    </w:rPr>
  </w:style>
  <w:style w:type="paragraph" w:styleId="Header">
    <w:name w:val="header"/>
    <w:basedOn w:val="Normal"/>
    <w:link w:val="HeaderChar"/>
    <w:uiPriority w:val="99"/>
    <w:unhideWhenUsed/>
    <w:rsid w:val="009F7122"/>
    <w:pPr>
      <w:tabs>
        <w:tab w:val="center" w:pos="4513"/>
        <w:tab w:val="right" w:pos="9026"/>
      </w:tabs>
    </w:pPr>
  </w:style>
  <w:style w:type="character" w:customStyle="1" w:styleId="HeaderChar">
    <w:name w:val="Header Char"/>
    <w:basedOn w:val="DefaultParagraphFont"/>
    <w:link w:val="Header"/>
    <w:uiPriority w:val="99"/>
    <w:rsid w:val="009F7122"/>
  </w:style>
  <w:style w:type="paragraph" w:styleId="Footer">
    <w:name w:val="footer"/>
    <w:basedOn w:val="Normal"/>
    <w:link w:val="FooterChar"/>
    <w:uiPriority w:val="99"/>
    <w:unhideWhenUsed/>
    <w:rsid w:val="009F7122"/>
    <w:pPr>
      <w:tabs>
        <w:tab w:val="center" w:pos="4513"/>
        <w:tab w:val="right" w:pos="9026"/>
      </w:tabs>
    </w:pPr>
  </w:style>
  <w:style w:type="character" w:customStyle="1" w:styleId="FooterChar">
    <w:name w:val="Footer Char"/>
    <w:basedOn w:val="DefaultParagraphFont"/>
    <w:link w:val="Footer"/>
    <w:uiPriority w:val="99"/>
    <w:rsid w:val="009F7122"/>
  </w:style>
  <w:style w:type="paragraph" w:styleId="NoSpacing">
    <w:name w:val="No Spacing"/>
    <w:basedOn w:val="Normal"/>
    <w:link w:val="NoSpacingChar"/>
    <w:uiPriority w:val="1"/>
    <w:qFormat/>
    <w:rsid w:val="00AE3E92"/>
    <w:pPr>
      <w:autoSpaceDE w:val="0"/>
      <w:autoSpaceDN w:val="0"/>
      <w:adjustRightInd w:val="0"/>
    </w:pPr>
    <w:rPr>
      <w:rFonts w:eastAsiaTheme="minorEastAsia" w:cs="ArialMT"/>
      <w:color w:val="000000"/>
    </w:rPr>
  </w:style>
  <w:style w:type="character" w:customStyle="1" w:styleId="NoSpacingChar">
    <w:name w:val="No Spacing Char"/>
    <w:basedOn w:val="DefaultParagraphFont"/>
    <w:link w:val="NoSpacing"/>
    <w:uiPriority w:val="1"/>
    <w:rsid w:val="00AE3E92"/>
    <w:rPr>
      <w:rFonts w:ascii="Trebuchet MS" w:eastAsiaTheme="minorEastAsia" w:hAnsi="Trebuchet MS" w:cs="ArialMT"/>
      <w:color w:val="000000"/>
      <w:sz w:val="20"/>
      <w:szCs w:val="20"/>
      <w:lang w:val="en-AU"/>
    </w:rPr>
  </w:style>
  <w:style w:type="paragraph" w:styleId="TOCHeading">
    <w:name w:val="TOC Heading"/>
    <w:basedOn w:val="Heading1"/>
    <w:next w:val="Normal"/>
    <w:uiPriority w:val="39"/>
    <w:unhideWhenUsed/>
    <w:qFormat/>
    <w:rsid w:val="00FC46AD"/>
    <w:pPr>
      <w:spacing w:after="0" w:line="259" w:lineRule="auto"/>
      <w:outlineLvl w:val="9"/>
    </w:pPr>
    <w:rPr>
      <w:rFonts w:asciiTheme="majorHAnsi" w:hAnsiTheme="majorHAnsi"/>
    </w:rPr>
  </w:style>
  <w:style w:type="paragraph" w:styleId="TOC1">
    <w:name w:val="toc 1"/>
    <w:basedOn w:val="Normal"/>
    <w:next w:val="Normal"/>
    <w:autoRedefine/>
    <w:uiPriority w:val="39"/>
    <w:unhideWhenUsed/>
    <w:rsid w:val="00FC46AD"/>
    <w:pPr>
      <w:spacing w:after="100"/>
    </w:pPr>
  </w:style>
  <w:style w:type="paragraph" w:styleId="TOC2">
    <w:name w:val="toc 2"/>
    <w:basedOn w:val="Normal"/>
    <w:next w:val="Normal"/>
    <w:autoRedefine/>
    <w:uiPriority w:val="39"/>
    <w:unhideWhenUsed/>
    <w:rsid w:val="00FC46AD"/>
    <w:pPr>
      <w:spacing w:after="100"/>
      <w:ind w:left="200"/>
    </w:pPr>
  </w:style>
  <w:style w:type="paragraph" w:styleId="TOC3">
    <w:name w:val="toc 3"/>
    <w:basedOn w:val="Normal"/>
    <w:next w:val="Normal"/>
    <w:autoRedefine/>
    <w:uiPriority w:val="39"/>
    <w:unhideWhenUsed/>
    <w:rsid w:val="00FC46AD"/>
    <w:pPr>
      <w:spacing w:after="100"/>
      <w:ind w:left="400"/>
    </w:pPr>
  </w:style>
  <w:style w:type="paragraph" w:styleId="FootnoteText">
    <w:name w:val="footnote text"/>
    <w:basedOn w:val="Normal"/>
    <w:link w:val="FootnoteTextChar"/>
    <w:uiPriority w:val="99"/>
    <w:semiHidden/>
    <w:unhideWhenUsed/>
    <w:rsid w:val="00F65D58"/>
    <w:pPr>
      <w:spacing w:after="0" w:line="240" w:lineRule="auto"/>
    </w:pPr>
  </w:style>
  <w:style w:type="character" w:customStyle="1" w:styleId="FootnoteTextChar">
    <w:name w:val="Footnote Text Char"/>
    <w:basedOn w:val="DefaultParagraphFont"/>
    <w:link w:val="FootnoteText"/>
    <w:uiPriority w:val="99"/>
    <w:semiHidden/>
    <w:rsid w:val="00F65D58"/>
    <w:rPr>
      <w:rFonts w:ascii="Trebuchet MS" w:hAnsi="Trebuchet MS"/>
      <w:sz w:val="20"/>
      <w:szCs w:val="20"/>
      <w:lang w:val="en-AU"/>
    </w:rPr>
  </w:style>
  <w:style w:type="character" w:styleId="FootnoteReference">
    <w:name w:val="footnote reference"/>
    <w:basedOn w:val="DefaultParagraphFont"/>
    <w:uiPriority w:val="99"/>
    <w:semiHidden/>
    <w:unhideWhenUsed/>
    <w:rsid w:val="00F65D58"/>
    <w:rPr>
      <w:vertAlign w:val="superscript"/>
    </w:rPr>
  </w:style>
  <w:style w:type="paragraph" w:styleId="TableofFigures">
    <w:name w:val="table of figures"/>
    <w:basedOn w:val="Normal"/>
    <w:next w:val="Normal"/>
    <w:uiPriority w:val="99"/>
    <w:unhideWhenUsed/>
    <w:rsid w:val="00D33045"/>
    <w:pPr>
      <w:spacing w:after="100"/>
      <w:ind w:left="851" w:hanging="851"/>
    </w:pPr>
  </w:style>
  <w:style w:type="paragraph" w:customStyle="1" w:styleId="TableHeader1">
    <w:name w:val="Table Header 1"/>
    <w:basedOn w:val="Normal"/>
    <w:link w:val="TableHeader1Char"/>
    <w:qFormat/>
    <w:rsid w:val="00785532"/>
    <w:pPr>
      <w:spacing w:before="40" w:after="80" w:line="240" w:lineRule="auto"/>
      <w:jc w:val="center"/>
    </w:pPr>
    <w:rPr>
      <w:b/>
      <w:color w:val="FFFFFF" w:themeColor="background1"/>
      <w:sz w:val="18"/>
      <w:szCs w:val="18"/>
    </w:rPr>
  </w:style>
  <w:style w:type="paragraph" w:customStyle="1" w:styleId="TableHeader2">
    <w:name w:val="Table Header 2"/>
    <w:basedOn w:val="TableRowIndent"/>
    <w:link w:val="TableHeader2Char"/>
    <w:qFormat/>
    <w:rsid w:val="0034102F"/>
    <w:rPr>
      <w:b/>
    </w:rPr>
  </w:style>
  <w:style w:type="character" w:customStyle="1" w:styleId="TableHeader1Char">
    <w:name w:val="Table Header 1 Char"/>
    <w:basedOn w:val="DefaultParagraphFont"/>
    <w:link w:val="TableHeader1"/>
    <w:rsid w:val="00785532"/>
    <w:rPr>
      <w:rFonts w:ascii="Trebuchet MS" w:hAnsi="Trebuchet MS"/>
      <w:b/>
      <w:color w:val="FFFFFF" w:themeColor="background1"/>
      <w:sz w:val="18"/>
      <w:szCs w:val="18"/>
      <w:lang w:val="en-AU"/>
    </w:rPr>
  </w:style>
  <w:style w:type="paragraph" w:customStyle="1" w:styleId="TableBody">
    <w:name w:val="Table Body"/>
    <w:basedOn w:val="Normal"/>
    <w:link w:val="TableBodyChar"/>
    <w:qFormat/>
    <w:rsid w:val="00BC3CD1"/>
    <w:pPr>
      <w:spacing w:before="40" w:after="40" w:line="240" w:lineRule="auto"/>
      <w:jc w:val="center"/>
    </w:pPr>
    <w:rPr>
      <w:rFonts w:eastAsia="MS Mincho"/>
      <w:bCs/>
      <w:sz w:val="18"/>
      <w:szCs w:val="18"/>
      <w:lang w:eastAsia="en-GB"/>
    </w:rPr>
  </w:style>
  <w:style w:type="character" w:customStyle="1" w:styleId="TableHeader2Char">
    <w:name w:val="Table Header 2 Char"/>
    <w:basedOn w:val="DefaultParagraphFont"/>
    <w:link w:val="TableHeader2"/>
    <w:rsid w:val="0034102F"/>
    <w:rPr>
      <w:rFonts w:ascii="Trebuchet MS" w:eastAsiaTheme="minorEastAsia" w:hAnsi="Trebuchet MS"/>
      <w:b/>
      <w:bCs/>
      <w:sz w:val="18"/>
      <w:szCs w:val="18"/>
      <w:lang w:val="en-AU" w:eastAsia="en-GB"/>
    </w:rPr>
  </w:style>
  <w:style w:type="paragraph" w:customStyle="1" w:styleId="TableRowIndent">
    <w:name w:val="Table Row Indent"/>
    <w:basedOn w:val="TableBody"/>
    <w:link w:val="TableRowIndentChar"/>
    <w:qFormat/>
    <w:rsid w:val="0034102F"/>
    <w:pPr>
      <w:ind w:left="57"/>
      <w:jc w:val="left"/>
    </w:pPr>
    <w:rPr>
      <w:lang w:val="en-GB"/>
    </w:rPr>
  </w:style>
  <w:style w:type="character" w:customStyle="1" w:styleId="TableBodyChar">
    <w:name w:val="Table Body Char"/>
    <w:basedOn w:val="DefaultParagraphFont"/>
    <w:link w:val="TableBody"/>
    <w:rsid w:val="00BC3CD1"/>
    <w:rPr>
      <w:rFonts w:ascii="Trebuchet MS" w:eastAsia="MS Mincho" w:hAnsi="Trebuchet MS"/>
      <w:bCs/>
      <w:sz w:val="18"/>
      <w:szCs w:val="18"/>
      <w:lang w:val="en-AU" w:eastAsia="en-GB"/>
    </w:rPr>
  </w:style>
  <w:style w:type="paragraph" w:customStyle="1" w:styleId="Belowtablecaption">
    <w:name w:val="Below table caption"/>
    <w:basedOn w:val="Normal"/>
    <w:link w:val="BelowtablecaptionChar"/>
    <w:qFormat/>
    <w:rsid w:val="00054365"/>
    <w:pPr>
      <w:spacing w:after="0" w:line="240" w:lineRule="auto"/>
    </w:pPr>
    <w:rPr>
      <w:sz w:val="18"/>
      <w:lang w:eastAsia="en-GB"/>
    </w:rPr>
  </w:style>
  <w:style w:type="character" w:customStyle="1" w:styleId="TableRowIndentChar">
    <w:name w:val="Table Row Indent Char"/>
    <w:basedOn w:val="TableBodyChar"/>
    <w:link w:val="TableRowIndent"/>
    <w:rsid w:val="0034102F"/>
    <w:rPr>
      <w:rFonts w:ascii="Trebuchet MS" w:eastAsia="MS Mincho" w:hAnsi="Trebuchet MS"/>
      <w:bCs/>
      <w:sz w:val="18"/>
      <w:szCs w:val="18"/>
      <w:lang w:val="en-AU" w:eastAsia="en-GB"/>
    </w:rPr>
  </w:style>
  <w:style w:type="character" w:customStyle="1" w:styleId="BelowtablecaptionChar">
    <w:name w:val="Below table caption Char"/>
    <w:basedOn w:val="DefaultParagraphFont"/>
    <w:link w:val="Belowtablecaption"/>
    <w:rsid w:val="00054365"/>
    <w:rPr>
      <w:rFonts w:ascii="Trebuchet MS" w:hAnsi="Trebuchet MS"/>
      <w:sz w:val="18"/>
      <w:szCs w:val="20"/>
      <w:lang w:val="en-AU" w:eastAsia="en-GB"/>
    </w:rPr>
  </w:style>
  <w:style w:type="paragraph" w:styleId="Quote">
    <w:name w:val="Quote"/>
    <w:basedOn w:val="Normal"/>
    <w:next w:val="Normal"/>
    <w:link w:val="QuoteChar"/>
    <w:uiPriority w:val="29"/>
    <w:qFormat/>
    <w:rsid w:val="00BC3CD1"/>
    <w:pPr>
      <w:spacing w:before="200" w:after="160"/>
      <w:ind w:left="864" w:right="864"/>
      <w:jc w:val="center"/>
    </w:pPr>
    <w:rPr>
      <w:i/>
      <w:iCs/>
    </w:rPr>
  </w:style>
  <w:style w:type="character" w:customStyle="1" w:styleId="QuoteChar">
    <w:name w:val="Quote Char"/>
    <w:basedOn w:val="DefaultParagraphFont"/>
    <w:link w:val="Quote"/>
    <w:uiPriority w:val="29"/>
    <w:rsid w:val="00BC3CD1"/>
    <w:rPr>
      <w:rFonts w:ascii="Trebuchet MS" w:hAnsi="Trebuchet MS"/>
      <w:i/>
      <w:iCs/>
      <w:sz w:val="20"/>
      <w:szCs w:val="20"/>
      <w:lang w:val="en-AU"/>
    </w:rPr>
  </w:style>
  <w:style w:type="character" w:customStyle="1" w:styleId="apple-converted-space">
    <w:name w:val="apple-converted-space"/>
    <w:basedOn w:val="DefaultParagraphFont"/>
    <w:rsid w:val="00833C0A"/>
  </w:style>
  <w:style w:type="table" w:styleId="GridTable4">
    <w:name w:val="Grid Table 4"/>
    <w:basedOn w:val="TableNormal"/>
    <w:uiPriority w:val="49"/>
    <w:rsid w:val="00A92D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semiHidden/>
    <w:unhideWhenUsed/>
    <w:rsid w:val="00BD33C5"/>
    <w:pPr>
      <w:spacing w:line="240" w:lineRule="atLeast"/>
    </w:pPr>
    <w:rPr>
      <w:rFonts w:ascii="Verdana" w:hAnsi="Verdana"/>
      <w:sz w:val="18"/>
      <w:szCs w:val="18"/>
    </w:rPr>
  </w:style>
  <w:style w:type="character" w:customStyle="1" w:styleId="BodyTextChar">
    <w:name w:val="Body Text Char"/>
    <w:basedOn w:val="DefaultParagraphFont"/>
    <w:link w:val="BodyText"/>
    <w:semiHidden/>
    <w:rsid w:val="00BD33C5"/>
    <w:rPr>
      <w:rFonts w:ascii="Verdana" w:hAnsi="Verdana"/>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645">
      <w:bodyDiv w:val="1"/>
      <w:marLeft w:val="0"/>
      <w:marRight w:val="0"/>
      <w:marTop w:val="0"/>
      <w:marBottom w:val="0"/>
      <w:divBdr>
        <w:top w:val="none" w:sz="0" w:space="0" w:color="auto"/>
        <w:left w:val="none" w:sz="0" w:space="0" w:color="auto"/>
        <w:bottom w:val="none" w:sz="0" w:space="0" w:color="auto"/>
        <w:right w:val="none" w:sz="0" w:space="0" w:color="auto"/>
      </w:divBdr>
    </w:div>
    <w:div w:id="143089819">
      <w:bodyDiv w:val="1"/>
      <w:marLeft w:val="0"/>
      <w:marRight w:val="0"/>
      <w:marTop w:val="0"/>
      <w:marBottom w:val="0"/>
      <w:divBdr>
        <w:top w:val="none" w:sz="0" w:space="0" w:color="auto"/>
        <w:left w:val="none" w:sz="0" w:space="0" w:color="auto"/>
        <w:bottom w:val="none" w:sz="0" w:space="0" w:color="auto"/>
        <w:right w:val="none" w:sz="0" w:space="0" w:color="auto"/>
      </w:divBdr>
    </w:div>
    <w:div w:id="313536336">
      <w:bodyDiv w:val="1"/>
      <w:marLeft w:val="0"/>
      <w:marRight w:val="0"/>
      <w:marTop w:val="0"/>
      <w:marBottom w:val="0"/>
      <w:divBdr>
        <w:top w:val="none" w:sz="0" w:space="0" w:color="auto"/>
        <w:left w:val="none" w:sz="0" w:space="0" w:color="auto"/>
        <w:bottom w:val="none" w:sz="0" w:space="0" w:color="auto"/>
        <w:right w:val="none" w:sz="0" w:space="0" w:color="auto"/>
      </w:divBdr>
    </w:div>
    <w:div w:id="587495014">
      <w:bodyDiv w:val="1"/>
      <w:marLeft w:val="0"/>
      <w:marRight w:val="0"/>
      <w:marTop w:val="0"/>
      <w:marBottom w:val="0"/>
      <w:divBdr>
        <w:top w:val="none" w:sz="0" w:space="0" w:color="auto"/>
        <w:left w:val="none" w:sz="0" w:space="0" w:color="auto"/>
        <w:bottom w:val="none" w:sz="0" w:space="0" w:color="auto"/>
        <w:right w:val="none" w:sz="0" w:space="0" w:color="auto"/>
      </w:divBdr>
    </w:div>
    <w:div w:id="888342128">
      <w:bodyDiv w:val="1"/>
      <w:marLeft w:val="0"/>
      <w:marRight w:val="0"/>
      <w:marTop w:val="0"/>
      <w:marBottom w:val="0"/>
      <w:divBdr>
        <w:top w:val="none" w:sz="0" w:space="0" w:color="auto"/>
        <w:left w:val="none" w:sz="0" w:space="0" w:color="auto"/>
        <w:bottom w:val="none" w:sz="0" w:space="0" w:color="auto"/>
        <w:right w:val="none" w:sz="0" w:space="0" w:color="auto"/>
      </w:divBdr>
    </w:div>
    <w:div w:id="1009915332">
      <w:bodyDiv w:val="1"/>
      <w:marLeft w:val="0"/>
      <w:marRight w:val="0"/>
      <w:marTop w:val="0"/>
      <w:marBottom w:val="0"/>
      <w:divBdr>
        <w:top w:val="none" w:sz="0" w:space="0" w:color="auto"/>
        <w:left w:val="none" w:sz="0" w:space="0" w:color="auto"/>
        <w:bottom w:val="none" w:sz="0" w:space="0" w:color="auto"/>
        <w:right w:val="none" w:sz="0" w:space="0" w:color="auto"/>
      </w:divBdr>
    </w:div>
    <w:div w:id="1086998568">
      <w:bodyDiv w:val="1"/>
      <w:marLeft w:val="0"/>
      <w:marRight w:val="0"/>
      <w:marTop w:val="0"/>
      <w:marBottom w:val="0"/>
      <w:divBdr>
        <w:top w:val="none" w:sz="0" w:space="0" w:color="auto"/>
        <w:left w:val="none" w:sz="0" w:space="0" w:color="auto"/>
        <w:bottom w:val="none" w:sz="0" w:space="0" w:color="auto"/>
        <w:right w:val="none" w:sz="0" w:space="0" w:color="auto"/>
      </w:divBdr>
    </w:div>
    <w:div w:id="1132331357">
      <w:bodyDiv w:val="1"/>
      <w:marLeft w:val="0"/>
      <w:marRight w:val="0"/>
      <w:marTop w:val="0"/>
      <w:marBottom w:val="0"/>
      <w:divBdr>
        <w:top w:val="none" w:sz="0" w:space="0" w:color="auto"/>
        <w:left w:val="none" w:sz="0" w:space="0" w:color="auto"/>
        <w:bottom w:val="none" w:sz="0" w:space="0" w:color="auto"/>
        <w:right w:val="none" w:sz="0" w:space="0" w:color="auto"/>
      </w:divBdr>
    </w:div>
    <w:div w:id="1553808998">
      <w:bodyDiv w:val="1"/>
      <w:marLeft w:val="0"/>
      <w:marRight w:val="0"/>
      <w:marTop w:val="0"/>
      <w:marBottom w:val="0"/>
      <w:divBdr>
        <w:top w:val="none" w:sz="0" w:space="0" w:color="auto"/>
        <w:left w:val="none" w:sz="0" w:space="0" w:color="auto"/>
        <w:bottom w:val="none" w:sz="0" w:space="0" w:color="auto"/>
        <w:right w:val="none" w:sz="0" w:space="0" w:color="auto"/>
      </w:divBdr>
    </w:div>
    <w:div w:id="1588272860">
      <w:bodyDiv w:val="1"/>
      <w:marLeft w:val="0"/>
      <w:marRight w:val="0"/>
      <w:marTop w:val="0"/>
      <w:marBottom w:val="0"/>
      <w:divBdr>
        <w:top w:val="none" w:sz="0" w:space="0" w:color="auto"/>
        <w:left w:val="none" w:sz="0" w:space="0" w:color="auto"/>
        <w:bottom w:val="none" w:sz="0" w:space="0" w:color="auto"/>
        <w:right w:val="none" w:sz="0" w:space="0" w:color="auto"/>
      </w:divBdr>
    </w:div>
    <w:div w:id="1737706139">
      <w:bodyDiv w:val="1"/>
      <w:marLeft w:val="0"/>
      <w:marRight w:val="0"/>
      <w:marTop w:val="0"/>
      <w:marBottom w:val="0"/>
      <w:divBdr>
        <w:top w:val="none" w:sz="0" w:space="0" w:color="auto"/>
        <w:left w:val="none" w:sz="0" w:space="0" w:color="auto"/>
        <w:bottom w:val="none" w:sz="0" w:space="0" w:color="auto"/>
        <w:right w:val="none" w:sz="0" w:space="0" w:color="auto"/>
      </w:divBdr>
    </w:div>
    <w:div w:id="1810660998">
      <w:bodyDiv w:val="1"/>
      <w:marLeft w:val="0"/>
      <w:marRight w:val="0"/>
      <w:marTop w:val="0"/>
      <w:marBottom w:val="0"/>
      <w:divBdr>
        <w:top w:val="none" w:sz="0" w:space="0" w:color="auto"/>
        <w:left w:val="none" w:sz="0" w:space="0" w:color="auto"/>
        <w:bottom w:val="none" w:sz="0" w:space="0" w:color="auto"/>
        <w:right w:val="none" w:sz="0" w:space="0" w:color="auto"/>
      </w:divBdr>
    </w:div>
    <w:div w:id="1929340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n.wikipedia.org/wiki/Oppositional_defiant_disorder" TargetMode="External"/><Relationship Id="rId26" Type="http://schemas.openxmlformats.org/officeDocument/2006/relationships/image" Target="media/image11.JPG"/><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n.wikipedia.org/wiki/Attention-deficit_hyperactivity_disorder" TargetMode="External"/><Relationship Id="rId25" Type="http://schemas.openxmlformats.org/officeDocument/2006/relationships/image" Target="media/image10.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en.wikipedia.org/wiki/Home_ownership_in_Australia" TargetMode="External"/><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JPG"/><Relationship Id="rId32" Type="http://schemas.openxmlformats.org/officeDocument/2006/relationships/hyperlink" Target="https://cats.mcri.edu.au/resources/"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facebook.com/CATS.Study.12" TargetMode="External"/><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customXml" Target="../customXml/item3.xml"/><Relationship Id="rId10" Type="http://schemas.openxmlformats.org/officeDocument/2006/relationships/hyperlink" Target="https://cats.mcri.edu.au/" TargetMode="External"/><Relationship Id="rId19" Type="http://schemas.openxmlformats.org/officeDocument/2006/relationships/hyperlink" Target="https://en.wikipedia.org/wiki/Conduct_disorder" TargetMode="External"/><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ts.mcri.edu.au/"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FAD55-E54B-4D04-A7CC-477B8185C802}"/>
</file>

<file path=customXml/itemProps2.xml><?xml version="1.0" encoding="utf-8"?>
<ds:datastoreItem xmlns:ds="http://schemas.openxmlformats.org/officeDocument/2006/customXml" ds:itemID="{2053B003-208B-45D6-A1F7-0493DA4A2467}"/>
</file>

<file path=customXml/itemProps3.xml><?xml version="1.0" encoding="utf-8"?>
<ds:datastoreItem xmlns:ds="http://schemas.openxmlformats.org/officeDocument/2006/customXml" ds:itemID="{91EED201-6D52-432D-9507-0001CD6BED09}"/>
</file>

<file path=customXml/itemProps4.xml><?xml version="1.0" encoding="utf-8"?>
<ds:datastoreItem xmlns:ds="http://schemas.openxmlformats.org/officeDocument/2006/customXml" ds:itemID="{8391B19A-BE94-4156-BC66-52BD7566D280}"/>
</file>

<file path=docProps/app.xml><?xml version="1.0" encoding="utf-8"?>
<Properties xmlns="http://schemas.openxmlformats.org/officeDocument/2006/extended-properties" xmlns:vt="http://schemas.openxmlformats.org/officeDocument/2006/docPropsVTypes">
  <Template>A56C3E7A.dotm</Template>
  <TotalTime>300</TotalTime>
  <Pages>76</Pages>
  <Words>33876</Words>
  <Characters>193097</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RCH</Company>
  <LinksUpToDate>false</LinksUpToDate>
  <CharactersWithSpaces>226520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Evans-Whipp</dc:creator>
  <cp:keywords/>
  <dc:description/>
  <cp:lastModifiedBy>MACKINDER,Jean</cp:lastModifiedBy>
  <cp:revision>33</cp:revision>
  <cp:lastPrinted>2018-01-15T01:18:00Z</cp:lastPrinted>
  <dcterms:created xsi:type="dcterms:W3CDTF">2018-03-27T23:45:00Z</dcterms:created>
  <dcterms:modified xsi:type="dcterms:W3CDTF">2018-08-15T03:59:00Z</dcterms:modified>
</cp:coreProperties>
</file>