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023A" w:rsidRDefault="00871DA4" w:rsidP="00871DA4">
      <w:pPr>
        <w:pStyle w:val="ImageHeader"/>
        <w:sectPr w:rsidR="00C7023A" w:rsidSect="00C7023A">
          <w:footerReference w:type="default" r:id="rId8"/>
          <w:pgSz w:w="11906" w:h="16838"/>
          <w:pgMar w:top="0" w:right="1134" w:bottom="1134" w:left="1134" w:header="680" w:footer="1134" w:gutter="0"/>
          <w:cols w:space="708"/>
          <w:titlePg/>
          <w:docGrid w:linePitch="360"/>
        </w:sectPr>
      </w:pPr>
      <w:bookmarkStart w:id="0" w:name="_GoBack"/>
      <w:bookmarkEnd w:id="0"/>
      <w:r>
        <w:rPr>
          <w:noProof/>
          <w:lang w:eastAsia="en-AU"/>
        </w:rPr>
        <w:drawing>
          <wp:inline distT="0" distB="0" distL="0" distR="0">
            <wp:extent cx="7560000" cy="2523600"/>
            <wp:effectExtent l="0" t="0" r="3175" b="0"/>
            <wp:docPr id="2" name="Picture 2" descr="Australian Government Department of Educaation and Trai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D18-0133 - HE - IWG Comms Strategy documents_Word Template_Header_0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60000" cy="2523600"/>
                    </a:xfrm>
                    <a:prstGeom prst="rect">
                      <a:avLst/>
                    </a:prstGeom>
                  </pic:spPr>
                </pic:pic>
              </a:graphicData>
            </a:graphic>
          </wp:inline>
        </w:drawing>
      </w:r>
    </w:p>
    <w:p w:rsidR="00871DA4" w:rsidRDefault="00DA3BA7" w:rsidP="003B41F7">
      <w:pPr>
        <w:pStyle w:val="Title"/>
      </w:pPr>
      <w:sdt>
        <w:sdtPr>
          <w:alias w:val="Title"/>
          <w:tag w:val=""/>
          <w:id w:val="1528211252"/>
          <w:placeholder>
            <w:docPart w:val="0F239D08DB5E42C5A9B0BBA2589DF55E"/>
          </w:placeholder>
          <w:dataBinding w:prefixMappings="xmlns:ns0='http://purl.org/dc/elements/1.1/' xmlns:ns1='http://schemas.openxmlformats.org/package/2006/metadata/core-properties' " w:xpath="/ns1:coreProperties[1]/ns0:title[1]" w:storeItemID="{6C3C8BC8-F283-45AE-878A-BAB7291924A1}"/>
          <w:text/>
        </w:sdtPr>
        <w:sdtEndPr/>
        <w:sdtContent>
          <w:r w:rsidR="003B41F7">
            <w:t>More transparent higher education admissions:</w:t>
          </w:r>
        </w:sdtContent>
      </w:sdt>
    </w:p>
    <w:p w:rsidR="00B81A68" w:rsidRDefault="003B41F7" w:rsidP="00B81A68">
      <w:pPr>
        <w:pStyle w:val="Subtitle"/>
      </w:pPr>
      <w:r w:rsidRPr="00191071">
        <w:t>Essential information for career advisers &amp; schools</w:t>
      </w:r>
    </w:p>
    <w:p w:rsidR="00910D7C" w:rsidRPr="00191071" w:rsidRDefault="00910D7C" w:rsidP="00910D7C">
      <w:pPr>
        <w:pStyle w:val="Heading1"/>
      </w:pPr>
      <w:proofErr w:type="gramStart"/>
      <w:r w:rsidRPr="00191071">
        <w:t>What’s</w:t>
      </w:r>
      <w:proofErr w:type="gramEnd"/>
      <w:r w:rsidRPr="00191071">
        <w:t xml:space="preserve"> happening?</w:t>
      </w:r>
    </w:p>
    <w:p w:rsidR="00910D7C" w:rsidRPr="00191071" w:rsidRDefault="00910D7C" w:rsidP="00910D7C">
      <w:r>
        <w:t>Prospective students, parents and schools now have access to consistent, more comparable information on undergraduate admission requirements. This will make choosing a course and institution easier for all applicants, no matter where they live.</w:t>
      </w:r>
    </w:p>
    <w:p w:rsidR="00910D7C" w:rsidRPr="00191071" w:rsidRDefault="00910D7C" w:rsidP="00910D7C">
      <w:r w:rsidRPr="00191071">
        <w:t xml:space="preserve">All higher education providers that accept applications from Australian domestic students </w:t>
      </w:r>
      <w:r>
        <w:t>will</w:t>
      </w:r>
      <w:r w:rsidRPr="00191071">
        <w:t xml:space="preserve"> publish information about their admission policies and application processes on their own websites, </w:t>
      </w:r>
      <w:r>
        <w:t xml:space="preserve">using consistent </w:t>
      </w:r>
      <w:r w:rsidRPr="00191071">
        <w:t>language and formats t</w:t>
      </w:r>
      <w:r>
        <w:t>o</w:t>
      </w:r>
      <w:r w:rsidRPr="00191071">
        <w:t xml:space="preserve"> make it easier to compare different courses and providers.</w:t>
      </w:r>
    </w:p>
    <w:p w:rsidR="00910D7C" w:rsidRPr="00191071" w:rsidRDefault="00910D7C" w:rsidP="00910D7C">
      <w:pPr>
        <w:pStyle w:val="Heading2"/>
      </w:pPr>
      <w:r>
        <w:t>What will this mean?</w:t>
      </w:r>
    </w:p>
    <w:p w:rsidR="00910D7C" w:rsidRPr="00191071" w:rsidRDefault="00910D7C" w:rsidP="00910D7C">
      <w:pPr>
        <w:pStyle w:val="ListBullet"/>
      </w:pPr>
      <w:r>
        <w:t>the same language will be used to talk about admissions in</w:t>
      </w:r>
      <w:r w:rsidRPr="00191071">
        <w:t xml:space="preserve"> all states and territories</w:t>
      </w:r>
    </w:p>
    <w:p w:rsidR="00910D7C" w:rsidRPr="00191071" w:rsidRDefault="00910D7C" w:rsidP="00910D7C">
      <w:pPr>
        <w:pStyle w:val="ListBullet"/>
      </w:pPr>
      <w:r w:rsidRPr="00191071">
        <w:t xml:space="preserve">more useful and reliable information </w:t>
      </w:r>
      <w:r>
        <w:t>will be available</w:t>
      </w:r>
      <w:r w:rsidRPr="00191071">
        <w:t xml:space="preserve"> about </w:t>
      </w:r>
      <w:r>
        <w:t xml:space="preserve">the </w:t>
      </w:r>
      <w:r w:rsidRPr="00191071">
        <w:t xml:space="preserve">Australian Tertiary Admission Rank (ATAR) needed </w:t>
      </w:r>
      <w:r>
        <w:t>to get into a course</w:t>
      </w:r>
      <w:r w:rsidR="00A60918">
        <w:t xml:space="preserve"> </w:t>
      </w:r>
      <w:r w:rsidR="00A60918" w:rsidRPr="00191071">
        <w:t>(or Overall Position in Queensland)</w:t>
      </w:r>
    </w:p>
    <w:p w:rsidR="00910D7C" w:rsidRPr="00191071" w:rsidRDefault="00910D7C" w:rsidP="00910D7C">
      <w:pPr>
        <w:pStyle w:val="ListBullet"/>
      </w:pPr>
      <w:proofErr w:type="gramStart"/>
      <w:r>
        <w:t>there</w:t>
      </w:r>
      <w:proofErr w:type="gramEnd"/>
      <w:r>
        <w:t xml:space="preserve"> will be explanations of the </w:t>
      </w:r>
      <w:r w:rsidRPr="00191071">
        <w:t>admission criteria and processes for all possible entry pathways and application options.</w:t>
      </w:r>
    </w:p>
    <w:p w:rsidR="00910D7C" w:rsidRDefault="00910D7C" w:rsidP="00910D7C">
      <w:r w:rsidRPr="00191071">
        <w:t xml:space="preserve">A new national information hub about higher education courses and admission requirements </w:t>
      </w:r>
      <w:r>
        <w:t>will be available soon</w:t>
      </w:r>
      <w:r w:rsidRPr="00191071">
        <w:t xml:space="preserve">. This </w:t>
      </w:r>
      <w:r>
        <w:t>will make</w:t>
      </w:r>
      <w:r w:rsidRPr="00191071">
        <w:t xml:space="preserve"> research</w:t>
      </w:r>
      <w:r>
        <w:t>ing</w:t>
      </w:r>
      <w:r w:rsidRPr="00191071">
        <w:t xml:space="preserve"> and compar</w:t>
      </w:r>
      <w:r>
        <w:t>ing</w:t>
      </w:r>
      <w:r w:rsidRPr="00191071">
        <w:t xml:space="preserve"> information about course options and admission requirements </w:t>
      </w:r>
      <w:r>
        <w:t>much easier</w:t>
      </w:r>
      <w:r w:rsidRPr="00191071">
        <w:t>.</w:t>
      </w:r>
    </w:p>
    <w:p w:rsidR="00910D7C" w:rsidRPr="00191071" w:rsidRDefault="00910D7C" w:rsidP="00910D7C">
      <w:pPr>
        <w:pStyle w:val="Heading1"/>
      </w:pPr>
      <w:r w:rsidRPr="00191071">
        <w:t>When is this changing?</w:t>
      </w:r>
    </w:p>
    <w:p w:rsidR="00910D7C" w:rsidRPr="00191071" w:rsidRDefault="00910D7C" w:rsidP="00910D7C">
      <w:r w:rsidRPr="00191071">
        <w:t xml:space="preserve">The changes </w:t>
      </w:r>
      <w:r>
        <w:t>will be ready for</w:t>
      </w:r>
      <w:r w:rsidRPr="00191071">
        <w:t xml:space="preserve"> students applying to study in 2019. </w:t>
      </w:r>
      <w:r>
        <w:t>Most</w:t>
      </w:r>
      <w:r w:rsidRPr="00191071">
        <w:t xml:space="preserve"> </w:t>
      </w:r>
      <w:r>
        <w:t>providers</w:t>
      </w:r>
      <w:r w:rsidRPr="00191071">
        <w:t xml:space="preserve"> will comply with the new approach by the time provider open days </w:t>
      </w:r>
      <w:r>
        <w:t>start</w:t>
      </w:r>
      <w:r w:rsidRPr="00191071">
        <w:t xml:space="preserve"> around August 2018.</w:t>
      </w:r>
    </w:p>
    <w:p w:rsidR="00910D7C" w:rsidRPr="00191071" w:rsidRDefault="00910D7C" w:rsidP="00910D7C">
      <w:pPr>
        <w:pStyle w:val="Heading1"/>
      </w:pPr>
      <w:r w:rsidRPr="00191071">
        <w:lastRenderedPageBreak/>
        <w:t>What changes will we see?</w:t>
      </w:r>
    </w:p>
    <w:p w:rsidR="00910D7C" w:rsidRPr="00191071" w:rsidRDefault="00910D7C" w:rsidP="00910D7C">
      <w:pPr>
        <w:pStyle w:val="Heading2"/>
      </w:pPr>
      <w:r w:rsidRPr="00191071">
        <w:t>Easier to find the information that applicants need</w:t>
      </w:r>
    </w:p>
    <w:p w:rsidR="00910D7C" w:rsidRDefault="00910D7C" w:rsidP="00910D7C">
      <w:r w:rsidRPr="00191071">
        <w:t xml:space="preserve">Institutions and tertiary admission centres publish a wide range of information about higher education courses and admission requirements. Since August 2017, institutions have been updating their websites to make admissions information easier to find. </w:t>
      </w:r>
    </w:p>
    <w:p w:rsidR="00910D7C" w:rsidRDefault="00910D7C" w:rsidP="00910D7C">
      <w:r w:rsidRPr="00191071">
        <w:t>Links to admission-related information should be prominent and clearly identifiable on a homepage under heading</w:t>
      </w:r>
      <w:r>
        <w:t>s</w:t>
      </w:r>
      <w:r w:rsidRPr="00191071">
        <w:t xml:space="preserve"> </w:t>
      </w:r>
      <w:r>
        <w:t>like</w:t>
      </w:r>
      <w:r w:rsidRPr="00191071">
        <w:t xml:space="preserve"> ‘future students’, ‘admissions information’, ‘apply’, ‘how to apply’ or ‘study’.</w:t>
      </w:r>
    </w:p>
    <w:p w:rsidR="00910D7C" w:rsidRPr="00191071" w:rsidRDefault="00910D7C" w:rsidP="00910D7C">
      <w:r w:rsidRPr="00191071">
        <w:t xml:space="preserve">Every provider will have two types of admission information </w:t>
      </w:r>
      <w:r>
        <w:t>available</w:t>
      </w:r>
      <w:r w:rsidR="00BD2021">
        <w:t>:</w:t>
      </w:r>
    </w:p>
    <w:p w:rsidR="00910D7C" w:rsidRPr="00727225" w:rsidRDefault="00910D7C" w:rsidP="00BD2021">
      <w:r w:rsidRPr="00727225">
        <w:t>An overall statement of the institution’s:</w:t>
      </w:r>
    </w:p>
    <w:p w:rsidR="00910D7C" w:rsidRPr="00727225" w:rsidRDefault="00910D7C" w:rsidP="00BD2021">
      <w:pPr>
        <w:pStyle w:val="ListBullet"/>
      </w:pPr>
      <w:r w:rsidRPr="00727225">
        <w:t>general admission criteria</w:t>
      </w:r>
    </w:p>
    <w:p w:rsidR="00910D7C" w:rsidRPr="00727225" w:rsidRDefault="00910D7C" w:rsidP="00BD2021">
      <w:pPr>
        <w:pStyle w:val="ListBullet"/>
      </w:pPr>
      <w:r w:rsidRPr="00727225">
        <w:t>application options and processes</w:t>
      </w:r>
    </w:p>
    <w:p w:rsidR="00910D7C" w:rsidRPr="00727225" w:rsidRDefault="00910D7C" w:rsidP="00BD2021">
      <w:pPr>
        <w:pStyle w:val="ListBullet"/>
      </w:pPr>
      <w:proofErr w:type="gramStart"/>
      <w:r w:rsidRPr="00727225">
        <w:t>institutional</w:t>
      </w:r>
      <w:proofErr w:type="gramEnd"/>
      <w:r w:rsidRPr="00727225">
        <w:t xml:space="preserve"> student profile.</w:t>
      </w:r>
    </w:p>
    <w:p w:rsidR="00910D7C" w:rsidRPr="00727225" w:rsidRDefault="00910D7C" w:rsidP="00BD2021">
      <w:r w:rsidRPr="00727225">
        <w:t>For each course offered in 2019 and beyond, a statement of:</w:t>
      </w:r>
    </w:p>
    <w:p w:rsidR="00910D7C" w:rsidRPr="00727225" w:rsidRDefault="00910D7C" w:rsidP="00BD2021">
      <w:pPr>
        <w:pStyle w:val="ListBullet"/>
      </w:pPr>
      <w:r w:rsidRPr="00727225">
        <w:t>study options</w:t>
      </w:r>
    </w:p>
    <w:p w:rsidR="00910D7C" w:rsidRPr="00727225" w:rsidRDefault="00910D7C" w:rsidP="00BD2021">
      <w:pPr>
        <w:pStyle w:val="ListBullet"/>
      </w:pPr>
      <w:r w:rsidRPr="00727225">
        <w:t>course-specific admission criteria and application pathways/options</w:t>
      </w:r>
    </w:p>
    <w:p w:rsidR="00910D7C" w:rsidRPr="00B04B8F" w:rsidRDefault="00910D7C" w:rsidP="00BD2021">
      <w:pPr>
        <w:pStyle w:val="ListBullet"/>
      </w:pPr>
      <w:proofErr w:type="gramStart"/>
      <w:r w:rsidRPr="00B04B8F">
        <w:t>the</w:t>
      </w:r>
      <w:proofErr w:type="gramEnd"/>
      <w:r w:rsidRPr="00B04B8F">
        <w:t xml:space="preserve"> likely student peer cohort.</w:t>
      </w:r>
    </w:p>
    <w:p w:rsidR="00910D7C" w:rsidRPr="00191071" w:rsidRDefault="00910D7C" w:rsidP="00910D7C">
      <w:pPr>
        <w:pStyle w:val="Heading2"/>
      </w:pPr>
      <w:r w:rsidRPr="00191071">
        <w:t>Student profile information</w:t>
      </w:r>
    </w:p>
    <w:p w:rsidR="00910D7C" w:rsidRPr="00191071" w:rsidRDefault="00910D7C" w:rsidP="00910D7C">
      <w:r w:rsidRPr="00191071">
        <w:t xml:space="preserve">Institutions will now provide additional information on their websites </w:t>
      </w:r>
      <w:r>
        <w:t>about</w:t>
      </w:r>
      <w:r w:rsidRPr="00191071">
        <w:t xml:space="preserve"> </w:t>
      </w:r>
      <w:r>
        <w:t>students’</w:t>
      </w:r>
      <w:r w:rsidRPr="00191071">
        <w:t xml:space="preserve"> likely peer cohort. Based on recent enrolment data, this provides </w:t>
      </w:r>
      <w:r>
        <w:t>applicants</w:t>
      </w:r>
      <w:r w:rsidRPr="00191071">
        <w:t xml:space="preserve"> with an idea of the fellow students they will likely be studying with</w:t>
      </w:r>
      <w:r>
        <w:t xml:space="preserve"> at their institution and in their course</w:t>
      </w:r>
      <w:r w:rsidRPr="00191071">
        <w:t xml:space="preserve">. Prospective students will </w:t>
      </w:r>
      <w:r>
        <w:t>see</w:t>
      </w:r>
      <w:r w:rsidRPr="00191071">
        <w:t xml:space="preserve"> the number and proportion of students who entered the course in the most recent intake who:</w:t>
      </w:r>
    </w:p>
    <w:p w:rsidR="00910D7C" w:rsidRPr="00191071" w:rsidRDefault="00910D7C" w:rsidP="00910D7C">
      <w:pPr>
        <w:pStyle w:val="ListBullet"/>
      </w:pPr>
      <w:r w:rsidRPr="00191071">
        <w:t>were recent secondary school leavers</w:t>
      </w:r>
    </w:p>
    <w:p w:rsidR="00910D7C" w:rsidRPr="00191071" w:rsidRDefault="00910D7C" w:rsidP="00910D7C">
      <w:pPr>
        <w:pStyle w:val="ListBullet"/>
      </w:pPr>
      <w:r w:rsidRPr="00191071">
        <w:t>had already undertaken some vocational or higher education since leaving school</w:t>
      </w:r>
    </w:p>
    <w:p w:rsidR="00910D7C" w:rsidRPr="00191071" w:rsidRDefault="00910D7C" w:rsidP="00910D7C">
      <w:pPr>
        <w:pStyle w:val="ListBullet"/>
      </w:pPr>
      <w:r w:rsidRPr="00191071">
        <w:t>were older students out of school for more than two years</w:t>
      </w:r>
    </w:p>
    <w:p w:rsidR="00910D7C" w:rsidRPr="00191071" w:rsidRDefault="00910D7C" w:rsidP="00910D7C">
      <w:pPr>
        <w:pStyle w:val="ListBullet"/>
      </w:pPr>
      <w:proofErr w:type="gramStart"/>
      <w:r w:rsidRPr="00191071">
        <w:t>or</w:t>
      </w:r>
      <w:proofErr w:type="gramEnd"/>
      <w:r w:rsidRPr="00191071">
        <w:t xml:space="preserve"> were international students.</w:t>
      </w:r>
    </w:p>
    <w:p w:rsidR="00910D7C" w:rsidRPr="00191071" w:rsidRDefault="00910D7C" w:rsidP="00910D7C">
      <w:r w:rsidRPr="00191071">
        <w:t xml:space="preserve">See an example student profile </w:t>
      </w:r>
      <w:r>
        <w:t>below</w:t>
      </w:r>
      <w:r w:rsidRPr="00607BFF">
        <w:t>.</w:t>
      </w:r>
    </w:p>
    <w:p w:rsidR="00910D7C" w:rsidRDefault="00910D7C" w:rsidP="00910D7C">
      <w:pPr>
        <w:pStyle w:val="Heading2"/>
      </w:pPr>
      <w:r>
        <w:br w:type="page"/>
      </w:r>
    </w:p>
    <w:p w:rsidR="00910D7C" w:rsidRPr="00191071" w:rsidRDefault="00910D7C" w:rsidP="00910D7C">
      <w:pPr>
        <w:pStyle w:val="Heading2"/>
      </w:pPr>
      <w:r w:rsidRPr="00191071">
        <w:lastRenderedPageBreak/>
        <w:t>Australian Tertiary Admission Rank (ATAR) profile</w:t>
      </w:r>
    </w:p>
    <w:p w:rsidR="00910D7C" w:rsidRDefault="00910D7C" w:rsidP="00910D7C">
      <w:r>
        <w:t xml:space="preserve">Recent school leavers can be accepted into many courses based solely on their ATAR (or OP in Queensland) or </w:t>
      </w:r>
      <w:proofErr w:type="gramStart"/>
      <w:r>
        <w:t>on the basis of</w:t>
      </w:r>
      <w:proofErr w:type="gramEnd"/>
      <w:r>
        <w:t xml:space="preserve"> their ATAR in combination with some other criteria such as an interview, audition or portfolio assessment. For these courses, institutions will publish the range of ATAR/OP ranks of students who </w:t>
      </w:r>
      <w:proofErr w:type="gramStart"/>
      <w:r>
        <w:t>were offered</w:t>
      </w:r>
      <w:proofErr w:type="gramEnd"/>
      <w:r>
        <w:t xml:space="preserve"> a place in the course in the previous intake. </w:t>
      </w:r>
      <w:r w:rsidRPr="00191071">
        <w:t>All institutions will publish the lowest and highest ATAR/OP admitted</w:t>
      </w:r>
      <w:r>
        <w:t>.</w:t>
      </w:r>
      <w:r w:rsidRPr="00191071">
        <w:t xml:space="preserve"> </w:t>
      </w:r>
      <w:r>
        <w:t>Where five or more offers were made, institutions will also public</w:t>
      </w:r>
      <w:r w:rsidRPr="00191071">
        <w:t xml:space="preserve"> the median rank.</w:t>
      </w:r>
    </w:p>
    <w:p w:rsidR="00910D7C" w:rsidRPr="00191071" w:rsidRDefault="00910D7C" w:rsidP="00910D7C">
      <w:r>
        <w:t>I</w:t>
      </w:r>
      <w:r w:rsidRPr="00191071">
        <w:t xml:space="preserve">n addition to the unadjusted or ‘raw’ ATAR profile, </w:t>
      </w:r>
      <w:r>
        <w:t xml:space="preserve">institutions </w:t>
      </w:r>
      <w:r w:rsidRPr="00191071">
        <w:t xml:space="preserve">may publish a separate profile of selection ranks (i.e. the rank after taking account of </w:t>
      </w:r>
      <w:r>
        <w:t xml:space="preserve">any </w:t>
      </w:r>
      <w:r w:rsidRPr="00191071">
        <w:t>adjustment factors</w:t>
      </w:r>
      <w:r>
        <w:t xml:space="preserve"> to which applicants may have access – e.g. for equity characteristics or having studied a school subject of particular relevance to the course applied for</w:t>
      </w:r>
      <w:r w:rsidRPr="00191071">
        <w:t>).</w:t>
      </w:r>
    </w:p>
    <w:p w:rsidR="00910D7C" w:rsidRPr="00191071" w:rsidRDefault="00910D7C" w:rsidP="00910D7C">
      <w:r w:rsidRPr="00191071">
        <w:t xml:space="preserve">Previously, </w:t>
      </w:r>
      <w:r>
        <w:t xml:space="preserve">different </w:t>
      </w:r>
      <w:r w:rsidRPr="00191071">
        <w:t>terms like “ATAR cut</w:t>
      </w:r>
      <w:r w:rsidRPr="00191071">
        <w:rPr>
          <w:rFonts w:ascii="Cambria Math" w:hAnsi="Cambria Math" w:cs="Cambria Math"/>
        </w:rPr>
        <w:t>‑</w:t>
      </w:r>
      <w:r w:rsidRPr="00191071">
        <w:t>off” and “Clearly</w:t>
      </w:r>
      <w:r w:rsidRPr="00191071">
        <w:rPr>
          <w:rFonts w:ascii="Cambria Math" w:hAnsi="Cambria Math" w:cs="Cambria Math"/>
        </w:rPr>
        <w:t>‑</w:t>
      </w:r>
      <w:r w:rsidRPr="00191071">
        <w:t xml:space="preserve">in ATAR” </w:t>
      </w:r>
      <w:proofErr w:type="gramStart"/>
      <w:r w:rsidRPr="00191071">
        <w:t>were used</w:t>
      </w:r>
      <w:proofErr w:type="gramEnd"/>
      <w:r w:rsidRPr="00191071">
        <w:t xml:space="preserve"> in different states to convey similar concepts. </w:t>
      </w:r>
      <w:r>
        <w:t>Some people have also had concerns</w:t>
      </w:r>
      <w:r w:rsidRPr="00191071">
        <w:t xml:space="preserve"> about how believable ATAR “cut-off” and “clearly-in” figures were</w:t>
      </w:r>
      <w:r>
        <w:t>. M</w:t>
      </w:r>
      <w:r w:rsidRPr="00191071">
        <w:t xml:space="preserve">any students with ATARs below these published figures </w:t>
      </w:r>
      <w:proofErr w:type="gramStart"/>
      <w:r w:rsidRPr="00191071">
        <w:t>were being admitted</w:t>
      </w:r>
      <w:proofErr w:type="gramEnd"/>
      <w:r w:rsidRPr="00191071">
        <w:t xml:space="preserve"> to courses. </w:t>
      </w:r>
      <w:r>
        <w:t>Because of this, t</w:t>
      </w:r>
      <w:r w:rsidRPr="00191071">
        <w:t xml:space="preserve">hese terms </w:t>
      </w:r>
      <w:proofErr w:type="gramStart"/>
      <w:r w:rsidRPr="00191071">
        <w:t>will be phased out</w:t>
      </w:r>
      <w:proofErr w:type="gramEnd"/>
      <w:r w:rsidRPr="00191071">
        <w:t xml:space="preserve"> from information supporting 2019 admissions onwards.</w:t>
      </w:r>
    </w:p>
    <w:p w:rsidR="00910D7C" w:rsidRPr="00191071" w:rsidRDefault="00910D7C" w:rsidP="00910D7C">
      <w:r>
        <w:t>This will make it easier to understand the</w:t>
      </w:r>
      <w:r w:rsidRPr="00191071">
        <w:t xml:space="preserve"> likely ATAR an applicant will need</w:t>
      </w:r>
      <w:r>
        <w:t xml:space="preserve">, for them </w:t>
      </w:r>
      <w:r w:rsidRPr="00191071">
        <w:t xml:space="preserve">to </w:t>
      </w:r>
      <w:proofErr w:type="gramStart"/>
      <w:r w:rsidRPr="00191071">
        <w:t>be offered</w:t>
      </w:r>
      <w:proofErr w:type="gramEnd"/>
      <w:r w:rsidRPr="00191071">
        <w:t xml:space="preserve"> a place in a course. Figures in the ATAR profile will be less open to manipulation by institutions because </w:t>
      </w:r>
      <w:r>
        <w:t>they will include all offers made over the entirety of the relevant intake period</w:t>
      </w:r>
      <w:r w:rsidRPr="00191071">
        <w:t>.</w:t>
      </w:r>
    </w:p>
    <w:p w:rsidR="00910D7C" w:rsidRPr="00191071" w:rsidRDefault="00910D7C" w:rsidP="00910D7C">
      <w:r w:rsidRPr="00191071">
        <w:t xml:space="preserve">See some example ATAR/OP profiles </w:t>
      </w:r>
      <w:r w:rsidRPr="00607BFF">
        <w:t xml:space="preserve">on page </w:t>
      </w:r>
      <w:r>
        <w:t>4</w:t>
      </w:r>
      <w:r w:rsidRPr="00607BFF">
        <w:t>.</w:t>
      </w:r>
    </w:p>
    <w:p w:rsidR="00910D7C" w:rsidRPr="00191071" w:rsidRDefault="00910D7C" w:rsidP="00910D7C">
      <w:pPr>
        <w:pStyle w:val="Heading2"/>
      </w:pPr>
      <w:r w:rsidRPr="00191071">
        <w:t>More consistent admissions terminology</w:t>
      </w:r>
    </w:p>
    <w:p w:rsidR="00910D7C" w:rsidRPr="00191071" w:rsidRDefault="00910D7C" w:rsidP="00910D7C">
      <w:r w:rsidRPr="00191071">
        <w:t xml:space="preserve">All institutions </w:t>
      </w:r>
      <w:r>
        <w:t>will talk about admissions in the same way, using the same terms</w:t>
      </w:r>
      <w:r w:rsidRPr="00191071">
        <w:t>. This includes using the same names to describe ATAR-related adjustments, such as:</w:t>
      </w:r>
    </w:p>
    <w:p w:rsidR="00910D7C" w:rsidRPr="00191071" w:rsidRDefault="00910D7C" w:rsidP="00910D7C">
      <w:pPr>
        <w:pStyle w:val="ListBullet"/>
      </w:pPr>
      <w:r w:rsidRPr="00191071">
        <w:t xml:space="preserve">Elite Athlete and Performer adjustment: available </w:t>
      </w:r>
      <w:proofErr w:type="gramStart"/>
      <w:r w:rsidRPr="00191071">
        <w:t>on the basis of</w:t>
      </w:r>
      <w:proofErr w:type="gramEnd"/>
      <w:r w:rsidRPr="00191071">
        <w:t xml:space="preserve"> the applicant’s sporting or artistic prowess.</w:t>
      </w:r>
    </w:p>
    <w:p w:rsidR="00910D7C" w:rsidRPr="00191071" w:rsidRDefault="00910D7C" w:rsidP="00910D7C">
      <w:pPr>
        <w:pStyle w:val="ListBullet"/>
      </w:pPr>
      <w:r w:rsidRPr="00191071">
        <w:t xml:space="preserve">Equity adjustment: available on the </w:t>
      </w:r>
      <w:proofErr w:type="gramStart"/>
      <w:r w:rsidRPr="00191071">
        <w:t>basis  disadvantage</w:t>
      </w:r>
      <w:proofErr w:type="gramEnd"/>
      <w:r w:rsidRPr="00191071">
        <w:t>.</w:t>
      </w:r>
    </w:p>
    <w:p w:rsidR="00910D7C" w:rsidRPr="00191071" w:rsidRDefault="00910D7C" w:rsidP="00910D7C">
      <w:pPr>
        <w:pStyle w:val="ListBullet"/>
      </w:pPr>
      <w:r w:rsidRPr="00191071">
        <w:t xml:space="preserve">Location adjustment: available </w:t>
      </w:r>
      <w:proofErr w:type="gramStart"/>
      <w:r w:rsidRPr="00191071">
        <w:t>on the basis of</w:t>
      </w:r>
      <w:proofErr w:type="gramEnd"/>
      <w:r w:rsidRPr="00191071">
        <w:t xml:space="preserve"> the applicant’s </w:t>
      </w:r>
      <w:r>
        <w:t>closeness</w:t>
      </w:r>
      <w:r w:rsidRPr="00191071">
        <w:t xml:space="preserve"> to the institution offering the course. </w:t>
      </w:r>
    </w:p>
    <w:p w:rsidR="00910D7C" w:rsidRPr="00191071" w:rsidRDefault="00910D7C" w:rsidP="00910D7C">
      <w:pPr>
        <w:pStyle w:val="ListBullet"/>
      </w:pPr>
      <w:r w:rsidRPr="00191071">
        <w:t xml:space="preserve">Subject adjustment: Adjustment available </w:t>
      </w:r>
      <w:proofErr w:type="gramStart"/>
      <w:r w:rsidRPr="00191071">
        <w:t>on the basis of</w:t>
      </w:r>
      <w:proofErr w:type="gramEnd"/>
      <w:r w:rsidRPr="00191071">
        <w:t xml:space="preserve"> </w:t>
      </w:r>
      <w:r>
        <w:t xml:space="preserve">relevant </w:t>
      </w:r>
      <w:r w:rsidRPr="00191071">
        <w:t>secondary subject</w:t>
      </w:r>
      <w:r>
        <w:t>s</w:t>
      </w:r>
      <w:r w:rsidRPr="00191071">
        <w:t>.</w:t>
      </w:r>
    </w:p>
    <w:p w:rsidR="00910D7C" w:rsidRPr="00191071" w:rsidRDefault="00910D7C" w:rsidP="00910D7C">
      <w:pPr>
        <w:pStyle w:val="ListBullet"/>
      </w:pPr>
      <w:r w:rsidRPr="00191071">
        <w:t xml:space="preserve">Maximum adjustment: The maximum total adjustment possible to an </w:t>
      </w:r>
      <w:proofErr w:type="gramStart"/>
      <w:r w:rsidRPr="00191071">
        <w:t>applicant’s</w:t>
      </w:r>
      <w:proofErr w:type="gramEnd"/>
      <w:r w:rsidRPr="00191071">
        <w:t xml:space="preserve"> Selection Rank.</w:t>
      </w:r>
    </w:p>
    <w:p w:rsidR="00910D7C" w:rsidRPr="00191071" w:rsidRDefault="00910D7C" w:rsidP="00910D7C">
      <w:pPr>
        <w:pStyle w:val="Heading3"/>
      </w:pPr>
      <w:r w:rsidRPr="00191071">
        <w:t>More comparable and comprehensive entry information:</w:t>
      </w:r>
    </w:p>
    <w:p w:rsidR="00910D7C" w:rsidRPr="00191071" w:rsidRDefault="00910D7C" w:rsidP="00910D7C">
      <w:r w:rsidRPr="00191071">
        <w:t xml:space="preserve">Prospective students will be able to see </w:t>
      </w:r>
      <w:r>
        <w:t>all</w:t>
      </w:r>
      <w:r w:rsidRPr="00191071">
        <w:t xml:space="preserve"> admission criteria for all entry pathways </w:t>
      </w:r>
      <w:r>
        <w:t xml:space="preserve">into a course or program. This information </w:t>
      </w:r>
      <w:proofErr w:type="gramStart"/>
      <w:r>
        <w:t>will be</w:t>
      </w:r>
      <w:r w:rsidRPr="00191071">
        <w:t xml:space="preserve"> grouped</w:t>
      </w:r>
      <w:proofErr w:type="gramEnd"/>
      <w:r w:rsidRPr="00191071">
        <w:t xml:space="preserve"> by applicant type. This means that applicants will be able </w:t>
      </w:r>
      <w:proofErr w:type="gramStart"/>
      <w:r w:rsidRPr="00191071">
        <w:t>to easily find</w:t>
      </w:r>
      <w:proofErr w:type="gramEnd"/>
      <w:r w:rsidRPr="00191071">
        <w:t xml:space="preserve"> the information most relevant to them, whether they are a school leaver, recent higher education or VET student, or an older applicant with work and life experience.</w:t>
      </w:r>
    </w:p>
    <w:p w:rsidR="00910D7C" w:rsidRPr="00191071" w:rsidRDefault="00910D7C" w:rsidP="00910D7C">
      <w:r w:rsidRPr="00191071">
        <w:t>Tertiary admission centres will also adopt the new approach for admission information they publish regarding applications to study in 2019 and beyond.</w:t>
      </w:r>
    </w:p>
    <w:p w:rsidR="00910D7C" w:rsidRPr="00191071" w:rsidRDefault="00910D7C" w:rsidP="00910D7C">
      <w:pPr>
        <w:pStyle w:val="Heading2"/>
      </w:pPr>
      <w:r w:rsidRPr="00191071">
        <w:lastRenderedPageBreak/>
        <w:t>National admissions information website</w:t>
      </w:r>
    </w:p>
    <w:p w:rsidR="00910D7C" w:rsidRPr="00191071" w:rsidRDefault="00910D7C" w:rsidP="00910D7C">
      <w:r w:rsidRPr="00191071">
        <w:t>The Australian Government is working with tertiary admission centres and higher education providers to develop a new national information hub. The new hub will bring together key information about higher education courses</w:t>
      </w:r>
      <w:r>
        <w:t>,</w:t>
      </w:r>
      <w:r w:rsidRPr="00191071">
        <w:t xml:space="preserve"> institutions </w:t>
      </w:r>
      <w:r>
        <w:t>and admission requirements</w:t>
      </w:r>
      <w:r w:rsidRPr="00191071">
        <w:t xml:space="preserve"> in a format that makes it easy to search and compare several courses at once. When ready to apply, the website will link applicants to the </w:t>
      </w:r>
      <w:r>
        <w:t>right place</w:t>
      </w:r>
      <w:r w:rsidRPr="00191071">
        <w:t xml:space="preserve"> to lodge an application.</w:t>
      </w:r>
    </w:p>
    <w:p w:rsidR="00910D7C" w:rsidRDefault="00910D7C" w:rsidP="00910D7C">
      <w:r w:rsidRPr="00191071">
        <w:t xml:space="preserve">The new website will be up and running later in 2018 to support </w:t>
      </w:r>
      <w:r>
        <w:t>students applying</w:t>
      </w:r>
      <w:r w:rsidRPr="00191071">
        <w:t xml:space="preserve"> </w:t>
      </w:r>
      <w:r>
        <w:t xml:space="preserve">to study </w:t>
      </w:r>
      <w:r w:rsidRPr="00191071">
        <w:t>an undergraduate course in 2019.</w:t>
      </w:r>
    </w:p>
    <w:p w:rsidR="00910D7C" w:rsidRPr="00191071" w:rsidRDefault="00910D7C" w:rsidP="00910D7C">
      <w:pPr>
        <w:pStyle w:val="Heading1"/>
      </w:pPr>
      <w:r w:rsidRPr="00191071">
        <w:t>How will I benefit from the changes?</w:t>
      </w:r>
    </w:p>
    <w:p w:rsidR="00910D7C" w:rsidRPr="00191071" w:rsidRDefault="00910D7C" w:rsidP="00910D7C">
      <w:r w:rsidRPr="00191071">
        <w:t xml:space="preserve">As a career adviser, teacher or school administrator, </w:t>
      </w:r>
      <w:r>
        <w:t>it will be easier to</w:t>
      </w:r>
      <w:r w:rsidRPr="00191071">
        <w:t xml:space="preserve"> identify the </w:t>
      </w:r>
      <w:r>
        <w:t xml:space="preserve">right </w:t>
      </w:r>
      <w:r w:rsidRPr="00191071">
        <w:t xml:space="preserve">courses </w:t>
      </w:r>
      <w:r>
        <w:t>for your students</w:t>
      </w:r>
      <w:r w:rsidRPr="00191071">
        <w:t xml:space="preserve">. Not just those courses or institutions in your local area, but courses across your state/territory and nationally. The same types of information will be available for </w:t>
      </w:r>
      <w:proofErr w:type="gramStart"/>
      <w:r w:rsidRPr="00191071">
        <w:t>each and every</w:t>
      </w:r>
      <w:proofErr w:type="gramEnd"/>
      <w:r w:rsidRPr="00191071">
        <w:t xml:space="preserve"> course at every higher education provider in Australia.</w:t>
      </w:r>
    </w:p>
    <w:p w:rsidR="00910D7C" w:rsidRPr="00191071" w:rsidRDefault="00910D7C" w:rsidP="00910D7C">
      <w:r w:rsidRPr="00191071">
        <w:t xml:space="preserve">You will be able to help students to research and apply for courses in a more informed way. This may be particularly important for students who do not have ready access to career education or to family members </w:t>
      </w:r>
      <w:r>
        <w:t>with</w:t>
      </w:r>
      <w:r w:rsidRPr="00191071">
        <w:t xml:space="preserve"> </w:t>
      </w:r>
      <w:proofErr w:type="gramStart"/>
      <w:r w:rsidRPr="00191071">
        <w:t>past experience</w:t>
      </w:r>
      <w:proofErr w:type="gramEnd"/>
      <w:r w:rsidRPr="00191071">
        <w:t xml:space="preserve"> of the higher education system to fall back on for guidance.</w:t>
      </w:r>
    </w:p>
    <w:p w:rsidR="00910D7C" w:rsidRPr="00191071" w:rsidRDefault="00910D7C" w:rsidP="00910D7C">
      <w:r w:rsidRPr="00191071">
        <w:t xml:space="preserve">The aim of </w:t>
      </w:r>
      <w:r>
        <w:t>the changes</w:t>
      </w:r>
      <w:r w:rsidRPr="00191071">
        <w:t xml:space="preserve"> is to </w:t>
      </w:r>
      <w:r>
        <w:t xml:space="preserve">make </w:t>
      </w:r>
      <w:r w:rsidRPr="00191071">
        <w:t>sure all prospective higher education students have equal access to the information they need to make informed choices about courses and institutions that best meet their needs, ambitions and career goals.</w:t>
      </w:r>
    </w:p>
    <w:p w:rsidR="00910D7C" w:rsidRPr="00191071" w:rsidRDefault="00910D7C" w:rsidP="00910D7C">
      <w:pPr>
        <w:pStyle w:val="Heading2"/>
      </w:pPr>
      <w:r w:rsidRPr="00191071">
        <w:t>Where to get further help or advice</w:t>
      </w:r>
    </w:p>
    <w:p w:rsidR="00910D7C" w:rsidRPr="00191071" w:rsidRDefault="00910D7C" w:rsidP="00910D7C">
      <w:pPr>
        <w:pStyle w:val="ListBullet"/>
      </w:pPr>
      <w:r w:rsidRPr="00191071">
        <w:t>Higher education institutions – visit their websites.</w:t>
      </w:r>
    </w:p>
    <w:p w:rsidR="00910D7C" w:rsidRPr="00191071" w:rsidRDefault="00910D7C" w:rsidP="00910D7C">
      <w:pPr>
        <w:pStyle w:val="ListBullet"/>
      </w:pPr>
      <w:r w:rsidRPr="00191071">
        <w:t xml:space="preserve">Tertiary admission centres – </w:t>
      </w:r>
      <w:r>
        <w:t xml:space="preserve">they </w:t>
      </w:r>
      <w:r w:rsidRPr="00191071">
        <w:t>already publish a range of admission-related information and will adopt the new approaches in 2018 to support applications to study in 2019.</w:t>
      </w:r>
    </w:p>
    <w:p w:rsidR="00910D7C" w:rsidRPr="00191071" w:rsidRDefault="00910D7C" w:rsidP="00910D7C">
      <w:pPr>
        <w:pStyle w:val="ListBullet"/>
      </w:pPr>
      <w:r w:rsidRPr="00191071">
        <w:t>Career Industry Council of Australia (CICA) or your local career advisers’ association.</w:t>
      </w:r>
    </w:p>
    <w:p w:rsidR="00910D7C" w:rsidRDefault="00910D7C" w:rsidP="00910D7C">
      <w:pPr>
        <w:pStyle w:val="ListBullet"/>
      </w:pPr>
      <w:r w:rsidRPr="00191071">
        <w:t xml:space="preserve">General information on the changes is available </w:t>
      </w:r>
      <w:proofErr w:type="gramStart"/>
      <w:r w:rsidRPr="00191071">
        <w:t>at</w:t>
      </w:r>
      <w:r>
        <w:t>:</w:t>
      </w:r>
      <w:proofErr w:type="gramEnd"/>
      <w:r>
        <w:t xml:space="preserve"> </w:t>
      </w:r>
      <w:hyperlink r:id="rId10" w:history="1">
        <w:r w:rsidRPr="00D41CCF">
          <w:rPr>
            <w:rStyle w:val="Hyperlink"/>
          </w:rPr>
          <w:t>https://www.education.gov.au/admissions-transparency-implementation-working-group-0</w:t>
        </w:r>
      </w:hyperlink>
      <w:r>
        <w:rPr>
          <w:rStyle w:val="Hyperlink"/>
        </w:rPr>
        <w:t>.</w:t>
      </w:r>
      <w:r>
        <w:t xml:space="preserve"> </w:t>
      </w:r>
    </w:p>
    <w:p w:rsidR="00910D7C" w:rsidRPr="00191071" w:rsidRDefault="00910D7C" w:rsidP="00910D7C">
      <w:pPr>
        <w:pStyle w:val="ListBullet"/>
      </w:pPr>
      <w:r w:rsidRPr="00191071">
        <w:t xml:space="preserve">The new national higher education admissions information hub, once it </w:t>
      </w:r>
      <w:proofErr w:type="gramStart"/>
      <w:r w:rsidRPr="00191071">
        <w:t>is released</w:t>
      </w:r>
      <w:proofErr w:type="gramEnd"/>
      <w:r w:rsidRPr="00191071">
        <w:t>.</w:t>
      </w:r>
    </w:p>
    <w:p w:rsidR="00910D7C" w:rsidRPr="00191071" w:rsidRDefault="00910D7C" w:rsidP="00910D7C">
      <w:pPr>
        <w:pStyle w:val="Heading2"/>
      </w:pPr>
      <w:r w:rsidRPr="00191071">
        <w:t>Example student profile</w:t>
      </w:r>
    </w:p>
    <w:p w:rsidR="00910D7C" w:rsidRPr="00191071" w:rsidRDefault="00910D7C" w:rsidP="00910D7C">
      <w:r w:rsidRPr="00191071">
        <w:t xml:space="preserve">This profile gives an indication of the likely peer cohort for new students at </w:t>
      </w:r>
      <w:r>
        <w:t>an</w:t>
      </w:r>
      <w:r w:rsidRPr="00191071">
        <w:t xml:space="preserve"> institution. It provides data on all students that commenced undergraduate study and passed the census date in the most relevant recent intake period for which data are available, including those admitted through all offer rounds, across all Australian campuses, and international students studying in Australia. The information </w:t>
      </w:r>
      <w:proofErr w:type="gramStart"/>
      <w:r w:rsidRPr="00191071">
        <w:t>will be provided</w:t>
      </w:r>
      <w:proofErr w:type="gramEnd"/>
      <w:r w:rsidRPr="00191071">
        <w:t xml:space="preserve"> for admissions to the institution as a whole and for each course available in the following enrolment period.</w:t>
      </w:r>
    </w:p>
    <w:p w:rsidR="00910D7C" w:rsidRDefault="00910D7C" w:rsidP="00910D7C">
      <w:pPr>
        <w:pStyle w:val="Caption"/>
        <w:keepNext/>
      </w:pPr>
      <w:r>
        <w:lastRenderedPageBreak/>
        <w:t xml:space="preserve">Table </w:t>
      </w:r>
      <w:r>
        <w:rPr>
          <w:noProof/>
        </w:rPr>
        <w:fldChar w:fldCharType="begin"/>
      </w:r>
      <w:r>
        <w:rPr>
          <w:noProof/>
        </w:rPr>
        <w:instrText xml:space="preserve"> SEQ Table \* ARABIC </w:instrText>
      </w:r>
      <w:r>
        <w:rPr>
          <w:noProof/>
        </w:rPr>
        <w:fldChar w:fldCharType="separate"/>
      </w:r>
      <w:r>
        <w:rPr>
          <w:noProof/>
        </w:rPr>
        <w:t>1</w:t>
      </w:r>
      <w:r>
        <w:rPr>
          <w:noProof/>
        </w:rPr>
        <w:fldChar w:fldCharType="end"/>
      </w:r>
      <w:r>
        <w:t xml:space="preserve"> – Example student profile – Bachelor of Education</w:t>
      </w:r>
      <w:r w:rsidR="00026C74" w:rsidRPr="00026C74">
        <w:t xml:space="preserve"> </w:t>
      </w:r>
    </w:p>
    <w:tbl>
      <w:tblPr>
        <w:tblStyle w:val="TableGrid"/>
        <w:tblW w:w="0" w:type="auto"/>
        <w:tblLayout w:type="fixed"/>
        <w:tblLook w:val="0020" w:firstRow="1" w:lastRow="0" w:firstColumn="0" w:lastColumn="0" w:noHBand="0" w:noVBand="0"/>
        <w:tblDescription w:val="The table contains an example of the number and percentage of students coming from different educational backgrounds which makes up the cohort for that course."/>
      </w:tblPr>
      <w:tblGrid>
        <w:gridCol w:w="6944"/>
        <w:gridCol w:w="1131"/>
        <w:gridCol w:w="1449"/>
      </w:tblGrid>
      <w:tr w:rsidR="00910D7C" w:rsidRPr="00191071" w:rsidTr="00C41426">
        <w:trPr>
          <w:cnfStyle w:val="100000000000" w:firstRow="1" w:lastRow="0" w:firstColumn="0" w:lastColumn="0" w:oddVBand="0" w:evenVBand="0" w:oddHBand="0" w:evenHBand="0" w:firstRowFirstColumn="0" w:firstRowLastColumn="0" w:lastRowFirstColumn="0" w:lastRowLastColumn="0"/>
          <w:trHeight w:hRule="exact" w:val="687"/>
          <w:tblHeader/>
        </w:trPr>
        <w:tc>
          <w:tcPr>
            <w:tcW w:w="6944" w:type="dxa"/>
            <w:vMerge w:val="restart"/>
          </w:tcPr>
          <w:p w:rsidR="00910D7C" w:rsidRPr="00191071" w:rsidRDefault="00A079A4" w:rsidP="00A079A4">
            <w:r w:rsidRPr="00191071">
              <w:t>Applicant background</w:t>
            </w:r>
          </w:p>
        </w:tc>
        <w:tc>
          <w:tcPr>
            <w:tcW w:w="2580" w:type="dxa"/>
            <w:gridSpan w:val="2"/>
          </w:tcPr>
          <w:p w:rsidR="00910D7C" w:rsidRPr="00191071" w:rsidRDefault="00910D7C" w:rsidP="00C41426">
            <w:r w:rsidRPr="00191071">
              <w:t>2017 Semester 1</w:t>
            </w:r>
          </w:p>
        </w:tc>
      </w:tr>
      <w:tr w:rsidR="00910D7C" w:rsidRPr="00191071" w:rsidTr="00C41426">
        <w:trPr>
          <w:cnfStyle w:val="100000000000" w:firstRow="1" w:lastRow="0" w:firstColumn="0" w:lastColumn="0" w:oddVBand="0" w:evenVBand="0" w:oddHBand="0" w:evenHBand="0" w:firstRowFirstColumn="0" w:firstRowLastColumn="0" w:lastRowFirstColumn="0" w:lastRowLastColumn="0"/>
          <w:trHeight w:hRule="exact" w:val="1190"/>
          <w:tblHeader/>
        </w:trPr>
        <w:tc>
          <w:tcPr>
            <w:tcW w:w="6944" w:type="dxa"/>
            <w:vMerge/>
          </w:tcPr>
          <w:p w:rsidR="00910D7C" w:rsidRPr="00191071" w:rsidRDefault="00910D7C" w:rsidP="00C41426"/>
        </w:tc>
        <w:tc>
          <w:tcPr>
            <w:tcW w:w="1131" w:type="dxa"/>
          </w:tcPr>
          <w:p w:rsidR="00910D7C" w:rsidRPr="00191071" w:rsidRDefault="00910D7C" w:rsidP="00C41426">
            <w:r w:rsidRPr="00191071">
              <w:t>Number of students</w:t>
            </w:r>
          </w:p>
        </w:tc>
        <w:tc>
          <w:tcPr>
            <w:tcW w:w="1449" w:type="dxa"/>
          </w:tcPr>
          <w:p w:rsidR="00910D7C" w:rsidRPr="00191071" w:rsidRDefault="00910D7C" w:rsidP="00C41426">
            <w:r w:rsidRPr="00191071">
              <w:t>Percentage of all students</w:t>
            </w:r>
          </w:p>
        </w:tc>
      </w:tr>
      <w:tr w:rsidR="00910D7C" w:rsidRPr="00191071" w:rsidTr="00C41426">
        <w:trPr>
          <w:cnfStyle w:val="000000100000" w:firstRow="0" w:lastRow="0" w:firstColumn="0" w:lastColumn="0" w:oddVBand="0" w:evenVBand="0" w:oddHBand="1" w:evenHBand="0" w:firstRowFirstColumn="0" w:firstRowLastColumn="0" w:lastRowFirstColumn="0" w:lastRowLastColumn="0"/>
          <w:trHeight w:hRule="exact" w:val="503"/>
        </w:trPr>
        <w:tc>
          <w:tcPr>
            <w:tcW w:w="6944" w:type="dxa"/>
          </w:tcPr>
          <w:p w:rsidR="00910D7C" w:rsidRPr="00191071" w:rsidRDefault="00910D7C" w:rsidP="00C41426">
            <w:r w:rsidRPr="00191071">
              <w:t>(A) Past higher education study</w:t>
            </w:r>
          </w:p>
          <w:p w:rsidR="00910D7C" w:rsidRPr="00191071" w:rsidRDefault="00910D7C" w:rsidP="00C41426">
            <w:r w:rsidRPr="00191071">
              <w:t>(includes a bridging or enabling course)</w:t>
            </w:r>
          </w:p>
        </w:tc>
        <w:tc>
          <w:tcPr>
            <w:tcW w:w="1131" w:type="dxa"/>
          </w:tcPr>
          <w:p w:rsidR="00910D7C" w:rsidRPr="00191071" w:rsidRDefault="00A079A4" w:rsidP="00C41426">
            <w:r>
              <w:t>126</w:t>
            </w:r>
          </w:p>
        </w:tc>
        <w:tc>
          <w:tcPr>
            <w:tcW w:w="1449" w:type="dxa"/>
          </w:tcPr>
          <w:p w:rsidR="00910D7C" w:rsidRPr="00191071" w:rsidRDefault="00A079A4" w:rsidP="00C41426">
            <w:r>
              <w:t>30.1</w:t>
            </w:r>
            <w:r w:rsidR="00910D7C" w:rsidRPr="00191071">
              <w:t>%</w:t>
            </w:r>
          </w:p>
        </w:tc>
      </w:tr>
      <w:tr w:rsidR="00910D7C" w:rsidRPr="00191071" w:rsidTr="00C41426">
        <w:trPr>
          <w:cnfStyle w:val="000000010000" w:firstRow="0" w:lastRow="0" w:firstColumn="0" w:lastColumn="0" w:oddVBand="0" w:evenVBand="0" w:oddHBand="0" w:evenHBand="1" w:firstRowFirstColumn="0" w:firstRowLastColumn="0" w:lastRowFirstColumn="0" w:lastRowLastColumn="0"/>
          <w:trHeight w:val="360"/>
        </w:trPr>
        <w:tc>
          <w:tcPr>
            <w:tcW w:w="6944" w:type="dxa"/>
          </w:tcPr>
          <w:p w:rsidR="00910D7C" w:rsidRPr="00191071" w:rsidRDefault="00910D7C" w:rsidP="00C41426">
            <w:r w:rsidRPr="00191071">
              <w:t>(B) Past vocational education and training (VET) study</w:t>
            </w:r>
          </w:p>
        </w:tc>
        <w:tc>
          <w:tcPr>
            <w:tcW w:w="1131" w:type="dxa"/>
          </w:tcPr>
          <w:p w:rsidR="00910D7C" w:rsidRPr="00191071" w:rsidRDefault="00910D7C" w:rsidP="00C41426">
            <w:r w:rsidRPr="00191071">
              <w:t>35</w:t>
            </w:r>
          </w:p>
        </w:tc>
        <w:tc>
          <w:tcPr>
            <w:tcW w:w="1449" w:type="dxa"/>
          </w:tcPr>
          <w:p w:rsidR="00910D7C" w:rsidRPr="00191071" w:rsidRDefault="00910D7C" w:rsidP="00C41426">
            <w:r w:rsidRPr="00191071">
              <w:t>8.4%</w:t>
            </w:r>
          </w:p>
        </w:tc>
      </w:tr>
      <w:tr w:rsidR="00910D7C" w:rsidRPr="00191071" w:rsidTr="00C41426">
        <w:trPr>
          <w:cnfStyle w:val="000000100000" w:firstRow="0" w:lastRow="0" w:firstColumn="0" w:lastColumn="0" w:oddVBand="0" w:evenVBand="0" w:oddHBand="1" w:evenHBand="0" w:firstRowFirstColumn="0" w:firstRowLastColumn="0" w:lastRowFirstColumn="0" w:lastRowLastColumn="0"/>
          <w:trHeight w:hRule="exact" w:val="491"/>
        </w:trPr>
        <w:tc>
          <w:tcPr>
            <w:tcW w:w="6944" w:type="dxa"/>
          </w:tcPr>
          <w:p w:rsidR="00910D7C" w:rsidRPr="00191071" w:rsidRDefault="00910D7C" w:rsidP="00C41426">
            <w:r w:rsidRPr="00191071">
              <w:t>(C) Work and life experience</w:t>
            </w:r>
          </w:p>
          <w:p w:rsidR="00910D7C" w:rsidRPr="00191071" w:rsidRDefault="00910D7C" w:rsidP="00C41426">
            <w:r w:rsidRPr="00191071">
              <w:t>(Admitted on the basis of previous achievement not in the other three categories)</w:t>
            </w:r>
          </w:p>
        </w:tc>
        <w:tc>
          <w:tcPr>
            <w:tcW w:w="1131" w:type="dxa"/>
          </w:tcPr>
          <w:p w:rsidR="00910D7C" w:rsidRPr="00191071" w:rsidRDefault="00910D7C" w:rsidP="00C41426">
            <w:r w:rsidRPr="00191071">
              <w:t>N/P</w:t>
            </w:r>
          </w:p>
        </w:tc>
        <w:tc>
          <w:tcPr>
            <w:tcW w:w="1449" w:type="dxa"/>
          </w:tcPr>
          <w:p w:rsidR="00910D7C" w:rsidRPr="00191071" w:rsidRDefault="00910D7C" w:rsidP="00C41426">
            <w:r w:rsidRPr="00191071">
              <w:t>N/P</w:t>
            </w:r>
          </w:p>
        </w:tc>
      </w:tr>
      <w:tr w:rsidR="00910D7C" w:rsidRPr="00191071" w:rsidTr="00C41426">
        <w:trPr>
          <w:cnfStyle w:val="000000010000" w:firstRow="0" w:lastRow="0" w:firstColumn="0" w:lastColumn="0" w:oddVBand="0" w:evenVBand="0" w:oddHBand="0" w:evenHBand="1" w:firstRowFirstColumn="0" w:firstRowLastColumn="0" w:lastRowFirstColumn="0" w:lastRowLastColumn="0"/>
          <w:trHeight w:hRule="exact" w:val="874"/>
        </w:trPr>
        <w:tc>
          <w:tcPr>
            <w:tcW w:w="6944" w:type="dxa"/>
          </w:tcPr>
          <w:p w:rsidR="00910D7C" w:rsidRPr="00191071" w:rsidRDefault="00910D7C" w:rsidP="00C41426">
            <w:r w:rsidRPr="00191071">
              <w:t>(D) Recent secondary education:</w:t>
            </w:r>
          </w:p>
          <w:p w:rsidR="00910D7C" w:rsidRPr="00191071" w:rsidRDefault="00910D7C" w:rsidP="00C41426">
            <w:r w:rsidRPr="00191071">
              <w:t>Admitted solely on the basis of ATAR</w:t>
            </w:r>
            <w:r w:rsidRPr="00191071">
              <w:br/>
              <w:t>(regardless of whether this includes the impact of adjustment factors such as equity or subject bonus points)</w:t>
            </w:r>
          </w:p>
        </w:tc>
        <w:tc>
          <w:tcPr>
            <w:tcW w:w="1131" w:type="dxa"/>
          </w:tcPr>
          <w:p w:rsidR="00910D7C" w:rsidRPr="00191071" w:rsidRDefault="00910D7C" w:rsidP="00C41426">
            <w:r w:rsidRPr="00191071">
              <w:t>153</w:t>
            </w:r>
          </w:p>
        </w:tc>
        <w:tc>
          <w:tcPr>
            <w:tcW w:w="1449" w:type="dxa"/>
          </w:tcPr>
          <w:p w:rsidR="00910D7C" w:rsidRPr="00191071" w:rsidRDefault="00910D7C" w:rsidP="00C41426">
            <w:r w:rsidRPr="00191071">
              <w:t>36.6%</w:t>
            </w:r>
          </w:p>
        </w:tc>
      </w:tr>
      <w:tr w:rsidR="00910D7C" w:rsidRPr="00191071" w:rsidTr="00E94A50">
        <w:trPr>
          <w:cnfStyle w:val="000000100000" w:firstRow="0" w:lastRow="0" w:firstColumn="0" w:lastColumn="0" w:oddVBand="0" w:evenVBand="0" w:oddHBand="1" w:evenHBand="0" w:firstRowFirstColumn="0" w:firstRowLastColumn="0" w:lastRowFirstColumn="0" w:lastRowLastColumn="0"/>
          <w:trHeight w:hRule="exact" w:val="1013"/>
        </w:trPr>
        <w:tc>
          <w:tcPr>
            <w:tcW w:w="6944" w:type="dxa"/>
          </w:tcPr>
          <w:p w:rsidR="00910D7C" w:rsidRPr="00191071" w:rsidRDefault="00910D7C" w:rsidP="00C41426">
            <w:r w:rsidRPr="00191071">
              <w:t>Admitted where both ATAR and additional criteria were considered</w:t>
            </w:r>
            <w:r w:rsidRPr="00191071">
              <w:br/>
              <w:t>(e.g. portfolio, audition, extra test, early offer conditional on minimum ATAR)</w:t>
            </w:r>
          </w:p>
        </w:tc>
        <w:tc>
          <w:tcPr>
            <w:tcW w:w="1131" w:type="dxa"/>
          </w:tcPr>
          <w:p w:rsidR="00910D7C" w:rsidRPr="00191071" w:rsidRDefault="00910D7C" w:rsidP="00C41426">
            <w:r w:rsidRPr="00191071">
              <w:t>0</w:t>
            </w:r>
          </w:p>
        </w:tc>
        <w:tc>
          <w:tcPr>
            <w:tcW w:w="1449" w:type="dxa"/>
          </w:tcPr>
          <w:p w:rsidR="00910D7C" w:rsidRPr="00191071" w:rsidRDefault="00910D7C" w:rsidP="00C41426">
            <w:r w:rsidRPr="00191071">
              <w:t>0%</w:t>
            </w:r>
          </w:p>
        </w:tc>
      </w:tr>
      <w:tr w:rsidR="00910D7C" w:rsidRPr="00191071" w:rsidTr="00C41426">
        <w:trPr>
          <w:cnfStyle w:val="000000010000" w:firstRow="0" w:lastRow="0" w:firstColumn="0" w:lastColumn="0" w:oddVBand="0" w:evenVBand="0" w:oddHBand="0" w:evenHBand="1" w:firstRowFirstColumn="0" w:firstRowLastColumn="0" w:lastRowFirstColumn="0" w:lastRowLastColumn="0"/>
          <w:trHeight w:hRule="exact" w:val="1009"/>
        </w:trPr>
        <w:tc>
          <w:tcPr>
            <w:tcW w:w="6944" w:type="dxa"/>
          </w:tcPr>
          <w:p w:rsidR="00910D7C" w:rsidRPr="00191071" w:rsidRDefault="00910D7C" w:rsidP="00C41426">
            <w:r w:rsidRPr="00191071">
              <w:t>Admitted on the basis of other criteria only and ATAR was not a factor</w:t>
            </w:r>
            <w:r w:rsidRPr="00191071">
              <w:br/>
              <w:t>(e.g. special consideration, audition alone, schools recommendation with no minimum ATAR)</w:t>
            </w:r>
          </w:p>
        </w:tc>
        <w:tc>
          <w:tcPr>
            <w:tcW w:w="1131" w:type="dxa"/>
          </w:tcPr>
          <w:p w:rsidR="00910D7C" w:rsidRPr="00191071" w:rsidRDefault="00910D7C" w:rsidP="00C41426">
            <w:r w:rsidRPr="00191071">
              <w:t>&lt;5</w:t>
            </w:r>
          </w:p>
        </w:tc>
        <w:tc>
          <w:tcPr>
            <w:tcW w:w="1449" w:type="dxa"/>
          </w:tcPr>
          <w:p w:rsidR="00910D7C" w:rsidRPr="00191071" w:rsidRDefault="00910D7C" w:rsidP="00C41426">
            <w:r w:rsidRPr="00191071">
              <w:t>&lt;5</w:t>
            </w:r>
          </w:p>
        </w:tc>
      </w:tr>
      <w:tr w:rsidR="00910D7C" w:rsidRPr="00191071" w:rsidTr="00C41426">
        <w:trPr>
          <w:cnfStyle w:val="000000100000" w:firstRow="0" w:lastRow="0" w:firstColumn="0" w:lastColumn="0" w:oddVBand="0" w:evenVBand="0" w:oddHBand="1" w:evenHBand="0" w:firstRowFirstColumn="0" w:firstRowLastColumn="0" w:lastRowFirstColumn="0" w:lastRowLastColumn="0"/>
          <w:trHeight w:val="387"/>
        </w:trPr>
        <w:tc>
          <w:tcPr>
            <w:tcW w:w="6944" w:type="dxa"/>
          </w:tcPr>
          <w:p w:rsidR="00910D7C" w:rsidRPr="00191071" w:rsidRDefault="00910D7C" w:rsidP="00C41426">
            <w:r w:rsidRPr="00191071">
              <w:t>International students</w:t>
            </w:r>
          </w:p>
        </w:tc>
        <w:tc>
          <w:tcPr>
            <w:tcW w:w="1131" w:type="dxa"/>
          </w:tcPr>
          <w:p w:rsidR="00910D7C" w:rsidRPr="00191071" w:rsidRDefault="00910D7C" w:rsidP="00C41426">
            <w:r w:rsidRPr="00191071">
              <w:t>90</w:t>
            </w:r>
          </w:p>
        </w:tc>
        <w:tc>
          <w:tcPr>
            <w:tcW w:w="1449" w:type="dxa"/>
          </w:tcPr>
          <w:p w:rsidR="00910D7C" w:rsidRPr="00191071" w:rsidRDefault="00910D7C" w:rsidP="00C41426">
            <w:r w:rsidRPr="00191071">
              <w:t>21.5%</w:t>
            </w:r>
          </w:p>
        </w:tc>
      </w:tr>
      <w:tr w:rsidR="00910D7C" w:rsidRPr="00191071" w:rsidTr="00C41426">
        <w:trPr>
          <w:cnfStyle w:val="000000010000" w:firstRow="0" w:lastRow="0" w:firstColumn="0" w:lastColumn="0" w:oddVBand="0" w:evenVBand="0" w:oddHBand="0" w:evenHBand="1" w:firstRowFirstColumn="0" w:firstRowLastColumn="0" w:lastRowFirstColumn="0" w:lastRowLastColumn="0"/>
          <w:trHeight w:hRule="exact" w:val="449"/>
        </w:trPr>
        <w:tc>
          <w:tcPr>
            <w:tcW w:w="6944" w:type="dxa"/>
          </w:tcPr>
          <w:p w:rsidR="00910D7C" w:rsidRPr="00191071" w:rsidRDefault="00910D7C" w:rsidP="00C41426">
            <w:r w:rsidRPr="00191071">
              <w:t>All students</w:t>
            </w:r>
          </w:p>
        </w:tc>
        <w:tc>
          <w:tcPr>
            <w:tcW w:w="1131" w:type="dxa"/>
          </w:tcPr>
          <w:p w:rsidR="00910D7C" w:rsidRPr="00191071" w:rsidRDefault="00910D7C" w:rsidP="00C41426">
            <w:r w:rsidRPr="00191071">
              <w:t>418</w:t>
            </w:r>
          </w:p>
        </w:tc>
        <w:tc>
          <w:tcPr>
            <w:tcW w:w="1449" w:type="dxa"/>
          </w:tcPr>
          <w:p w:rsidR="00910D7C" w:rsidRPr="00191071" w:rsidRDefault="00910D7C" w:rsidP="00C41426">
            <w:r w:rsidRPr="00191071">
              <w:t>100.0%</w:t>
            </w:r>
          </w:p>
        </w:tc>
      </w:tr>
    </w:tbl>
    <w:p w:rsidR="00910D7C" w:rsidRDefault="00910D7C" w:rsidP="00910D7C">
      <w:pPr>
        <w:pStyle w:val="SourceImageCaption"/>
      </w:pPr>
      <w:r w:rsidRPr="00191071">
        <w:t xml:space="preserve">Notes: </w:t>
      </w:r>
      <w:r w:rsidRPr="00191071">
        <w:tab/>
        <w:t xml:space="preserve">“&lt;5” – the number of students is less than </w:t>
      </w:r>
      <w:proofErr w:type="gramStart"/>
      <w:r w:rsidRPr="00191071">
        <w:t>5</w:t>
      </w:r>
      <w:proofErr w:type="gramEnd"/>
      <w:r>
        <w:br/>
      </w:r>
      <w:r w:rsidRPr="00191071">
        <w:t>N/A – Students not accepted in this category</w:t>
      </w:r>
      <w:r>
        <w:br/>
      </w:r>
      <w:r w:rsidRPr="00191071">
        <w:t>N/P – Not published: the number is hidden to prevent calculation of numbers in cells with less than 5 students.</w:t>
      </w:r>
    </w:p>
    <w:p w:rsidR="00910D7C" w:rsidRPr="00191071" w:rsidRDefault="00910D7C" w:rsidP="00910D7C">
      <w:pPr>
        <w:pStyle w:val="Heading2"/>
      </w:pPr>
      <w:r w:rsidRPr="00191071">
        <w:lastRenderedPageBreak/>
        <w:t>Example ATAR profiles</w:t>
      </w:r>
    </w:p>
    <w:p w:rsidR="00910D7C" w:rsidRDefault="00910D7C" w:rsidP="00910D7C">
      <w:pPr>
        <w:keepNext/>
        <w:keepLines/>
      </w:pPr>
      <w:r w:rsidRPr="00191071">
        <w:t xml:space="preserve">These tables show the range of ATARs (OP in Queensland) for applicants </w:t>
      </w:r>
      <w:r>
        <w:t>who received</w:t>
      </w:r>
      <w:r w:rsidRPr="00191071">
        <w:t xml:space="preserve"> an offer of a place in the most relevant recent intake period, wholly or partly </w:t>
      </w:r>
      <w:proofErr w:type="gramStart"/>
      <w:r w:rsidRPr="00191071">
        <w:t>on the basis of</w:t>
      </w:r>
      <w:proofErr w:type="gramEnd"/>
      <w:r w:rsidRPr="00191071">
        <w:t xml:space="preserve"> ATAR. If less than </w:t>
      </w:r>
      <w:r>
        <w:t>five</w:t>
      </w:r>
      <w:r w:rsidRPr="00191071">
        <w:t xml:space="preserve"> ATAR-based offers </w:t>
      </w:r>
      <w:proofErr w:type="gramStart"/>
      <w:r w:rsidRPr="00191071">
        <w:t>were made</w:t>
      </w:r>
      <w:proofErr w:type="gramEnd"/>
      <w:r w:rsidRPr="00191071">
        <w:t xml:space="preserve">, </w:t>
      </w:r>
      <w:r w:rsidR="00A60918">
        <w:t>the median is not</w:t>
      </w:r>
      <w:r w:rsidRPr="00191071">
        <w:t xml:space="preserve"> shown in order to maintain the privacy of current students. The information will be provided for each course available in the following enrolment period where admission </w:t>
      </w:r>
      <w:proofErr w:type="gramStart"/>
      <w:r w:rsidRPr="00191071">
        <w:t>on the basis of</w:t>
      </w:r>
      <w:proofErr w:type="gramEnd"/>
      <w:r w:rsidRPr="00191071">
        <w:t xml:space="preserve"> ATAR/OP is possible. Institutions must provide a profile of </w:t>
      </w:r>
      <w:r>
        <w:t xml:space="preserve">the </w:t>
      </w:r>
      <w:r w:rsidRPr="00191071">
        <w:t xml:space="preserve">unadjusted ATAR/OP ranks </w:t>
      </w:r>
      <w:r>
        <w:t xml:space="preserve">to </w:t>
      </w:r>
      <w:proofErr w:type="gramStart"/>
      <w:r>
        <w:t>which  offers</w:t>
      </w:r>
      <w:proofErr w:type="gramEnd"/>
      <w:r>
        <w:t xml:space="preserve"> were made</w:t>
      </w:r>
      <w:r w:rsidRPr="00191071">
        <w:t xml:space="preserve">. These unadjusted figures are directly comparable across different courses and institutions. </w:t>
      </w:r>
      <w:r>
        <w:t xml:space="preserve">If an institution wishes to do so, it </w:t>
      </w:r>
      <w:r w:rsidRPr="00191071">
        <w:t xml:space="preserve">can also </w:t>
      </w:r>
      <w:r>
        <w:t>choose to</w:t>
      </w:r>
      <w:r w:rsidRPr="00191071">
        <w:t xml:space="preserve"> include a profile of selection ranks that include the impact of adjustments that were made to selection ranks </w:t>
      </w:r>
      <w:proofErr w:type="gramStart"/>
      <w:r w:rsidRPr="00191071">
        <w:t>on the basis of</w:t>
      </w:r>
      <w:proofErr w:type="gramEnd"/>
      <w:r w:rsidRPr="00191071">
        <w:t xml:space="preserve"> equity, subject or other relevant factors. Selection rank profiles may not be directly comparable across different institutions as each higher education provider may have a different range of adjustments available.</w:t>
      </w:r>
    </w:p>
    <w:p w:rsidR="00910D7C" w:rsidRDefault="00910D7C" w:rsidP="00910D7C">
      <w:pPr>
        <w:pStyle w:val="Caption"/>
        <w:keepNext/>
      </w:pPr>
      <w:r>
        <w:t xml:space="preserve">Table </w:t>
      </w:r>
      <w:r>
        <w:rPr>
          <w:noProof/>
        </w:rPr>
        <w:fldChar w:fldCharType="begin"/>
      </w:r>
      <w:r>
        <w:rPr>
          <w:noProof/>
        </w:rPr>
        <w:instrText xml:space="preserve"> SEQ Table \* ARABIC </w:instrText>
      </w:r>
      <w:r>
        <w:rPr>
          <w:noProof/>
        </w:rPr>
        <w:fldChar w:fldCharType="separate"/>
      </w:r>
      <w:r>
        <w:rPr>
          <w:noProof/>
        </w:rPr>
        <w:t>2</w:t>
      </w:r>
      <w:r>
        <w:rPr>
          <w:noProof/>
        </w:rPr>
        <w:fldChar w:fldCharType="end"/>
      </w:r>
      <w:r>
        <w:rPr>
          <w:noProof/>
        </w:rPr>
        <w:t xml:space="preserve"> – Example ATAR profile – Bachelor of Education</w:t>
      </w:r>
    </w:p>
    <w:tbl>
      <w:tblPr>
        <w:tblStyle w:val="TableGrid"/>
        <w:tblW w:w="0" w:type="auto"/>
        <w:tblLayout w:type="fixed"/>
        <w:tblLook w:val="0020" w:firstRow="1" w:lastRow="0" w:firstColumn="0" w:lastColumn="0" w:noHBand="0" w:noVBand="0"/>
        <w:tblDescription w:val="The table contains an example of ATAR based offers only, across all offer rounds excluding adjustment factors from highest to lowest ranks to receive an offer."/>
      </w:tblPr>
      <w:tblGrid>
        <w:gridCol w:w="4814"/>
        <w:gridCol w:w="2703"/>
      </w:tblGrid>
      <w:tr w:rsidR="00910D7C" w:rsidRPr="00191071" w:rsidTr="00C41426">
        <w:trPr>
          <w:cnfStyle w:val="100000000000" w:firstRow="1" w:lastRow="0" w:firstColumn="0" w:lastColumn="0" w:oddVBand="0" w:evenVBand="0" w:oddHBand="0" w:evenHBand="0" w:firstRowFirstColumn="0" w:firstRowLastColumn="0" w:lastRowFirstColumn="0" w:lastRowLastColumn="0"/>
          <w:trHeight w:hRule="exact" w:val="1223"/>
          <w:tblHeader/>
        </w:trPr>
        <w:tc>
          <w:tcPr>
            <w:tcW w:w="4814" w:type="dxa"/>
          </w:tcPr>
          <w:p w:rsidR="00910D7C" w:rsidRPr="00191071" w:rsidRDefault="00910D7C" w:rsidP="00C41426"/>
        </w:tc>
        <w:tc>
          <w:tcPr>
            <w:tcW w:w="2703" w:type="dxa"/>
          </w:tcPr>
          <w:p w:rsidR="00910D7C" w:rsidRPr="00191071" w:rsidRDefault="00910D7C" w:rsidP="00C41426">
            <w:r w:rsidRPr="00191071">
              <w:t>ATAR*</w:t>
            </w:r>
          </w:p>
          <w:p w:rsidR="00910D7C" w:rsidRPr="00191071" w:rsidRDefault="00910D7C" w:rsidP="00C41426">
            <w:r w:rsidRPr="00191071">
              <w:t>(Excluding adjustment factors)</w:t>
            </w:r>
          </w:p>
        </w:tc>
      </w:tr>
      <w:tr w:rsidR="00910D7C" w:rsidRPr="00191071" w:rsidTr="00C41426">
        <w:trPr>
          <w:cnfStyle w:val="000000100000" w:firstRow="0" w:lastRow="0" w:firstColumn="0" w:lastColumn="0" w:oddVBand="0" w:evenVBand="0" w:oddHBand="1" w:evenHBand="0" w:firstRowFirstColumn="0" w:firstRowLastColumn="0" w:lastRowFirstColumn="0" w:lastRowLastColumn="0"/>
          <w:trHeight w:hRule="exact" w:val="481"/>
        </w:trPr>
        <w:tc>
          <w:tcPr>
            <w:tcW w:w="4814" w:type="dxa"/>
          </w:tcPr>
          <w:p w:rsidR="00910D7C" w:rsidRPr="00191071" w:rsidRDefault="00910D7C" w:rsidP="00C41426">
            <w:r w:rsidRPr="00191071">
              <w:t>Highest rank to receive an offer</w:t>
            </w:r>
          </w:p>
        </w:tc>
        <w:tc>
          <w:tcPr>
            <w:tcW w:w="2703" w:type="dxa"/>
          </w:tcPr>
          <w:p w:rsidR="00910D7C" w:rsidRPr="00191071" w:rsidRDefault="00910D7C" w:rsidP="00C41426">
            <w:r w:rsidRPr="00191071">
              <w:t>95.2</w:t>
            </w:r>
          </w:p>
        </w:tc>
      </w:tr>
      <w:tr w:rsidR="00910D7C" w:rsidRPr="00191071" w:rsidTr="00C41426">
        <w:trPr>
          <w:cnfStyle w:val="000000010000" w:firstRow="0" w:lastRow="0" w:firstColumn="0" w:lastColumn="0" w:oddVBand="0" w:evenVBand="0" w:oddHBand="0" w:evenHBand="1" w:firstRowFirstColumn="0" w:firstRowLastColumn="0" w:lastRowFirstColumn="0" w:lastRowLastColumn="0"/>
          <w:trHeight w:hRule="exact" w:val="572"/>
        </w:trPr>
        <w:tc>
          <w:tcPr>
            <w:tcW w:w="4814" w:type="dxa"/>
          </w:tcPr>
          <w:p w:rsidR="00910D7C" w:rsidRPr="00191071" w:rsidRDefault="00910D7C" w:rsidP="00C41426">
            <w:r w:rsidRPr="00191071">
              <w:t>Median rank to receive an offer</w:t>
            </w:r>
          </w:p>
        </w:tc>
        <w:tc>
          <w:tcPr>
            <w:tcW w:w="2703" w:type="dxa"/>
          </w:tcPr>
          <w:p w:rsidR="00910D7C" w:rsidRPr="00191071" w:rsidRDefault="00910D7C" w:rsidP="00C41426">
            <w:r w:rsidRPr="00191071">
              <w:t>76.3</w:t>
            </w:r>
          </w:p>
        </w:tc>
      </w:tr>
      <w:tr w:rsidR="00910D7C" w:rsidRPr="00191071" w:rsidTr="00C41426">
        <w:trPr>
          <w:cnfStyle w:val="000000100000" w:firstRow="0" w:lastRow="0" w:firstColumn="0" w:lastColumn="0" w:oddVBand="0" w:evenVBand="0" w:oddHBand="1" w:evenHBand="0" w:firstRowFirstColumn="0" w:firstRowLastColumn="0" w:lastRowFirstColumn="0" w:lastRowLastColumn="0"/>
          <w:trHeight w:hRule="exact" w:val="566"/>
        </w:trPr>
        <w:tc>
          <w:tcPr>
            <w:tcW w:w="4814" w:type="dxa"/>
          </w:tcPr>
          <w:p w:rsidR="00910D7C" w:rsidRPr="00191071" w:rsidRDefault="00910D7C" w:rsidP="00C41426">
            <w:r w:rsidRPr="00191071">
              <w:t>Lowest rank to receive an offer</w:t>
            </w:r>
          </w:p>
        </w:tc>
        <w:tc>
          <w:tcPr>
            <w:tcW w:w="2703" w:type="dxa"/>
          </w:tcPr>
          <w:p w:rsidR="00910D7C" w:rsidRPr="00191071" w:rsidRDefault="00910D7C" w:rsidP="00C41426">
            <w:r w:rsidRPr="00191071">
              <w:t>55.8</w:t>
            </w:r>
          </w:p>
        </w:tc>
      </w:tr>
    </w:tbl>
    <w:p w:rsidR="00910D7C" w:rsidRPr="00191071" w:rsidRDefault="00910D7C" w:rsidP="00910D7C">
      <w:pPr>
        <w:pStyle w:val="SourceImageCaption"/>
      </w:pPr>
      <w:r w:rsidRPr="00191071">
        <w:t xml:space="preserve">Notes: </w:t>
      </w:r>
      <w:r w:rsidRPr="00191071">
        <w:tab/>
        <w:t xml:space="preserve">* “&lt;5” – indicates less than </w:t>
      </w:r>
      <w:proofErr w:type="gramStart"/>
      <w:r w:rsidRPr="00191071">
        <w:t>5</w:t>
      </w:r>
      <w:proofErr w:type="gramEnd"/>
      <w:r w:rsidRPr="00191071">
        <w:t xml:space="preserve"> ATAR-based offers were made</w:t>
      </w:r>
    </w:p>
    <w:p w:rsidR="00910D7C" w:rsidRDefault="00910D7C" w:rsidP="00910D7C">
      <w:pPr>
        <w:pStyle w:val="Caption"/>
        <w:keepNext/>
      </w:pPr>
      <w:r>
        <w:t xml:space="preserve">Table </w:t>
      </w:r>
      <w:r>
        <w:rPr>
          <w:noProof/>
        </w:rPr>
        <w:fldChar w:fldCharType="begin"/>
      </w:r>
      <w:r>
        <w:rPr>
          <w:noProof/>
        </w:rPr>
        <w:instrText xml:space="preserve"> SEQ Table \* ARABIC </w:instrText>
      </w:r>
      <w:r>
        <w:rPr>
          <w:noProof/>
        </w:rPr>
        <w:fldChar w:fldCharType="separate"/>
      </w:r>
      <w:r>
        <w:rPr>
          <w:noProof/>
        </w:rPr>
        <w:t>3</w:t>
      </w:r>
      <w:r>
        <w:rPr>
          <w:noProof/>
        </w:rPr>
        <w:fldChar w:fldCharType="end"/>
      </w:r>
      <w:r>
        <w:rPr>
          <w:noProof/>
        </w:rPr>
        <w:t xml:space="preserve"> – Example ATAR profile – Bachelor of Arts</w:t>
      </w:r>
      <w:r w:rsidR="00026C74">
        <w:rPr>
          <w:noProof/>
        </w:rPr>
        <w:t xml:space="preserve"> </w:t>
      </w:r>
    </w:p>
    <w:tbl>
      <w:tblPr>
        <w:tblStyle w:val="TableGrid"/>
        <w:tblW w:w="10205" w:type="dxa"/>
        <w:tblLayout w:type="fixed"/>
        <w:tblLook w:val="0020" w:firstRow="1" w:lastRow="0" w:firstColumn="0" w:lastColumn="0" w:noHBand="0" w:noVBand="0"/>
        <w:tblDescription w:val="The table contains an example of ATAR based offers only, excluding adjustment factors and the selection rank including adjustment factors from highest to lowest ranks to receive an offer."/>
      </w:tblPr>
      <w:tblGrid>
        <w:gridCol w:w="4814"/>
        <w:gridCol w:w="2695"/>
        <w:gridCol w:w="2696"/>
      </w:tblGrid>
      <w:tr w:rsidR="00910D7C" w:rsidRPr="00191071" w:rsidTr="00C41426">
        <w:trPr>
          <w:cnfStyle w:val="100000000000" w:firstRow="1" w:lastRow="0" w:firstColumn="0" w:lastColumn="0" w:oddVBand="0" w:evenVBand="0" w:oddHBand="0" w:evenHBand="0" w:firstRowFirstColumn="0" w:firstRowLastColumn="0" w:lastRowFirstColumn="0" w:lastRowLastColumn="0"/>
          <w:trHeight w:hRule="exact" w:val="1269"/>
          <w:tblHeader/>
        </w:trPr>
        <w:tc>
          <w:tcPr>
            <w:tcW w:w="4814" w:type="dxa"/>
          </w:tcPr>
          <w:p w:rsidR="00910D7C" w:rsidRPr="00191071" w:rsidRDefault="00910D7C" w:rsidP="00C41426"/>
        </w:tc>
        <w:tc>
          <w:tcPr>
            <w:tcW w:w="2695" w:type="dxa"/>
          </w:tcPr>
          <w:p w:rsidR="00910D7C" w:rsidRPr="00191071" w:rsidRDefault="00910D7C" w:rsidP="00C41426">
            <w:r w:rsidRPr="00191071">
              <w:t>ATAR*</w:t>
            </w:r>
          </w:p>
          <w:p w:rsidR="00910D7C" w:rsidRPr="00191071" w:rsidRDefault="00910D7C" w:rsidP="00C41426">
            <w:r w:rsidRPr="00191071">
              <w:t>(Excluding adjustment factors)</w:t>
            </w:r>
          </w:p>
        </w:tc>
        <w:tc>
          <w:tcPr>
            <w:tcW w:w="2696" w:type="dxa"/>
          </w:tcPr>
          <w:p w:rsidR="00910D7C" w:rsidRPr="00191071" w:rsidRDefault="00910D7C" w:rsidP="00C41426">
            <w:r w:rsidRPr="00191071">
              <w:t>Selection Rank*</w:t>
            </w:r>
          </w:p>
          <w:p w:rsidR="00910D7C" w:rsidRPr="00191071" w:rsidRDefault="00910D7C" w:rsidP="00C41426">
            <w:r w:rsidRPr="00191071">
              <w:t>(includes adjustment factors)</w:t>
            </w:r>
          </w:p>
        </w:tc>
      </w:tr>
      <w:tr w:rsidR="00910D7C" w:rsidRPr="00191071" w:rsidTr="00C41426">
        <w:trPr>
          <w:cnfStyle w:val="000000100000" w:firstRow="0" w:lastRow="0" w:firstColumn="0" w:lastColumn="0" w:oddVBand="0" w:evenVBand="0" w:oddHBand="1" w:evenHBand="0" w:firstRowFirstColumn="0" w:firstRowLastColumn="0" w:lastRowFirstColumn="0" w:lastRowLastColumn="0"/>
          <w:trHeight w:hRule="exact" w:val="550"/>
        </w:trPr>
        <w:tc>
          <w:tcPr>
            <w:tcW w:w="4814" w:type="dxa"/>
          </w:tcPr>
          <w:p w:rsidR="00910D7C" w:rsidRPr="00191071" w:rsidRDefault="00910D7C" w:rsidP="00C41426">
            <w:r w:rsidRPr="00191071">
              <w:t>Highest rank to receive an offer</w:t>
            </w:r>
          </w:p>
        </w:tc>
        <w:tc>
          <w:tcPr>
            <w:tcW w:w="2695" w:type="dxa"/>
          </w:tcPr>
          <w:p w:rsidR="00910D7C" w:rsidRPr="00191071" w:rsidRDefault="00910D7C" w:rsidP="00C41426">
            <w:r w:rsidRPr="00191071">
              <w:t>94.1</w:t>
            </w:r>
          </w:p>
        </w:tc>
        <w:tc>
          <w:tcPr>
            <w:tcW w:w="2696" w:type="dxa"/>
          </w:tcPr>
          <w:p w:rsidR="00910D7C" w:rsidRPr="00191071" w:rsidRDefault="00910D7C" w:rsidP="00C41426">
            <w:r w:rsidRPr="00191071">
              <w:t>97.4</w:t>
            </w:r>
          </w:p>
        </w:tc>
      </w:tr>
      <w:tr w:rsidR="00910D7C" w:rsidRPr="00191071" w:rsidTr="00C41426">
        <w:trPr>
          <w:cnfStyle w:val="000000010000" w:firstRow="0" w:lastRow="0" w:firstColumn="0" w:lastColumn="0" w:oddVBand="0" w:evenVBand="0" w:oddHBand="0" w:evenHBand="1" w:firstRowFirstColumn="0" w:firstRowLastColumn="0" w:lastRowFirstColumn="0" w:lastRowLastColumn="0"/>
          <w:trHeight w:hRule="exact" w:val="586"/>
        </w:trPr>
        <w:tc>
          <w:tcPr>
            <w:tcW w:w="4814" w:type="dxa"/>
          </w:tcPr>
          <w:p w:rsidR="00910D7C" w:rsidRPr="00191071" w:rsidRDefault="00910D7C" w:rsidP="00C41426">
            <w:r w:rsidRPr="00191071">
              <w:t>Median rank to receive an offer</w:t>
            </w:r>
          </w:p>
        </w:tc>
        <w:tc>
          <w:tcPr>
            <w:tcW w:w="2695" w:type="dxa"/>
          </w:tcPr>
          <w:p w:rsidR="00910D7C" w:rsidRPr="00191071" w:rsidRDefault="00910D7C" w:rsidP="00C41426">
            <w:r w:rsidRPr="00191071">
              <w:t>72.5</w:t>
            </w:r>
          </w:p>
        </w:tc>
        <w:tc>
          <w:tcPr>
            <w:tcW w:w="2696" w:type="dxa"/>
          </w:tcPr>
          <w:p w:rsidR="00910D7C" w:rsidRPr="00191071" w:rsidRDefault="00910D7C" w:rsidP="00C41426">
            <w:r w:rsidRPr="00191071">
              <w:t>78.6</w:t>
            </w:r>
          </w:p>
        </w:tc>
      </w:tr>
      <w:tr w:rsidR="00910D7C" w:rsidRPr="00191071" w:rsidTr="00C41426">
        <w:trPr>
          <w:cnfStyle w:val="000000100000" w:firstRow="0" w:lastRow="0" w:firstColumn="0" w:lastColumn="0" w:oddVBand="0" w:evenVBand="0" w:oddHBand="1" w:evenHBand="0" w:firstRowFirstColumn="0" w:firstRowLastColumn="0" w:lastRowFirstColumn="0" w:lastRowLastColumn="0"/>
          <w:trHeight w:hRule="exact" w:val="566"/>
        </w:trPr>
        <w:tc>
          <w:tcPr>
            <w:tcW w:w="4814" w:type="dxa"/>
          </w:tcPr>
          <w:p w:rsidR="00910D7C" w:rsidRPr="00191071" w:rsidRDefault="00910D7C" w:rsidP="00C41426">
            <w:r w:rsidRPr="00191071">
              <w:t>Lowest rank to receive an offer</w:t>
            </w:r>
          </w:p>
        </w:tc>
        <w:tc>
          <w:tcPr>
            <w:tcW w:w="2695" w:type="dxa"/>
          </w:tcPr>
          <w:p w:rsidR="00910D7C" w:rsidRPr="00191071" w:rsidRDefault="00910D7C" w:rsidP="00C41426">
            <w:r w:rsidRPr="00191071">
              <w:t>50.7</w:t>
            </w:r>
          </w:p>
        </w:tc>
        <w:tc>
          <w:tcPr>
            <w:tcW w:w="2696" w:type="dxa"/>
          </w:tcPr>
          <w:p w:rsidR="00910D7C" w:rsidRPr="00191071" w:rsidRDefault="00910D7C" w:rsidP="00C41426">
            <w:r w:rsidRPr="00191071">
              <w:t>60.3</w:t>
            </w:r>
          </w:p>
        </w:tc>
      </w:tr>
    </w:tbl>
    <w:p w:rsidR="00910D7C" w:rsidRPr="00191071" w:rsidRDefault="00910D7C" w:rsidP="00910D7C">
      <w:pPr>
        <w:pStyle w:val="SourceImageCaption"/>
      </w:pPr>
      <w:r w:rsidRPr="00191071">
        <w:t xml:space="preserve">Notes: * “&lt;5” – indicates less than </w:t>
      </w:r>
      <w:proofErr w:type="gramStart"/>
      <w:r w:rsidRPr="00191071">
        <w:t>5</w:t>
      </w:r>
      <w:proofErr w:type="gramEnd"/>
      <w:r w:rsidRPr="00191071">
        <w:t xml:space="preserve"> ATAR-based offers were made</w:t>
      </w:r>
    </w:p>
    <w:p w:rsidR="00910D7C" w:rsidRDefault="00910D7C" w:rsidP="00910D7C">
      <w:pPr>
        <w:pStyle w:val="Caption"/>
        <w:keepNext/>
      </w:pPr>
      <w:r>
        <w:t xml:space="preserve">Table </w:t>
      </w:r>
      <w:r>
        <w:rPr>
          <w:noProof/>
        </w:rPr>
        <w:fldChar w:fldCharType="begin"/>
      </w:r>
      <w:r>
        <w:rPr>
          <w:noProof/>
        </w:rPr>
        <w:instrText xml:space="preserve"> SEQ Table \* ARABIC </w:instrText>
      </w:r>
      <w:r>
        <w:rPr>
          <w:noProof/>
        </w:rPr>
        <w:fldChar w:fldCharType="separate"/>
      </w:r>
      <w:r>
        <w:rPr>
          <w:noProof/>
        </w:rPr>
        <w:t>4</w:t>
      </w:r>
      <w:r>
        <w:rPr>
          <w:noProof/>
        </w:rPr>
        <w:fldChar w:fldCharType="end"/>
      </w:r>
      <w:r>
        <w:rPr>
          <w:noProof/>
        </w:rPr>
        <w:t xml:space="preserve"> – Example OP profile – Bachelor of Science</w:t>
      </w:r>
      <w:r w:rsidR="00026C74">
        <w:rPr>
          <w:noProof/>
        </w:rPr>
        <w:t xml:space="preserve"> </w:t>
      </w:r>
    </w:p>
    <w:tbl>
      <w:tblPr>
        <w:tblStyle w:val="TableGrid"/>
        <w:tblW w:w="0" w:type="auto"/>
        <w:tblLayout w:type="fixed"/>
        <w:tblLook w:val="0020" w:firstRow="1" w:lastRow="0" w:firstColumn="0" w:lastColumn="0" w:noHBand="0" w:noVBand="0"/>
        <w:tblDescription w:val="The table contains an example of OP based offers only, excluding adjustment factors from highest to lowest ranks to receive an offer."/>
      </w:tblPr>
      <w:tblGrid>
        <w:gridCol w:w="4814"/>
        <w:gridCol w:w="2703"/>
      </w:tblGrid>
      <w:tr w:rsidR="00910D7C" w:rsidRPr="00C5182C" w:rsidTr="00C41426">
        <w:trPr>
          <w:cnfStyle w:val="100000000000" w:firstRow="1" w:lastRow="0" w:firstColumn="0" w:lastColumn="0" w:oddVBand="0" w:evenVBand="0" w:oddHBand="0" w:evenHBand="0" w:firstRowFirstColumn="0" w:firstRowLastColumn="0" w:lastRowFirstColumn="0" w:lastRowLastColumn="0"/>
          <w:trHeight w:hRule="exact" w:val="1020"/>
          <w:tblHeader/>
        </w:trPr>
        <w:tc>
          <w:tcPr>
            <w:tcW w:w="4814" w:type="dxa"/>
          </w:tcPr>
          <w:p w:rsidR="00910D7C" w:rsidRPr="00C5182C" w:rsidRDefault="00910D7C" w:rsidP="00C41426">
            <w:pPr>
              <w:widowControl w:val="0"/>
              <w:spacing w:before="0" w:after="0"/>
              <w:rPr>
                <w:lang w:val="en-US"/>
              </w:rPr>
            </w:pPr>
          </w:p>
        </w:tc>
        <w:tc>
          <w:tcPr>
            <w:tcW w:w="2703" w:type="dxa"/>
          </w:tcPr>
          <w:p w:rsidR="00910D7C" w:rsidRPr="00C5182C" w:rsidRDefault="00910D7C" w:rsidP="00C41426">
            <w:pPr>
              <w:widowControl w:val="0"/>
              <w:spacing w:before="0" w:after="0"/>
              <w:rPr>
                <w:lang w:val="en-US"/>
              </w:rPr>
            </w:pPr>
            <w:r w:rsidRPr="00C5182C">
              <w:rPr>
                <w:lang w:val="en-US"/>
              </w:rPr>
              <w:t>OP*</w:t>
            </w:r>
          </w:p>
          <w:p w:rsidR="00910D7C" w:rsidRPr="00C5182C" w:rsidRDefault="00910D7C" w:rsidP="00C41426">
            <w:pPr>
              <w:widowControl w:val="0"/>
              <w:spacing w:before="0" w:after="0"/>
              <w:rPr>
                <w:lang w:val="en-US"/>
              </w:rPr>
            </w:pPr>
            <w:r w:rsidRPr="00C5182C">
              <w:rPr>
                <w:lang w:val="en-US"/>
              </w:rPr>
              <w:t>(Excluding adjustment factors)</w:t>
            </w:r>
          </w:p>
        </w:tc>
      </w:tr>
      <w:tr w:rsidR="00910D7C" w:rsidRPr="00C5182C" w:rsidTr="00C41426">
        <w:trPr>
          <w:cnfStyle w:val="000000100000" w:firstRow="0" w:lastRow="0" w:firstColumn="0" w:lastColumn="0" w:oddVBand="0" w:evenVBand="0" w:oddHBand="1" w:evenHBand="0" w:firstRowFirstColumn="0" w:firstRowLastColumn="0" w:lastRowFirstColumn="0" w:lastRowLastColumn="0"/>
          <w:trHeight w:hRule="exact" w:val="361"/>
        </w:trPr>
        <w:tc>
          <w:tcPr>
            <w:tcW w:w="4814" w:type="dxa"/>
          </w:tcPr>
          <w:p w:rsidR="00910D7C" w:rsidRPr="00C5182C" w:rsidRDefault="00910D7C" w:rsidP="00C41426">
            <w:pPr>
              <w:widowControl w:val="0"/>
              <w:spacing w:before="0" w:after="0"/>
              <w:rPr>
                <w:lang w:val="en-US"/>
              </w:rPr>
            </w:pPr>
            <w:r w:rsidRPr="00C5182C">
              <w:rPr>
                <w:lang w:val="en-US"/>
              </w:rPr>
              <w:t>Highest rank to receive an offer</w:t>
            </w:r>
          </w:p>
        </w:tc>
        <w:tc>
          <w:tcPr>
            <w:tcW w:w="2703" w:type="dxa"/>
          </w:tcPr>
          <w:p w:rsidR="00910D7C" w:rsidRPr="00C5182C" w:rsidRDefault="00910D7C" w:rsidP="00C41426">
            <w:pPr>
              <w:widowControl w:val="0"/>
              <w:spacing w:before="0" w:after="0"/>
              <w:rPr>
                <w:lang w:val="en-US"/>
              </w:rPr>
            </w:pPr>
            <w:r w:rsidRPr="00C5182C">
              <w:rPr>
                <w:lang w:val="en-US"/>
              </w:rPr>
              <w:t>1</w:t>
            </w:r>
          </w:p>
        </w:tc>
      </w:tr>
      <w:tr w:rsidR="00910D7C" w:rsidRPr="00C5182C" w:rsidTr="00C41426">
        <w:trPr>
          <w:cnfStyle w:val="000000010000" w:firstRow="0" w:lastRow="0" w:firstColumn="0" w:lastColumn="0" w:oddVBand="0" w:evenVBand="0" w:oddHBand="0" w:evenHBand="1" w:firstRowFirstColumn="0" w:firstRowLastColumn="0" w:lastRowFirstColumn="0" w:lastRowLastColumn="0"/>
          <w:trHeight w:hRule="exact" w:val="356"/>
        </w:trPr>
        <w:tc>
          <w:tcPr>
            <w:tcW w:w="4814" w:type="dxa"/>
          </w:tcPr>
          <w:p w:rsidR="00910D7C" w:rsidRPr="00C5182C" w:rsidRDefault="00910D7C" w:rsidP="00C41426">
            <w:pPr>
              <w:widowControl w:val="0"/>
              <w:spacing w:before="0" w:after="0"/>
              <w:rPr>
                <w:lang w:val="en-US"/>
              </w:rPr>
            </w:pPr>
            <w:r w:rsidRPr="00C5182C">
              <w:rPr>
                <w:lang w:val="en-US"/>
              </w:rPr>
              <w:t>Median rank to receive an offer</w:t>
            </w:r>
          </w:p>
        </w:tc>
        <w:tc>
          <w:tcPr>
            <w:tcW w:w="2703" w:type="dxa"/>
          </w:tcPr>
          <w:p w:rsidR="00910D7C" w:rsidRPr="00C5182C" w:rsidRDefault="00910D7C" w:rsidP="00C41426">
            <w:pPr>
              <w:widowControl w:val="0"/>
              <w:spacing w:before="0" w:after="0"/>
              <w:rPr>
                <w:lang w:val="en-US"/>
              </w:rPr>
            </w:pPr>
            <w:r w:rsidRPr="00C5182C">
              <w:rPr>
                <w:lang w:val="en-US"/>
              </w:rPr>
              <w:t>6</w:t>
            </w:r>
          </w:p>
        </w:tc>
      </w:tr>
      <w:tr w:rsidR="00910D7C" w:rsidRPr="00C5182C" w:rsidTr="00C41426">
        <w:trPr>
          <w:cnfStyle w:val="000000100000" w:firstRow="0" w:lastRow="0" w:firstColumn="0" w:lastColumn="0" w:oddVBand="0" w:evenVBand="0" w:oddHBand="1" w:evenHBand="0" w:firstRowFirstColumn="0" w:firstRowLastColumn="0" w:lastRowFirstColumn="0" w:lastRowLastColumn="0"/>
          <w:trHeight w:hRule="exact" w:val="356"/>
        </w:trPr>
        <w:tc>
          <w:tcPr>
            <w:tcW w:w="4814" w:type="dxa"/>
          </w:tcPr>
          <w:p w:rsidR="00910D7C" w:rsidRPr="00C5182C" w:rsidRDefault="00910D7C" w:rsidP="00C41426">
            <w:pPr>
              <w:widowControl w:val="0"/>
              <w:spacing w:before="0" w:after="0"/>
              <w:rPr>
                <w:lang w:val="en-US"/>
              </w:rPr>
            </w:pPr>
            <w:r w:rsidRPr="00C5182C">
              <w:rPr>
                <w:lang w:val="en-US"/>
              </w:rPr>
              <w:t>Lowest rank to receive an offer</w:t>
            </w:r>
          </w:p>
        </w:tc>
        <w:tc>
          <w:tcPr>
            <w:tcW w:w="2703" w:type="dxa"/>
          </w:tcPr>
          <w:p w:rsidR="00910D7C" w:rsidRPr="00C5182C" w:rsidRDefault="00910D7C" w:rsidP="00C41426">
            <w:pPr>
              <w:widowControl w:val="0"/>
              <w:spacing w:before="0" w:after="0"/>
              <w:rPr>
                <w:lang w:val="en-US"/>
              </w:rPr>
            </w:pPr>
            <w:r w:rsidRPr="00C5182C">
              <w:rPr>
                <w:lang w:val="en-US"/>
              </w:rPr>
              <w:t>15</w:t>
            </w:r>
          </w:p>
        </w:tc>
      </w:tr>
    </w:tbl>
    <w:p w:rsidR="00910D7C" w:rsidRPr="00191071" w:rsidRDefault="00910D7C" w:rsidP="00910D7C">
      <w:pPr>
        <w:pStyle w:val="SourceImageCaption"/>
      </w:pPr>
      <w:r w:rsidRPr="00191071">
        <w:t xml:space="preserve">Notes: * “&lt;5” – indicates less than </w:t>
      </w:r>
      <w:proofErr w:type="gramStart"/>
      <w:r w:rsidRPr="00191071">
        <w:t>5</w:t>
      </w:r>
      <w:proofErr w:type="gramEnd"/>
      <w:r w:rsidRPr="00191071">
        <w:t xml:space="preserve"> ATAR-based offers were made</w:t>
      </w:r>
    </w:p>
    <w:p w:rsidR="00910D7C" w:rsidRDefault="00910D7C" w:rsidP="00910D7C">
      <w:pPr>
        <w:pStyle w:val="Caption"/>
        <w:keepNext/>
      </w:pPr>
      <w:r>
        <w:t xml:space="preserve">Table </w:t>
      </w:r>
      <w:r>
        <w:rPr>
          <w:noProof/>
        </w:rPr>
        <w:fldChar w:fldCharType="begin"/>
      </w:r>
      <w:r>
        <w:rPr>
          <w:noProof/>
        </w:rPr>
        <w:instrText xml:space="preserve"> SEQ Table \* ARABIC </w:instrText>
      </w:r>
      <w:r>
        <w:rPr>
          <w:noProof/>
        </w:rPr>
        <w:fldChar w:fldCharType="separate"/>
      </w:r>
      <w:r>
        <w:rPr>
          <w:noProof/>
        </w:rPr>
        <w:t>5</w:t>
      </w:r>
      <w:r>
        <w:rPr>
          <w:noProof/>
        </w:rPr>
        <w:fldChar w:fldCharType="end"/>
      </w:r>
      <w:r>
        <w:rPr>
          <w:noProof/>
        </w:rPr>
        <w:t xml:space="preserve"> – Example ATAR profile – Associate Degree in Applied Science</w:t>
      </w:r>
      <w:r w:rsidR="00026C74">
        <w:rPr>
          <w:noProof/>
        </w:rPr>
        <w:t xml:space="preserve"> </w:t>
      </w:r>
    </w:p>
    <w:tbl>
      <w:tblPr>
        <w:tblStyle w:val="TableGrid"/>
        <w:tblW w:w="10205" w:type="dxa"/>
        <w:tblLayout w:type="fixed"/>
        <w:tblLook w:val="0020" w:firstRow="1" w:lastRow="0" w:firstColumn="0" w:lastColumn="0" w:noHBand="0" w:noVBand="0"/>
        <w:tblDescription w:val="The table contains an example of ATAR based offers only, excluding adjustment factors and the selection rank including adjustment factors from highest to lowest ranks to receive an offer."/>
      </w:tblPr>
      <w:tblGrid>
        <w:gridCol w:w="4814"/>
        <w:gridCol w:w="2703"/>
        <w:gridCol w:w="2688"/>
      </w:tblGrid>
      <w:tr w:rsidR="00910D7C" w:rsidRPr="00191071" w:rsidTr="00C41426">
        <w:trPr>
          <w:cnfStyle w:val="100000000000" w:firstRow="1" w:lastRow="0" w:firstColumn="0" w:lastColumn="0" w:oddVBand="0" w:evenVBand="0" w:oddHBand="0" w:evenHBand="0" w:firstRowFirstColumn="0" w:firstRowLastColumn="0" w:lastRowFirstColumn="0" w:lastRowLastColumn="0"/>
          <w:trHeight w:hRule="exact" w:val="1239"/>
          <w:tblHeader/>
        </w:trPr>
        <w:tc>
          <w:tcPr>
            <w:tcW w:w="4814" w:type="dxa"/>
          </w:tcPr>
          <w:p w:rsidR="00910D7C" w:rsidRPr="00191071" w:rsidRDefault="00910D7C" w:rsidP="00C41426"/>
        </w:tc>
        <w:tc>
          <w:tcPr>
            <w:tcW w:w="2703" w:type="dxa"/>
          </w:tcPr>
          <w:p w:rsidR="00910D7C" w:rsidRPr="00191071" w:rsidRDefault="00910D7C" w:rsidP="00C41426">
            <w:r w:rsidRPr="00191071">
              <w:t>ATAR*</w:t>
            </w:r>
          </w:p>
          <w:p w:rsidR="00910D7C" w:rsidRPr="00191071" w:rsidRDefault="00910D7C" w:rsidP="00C41426">
            <w:r w:rsidRPr="00191071">
              <w:t>(Excluding adjustment factors)</w:t>
            </w:r>
          </w:p>
        </w:tc>
        <w:tc>
          <w:tcPr>
            <w:tcW w:w="2688" w:type="dxa"/>
          </w:tcPr>
          <w:p w:rsidR="00910D7C" w:rsidRPr="00191071" w:rsidRDefault="00910D7C" w:rsidP="00C41426">
            <w:r w:rsidRPr="00191071">
              <w:t>Selection Rank*</w:t>
            </w:r>
          </w:p>
          <w:p w:rsidR="00910D7C" w:rsidRPr="00191071" w:rsidRDefault="00910D7C" w:rsidP="00C41426">
            <w:r w:rsidRPr="00191071">
              <w:t>(includes adjustment factors)</w:t>
            </w:r>
          </w:p>
        </w:tc>
      </w:tr>
      <w:tr w:rsidR="00910D7C" w:rsidRPr="00191071" w:rsidTr="00C41426">
        <w:trPr>
          <w:cnfStyle w:val="000000100000" w:firstRow="0" w:lastRow="0" w:firstColumn="0" w:lastColumn="0" w:oddVBand="0" w:evenVBand="0" w:oddHBand="1" w:evenHBand="0" w:firstRowFirstColumn="0" w:firstRowLastColumn="0" w:lastRowFirstColumn="0" w:lastRowLastColumn="0"/>
          <w:trHeight w:hRule="exact" w:val="562"/>
        </w:trPr>
        <w:tc>
          <w:tcPr>
            <w:tcW w:w="4814" w:type="dxa"/>
          </w:tcPr>
          <w:p w:rsidR="00910D7C" w:rsidRPr="00191071" w:rsidRDefault="00910D7C" w:rsidP="00C41426">
            <w:r w:rsidRPr="00191071">
              <w:t>Highest rank to receive an offer</w:t>
            </w:r>
          </w:p>
        </w:tc>
        <w:tc>
          <w:tcPr>
            <w:tcW w:w="2703" w:type="dxa"/>
          </w:tcPr>
          <w:p w:rsidR="00910D7C" w:rsidRPr="00191071" w:rsidRDefault="00C41426" w:rsidP="00C41426">
            <w:r w:rsidRPr="00191071">
              <w:t>&lt;5</w:t>
            </w:r>
          </w:p>
        </w:tc>
        <w:tc>
          <w:tcPr>
            <w:tcW w:w="2688" w:type="dxa"/>
          </w:tcPr>
          <w:p w:rsidR="00910D7C" w:rsidRPr="00191071" w:rsidRDefault="00C41426" w:rsidP="00C41426">
            <w:r w:rsidRPr="00191071">
              <w:t>&lt;5</w:t>
            </w:r>
          </w:p>
        </w:tc>
      </w:tr>
      <w:tr w:rsidR="00910D7C" w:rsidRPr="00191071" w:rsidTr="00C41426">
        <w:trPr>
          <w:cnfStyle w:val="000000010000" w:firstRow="0" w:lastRow="0" w:firstColumn="0" w:lastColumn="0" w:oddVBand="0" w:evenVBand="0" w:oddHBand="0" w:evenHBand="1" w:firstRowFirstColumn="0" w:firstRowLastColumn="0" w:lastRowFirstColumn="0" w:lastRowLastColumn="0"/>
          <w:trHeight w:hRule="exact" w:val="480"/>
        </w:trPr>
        <w:tc>
          <w:tcPr>
            <w:tcW w:w="4814" w:type="dxa"/>
          </w:tcPr>
          <w:p w:rsidR="00910D7C" w:rsidRPr="00191071" w:rsidRDefault="00910D7C" w:rsidP="00C41426">
            <w:r w:rsidRPr="00191071">
              <w:t>Median rank to receive an offer</w:t>
            </w:r>
          </w:p>
        </w:tc>
        <w:tc>
          <w:tcPr>
            <w:tcW w:w="2703" w:type="dxa"/>
          </w:tcPr>
          <w:p w:rsidR="00910D7C" w:rsidRPr="00191071" w:rsidRDefault="00910D7C" w:rsidP="00C41426">
            <w:r w:rsidRPr="00191071">
              <w:t>&lt;5</w:t>
            </w:r>
          </w:p>
        </w:tc>
        <w:tc>
          <w:tcPr>
            <w:tcW w:w="2688" w:type="dxa"/>
          </w:tcPr>
          <w:p w:rsidR="00910D7C" w:rsidRPr="00191071" w:rsidRDefault="00910D7C" w:rsidP="00C41426">
            <w:r w:rsidRPr="00191071">
              <w:t>&lt;5</w:t>
            </w:r>
          </w:p>
        </w:tc>
      </w:tr>
      <w:tr w:rsidR="00910D7C" w:rsidRPr="00191071" w:rsidTr="00C41426">
        <w:trPr>
          <w:cnfStyle w:val="000000100000" w:firstRow="0" w:lastRow="0" w:firstColumn="0" w:lastColumn="0" w:oddVBand="0" w:evenVBand="0" w:oddHBand="1" w:evenHBand="0" w:firstRowFirstColumn="0" w:firstRowLastColumn="0" w:lastRowFirstColumn="0" w:lastRowLastColumn="0"/>
          <w:trHeight w:hRule="exact" w:val="557"/>
        </w:trPr>
        <w:tc>
          <w:tcPr>
            <w:tcW w:w="4814" w:type="dxa"/>
          </w:tcPr>
          <w:p w:rsidR="00910D7C" w:rsidRPr="00191071" w:rsidRDefault="00910D7C" w:rsidP="00C41426">
            <w:r w:rsidRPr="00191071">
              <w:t>Lowest rank to receive an offer</w:t>
            </w:r>
          </w:p>
        </w:tc>
        <w:tc>
          <w:tcPr>
            <w:tcW w:w="2703" w:type="dxa"/>
          </w:tcPr>
          <w:p w:rsidR="00910D7C" w:rsidRPr="00191071" w:rsidRDefault="00C41426" w:rsidP="00C41426">
            <w:r w:rsidRPr="00191071">
              <w:t>&lt;5</w:t>
            </w:r>
          </w:p>
        </w:tc>
        <w:tc>
          <w:tcPr>
            <w:tcW w:w="2688" w:type="dxa"/>
          </w:tcPr>
          <w:p w:rsidR="00910D7C" w:rsidRPr="00191071" w:rsidRDefault="00C41426" w:rsidP="00C41426">
            <w:r w:rsidRPr="00191071">
              <w:t>&lt;5</w:t>
            </w:r>
          </w:p>
        </w:tc>
      </w:tr>
    </w:tbl>
    <w:p w:rsidR="00910D7C" w:rsidRPr="00191071" w:rsidRDefault="00910D7C" w:rsidP="00910D7C">
      <w:pPr>
        <w:pStyle w:val="SourceImageCaption"/>
      </w:pPr>
      <w:r w:rsidRPr="00191071">
        <w:t xml:space="preserve">Notes: * “&lt;5” – indicates less than </w:t>
      </w:r>
      <w:proofErr w:type="gramStart"/>
      <w:r w:rsidRPr="00191071">
        <w:t>5</w:t>
      </w:r>
      <w:proofErr w:type="gramEnd"/>
      <w:r w:rsidRPr="00191071">
        <w:t xml:space="preserve"> ATAR-based offers were made</w:t>
      </w:r>
    </w:p>
    <w:p w:rsidR="00910D7C" w:rsidRPr="00910D7C" w:rsidRDefault="00910D7C" w:rsidP="00910D7C"/>
    <w:sectPr w:rsidR="00910D7C" w:rsidRPr="00910D7C" w:rsidSect="00910D7C">
      <w:type w:val="continuous"/>
      <w:pgSz w:w="11906" w:h="16838"/>
      <w:pgMar w:top="1134" w:right="1134" w:bottom="1134" w:left="1134" w:header="680" w:footer="221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1426" w:rsidRDefault="00C41426" w:rsidP="00EE7FDA">
      <w:pPr>
        <w:spacing w:after="0" w:line="240" w:lineRule="auto"/>
      </w:pPr>
      <w:r>
        <w:separator/>
      </w:r>
    </w:p>
  </w:endnote>
  <w:endnote w:type="continuationSeparator" w:id="0">
    <w:p w:rsidR="00C41426" w:rsidRDefault="00C41426" w:rsidP="00EE7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Rockwell">
    <w:panose1 w:val="02060603020205020403"/>
    <w:charset w:val="00"/>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426" w:rsidRDefault="00C41426">
    <w:pPr>
      <w:pStyle w:val="Footer"/>
    </w:pPr>
    <w:r>
      <w:rPr>
        <w:noProof/>
        <w:lang w:eastAsia="en-AU"/>
      </w:rPr>
      <w:drawing>
        <wp:anchor distT="0" distB="0" distL="114300" distR="114300" simplePos="0" relativeHeight="251658240" behindDoc="1" locked="0" layoutInCell="1" allowOverlap="1">
          <wp:simplePos x="0" y="0"/>
          <wp:positionH relativeFrom="page">
            <wp:align>right</wp:align>
          </wp:positionH>
          <wp:positionV relativeFrom="page">
            <wp:posOffset>9087485</wp:posOffset>
          </wp:positionV>
          <wp:extent cx="7560000" cy="1573200"/>
          <wp:effectExtent l="0" t="0" r="3175" b="8255"/>
          <wp:wrapNone/>
          <wp:docPr id="23" name="Picture 23"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D18-0133 - HE - IWG Comms Strategy documents_Word Template_Footer_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5732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1426" w:rsidRDefault="00C41426" w:rsidP="00D105E6">
      <w:pPr>
        <w:spacing w:after="60" w:line="240" w:lineRule="auto"/>
      </w:pPr>
      <w:r>
        <w:separator/>
      </w:r>
    </w:p>
  </w:footnote>
  <w:footnote w:type="continuationSeparator" w:id="0">
    <w:p w:rsidR="00C41426" w:rsidRDefault="00C41426" w:rsidP="00EE7F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9DE87914"/>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1B58880C"/>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F31AB0BE"/>
    <w:lvl w:ilvl="0">
      <w:start w:val="1"/>
      <w:numFmt w:val="decimal"/>
      <w:lvlText w:val="%1."/>
      <w:lvlJc w:val="left"/>
      <w:pPr>
        <w:tabs>
          <w:tab w:val="num" w:pos="643"/>
        </w:tabs>
        <w:ind w:left="643" w:hanging="360"/>
      </w:pPr>
    </w:lvl>
  </w:abstractNum>
  <w:abstractNum w:abstractNumId="3" w15:restartNumberingAfterBreak="0">
    <w:nsid w:val="FFFFFF81"/>
    <w:multiLevelType w:val="singleLevel"/>
    <w:tmpl w:val="56A0C43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B0EC04D8"/>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0E88FD6"/>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0720D48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A942D5C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CE1212"/>
    <w:multiLevelType w:val="multilevel"/>
    <w:tmpl w:val="13003D80"/>
    <w:numStyleLink w:val="RSCBNumberList1"/>
  </w:abstractNum>
  <w:abstractNum w:abstractNumId="9" w15:restartNumberingAfterBreak="0">
    <w:nsid w:val="0BE176C9"/>
    <w:multiLevelType w:val="multilevel"/>
    <w:tmpl w:val="11A8BAC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18E18E5"/>
    <w:multiLevelType w:val="multilevel"/>
    <w:tmpl w:val="13003D80"/>
    <w:numStyleLink w:val="RSCBNumberList1"/>
  </w:abstractNum>
  <w:abstractNum w:abstractNumId="11" w15:restartNumberingAfterBreak="0">
    <w:nsid w:val="123E0A03"/>
    <w:multiLevelType w:val="multilevel"/>
    <w:tmpl w:val="13003D80"/>
    <w:numStyleLink w:val="RSCBNumberList1"/>
  </w:abstractNum>
  <w:abstractNum w:abstractNumId="12" w15:restartNumberingAfterBreak="0">
    <w:nsid w:val="13CE6DD1"/>
    <w:multiLevelType w:val="multilevel"/>
    <w:tmpl w:val="13003D80"/>
    <w:numStyleLink w:val="RSCBNumberList1"/>
  </w:abstractNum>
  <w:abstractNum w:abstractNumId="13" w15:restartNumberingAfterBreak="0">
    <w:nsid w:val="14787F8A"/>
    <w:multiLevelType w:val="multilevel"/>
    <w:tmpl w:val="13003D80"/>
    <w:numStyleLink w:val="RSCBNumberList1"/>
  </w:abstractNum>
  <w:abstractNum w:abstractNumId="14" w15:restartNumberingAfterBreak="0">
    <w:nsid w:val="172935CE"/>
    <w:multiLevelType w:val="multilevel"/>
    <w:tmpl w:val="13003D80"/>
    <w:numStyleLink w:val="RSCBNumberList1"/>
  </w:abstractNum>
  <w:abstractNum w:abstractNumId="15" w15:restartNumberingAfterBreak="0">
    <w:nsid w:val="183B3472"/>
    <w:multiLevelType w:val="multilevel"/>
    <w:tmpl w:val="13003D80"/>
    <w:numStyleLink w:val="RSCBNumberList1"/>
  </w:abstractNum>
  <w:abstractNum w:abstractNumId="16" w15:restartNumberingAfterBreak="0">
    <w:nsid w:val="183E2EB0"/>
    <w:multiLevelType w:val="multilevel"/>
    <w:tmpl w:val="13003D80"/>
    <w:numStyleLink w:val="RSCBNumberList1"/>
  </w:abstractNum>
  <w:abstractNum w:abstractNumId="17" w15:restartNumberingAfterBreak="0">
    <w:nsid w:val="1C4B1F18"/>
    <w:multiLevelType w:val="multilevel"/>
    <w:tmpl w:val="13003D80"/>
    <w:numStyleLink w:val="RSCBNumberList1"/>
  </w:abstractNum>
  <w:abstractNum w:abstractNumId="18" w15:restartNumberingAfterBreak="0">
    <w:nsid w:val="1E8224E2"/>
    <w:multiLevelType w:val="multilevel"/>
    <w:tmpl w:val="9AAADADC"/>
    <w:numStyleLink w:val="Style1"/>
  </w:abstractNum>
  <w:abstractNum w:abstractNumId="19" w15:restartNumberingAfterBreak="0">
    <w:nsid w:val="22BE0D51"/>
    <w:multiLevelType w:val="multilevel"/>
    <w:tmpl w:val="13003D80"/>
    <w:numStyleLink w:val="RSCBNumberList1"/>
  </w:abstractNum>
  <w:abstractNum w:abstractNumId="20" w15:restartNumberingAfterBreak="0">
    <w:nsid w:val="230B0B81"/>
    <w:multiLevelType w:val="multilevel"/>
    <w:tmpl w:val="4330073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26D03546"/>
    <w:multiLevelType w:val="multilevel"/>
    <w:tmpl w:val="13003D80"/>
    <w:numStyleLink w:val="RSCBNumberList1"/>
  </w:abstractNum>
  <w:abstractNum w:abstractNumId="22" w15:restartNumberingAfterBreak="0">
    <w:nsid w:val="26DE56D5"/>
    <w:multiLevelType w:val="multilevel"/>
    <w:tmpl w:val="13003D80"/>
    <w:numStyleLink w:val="RSCBNumberList1"/>
  </w:abstractNum>
  <w:abstractNum w:abstractNumId="23" w15:restartNumberingAfterBreak="0">
    <w:nsid w:val="33AD3028"/>
    <w:multiLevelType w:val="multilevel"/>
    <w:tmpl w:val="13003D80"/>
    <w:numStyleLink w:val="RSCBNumberList1"/>
  </w:abstractNum>
  <w:abstractNum w:abstractNumId="24" w15:restartNumberingAfterBreak="0">
    <w:nsid w:val="360770A9"/>
    <w:multiLevelType w:val="multilevel"/>
    <w:tmpl w:val="13003D80"/>
    <w:numStyleLink w:val="RSCBNumberList1"/>
  </w:abstractNum>
  <w:abstractNum w:abstractNumId="25" w15:restartNumberingAfterBreak="0">
    <w:nsid w:val="3E8067AC"/>
    <w:multiLevelType w:val="multilevel"/>
    <w:tmpl w:val="13003D80"/>
    <w:numStyleLink w:val="RSCBNumberList1"/>
  </w:abstractNum>
  <w:abstractNum w:abstractNumId="26" w15:restartNumberingAfterBreak="0">
    <w:nsid w:val="3F81732B"/>
    <w:multiLevelType w:val="multilevel"/>
    <w:tmpl w:val="13003D80"/>
    <w:numStyleLink w:val="RSCBNumberList1"/>
  </w:abstractNum>
  <w:abstractNum w:abstractNumId="27" w15:restartNumberingAfterBreak="0">
    <w:nsid w:val="3F863C35"/>
    <w:multiLevelType w:val="multilevel"/>
    <w:tmpl w:val="13003D80"/>
    <w:styleLink w:val="RSCBNumberList1"/>
    <w:lvl w:ilvl="0">
      <w:start w:val="1"/>
      <w:numFmt w:val="decimal"/>
      <w:pStyle w:val="ListNumber"/>
      <w:lvlText w:val="%1."/>
      <w:lvlJc w:val="left"/>
      <w:pPr>
        <w:ind w:left="284" w:hanging="284"/>
      </w:pPr>
      <w:rPr>
        <w:rFonts w:hint="default"/>
      </w:rPr>
    </w:lvl>
    <w:lvl w:ilvl="1">
      <w:start w:val="1"/>
      <w:numFmt w:val="decimal"/>
      <w:pStyle w:val="ListNumber2"/>
      <w:lvlText w:val="%2.%1."/>
      <w:lvlJc w:val="left"/>
      <w:pPr>
        <w:tabs>
          <w:tab w:val="num" w:pos="737"/>
        </w:tabs>
        <w:ind w:left="737" w:hanging="453"/>
      </w:pPr>
      <w:rPr>
        <w:rFonts w:hint="default"/>
      </w:rPr>
    </w:lvl>
    <w:lvl w:ilvl="2">
      <w:start w:val="1"/>
      <w:numFmt w:val="decimal"/>
      <w:pStyle w:val="ListNumber3"/>
      <w:lvlText w:val="%1.%2.%3."/>
      <w:lvlJc w:val="left"/>
      <w:pPr>
        <w:tabs>
          <w:tab w:val="num" w:pos="1361"/>
        </w:tabs>
        <w:ind w:left="1361" w:hanging="624"/>
      </w:pPr>
      <w:rPr>
        <w:rFonts w:hint="default"/>
      </w:rPr>
    </w:lvl>
    <w:lvl w:ilvl="3">
      <w:start w:val="1"/>
      <w:numFmt w:val="decimal"/>
      <w:pStyle w:val="ListNumber4"/>
      <w:lvlText w:val="%1.%2.%3.%4."/>
      <w:lvlJc w:val="left"/>
      <w:pPr>
        <w:tabs>
          <w:tab w:val="num" w:pos="2155"/>
        </w:tabs>
        <w:ind w:left="2155" w:hanging="79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8" w15:restartNumberingAfterBreak="0">
    <w:nsid w:val="45505B52"/>
    <w:multiLevelType w:val="multilevel"/>
    <w:tmpl w:val="13003D80"/>
    <w:numStyleLink w:val="RSCBNumberList1"/>
  </w:abstractNum>
  <w:abstractNum w:abstractNumId="29" w15:restartNumberingAfterBreak="0">
    <w:nsid w:val="4D3E7BEE"/>
    <w:multiLevelType w:val="multilevel"/>
    <w:tmpl w:val="13003D80"/>
    <w:numStyleLink w:val="RSCBNumberList1"/>
  </w:abstractNum>
  <w:abstractNum w:abstractNumId="30" w15:restartNumberingAfterBreak="0">
    <w:nsid w:val="4DEF0367"/>
    <w:multiLevelType w:val="multilevel"/>
    <w:tmpl w:val="13003D80"/>
    <w:numStyleLink w:val="RSCBNumberList1"/>
  </w:abstractNum>
  <w:abstractNum w:abstractNumId="31" w15:restartNumberingAfterBreak="0">
    <w:nsid w:val="50562F09"/>
    <w:multiLevelType w:val="multilevel"/>
    <w:tmpl w:val="13003D80"/>
    <w:numStyleLink w:val="RSCBNumberList1"/>
  </w:abstractNum>
  <w:abstractNum w:abstractNumId="32" w15:restartNumberingAfterBreak="0">
    <w:nsid w:val="50772C17"/>
    <w:multiLevelType w:val="multilevel"/>
    <w:tmpl w:val="13003D80"/>
    <w:numStyleLink w:val="RSCBNumberList1"/>
  </w:abstractNum>
  <w:abstractNum w:abstractNumId="33" w15:restartNumberingAfterBreak="0">
    <w:nsid w:val="511725BE"/>
    <w:multiLevelType w:val="multilevel"/>
    <w:tmpl w:val="13003D80"/>
    <w:numStyleLink w:val="RSCBNumberList1"/>
  </w:abstractNum>
  <w:abstractNum w:abstractNumId="34" w15:restartNumberingAfterBreak="0">
    <w:nsid w:val="51B8547F"/>
    <w:multiLevelType w:val="multilevel"/>
    <w:tmpl w:val="13003D80"/>
    <w:numStyleLink w:val="RSCBNumberList1"/>
  </w:abstractNum>
  <w:abstractNum w:abstractNumId="35" w15:restartNumberingAfterBreak="0">
    <w:nsid w:val="571F1AB0"/>
    <w:multiLevelType w:val="multilevel"/>
    <w:tmpl w:val="13003D80"/>
    <w:numStyleLink w:val="RSCBNumberList1"/>
  </w:abstractNum>
  <w:abstractNum w:abstractNumId="36" w15:restartNumberingAfterBreak="0">
    <w:nsid w:val="57842B7B"/>
    <w:multiLevelType w:val="multilevel"/>
    <w:tmpl w:val="86CA58B2"/>
    <w:lvl w:ilvl="0">
      <w:start w:val="1"/>
      <w:numFmt w:val="decimal"/>
      <w:lvlText w:val="%1."/>
      <w:lvlJc w:val="left"/>
      <w:pPr>
        <w:tabs>
          <w:tab w:val="num" w:pos="643"/>
        </w:tabs>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7DD04F5"/>
    <w:multiLevelType w:val="multilevel"/>
    <w:tmpl w:val="13003D80"/>
    <w:numStyleLink w:val="RSCBNumberList1"/>
  </w:abstractNum>
  <w:abstractNum w:abstractNumId="38" w15:restartNumberingAfterBreak="0">
    <w:nsid w:val="58AB69F4"/>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10256A2"/>
    <w:multiLevelType w:val="multilevel"/>
    <w:tmpl w:val="13003D80"/>
    <w:numStyleLink w:val="RSCBNumberList1"/>
  </w:abstractNum>
  <w:abstractNum w:abstractNumId="40" w15:restartNumberingAfterBreak="0">
    <w:nsid w:val="68C47B32"/>
    <w:multiLevelType w:val="multilevel"/>
    <w:tmpl w:val="13003D80"/>
    <w:numStyleLink w:val="RSCBNumberList1"/>
  </w:abstractNum>
  <w:abstractNum w:abstractNumId="41" w15:restartNumberingAfterBreak="0">
    <w:nsid w:val="698F5734"/>
    <w:multiLevelType w:val="multilevel"/>
    <w:tmpl w:val="13003D80"/>
    <w:numStyleLink w:val="RSCBNumberList1"/>
  </w:abstractNum>
  <w:abstractNum w:abstractNumId="42" w15:restartNumberingAfterBreak="0">
    <w:nsid w:val="69C447DD"/>
    <w:multiLevelType w:val="multilevel"/>
    <w:tmpl w:val="9AAADADC"/>
    <w:styleLink w:val="Style1"/>
    <w:lvl w:ilvl="0">
      <w:start w:val="1"/>
      <w:numFmt w:val="bullet"/>
      <w:pStyle w:val="ListBullet"/>
      <w:lvlText w:val=""/>
      <w:lvlJc w:val="left"/>
      <w:pPr>
        <w:tabs>
          <w:tab w:val="num" w:pos="284"/>
        </w:tabs>
        <w:ind w:left="284" w:hanging="284"/>
      </w:pPr>
      <w:rPr>
        <w:rFonts w:ascii="Symbol" w:hAnsi="Symbol" w:hint="default"/>
      </w:rPr>
    </w:lvl>
    <w:lvl w:ilvl="1">
      <w:start w:val="1"/>
      <w:numFmt w:val="bullet"/>
      <w:pStyle w:val="ListBullet2"/>
      <w:lvlText w:val="o"/>
      <w:lvlJc w:val="left"/>
      <w:pPr>
        <w:tabs>
          <w:tab w:val="num" w:pos="567"/>
        </w:tabs>
        <w:ind w:left="567" w:hanging="283"/>
      </w:pPr>
      <w:rPr>
        <w:rFonts w:ascii="Courier New" w:hAnsi="Courier New" w:hint="default"/>
      </w:rPr>
    </w:lvl>
    <w:lvl w:ilvl="2">
      <w:start w:val="1"/>
      <w:numFmt w:val="bullet"/>
      <w:pStyle w:val="ListBullet3"/>
      <w:lvlText w:val=""/>
      <w:lvlJc w:val="left"/>
      <w:pPr>
        <w:tabs>
          <w:tab w:val="num" w:pos="851"/>
        </w:tabs>
        <w:ind w:left="851" w:hanging="284"/>
      </w:pPr>
      <w:rPr>
        <w:rFonts w:ascii="Wingdings" w:hAnsi="Wingdings" w:hint="default"/>
        <w:position w:val="-4"/>
        <w:sz w:val="28"/>
      </w:rPr>
    </w:lvl>
    <w:lvl w:ilvl="3">
      <w:start w:val="1"/>
      <w:numFmt w:val="bullet"/>
      <w:pStyle w:val="ListBullet4"/>
      <w:lvlText w:val=""/>
      <w:lvlJc w:val="left"/>
      <w:pPr>
        <w:tabs>
          <w:tab w:val="num" w:pos="1134"/>
        </w:tabs>
        <w:ind w:left="1134" w:hanging="283"/>
      </w:pPr>
      <w:rPr>
        <w:rFonts w:ascii="Wingdings 2" w:hAnsi="Wingdings 2" w:hint="default"/>
        <w:position w:val="2"/>
        <w:sz w:val="1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E8B1BC7"/>
    <w:multiLevelType w:val="multilevel"/>
    <w:tmpl w:val="13003D80"/>
    <w:numStyleLink w:val="RSCBNumberList1"/>
  </w:abstractNum>
  <w:abstractNum w:abstractNumId="44" w15:restartNumberingAfterBreak="0">
    <w:nsid w:val="73CA695E"/>
    <w:multiLevelType w:val="multilevel"/>
    <w:tmpl w:val="13003D80"/>
    <w:numStyleLink w:val="RSCBNumberList1"/>
  </w:abstractNum>
  <w:abstractNum w:abstractNumId="45" w15:restartNumberingAfterBreak="0">
    <w:nsid w:val="75E93F69"/>
    <w:multiLevelType w:val="multilevel"/>
    <w:tmpl w:val="13003D80"/>
    <w:numStyleLink w:val="RSCBNumberList1"/>
  </w:abstractNum>
  <w:abstractNum w:abstractNumId="46" w15:restartNumberingAfterBreak="0">
    <w:nsid w:val="77C33E78"/>
    <w:multiLevelType w:val="multilevel"/>
    <w:tmpl w:val="13003D80"/>
    <w:numStyleLink w:val="RSCBNumberList1"/>
  </w:abstractNum>
  <w:abstractNum w:abstractNumId="47" w15:restartNumberingAfterBreak="0">
    <w:nsid w:val="78761E8E"/>
    <w:multiLevelType w:val="multilevel"/>
    <w:tmpl w:val="13003D80"/>
    <w:numStyleLink w:val="RSCBNumberList1"/>
  </w:abstractNum>
  <w:num w:numId="1">
    <w:abstractNumId w:val="7"/>
  </w:num>
  <w:num w:numId="2">
    <w:abstractNumId w:val="5"/>
  </w:num>
  <w:num w:numId="3">
    <w:abstractNumId w:val="6"/>
  </w:num>
  <w:num w:numId="4">
    <w:abstractNumId w:val="2"/>
  </w:num>
  <w:num w:numId="5">
    <w:abstractNumId w:val="36"/>
  </w:num>
  <w:num w:numId="6">
    <w:abstractNumId w:val="1"/>
  </w:num>
  <w:num w:numId="7">
    <w:abstractNumId w:val="0"/>
  </w:num>
  <w:num w:numId="8">
    <w:abstractNumId w:val="4"/>
  </w:num>
  <w:num w:numId="9">
    <w:abstractNumId w:val="3"/>
  </w:num>
  <w:num w:numId="10">
    <w:abstractNumId w:val="27"/>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num>
  <w:num w:numId="13">
    <w:abstractNumId w:val="8"/>
  </w:num>
  <w:num w:numId="14">
    <w:abstractNumId w:val="26"/>
  </w:num>
  <w:num w:numId="15">
    <w:abstractNumId w:val="14"/>
  </w:num>
  <w:num w:numId="16">
    <w:abstractNumId w:val="38"/>
  </w:num>
  <w:num w:numId="17">
    <w:abstractNumId w:val="19"/>
  </w:num>
  <w:num w:numId="18">
    <w:abstractNumId w:val="13"/>
  </w:num>
  <w:num w:numId="19">
    <w:abstractNumId w:val="46"/>
  </w:num>
  <w:num w:numId="20">
    <w:abstractNumId w:val="10"/>
  </w:num>
  <w:num w:numId="21">
    <w:abstractNumId w:val="41"/>
  </w:num>
  <w:num w:numId="22">
    <w:abstractNumId w:val="17"/>
  </w:num>
  <w:num w:numId="23">
    <w:abstractNumId w:val="21"/>
  </w:num>
  <w:num w:numId="24">
    <w:abstractNumId w:val="32"/>
  </w:num>
  <w:num w:numId="25">
    <w:abstractNumId w:val="11"/>
  </w:num>
  <w:num w:numId="26">
    <w:abstractNumId w:val="28"/>
  </w:num>
  <w:num w:numId="27">
    <w:abstractNumId w:val="30"/>
  </w:num>
  <w:num w:numId="28">
    <w:abstractNumId w:val="22"/>
  </w:num>
  <w:num w:numId="29">
    <w:abstractNumId w:val="16"/>
  </w:num>
  <w:num w:numId="30">
    <w:abstractNumId w:val="40"/>
  </w:num>
  <w:num w:numId="31">
    <w:abstractNumId w:val="47"/>
  </w:num>
  <w:num w:numId="32">
    <w:abstractNumId w:val="12"/>
  </w:num>
  <w:num w:numId="33">
    <w:abstractNumId w:val="45"/>
  </w:num>
  <w:num w:numId="34">
    <w:abstractNumId w:val="33"/>
  </w:num>
  <w:num w:numId="35">
    <w:abstractNumId w:val="43"/>
  </w:num>
  <w:num w:numId="36">
    <w:abstractNumId w:val="44"/>
  </w:num>
  <w:num w:numId="37">
    <w:abstractNumId w:val="15"/>
  </w:num>
  <w:num w:numId="38">
    <w:abstractNumId w:val="23"/>
  </w:num>
  <w:num w:numId="39">
    <w:abstractNumId w:val="31"/>
  </w:num>
  <w:num w:numId="40">
    <w:abstractNumId w:val="35"/>
  </w:num>
  <w:num w:numId="41">
    <w:abstractNumId w:val="24"/>
  </w:num>
  <w:num w:numId="42">
    <w:abstractNumId w:val="25"/>
  </w:num>
  <w:num w:numId="43">
    <w:abstractNumId w:val="39"/>
  </w:num>
  <w:num w:numId="44">
    <w:abstractNumId w:val="29"/>
  </w:num>
  <w:num w:numId="45">
    <w:abstractNumId w:val="37"/>
  </w:num>
  <w:num w:numId="46">
    <w:abstractNumId w:val="42"/>
  </w:num>
  <w:num w:numId="47">
    <w:abstractNumId w:val="18"/>
  </w:num>
  <w:num w:numId="48">
    <w:abstractNumId w:val="9"/>
  </w:num>
  <w:num w:numId="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stylePaneSortMethod w:val="0003"/>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A47"/>
    <w:rsid w:val="00026C74"/>
    <w:rsid w:val="00036A14"/>
    <w:rsid w:val="00037765"/>
    <w:rsid w:val="0009541A"/>
    <w:rsid w:val="001468ED"/>
    <w:rsid w:val="0015026B"/>
    <w:rsid w:val="0016510A"/>
    <w:rsid w:val="00195EF0"/>
    <w:rsid w:val="001B2729"/>
    <w:rsid w:val="001B6D04"/>
    <w:rsid w:val="001C6347"/>
    <w:rsid w:val="001F444A"/>
    <w:rsid w:val="001F7332"/>
    <w:rsid w:val="0020068E"/>
    <w:rsid w:val="00257065"/>
    <w:rsid w:val="002678F4"/>
    <w:rsid w:val="00316088"/>
    <w:rsid w:val="00397800"/>
    <w:rsid w:val="003B41F7"/>
    <w:rsid w:val="003E21F8"/>
    <w:rsid w:val="004326A3"/>
    <w:rsid w:val="0046637C"/>
    <w:rsid w:val="004743C6"/>
    <w:rsid w:val="004D00B2"/>
    <w:rsid w:val="00521A3F"/>
    <w:rsid w:val="005565B8"/>
    <w:rsid w:val="005725B2"/>
    <w:rsid w:val="00575DFC"/>
    <w:rsid w:val="00586EA4"/>
    <w:rsid w:val="005C248D"/>
    <w:rsid w:val="005E09B6"/>
    <w:rsid w:val="00605641"/>
    <w:rsid w:val="00607BFF"/>
    <w:rsid w:val="00657B92"/>
    <w:rsid w:val="006950D8"/>
    <w:rsid w:val="00716101"/>
    <w:rsid w:val="00774BA7"/>
    <w:rsid w:val="007A7CA4"/>
    <w:rsid w:val="007D6607"/>
    <w:rsid w:val="00813629"/>
    <w:rsid w:val="008447BA"/>
    <w:rsid w:val="00871DA4"/>
    <w:rsid w:val="008E7236"/>
    <w:rsid w:val="00910D7C"/>
    <w:rsid w:val="00954C6B"/>
    <w:rsid w:val="00973379"/>
    <w:rsid w:val="00997BE6"/>
    <w:rsid w:val="009C7A47"/>
    <w:rsid w:val="009C7B91"/>
    <w:rsid w:val="009D079F"/>
    <w:rsid w:val="009F2F0C"/>
    <w:rsid w:val="00A0313B"/>
    <w:rsid w:val="00A079A4"/>
    <w:rsid w:val="00A34D39"/>
    <w:rsid w:val="00A513A6"/>
    <w:rsid w:val="00A60918"/>
    <w:rsid w:val="00A74FD2"/>
    <w:rsid w:val="00A81FB9"/>
    <w:rsid w:val="00A82BDB"/>
    <w:rsid w:val="00A869DE"/>
    <w:rsid w:val="00AA03F6"/>
    <w:rsid w:val="00AE11F7"/>
    <w:rsid w:val="00AF363B"/>
    <w:rsid w:val="00B81A68"/>
    <w:rsid w:val="00BB57FE"/>
    <w:rsid w:val="00BD2021"/>
    <w:rsid w:val="00BE54EE"/>
    <w:rsid w:val="00BF7BDF"/>
    <w:rsid w:val="00C41426"/>
    <w:rsid w:val="00C5182C"/>
    <w:rsid w:val="00C6383B"/>
    <w:rsid w:val="00C66B71"/>
    <w:rsid w:val="00C7023A"/>
    <w:rsid w:val="00C77D8D"/>
    <w:rsid w:val="00C85C94"/>
    <w:rsid w:val="00D072FD"/>
    <w:rsid w:val="00D105E6"/>
    <w:rsid w:val="00D2083B"/>
    <w:rsid w:val="00D910F9"/>
    <w:rsid w:val="00DA3BA7"/>
    <w:rsid w:val="00DA46BB"/>
    <w:rsid w:val="00DB1D0C"/>
    <w:rsid w:val="00DE1663"/>
    <w:rsid w:val="00E203CE"/>
    <w:rsid w:val="00E94A50"/>
    <w:rsid w:val="00EA0E9E"/>
    <w:rsid w:val="00EA1ABE"/>
    <w:rsid w:val="00EC63BF"/>
    <w:rsid w:val="00EE7FDA"/>
    <w:rsid w:val="00F1157B"/>
    <w:rsid w:val="00F121AC"/>
    <w:rsid w:val="00F23C4B"/>
    <w:rsid w:val="00F25A17"/>
    <w:rsid w:val="00F63728"/>
    <w:rsid w:val="00FF73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chartTrackingRefBased/>
  <w15:docId w15:val="{79271DFD-FD9A-434A-90FC-2530D09D7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lsdException w:name="heading 6" w:uiPriority="9"/>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annotation text" w:semiHidden="1"/>
    <w:lsdException w:name="header" w:semiHidden="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3" w:qFormat="1"/>
    <w:lsdException w:name="List Bullet 4" w:qFormat="1"/>
    <w:lsdException w:name="List Bullet 5" w:semiHidden="1" w:unhideWhenUsed="1"/>
    <w:lsdException w:name="List Number 2" w:qFormat="1"/>
    <w:lsdException w:name="List Number 3" w:qFormat="1"/>
    <w:lsdException w:name="List Number 4" w:qFormat="1"/>
    <w:lsdException w:name="List Number 5" w:semiHidden="1" w:unhideWhenUsed="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1FB9"/>
    <w:pPr>
      <w:spacing w:before="120" w:after="120"/>
    </w:pPr>
  </w:style>
  <w:style w:type="paragraph" w:styleId="Heading1">
    <w:name w:val="heading 1"/>
    <w:basedOn w:val="Normal"/>
    <w:next w:val="Normal"/>
    <w:link w:val="Heading1Char"/>
    <w:uiPriority w:val="9"/>
    <w:qFormat/>
    <w:rsid w:val="001468ED"/>
    <w:pPr>
      <w:keepNext/>
      <w:keepLines/>
      <w:spacing w:before="480" w:line="240" w:lineRule="auto"/>
      <w:outlineLvl w:val="0"/>
    </w:pPr>
    <w:rPr>
      <w:rFonts w:ascii="Rockwell" w:eastAsiaTheme="majorEastAsia" w:hAnsi="Rockwell" w:cstheme="majorBidi"/>
      <w:color w:val="522761"/>
      <w:sz w:val="40"/>
      <w:szCs w:val="32"/>
    </w:rPr>
  </w:style>
  <w:style w:type="paragraph" w:styleId="Heading2">
    <w:name w:val="heading 2"/>
    <w:basedOn w:val="Normal"/>
    <w:next w:val="Normal"/>
    <w:link w:val="Heading2Char"/>
    <w:uiPriority w:val="9"/>
    <w:qFormat/>
    <w:rsid w:val="007D6607"/>
    <w:pPr>
      <w:keepNext/>
      <w:keepLines/>
      <w:spacing w:before="240" w:after="60" w:line="240" w:lineRule="auto"/>
      <w:outlineLvl w:val="1"/>
    </w:pPr>
    <w:rPr>
      <w:rFonts w:ascii="Calibri" w:eastAsiaTheme="majorEastAsia" w:hAnsi="Calibri" w:cstheme="majorBidi"/>
      <w:b/>
      <w:color w:val="522761"/>
      <w:sz w:val="28"/>
      <w:szCs w:val="26"/>
    </w:rPr>
  </w:style>
  <w:style w:type="paragraph" w:styleId="Heading3">
    <w:name w:val="heading 3"/>
    <w:basedOn w:val="Normal"/>
    <w:next w:val="Normal"/>
    <w:link w:val="Heading3Char"/>
    <w:uiPriority w:val="9"/>
    <w:qFormat/>
    <w:rsid w:val="005725B2"/>
    <w:pPr>
      <w:keepNext/>
      <w:keepLines/>
      <w:spacing w:before="40" w:after="0"/>
      <w:outlineLvl w:val="2"/>
    </w:pPr>
    <w:rPr>
      <w:rFonts w:ascii="Calibri" w:eastAsiaTheme="majorEastAsia" w:hAnsi="Calibri" w:cstheme="majorBidi"/>
      <w:b/>
      <w:sz w:val="24"/>
      <w:szCs w:val="24"/>
    </w:rPr>
  </w:style>
  <w:style w:type="paragraph" w:styleId="Heading4">
    <w:name w:val="heading 4"/>
    <w:basedOn w:val="Normal"/>
    <w:next w:val="Normal"/>
    <w:link w:val="Heading4Char"/>
    <w:uiPriority w:val="9"/>
    <w:qFormat/>
    <w:rsid w:val="005725B2"/>
    <w:pPr>
      <w:keepNext/>
      <w:keepLines/>
      <w:spacing w:before="40" w:after="0"/>
      <w:outlineLvl w:val="3"/>
    </w:pPr>
    <w:rPr>
      <w:rFonts w:ascii="Calibri" w:eastAsiaTheme="majorEastAsia" w:hAnsi="Calibri" w:cstheme="majorBidi"/>
      <w:b/>
      <w:i/>
      <w:iCs/>
    </w:rPr>
  </w:style>
  <w:style w:type="paragraph" w:styleId="Heading5">
    <w:name w:val="heading 5"/>
    <w:basedOn w:val="Normal"/>
    <w:next w:val="Normal"/>
    <w:link w:val="Heading5Char"/>
    <w:uiPriority w:val="9"/>
    <w:rsid w:val="00813629"/>
    <w:pPr>
      <w:keepNext/>
      <w:keepLines/>
      <w:spacing w:before="40" w:after="0"/>
      <w:outlineLvl w:val="4"/>
    </w:pPr>
    <w:rPr>
      <w:rFonts w:ascii="Calibri" w:eastAsiaTheme="majorEastAsia" w:hAnsi="Calibri" w:cstheme="majorBidi"/>
      <w:b/>
      <w:color w:val="757575"/>
    </w:rPr>
  </w:style>
  <w:style w:type="paragraph" w:styleId="Heading6">
    <w:name w:val="heading 6"/>
    <w:basedOn w:val="Normal"/>
    <w:next w:val="Normal"/>
    <w:link w:val="Heading6Char"/>
    <w:uiPriority w:val="9"/>
    <w:rsid w:val="00813629"/>
    <w:pPr>
      <w:keepNext/>
      <w:keepLines/>
      <w:spacing w:before="40" w:after="0"/>
      <w:outlineLvl w:val="5"/>
    </w:pPr>
    <w:rPr>
      <w:rFonts w:ascii="Calibri" w:eastAsiaTheme="majorEastAsia" w:hAnsi="Calibri" w:cstheme="majorBidi"/>
      <w:b/>
      <w:i/>
      <w:color w:val="75757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65B8"/>
    <w:rPr>
      <w:color w:val="808080"/>
    </w:rPr>
  </w:style>
  <w:style w:type="paragraph" w:styleId="Title">
    <w:name w:val="Title"/>
    <w:basedOn w:val="Normal"/>
    <w:next w:val="Normal"/>
    <w:link w:val="TitleChar"/>
    <w:uiPriority w:val="10"/>
    <w:qFormat/>
    <w:rsid w:val="006950D8"/>
    <w:pPr>
      <w:spacing w:before="360" w:after="180" w:line="240" w:lineRule="auto"/>
      <w:contextualSpacing/>
    </w:pPr>
    <w:rPr>
      <w:rFonts w:ascii="Rockwell" w:eastAsiaTheme="majorEastAsia" w:hAnsi="Rockwell" w:cstheme="majorBidi"/>
      <w:color w:val="522761"/>
      <w:spacing w:val="-10"/>
      <w:kern w:val="28"/>
      <w:sz w:val="64"/>
      <w:szCs w:val="56"/>
    </w:rPr>
  </w:style>
  <w:style w:type="character" w:customStyle="1" w:styleId="TitleChar">
    <w:name w:val="Title Char"/>
    <w:basedOn w:val="DefaultParagraphFont"/>
    <w:link w:val="Title"/>
    <w:uiPriority w:val="10"/>
    <w:rsid w:val="006950D8"/>
    <w:rPr>
      <w:rFonts w:ascii="Rockwell" w:eastAsiaTheme="majorEastAsia" w:hAnsi="Rockwell" w:cstheme="majorBidi"/>
      <w:color w:val="522761"/>
      <w:spacing w:val="-10"/>
      <w:kern w:val="28"/>
      <w:sz w:val="64"/>
      <w:szCs w:val="56"/>
    </w:rPr>
  </w:style>
  <w:style w:type="paragraph" w:customStyle="1" w:styleId="InstructionText">
    <w:name w:val="Instruction Text"/>
    <w:basedOn w:val="Normal"/>
    <w:rsid w:val="00A82BDB"/>
    <w:pPr>
      <w:spacing w:after="200" w:line="240" w:lineRule="auto"/>
    </w:pPr>
    <w:rPr>
      <w:color w:val="7030A0"/>
    </w:rPr>
  </w:style>
  <w:style w:type="character" w:customStyle="1" w:styleId="Heading1Char">
    <w:name w:val="Heading 1 Char"/>
    <w:basedOn w:val="DefaultParagraphFont"/>
    <w:link w:val="Heading1"/>
    <w:uiPriority w:val="9"/>
    <w:rsid w:val="001468ED"/>
    <w:rPr>
      <w:rFonts w:ascii="Rockwell" w:eastAsiaTheme="majorEastAsia" w:hAnsi="Rockwell" w:cstheme="majorBidi"/>
      <w:color w:val="522761"/>
      <w:sz w:val="40"/>
      <w:szCs w:val="32"/>
    </w:rPr>
  </w:style>
  <w:style w:type="character" w:customStyle="1" w:styleId="Heading2Char">
    <w:name w:val="Heading 2 Char"/>
    <w:basedOn w:val="DefaultParagraphFont"/>
    <w:link w:val="Heading2"/>
    <w:uiPriority w:val="9"/>
    <w:rsid w:val="007D6607"/>
    <w:rPr>
      <w:rFonts w:ascii="Calibri" w:eastAsiaTheme="majorEastAsia" w:hAnsi="Calibri" w:cstheme="majorBidi"/>
      <w:b/>
      <w:color w:val="522761"/>
      <w:sz w:val="28"/>
      <w:szCs w:val="26"/>
    </w:rPr>
  </w:style>
  <w:style w:type="character" w:customStyle="1" w:styleId="Heading3Char">
    <w:name w:val="Heading 3 Char"/>
    <w:basedOn w:val="DefaultParagraphFont"/>
    <w:link w:val="Heading3"/>
    <w:uiPriority w:val="9"/>
    <w:rsid w:val="005725B2"/>
    <w:rPr>
      <w:rFonts w:ascii="Calibri" w:eastAsiaTheme="majorEastAsia" w:hAnsi="Calibri" w:cstheme="majorBidi"/>
      <w:b/>
      <w:sz w:val="24"/>
      <w:szCs w:val="24"/>
    </w:rPr>
  </w:style>
  <w:style w:type="character" w:customStyle="1" w:styleId="Heading4Char">
    <w:name w:val="Heading 4 Char"/>
    <w:basedOn w:val="DefaultParagraphFont"/>
    <w:link w:val="Heading4"/>
    <w:uiPriority w:val="9"/>
    <w:rsid w:val="005725B2"/>
    <w:rPr>
      <w:rFonts w:ascii="Calibri" w:eastAsiaTheme="majorEastAsia" w:hAnsi="Calibri" w:cstheme="majorBidi"/>
      <w:b/>
      <w:i/>
      <w:iCs/>
    </w:rPr>
  </w:style>
  <w:style w:type="paragraph" w:styleId="ListNumber">
    <w:name w:val="List Number"/>
    <w:basedOn w:val="Normal"/>
    <w:uiPriority w:val="99"/>
    <w:qFormat/>
    <w:rsid w:val="00A513A6"/>
    <w:pPr>
      <w:numPr>
        <w:numId w:val="45"/>
      </w:numPr>
      <w:tabs>
        <w:tab w:val="left" w:pos="284"/>
        <w:tab w:val="left" w:pos="567"/>
        <w:tab w:val="left" w:pos="851"/>
        <w:tab w:val="left" w:pos="1134"/>
      </w:tabs>
      <w:contextualSpacing/>
    </w:pPr>
  </w:style>
  <w:style w:type="paragraph" w:styleId="ListNumber2">
    <w:name w:val="List Number 2"/>
    <w:basedOn w:val="Normal"/>
    <w:uiPriority w:val="99"/>
    <w:qFormat/>
    <w:rsid w:val="00A513A6"/>
    <w:pPr>
      <w:numPr>
        <w:ilvl w:val="1"/>
        <w:numId w:val="45"/>
      </w:numPr>
      <w:contextualSpacing/>
    </w:pPr>
  </w:style>
  <w:style w:type="paragraph" w:styleId="ListBullet">
    <w:name w:val="List Bullet"/>
    <w:basedOn w:val="Normal"/>
    <w:uiPriority w:val="99"/>
    <w:qFormat/>
    <w:rsid w:val="00316088"/>
    <w:pPr>
      <w:numPr>
        <w:numId w:val="47"/>
      </w:numPr>
      <w:contextualSpacing/>
    </w:pPr>
  </w:style>
  <w:style w:type="paragraph" w:styleId="ListBullet2">
    <w:name w:val="List Bullet 2"/>
    <w:basedOn w:val="Normal"/>
    <w:uiPriority w:val="99"/>
    <w:qFormat/>
    <w:rsid w:val="00316088"/>
    <w:pPr>
      <w:numPr>
        <w:ilvl w:val="1"/>
        <w:numId w:val="47"/>
      </w:numPr>
      <w:tabs>
        <w:tab w:val="left" w:pos="567"/>
      </w:tabs>
      <w:contextualSpacing/>
    </w:pPr>
  </w:style>
  <w:style w:type="character" w:styleId="Hyperlink">
    <w:name w:val="Hyperlink"/>
    <w:basedOn w:val="DefaultParagraphFont"/>
    <w:uiPriority w:val="99"/>
    <w:qFormat/>
    <w:rsid w:val="00C85C94"/>
    <w:rPr>
      <w:color w:val="3C54A5"/>
      <w:u w:val="single"/>
    </w:rPr>
  </w:style>
  <w:style w:type="table" w:styleId="TableGrid">
    <w:name w:val="Table Grid"/>
    <w:aliases w:val="NSRB Table"/>
    <w:basedOn w:val="TableNormal"/>
    <w:uiPriority w:val="39"/>
    <w:rsid w:val="001468ED"/>
    <w:pPr>
      <w:spacing w:after="40" w:line="240" w:lineRule="auto"/>
    </w:pPr>
    <w:tblPr>
      <w:tblStyleRowBandSize w:val="1"/>
      <w:tblBorders>
        <w:top w:val="single" w:sz="4" w:space="0" w:color="FFFFFF" w:themeColor="background1"/>
        <w:left w:val="single" w:sz="4" w:space="0" w:color="FFFFFF" w:themeColor="background1"/>
        <w:bottom w:val="single" w:sz="4" w:space="0" w:color="522761"/>
        <w:right w:val="single" w:sz="4" w:space="0" w:color="FFFFFF" w:themeColor="background1"/>
        <w:insideH w:val="single" w:sz="4" w:space="0" w:color="FFFFFF" w:themeColor="background1"/>
        <w:insideV w:val="single" w:sz="4" w:space="0" w:color="FFFFFF" w:themeColor="background1"/>
      </w:tblBorders>
      <w:tblCellMar>
        <w:top w:w="45" w:type="dxa"/>
      </w:tblCellMar>
    </w:tblPr>
    <w:tcPr>
      <w:vAlign w:val="center"/>
    </w:tcPr>
    <w:tblStylePr w:type="firstRow">
      <w:pPr>
        <w:jc w:val="left"/>
      </w:pPr>
      <w:rPr>
        <w:rFonts w:ascii="Calibri" w:hAnsi="Calibri"/>
        <w:b/>
        <w:color w:val="FFFFFF" w:themeColor="background1"/>
        <w:sz w:val="24"/>
      </w:rPr>
      <w:tblPr/>
      <w:tcPr>
        <w:shd w:val="clear" w:color="auto" w:fill="522761"/>
      </w:tcPr>
    </w:tblStylePr>
    <w:tblStylePr w:type="lastRow">
      <w:tblPr/>
      <w:tcPr>
        <w:tcBorders>
          <w:top w:val="single" w:sz="4" w:space="0" w:color="FFFFFF" w:themeColor="background1"/>
          <w:left w:val="single" w:sz="4" w:space="0" w:color="FFFFFF" w:themeColor="background1"/>
          <w:bottom w:val="single" w:sz="4" w:space="0" w:color="522761"/>
          <w:right w:val="single" w:sz="4" w:space="0" w:color="FFFFFF" w:themeColor="background1"/>
          <w:insideH w:val="nil"/>
          <w:insideV w:val="single" w:sz="4" w:space="0" w:color="FFFFFF" w:themeColor="background1"/>
          <w:tl2br w:val="nil"/>
          <w:tr2bl w:val="nil"/>
        </w:tcBorders>
      </w:tcPr>
    </w:tblStylePr>
    <w:tblStylePr w:type="band1Horz">
      <w:tblPr/>
      <w:tcPr>
        <w:shd w:val="clear" w:color="auto" w:fill="F0ECF3"/>
      </w:tcPr>
    </w:tblStylePr>
    <w:tblStylePr w:type="band2Horz">
      <w:tblPr/>
      <w:tcPr>
        <w:shd w:val="clear" w:color="auto" w:fill="DFD7E5"/>
      </w:tcPr>
    </w:tblStylePr>
  </w:style>
  <w:style w:type="paragraph" w:styleId="Caption">
    <w:name w:val="caption"/>
    <w:basedOn w:val="Normal"/>
    <w:next w:val="Normal"/>
    <w:uiPriority w:val="35"/>
    <w:qFormat/>
    <w:rsid w:val="007D6607"/>
    <w:pPr>
      <w:spacing w:before="240"/>
    </w:pPr>
    <w:rPr>
      <w:b/>
      <w:i/>
    </w:rPr>
  </w:style>
  <w:style w:type="numbering" w:customStyle="1" w:styleId="RSCBNumberList1">
    <w:name w:val="RSCB Number List 1"/>
    <w:uiPriority w:val="99"/>
    <w:rsid w:val="00A513A6"/>
    <w:pPr>
      <w:numPr>
        <w:numId w:val="10"/>
      </w:numPr>
    </w:pPr>
  </w:style>
  <w:style w:type="paragraph" w:styleId="ListBullet3">
    <w:name w:val="List Bullet 3"/>
    <w:basedOn w:val="Normal"/>
    <w:uiPriority w:val="99"/>
    <w:qFormat/>
    <w:rsid w:val="00316088"/>
    <w:pPr>
      <w:numPr>
        <w:ilvl w:val="2"/>
        <w:numId w:val="47"/>
      </w:numPr>
      <w:tabs>
        <w:tab w:val="left" w:pos="851"/>
      </w:tabs>
      <w:contextualSpacing/>
    </w:pPr>
  </w:style>
  <w:style w:type="paragraph" w:styleId="ListNumber3">
    <w:name w:val="List Number 3"/>
    <w:basedOn w:val="Normal"/>
    <w:uiPriority w:val="99"/>
    <w:qFormat/>
    <w:rsid w:val="00A513A6"/>
    <w:pPr>
      <w:numPr>
        <w:ilvl w:val="2"/>
        <w:numId w:val="45"/>
      </w:numPr>
      <w:tabs>
        <w:tab w:val="left" w:pos="1021"/>
      </w:tabs>
      <w:contextualSpacing/>
    </w:pPr>
  </w:style>
  <w:style w:type="paragraph" w:styleId="ListNumber4">
    <w:name w:val="List Number 4"/>
    <w:basedOn w:val="Normal"/>
    <w:uiPriority w:val="99"/>
    <w:qFormat/>
    <w:rsid w:val="00A513A6"/>
    <w:pPr>
      <w:numPr>
        <w:ilvl w:val="3"/>
        <w:numId w:val="45"/>
      </w:numPr>
      <w:contextualSpacing/>
    </w:pPr>
  </w:style>
  <w:style w:type="paragraph" w:styleId="ListBullet4">
    <w:name w:val="List Bullet 4"/>
    <w:basedOn w:val="Normal"/>
    <w:uiPriority w:val="99"/>
    <w:qFormat/>
    <w:rsid w:val="00316088"/>
    <w:pPr>
      <w:numPr>
        <w:ilvl w:val="3"/>
        <w:numId w:val="47"/>
      </w:numPr>
      <w:tabs>
        <w:tab w:val="left" w:pos="1134"/>
      </w:tabs>
      <w:contextualSpacing/>
    </w:pPr>
  </w:style>
  <w:style w:type="numbering" w:customStyle="1" w:styleId="Style1">
    <w:name w:val="Style1"/>
    <w:uiPriority w:val="99"/>
    <w:rsid w:val="00316088"/>
    <w:pPr>
      <w:numPr>
        <w:numId w:val="46"/>
      </w:numPr>
    </w:pPr>
  </w:style>
  <w:style w:type="paragraph" w:styleId="Header">
    <w:name w:val="header"/>
    <w:basedOn w:val="Normal"/>
    <w:link w:val="HeaderChar"/>
    <w:uiPriority w:val="99"/>
    <w:unhideWhenUsed/>
    <w:rsid w:val="00EE7F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21AC"/>
  </w:style>
  <w:style w:type="paragraph" w:styleId="Footer">
    <w:name w:val="footer"/>
    <w:basedOn w:val="Normal"/>
    <w:link w:val="FooterChar"/>
    <w:uiPriority w:val="99"/>
    <w:rsid w:val="005725B2"/>
    <w:pPr>
      <w:tabs>
        <w:tab w:val="center" w:pos="4513"/>
        <w:tab w:val="right" w:pos="9026"/>
      </w:tabs>
      <w:spacing w:after="0" w:line="240" w:lineRule="auto"/>
    </w:pPr>
    <w:rPr>
      <w:rFonts w:ascii="Calibri" w:hAnsi="Calibri"/>
      <w:sz w:val="18"/>
    </w:rPr>
  </w:style>
  <w:style w:type="character" w:customStyle="1" w:styleId="FooterChar">
    <w:name w:val="Footer Char"/>
    <w:basedOn w:val="DefaultParagraphFont"/>
    <w:link w:val="Footer"/>
    <w:uiPriority w:val="99"/>
    <w:rsid w:val="005725B2"/>
    <w:rPr>
      <w:rFonts w:ascii="Calibri" w:hAnsi="Calibri"/>
      <w:sz w:val="18"/>
    </w:rPr>
  </w:style>
  <w:style w:type="paragraph" w:styleId="FootnoteText">
    <w:name w:val="footnote text"/>
    <w:basedOn w:val="Normal"/>
    <w:link w:val="FootnoteTextChar"/>
    <w:uiPriority w:val="99"/>
    <w:rsid w:val="005725B2"/>
    <w:pPr>
      <w:spacing w:after="0" w:line="240" w:lineRule="auto"/>
    </w:pPr>
    <w:rPr>
      <w:sz w:val="20"/>
      <w:szCs w:val="20"/>
    </w:rPr>
  </w:style>
  <w:style w:type="character" w:customStyle="1" w:styleId="FootnoteTextChar">
    <w:name w:val="Footnote Text Char"/>
    <w:basedOn w:val="DefaultParagraphFont"/>
    <w:link w:val="FootnoteText"/>
    <w:uiPriority w:val="99"/>
    <w:rsid w:val="005725B2"/>
    <w:rPr>
      <w:sz w:val="20"/>
      <w:szCs w:val="20"/>
    </w:rPr>
  </w:style>
  <w:style w:type="character" w:styleId="FootnoteReference">
    <w:name w:val="footnote reference"/>
    <w:basedOn w:val="DefaultParagraphFont"/>
    <w:uiPriority w:val="99"/>
    <w:semiHidden/>
    <w:unhideWhenUsed/>
    <w:rsid w:val="005725B2"/>
    <w:rPr>
      <w:vertAlign w:val="superscript"/>
    </w:rPr>
  </w:style>
  <w:style w:type="paragraph" w:styleId="Subtitle">
    <w:name w:val="Subtitle"/>
    <w:basedOn w:val="Normal"/>
    <w:next w:val="Normal"/>
    <w:link w:val="SubtitleChar"/>
    <w:uiPriority w:val="11"/>
    <w:qFormat/>
    <w:rsid w:val="006950D8"/>
    <w:pPr>
      <w:numPr>
        <w:ilvl w:val="1"/>
      </w:numPr>
    </w:pPr>
    <w:rPr>
      <w:rFonts w:ascii="Calibri" w:eastAsiaTheme="minorEastAsia" w:hAnsi="Calibri"/>
      <w:i/>
      <w:color w:val="522761"/>
      <w:spacing w:val="15"/>
      <w:sz w:val="44"/>
    </w:rPr>
  </w:style>
  <w:style w:type="character" w:customStyle="1" w:styleId="SubtitleChar">
    <w:name w:val="Subtitle Char"/>
    <w:basedOn w:val="DefaultParagraphFont"/>
    <w:link w:val="Subtitle"/>
    <w:uiPriority w:val="11"/>
    <w:rsid w:val="006950D8"/>
    <w:rPr>
      <w:rFonts w:ascii="Calibri" w:eastAsiaTheme="minorEastAsia" w:hAnsi="Calibri"/>
      <w:i/>
      <w:color w:val="522761"/>
      <w:spacing w:val="15"/>
      <w:sz w:val="44"/>
    </w:rPr>
  </w:style>
  <w:style w:type="character" w:styleId="Strong">
    <w:name w:val="Strong"/>
    <w:basedOn w:val="DefaultParagraphFont"/>
    <w:uiPriority w:val="22"/>
    <w:qFormat/>
    <w:rsid w:val="001F444A"/>
    <w:rPr>
      <w:b/>
      <w:bCs/>
    </w:rPr>
  </w:style>
  <w:style w:type="character" w:customStyle="1" w:styleId="Heading5Char">
    <w:name w:val="Heading 5 Char"/>
    <w:basedOn w:val="DefaultParagraphFont"/>
    <w:link w:val="Heading5"/>
    <w:uiPriority w:val="9"/>
    <w:rsid w:val="00813629"/>
    <w:rPr>
      <w:rFonts w:ascii="Calibri" w:eastAsiaTheme="majorEastAsia" w:hAnsi="Calibri" w:cstheme="majorBidi"/>
      <w:b/>
      <w:color w:val="757575"/>
    </w:rPr>
  </w:style>
  <w:style w:type="character" w:customStyle="1" w:styleId="Heading6Char">
    <w:name w:val="Heading 6 Char"/>
    <w:basedOn w:val="DefaultParagraphFont"/>
    <w:link w:val="Heading6"/>
    <w:uiPriority w:val="9"/>
    <w:rsid w:val="00813629"/>
    <w:rPr>
      <w:rFonts w:ascii="Calibri" w:eastAsiaTheme="majorEastAsia" w:hAnsi="Calibri" w:cstheme="majorBidi"/>
      <w:b/>
      <w:i/>
      <w:color w:val="757575"/>
    </w:rPr>
  </w:style>
  <w:style w:type="character" w:styleId="BookTitle">
    <w:name w:val="Book Title"/>
    <w:basedOn w:val="DefaultParagraphFont"/>
    <w:uiPriority w:val="33"/>
    <w:semiHidden/>
    <w:qFormat/>
    <w:rsid w:val="00B81A68"/>
    <w:rPr>
      <w:b w:val="0"/>
      <w:bCs/>
      <w:i/>
      <w:iCs/>
      <w:spacing w:val="5"/>
    </w:rPr>
  </w:style>
  <w:style w:type="character" w:styleId="Emphasis">
    <w:name w:val="Emphasis"/>
    <w:basedOn w:val="DefaultParagraphFont"/>
    <w:uiPriority w:val="20"/>
    <w:qFormat/>
    <w:rsid w:val="001C6347"/>
    <w:rPr>
      <w:b w:val="0"/>
      <w:i/>
      <w:iCs/>
    </w:rPr>
  </w:style>
  <w:style w:type="paragraph" w:customStyle="1" w:styleId="SourceImageCaption">
    <w:name w:val="Source/Image Caption"/>
    <w:basedOn w:val="Normal"/>
    <w:rsid w:val="00DE1663"/>
    <w:rPr>
      <w:sz w:val="18"/>
    </w:rPr>
  </w:style>
  <w:style w:type="paragraph" w:customStyle="1" w:styleId="Normal-AfterTableFigure">
    <w:name w:val="Normal - After Table/Figure"/>
    <w:basedOn w:val="Normal"/>
    <w:qFormat/>
    <w:rsid w:val="002678F4"/>
    <w:pPr>
      <w:spacing w:before="240"/>
    </w:pPr>
  </w:style>
  <w:style w:type="paragraph" w:styleId="ListParagraph">
    <w:name w:val="List Paragraph"/>
    <w:basedOn w:val="Normal"/>
    <w:uiPriority w:val="34"/>
    <w:semiHidden/>
    <w:qFormat/>
    <w:rsid w:val="002678F4"/>
    <w:pPr>
      <w:ind w:left="720"/>
      <w:contextualSpacing/>
    </w:pPr>
  </w:style>
  <w:style w:type="paragraph" w:styleId="Quote">
    <w:name w:val="Quote"/>
    <w:basedOn w:val="Normal"/>
    <w:next w:val="Normal"/>
    <w:link w:val="QuoteChar"/>
    <w:uiPriority w:val="29"/>
    <w:qFormat/>
    <w:rsid w:val="00F121AC"/>
    <w:pPr>
      <w:spacing w:before="200" w:line="240" w:lineRule="auto"/>
      <w:ind w:left="567" w:right="567"/>
    </w:pPr>
    <w:rPr>
      <w:i/>
      <w:iCs/>
      <w:color w:val="404040" w:themeColor="text1" w:themeTint="BF"/>
    </w:rPr>
  </w:style>
  <w:style w:type="character" w:customStyle="1" w:styleId="QuoteChar">
    <w:name w:val="Quote Char"/>
    <w:basedOn w:val="DefaultParagraphFont"/>
    <w:link w:val="Quote"/>
    <w:uiPriority w:val="29"/>
    <w:rsid w:val="00F121AC"/>
    <w:rPr>
      <w:i/>
      <w:iCs/>
      <w:color w:val="404040" w:themeColor="text1" w:themeTint="BF"/>
    </w:rPr>
  </w:style>
  <w:style w:type="character" w:styleId="IntenseEmphasis">
    <w:name w:val="Intense Emphasis"/>
    <w:basedOn w:val="DefaultParagraphFont"/>
    <w:uiPriority w:val="21"/>
    <w:semiHidden/>
    <w:rsid w:val="00A34D39"/>
    <w:rPr>
      <w:b/>
      <w:i/>
      <w:iCs/>
      <w:color w:val="auto"/>
    </w:rPr>
  </w:style>
  <w:style w:type="character" w:styleId="IntenseReference">
    <w:name w:val="Intense Reference"/>
    <w:basedOn w:val="DefaultParagraphFont"/>
    <w:uiPriority w:val="32"/>
    <w:semiHidden/>
    <w:rsid w:val="00A34D39"/>
    <w:rPr>
      <w:b/>
      <w:bCs/>
      <w:smallCaps/>
      <w:color w:val="auto"/>
      <w:spacing w:val="5"/>
      <w:u w:val="single"/>
    </w:rPr>
  </w:style>
  <w:style w:type="character" w:styleId="SubtleReference">
    <w:name w:val="Subtle Reference"/>
    <w:basedOn w:val="DefaultParagraphFont"/>
    <w:uiPriority w:val="31"/>
    <w:semiHidden/>
    <w:rsid w:val="00A74FD2"/>
    <w:rPr>
      <w:smallCaps/>
      <w:color w:val="auto"/>
      <w:u w:val="single"/>
    </w:rPr>
  </w:style>
  <w:style w:type="paragraph" w:customStyle="1" w:styleId="ImageHeader">
    <w:name w:val="Image Header"/>
    <w:basedOn w:val="Normal"/>
    <w:rsid w:val="00A81FB9"/>
    <w:pPr>
      <w:spacing w:before="0" w:after="600"/>
      <w:ind w:left="-1134"/>
    </w:pPr>
    <w:rPr>
      <w:rFonts w:eastAsia="Times New Roman" w:cs="Times New Roman"/>
      <w:szCs w:val="20"/>
    </w:rPr>
  </w:style>
  <w:style w:type="character" w:styleId="FollowedHyperlink">
    <w:name w:val="FollowedHyperlink"/>
    <w:basedOn w:val="DefaultParagraphFont"/>
    <w:uiPriority w:val="99"/>
    <w:semiHidden/>
    <w:rsid w:val="008E723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870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education.gov.au/admissions-transparency-implementation-working-group-0" TargetMode="Externa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3280\AppData\Local\Microsoft\Windows\INetCache\Content.Outlook\HPFVFVRX\ED18-0133%20-%20HE%20-%20IWG%20Comms%20Strategy%20documents_Word%20Template_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F239D08DB5E42C5A9B0BBA2589DF55E"/>
        <w:category>
          <w:name w:val="General"/>
          <w:gallery w:val="placeholder"/>
        </w:category>
        <w:types>
          <w:type w:val="bbPlcHdr"/>
        </w:types>
        <w:behaviors>
          <w:behavior w:val="content"/>
        </w:behaviors>
        <w:guid w:val="{5652B9FB-C794-45A5-96FB-AC61587B1861}"/>
      </w:docPartPr>
      <w:docPartBody>
        <w:p w:rsidR="005174A9" w:rsidRDefault="005174A9">
          <w:pPr>
            <w:pStyle w:val="0F239D08DB5E42C5A9B0BBA2589DF55E"/>
          </w:pPr>
          <w:r w:rsidRPr="004C548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Rockwell">
    <w:panose1 w:val="02060603020205020403"/>
    <w:charset w:val="00"/>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4A9"/>
    <w:rsid w:val="001D3B7D"/>
    <w:rsid w:val="005174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F239D08DB5E42C5A9B0BBA2589DF55E">
    <w:name w:val="0F239D08DB5E42C5A9B0BBA2589DF5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590EDC-56B8-4916-999D-980C03A1E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ED18-0133 - HE - IWG Comms Strategy documents_Word Template_01.dotx</Template>
  <TotalTime>0</TotalTime>
  <Pages>7</Pages>
  <Words>1842</Words>
  <Characters>10505</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More transparent higher education admissions:</vt:lpstr>
    </vt:vector>
  </TitlesOfParts>
  <Company>Australian Government</Company>
  <LinksUpToDate>false</LinksUpToDate>
  <CharactersWithSpaces>12323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More transparent higher education admissions:</dc:title>
  <dc:subject/>
  <dc:creator>MADAFFARI,Anna</dc:creator>
  <cp:keywords/>
  <dc:description/>
  <cp:lastModifiedBy>Anna MADAFFARI</cp:lastModifiedBy>
  <cp:revision>2</cp:revision>
  <dcterms:created xsi:type="dcterms:W3CDTF">2018-09-28T05:33:00Z</dcterms:created>
  <dcterms:modified xsi:type="dcterms:W3CDTF">2018-09-28T05:33:00Z</dcterms:modified>
</cp:coreProperties>
</file>