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23A" w:rsidRDefault="00871DA4" w:rsidP="00871DA4">
      <w:pPr>
        <w:pStyle w:val="ImageHeader"/>
        <w:sectPr w:rsidR="00C7023A" w:rsidSect="00C7023A">
          <w:footerReference w:type="default" r:id="rId8"/>
          <w:pgSz w:w="11906" w:h="16838"/>
          <w:pgMar w:top="0" w:right="1134" w:bottom="1134" w:left="1134" w:header="680" w:footer="1134" w:gutter="0"/>
          <w:cols w:space="708"/>
          <w:titlePg/>
          <w:docGrid w:linePitch="360"/>
        </w:sectPr>
      </w:pPr>
      <w:r>
        <w:rPr>
          <w:noProof/>
          <w:lang w:eastAsia="en-AU"/>
        </w:rPr>
        <w:drawing>
          <wp:inline distT="0" distB="0" distL="0" distR="0">
            <wp:extent cx="7560000" cy="2523600"/>
            <wp:effectExtent l="0" t="0" r="3175" b="0"/>
            <wp:docPr id="2" name="Picture 2" descr="Australian Government Department of Educa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18-0133 - HE - IWG Comms Strategy documents_Word Template_Header_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0000" cy="2523600"/>
                    </a:xfrm>
                    <a:prstGeom prst="rect">
                      <a:avLst/>
                    </a:prstGeom>
                  </pic:spPr>
                </pic:pic>
              </a:graphicData>
            </a:graphic>
          </wp:inline>
        </w:drawing>
      </w:r>
    </w:p>
    <w:p w:rsidR="00871DA4" w:rsidRDefault="00000505" w:rsidP="00B81A68">
      <w:pPr>
        <w:pStyle w:val="Subtitle"/>
      </w:pPr>
      <w:sdt>
        <w:sdtPr>
          <w:rPr>
            <w:rStyle w:val="TitleChar"/>
            <w:lang w:val="en-US"/>
          </w:rPr>
          <w:alias w:val="Title"/>
          <w:tag w:val=""/>
          <w:id w:val="1528211252"/>
          <w:placeholder>
            <w:docPart w:val="8BA1078813544E5CA89BEE66D74FAFB6"/>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7733D5" w:rsidRPr="007733D5">
            <w:rPr>
              <w:rStyle w:val="TitleChar"/>
              <w:lang w:val="en-US"/>
            </w:rPr>
            <w:t>Better information about applying for higher education study is now available!</w:t>
          </w:r>
        </w:sdtContent>
      </w:sdt>
    </w:p>
    <w:p w:rsidR="007733D5" w:rsidRPr="00D6691F" w:rsidRDefault="007733D5" w:rsidP="007733D5">
      <w:pPr>
        <w:pStyle w:val="Subtitle"/>
      </w:pPr>
      <w:r w:rsidRPr="00D6691F">
        <w:t>Make the most of your work and life experience!</w:t>
      </w:r>
    </w:p>
    <w:p w:rsidR="007733D5" w:rsidRPr="00D6691F" w:rsidRDefault="007733D5" w:rsidP="007733D5">
      <w:pPr>
        <w:pStyle w:val="Heading1"/>
      </w:pPr>
      <w:proofErr w:type="gramStart"/>
      <w:r w:rsidRPr="00D6691F">
        <w:t>What’s</w:t>
      </w:r>
      <w:proofErr w:type="gramEnd"/>
      <w:r w:rsidRPr="00D6691F">
        <w:t xml:space="preserve"> happening?</w:t>
      </w:r>
    </w:p>
    <w:p w:rsidR="007733D5" w:rsidRPr="00D6691F" w:rsidRDefault="007733D5" w:rsidP="007733D5">
      <w:r w:rsidRPr="00D6691F">
        <w:t>The Australian Government, in partnership with higher education institutions, is improving the way universities and other higher education providers explain their admission requirements and processes. These changes will make the entry requirements for different courses and the processes for applying to study higher education easier to understand and compare.</w:t>
      </w:r>
    </w:p>
    <w:p w:rsidR="007733D5" w:rsidRPr="00D6691F" w:rsidRDefault="007733D5" w:rsidP="000969D3">
      <w:pPr>
        <w:pStyle w:val="Heading1"/>
      </w:pPr>
      <w:r w:rsidRPr="00D6691F">
        <w:t>How will I benefit from these changes?</w:t>
      </w:r>
    </w:p>
    <w:p w:rsidR="007733D5" w:rsidRPr="00D6691F" w:rsidRDefault="007733D5" w:rsidP="007733D5">
      <w:r w:rsidRPr="00D6691F">
        <w:t>Students applying for an undergraduate higher education course in 2019 and beyond will have access to clearer information about admission requirements and processes for courses across Australia.</w:t>
      </w:r>
    </w:p>
    <w:p w:rsidR="007733D5" w:rsidRPr="00D6691F" w:rsidRDefault="007733D5" w:rsidP="007733D5">
      <w:r w:rsidRPr="00D6691F">
        <w:t>Admission information at all universities and higher education colleges will be set out in a way that is consistent across the board, so it is easier for applicants to understand and compare.</w:t>
      </w:r>
    </w:p>
    <w:p w:rsidR="007733D5" w:rsidRPr="00D6691F" w:rsidRDefault="007733D5" w:rsidP="000969D3">
      <w:pPr>
        <w:pStyle w:val="Heading2"/>
      </w:pPr>
      <w:r w:rsidRPr="00D6691F">
        <w:t>K</w:t>
      </w:r>
      <w:r w:rsidR="00CB25CF">
        <w:t>ey features of the new approach</w:t>
      </w:r>
    </w:p>
    <w:p w:rsidR="007733D5" w:rsidRPr="00D6691F" w:rsidRDefault="007733D5" w:rsidP="00CB25CF">
      <w:pPr>
        <w:pStyle w:val="Heading3"/>
      </w:pPr>
      <w:r w:rsidRPr="00D6691F">
        <w:t xml:space="preserve">Every provider will have two types of admission information </w:t>
      </w:r>
      <w:r w:rsidR="007B38BF">
        <w:t>available</w:t>
      </w:r>
      <w:r w:rsidR="00CB25CF">
        <w:t>.</w:t>
      </w:r>
    </w:p>
    <w:p w:rsidR="007733D5" w:rsidRPr="00F927D5" w:rsidRDefault="007733D5" w:rsidP="00CB25CF">
      <w:r w:rsidRPr="00F927D5">
        <w:t>An overall statement of the institution’s:</w:t>
      </w:r>
    </w:p>
    <w:p w:rsidR="007733D5" w:rsidRPr="00F927D5" w:rsidRDefault="007733D5" w:rsidP="00CB25CF">
      <w:pPr>
        <w:pStyle w:val="ListBullet"/>
      </w:pPr>
      <w:r w:rsidRPr="00F927D5">
        <w:t>general admission criteria</w:t>
      </w:r>
    </w:p>
    <w:p w:rsidR="007733D5" w:rsidRPr="00F927D5" w:rsidRDefault="007733D5" w:rsidP="00CB25CF">
      <w:pPr>
        <w:pStyle w:val="ListBullet"/>
      </w:pPr>
      <w:r w:rsidRPr="00F927D5">
        <w:t>application options and processes</w:t>
      </w:r>
    </w:p>
    <w:p w:rsidR="007733D5" w:rsidRPr="00F927D5" w:rsidRDefault="007733D5" w:rsidP="00CB25CF">
      <w:pPr>
        <w:pStyle w:val="ListBullet"/>
      </w:pPr>
      <w:proofErr w:type="gramStart"/>
      <w:r w:rsidRPr="00F927D5">
        <w:t>institutional</w:t>
      </w:r>
      <w:proofErr w:type="gramEnd"/>
      <w:r w:rsidRPr="00F927D5">
        <w:t xml:space="preserve"> student profile.</w:t>
      </w:r>
    </w:p>
    <w:p w:rsidR="007733D5" w:rsidRPr="00D6691F" w:rsidRDefault="007733D5" w:rsidP="00CB25CF">
      <w:r w:rsidRPr="00D6691F">
        <w:t>For each course offered in 2019 and beyond, a statement of:</w:t>
      </w:r>
    </w:p>
    <w:p w:rsidR="007733D5" w:rsidRPr="00D6691F" w:rsidRDefault="007733D5" w:rsidP="00CB25CF">
      <w:pPr>
        <w:pStyle w:val="ListBullet"/>
      </w:pPr>
      <w:r w:rsidRPr="00D6691F">
        <w:t>study options</w:t>
      </w:r>
    </w:p>
    <w:p w:rsidR="007733D5" w:rsidRPr="00D6691F" w:rsidRDefault="007733D5" w:rsidP="00CB25CF">
      <w:pPr>
        <w:pStyle w:val="ListBullet"/>
      </w:pPr>
      <w:r w:rsidRPr="00D6691F">
        <w:t>course-specific admission criteria and application pathways/options</w:t>
      </w:r>
    </w:p>
    <w:p w:rsidR="007733D5" w:rsidRPr="00D6691F" w:rsidRDefault="007733D5" w:rsidP="00CB25CF">
      <w:pPr>
        <w:pStyle w:val="ListBullet"/>
      </w:pPr>
      <w:proofErr w:type="gramStart"/>
      <w:r w:rsidRPr="00D6691F">
        <w:t>the</w:t>
      </w:r>
      <w:proofErr w:type="gramEnd"/>
      <w:r w:rsidRPr="00D6691F">
        <w:t xml:space="preserve"> likely student peer cohort.</w:t>
      </w:r>
    </w:p>
    <w:p w:rsidR="007733D5" w:rsidRPr="00D6691F" w:rsidRDefault="007733D5" w:rsidP="000969D3">
      <w:pPr>
        <w:pStyle w:val="Heading3"/>
      </w:pPr>
      <w:r>
        <w:lastRenderedPageBreak/>
        <w:t>I</w:t>
      </w:r>
      <w:r w:rsidRPr="00D6691F">
        <w:t>nformation will be targeted to the needs of different types of applicants, including:</w:t>
      </w:r>
    </w:p>
    <w:p w:rsidR="007733D5" w:rsidRPr="00D6691F" w:rsidRDefault="007733D5" w:rsidP="007733D5">
      <w:pPr>
        <w:pStyle w:val="ListBullet"/>
      </w:pPr>
      <w:r w:rsidRPr="00D6691F">
        <w:t xml:space="preserve">applicants with </w:t>
      </w:r>
      <w:r w:rsidRPr="007733D5">
        <w:rPr>
          <w:rStyle w:val="Strong"/>
        </w:rPr>
        <w:t>work or life experience</w:t>
      </w:r>
      <w:r w:rsidRPr="00D6691F">
        <w:t xml:space="preserve"> who left school more than two years ago</w:t>
      </w:r>
    </w:p>
    <w:p w:rsidR="007733D5" w:rsidRPr="00D6691F" w:rsidRDefault="007733D5" w:rsidP="007733D5">
      <w:pPr>
        <w:pStyle w:val="ListBullet"/>
      </w:pPr>
      <w:r w:rsidRPr="00D6691F">
        <w:t xml:space="preserve">applicants with some </w:t>
      </w:r>
      <w:r w:rsidRPr="007733D5">
        <w:rPr>
          <w:rStyle w:val="Strong"/>
        </w:rPr>
        <w:t>vocational or higher education</w:t>
      </w:r>
      <w:r w:rsidRPr="00D6691F">
        <w:t xml:space="preserve"> study since leaving school</w:t>
      </w:r>
    </w:p>
    <w:p w:rsidR="007733D5" w:rsidRPr="007733D5" w:rsidRDefault="007733D5" w:rsidP="007733D5">
      <w:pPr>
        <w:pStyle w:val="ListBullet"/>
        <w:rPr>
          <w:rStyle w:val="Strong"/>
        </w:rPr>
      </w:pPr>
      <w:r w:rsidRPr="007733D5">
        <w:rPr>
          <w:rStyle w:val="Strong"/>
        </w:rPr>
        <w:t>school leavers</w:t>
      </w:r>
    </w:p>
    <w:p w:rsidR="007733D5" w:rsidRPr="00D6691F" w:rsidRDefault="007733D5" w:rsidP="007733D5">
      <w:r w:rsidRPr="00D6691F">
        <w:t xml:space="preserve">Tertiary Admission Centres will also adopt the new approach for admission information they publish </w:t>
      </w:r>
      <w:r w:rsidR="002104F4">
        <w:t>for</w:t>
      </w:r>
      <w:r w:rsidR="007B38BF">
        <w:t xml:space="preserve"> applications</w:t>
      </w:r>
      <w:r w:rsidRPr="00D6691F">
        <w:t xml:space="preserve"> </w:t>
      </w:r>
      <w:r w:rsidR="002104F4">
        <w:t xml:space="preserve">to study </w:t>
      </w:r>
      <w:r w:rsidRPr="00D6691F">
        <w:t>in 2019 and beyond.</w:t>
      </w:r>
    </w:p>
    <w:p w:rsidR="007733D5" w:rsidRPr="00D6691F" w:rsidRDefault="007733D5" w:rsidP="007733D5">
      <w:r w:rsidRPr="00D6691F">
        <w:t>Prospective students will have access to information on the number and proportion of students who entered the course in the most recent intake who:</w:t>
      </w:r>
    </w:p>
    <w:p w:rsidR="007733D5" w:rsidRPr="00D6691F" w:rsidRDefault="007733D5" w:rsidP="007733D5">
      <w:pPr>
        <w:pStyle w:val="ListBullet"/>
      </w:pPr>
      <w:r w:rsidRPr="00D6691F">
        <w:t>were recent secondary school leavers</w:t>
      </w:r>
    </w:p>
    <w:p w:rsidR="007733D5" w:rsidRPr="00D6691F" w:rsidRDefault="007733D5" w:rsidP="007733D5">
      <w:pPr>
        <w:pStyle w:val="ListBullet"/>
      </w:pPr>
      <w:r w:rsidRPr="00D6691F">
        <w:t>had already undertaken some vocational or higher education since leaving school</w:t>
      </w:r>
    </w:p>
    <w:p w:rsidR="007733D5" w:rsidRPr="00D6691F" w:rsidRDefault="007733D5" w:rsidP="007733D5">
      <w:pPr>
        <w:pStyle w:val="ListBullet"/>
      </w:pPr>
      <w:r w:rsidRPr="00D6691F">
        <w:t>were older students out of school for more than two years</w:t>
      </w:r>
    </w:p>
    <w:p w:rsidR="007733D5" w:rsidRPr="00D6691F" w:rsidRDefault="007733D5" w:rsidP="007733D5">
      <w:pPr>
        <w:pStyle w:val="ListBullet"/>
      </w:pPr>
      <w:proofErr w:type="gramStart"/>
      <w:r w:rsidRPr="00D6691F">
        <w:t>or</w:t>
      </w:r>
      <w:proofErr w:type="gramEnd"/>
      <w:r w:rsidRPr="00D6691F">
        <w:t xml:space="preserve"> were international students.</w:t>
      </w:r>
    </w:p>
    <w:p w:rsidR="007733D5" w:rsidRDefault="007733D5" w:rsidP="007733D5">
      <w:pPr>
        <w:pStyle w:val="Caption"/>
        <w:keepNext/>
      </w:pPr>
      <w:r>
        <w:t xml:space="preserve">Table </w:t>
      </w:r>
      <w:r w:rsidR="008D5761">
        <w:rPr>
          <w:noProof/>
        </w:rPr>
        <w:fldChar w:fldCharType="begin"/>
      </w:r>
      <w:r w:rsidR="008D5761">
        <w:rPr>
          <w:noProof/>
        </w:rPr>
        <w:instrText xml:space="preserve"> SEQ Table \* ARABIC </w:instrText>
      </w:r>
      <w:r w:rsidR="008D5761">
        <w:rPr>
          <w:noProof/>
        </w:rPr>
        <w:fldChar w:fldCharType="separate"/>
      </w:r>
      <w:r w:rsidR="00276445">
        <w:rPr>
          <w:noProof/>
        </w:rPr>
        <w:t>1</w:t>
      </w:r>
      <w:r w:rsidR="008D5761">
        <w:rPr>
          <w:noProof/>
        </w:rPr>
        <w:fldChar w:fldCharType="end"/>
      </w:r>
      <w:r>
        <w:t xml:space="preserve"> – Example student profile – Bachelor of Education</w:t>
      </w:r>
      <w:r w:rsidR="00BC7244" w:rsidRPr="00BC7244">
        <w:rPr>
          <w:w w:val="105"/>
        </w:rPr>
        <w:t xml:space="preserve"> </w:t>
      </w:r>
    </w:p>
    <w:tbl>
      <w:tblPr>
        <w:tblStyle w:val="TableGrid"/>
        <w:tblW w:w="0" w:type="auto"/>
        <w:tblLayout w:type="fixed"/>
        <w:tblLook w:val="0020" w:firstRow="1" w:lastRow="0" w:firstColumn="0" w:lastColumn="0" w:noHBand="0" w:noVBand="0"/>
        <w:tblDescription w:val="The table contains an example of the number and percentage of students coming from different educational backgrounds which makes up the cohort for that course."/>
      </w:tblPr>
      <w:tblGrid>
        <w:gridCol w:w="6944"/>
        <w:gridCol w:w="1290"/>
        <w:gridCol w:w="1290"/>
      </w:tblGrid>
      <w:tr w:rsidR="007733D5" w:rsidTr="00911BD9">
        <w:trPr>
          <w:cnfStyle w:val="100000000000" w:firstRow="1" w:lastRow="0" w:firstColumn="0" w:lastColumn="0" w:oddVBand="0" w:evenVBand="0" w:oddHBand="0" w:evenHBand="0" w:firstRowFirstColumn="0" w:firstRowLastColumn="0" w:lastRowFirstColumn="0" w:lastRowLastColumn="0"/>
          <w:trHeight w:hRule="exact" w:val="465"/>
          <w:tblHeader/>
        </w:trPr>
        <w:tc>
          <w:tcPr>
            <w:tcW w:w="6944" w:type="dxa"/>
            <w:vMerge w:val="restart"/>
          </w:tcPr>
          <w:p w:rsidR="007733D5" w:rsidRDefault="00633B6E" w:rsidP="00FE615D">
            <w:pPr>
              <w:rPr>
                <w:szCs w:val="21"/>
              </w:rPr>
            </w:pPr>
            <w:r>
              <w:rPr>
                <w:w w:val="105"/>
              </w:rPr>
              <w:t>Applicant</w:t>
            </w:r>
            <w:r>
              <w:rPr>
                <w:spacing w:val="-8"/>
                <w:w w:val="105"/>
              </w:rPr>
              <w:t xml:space="preserve"> </w:t>
            </w:r>
            <w:r>
              <w:rPr>
                <w:w w:val="105"/>
              </w:rPr>
              <w:t>background</w:t>
            </w:r>
            <w:bookmarkStart w:id="0" w:name="_GoBack"/>
            <w:bookmarkEnd w:id="0"/>
          </w:p>
        </w:tc>
        <w:tc>
          <w:tcPr>
            <w:tcW w:w="2580" w:type="dxa"/>
            <w:gridSpan w:val="2"/>
          </w:tcPr>
          <w:p w:rsidR="007733D5" w:rsidRDefault="007733D5" w:rsidP="00FE615D">
            <w:pPr>
              <w:rPr>
                <w:sz w:val="21"/>
                <w:szCs w:val="21"/>
              </w:rPr>
            </w:pPr>
            <w:r>
              <w:rPr>
                <w:color w:val="FFFFFF"/>
                <w:w w:val="105"/>
                <w:sz w:val="21"/>
              </w:rPr>
              <w:t>2017 Semester 1</w:t>
            </w:r>
          </w:p>
        </w:tc>
      </w:tr>
      <w:tr w:rsidR="007733D5" w:rsidTr="002E6F00">
        <w:trPr>
          <w:cnfStyle w:val="100000000000" w:firstRow="1" w:lastRow="0" w:firstColumn="0" w:lastColumn="0" w:oddVBand="0" w:evenVBand="0" w:oddHBand="0" w:evenHBand="0" w:firstRowFirstColumn="0" w:firstRowLastColumn="0" w:lastRowFirstColumn="0" w:lastRowLastColumn="0"/>
          <w:trHeight w:hRule="exact" w:val="995"/>
          <w:tblHeader/>
        </w:trPr>
        <w:tc>
          <w:tcPr>
            <w:tcW w:w="6944" w:type="dxa"/>
            <w:vMerge/>
          </w:tcPr>
          <w:p w:rsidR="007733D5" w:rsidRDefault="007733D5" w:rsidP="00FE615D"/>
        </w:tc>
        <w:tc>
          <w:tcPr>
            <w:tcW w:w="1290" w:type="dxa"/>
          </w:tcPr>
          <w:p w:rsidR="007733D5" w:rsidRDefault="007733D5" w:rsidP="00FE615D">
            <w:pPr>
              <w:rPr>
                <w:sz w:val="21"/>
                <w:szCs w:val="21"/>
              </w:rPr>
            </w:pPr>
            <w:r>
              <w:rPr>
                <w:color w:val="FFFFFF"/>
                <w:w w:val="105"/>
                <w:sz w:val="21"/>
              </w:rPr>
              <w:t>Number</w:t>
            </w:r>
            <w:r>
              <w:rPr>
                <w:color w:val="FFFFFF"/>
                <w:spacing w:val="5"/>
                <w:w w:val="105"/>
                <w:sz w:val="21"/>
              </w:rPr>
              <w:t xml:space="preserve"> </w:t>
            </w:r>
            <w:r>
              <w:rPr>
                <w:color w:val="FFFFFF"/>
                <w:w w:val="105"/>
                <w:sz w:val="21"/>
              </w:rPr>
              <w:t>of</w:t>
            </w:r>
            <w:r>
              <w:rPr>
                <w:color w:val="FFFFFF"/>
                <w:w w:val="107"/>
                <w:sz w:val="21"/>
              </w:rPr>
              <w:t xml:space="preserve"> </w:t>
            </w:r>
            <w:r>
              <w:rPr>
                <w:color w:val="FFFFFF"/>
                <w:w w:val="105"/>
                <w:sz w:val="21"/>
              </w:rPr>
              <w:t>students</w:t>
            </w:r>
          </w:p>
        </w:tc>
        <w:tc>
          <w:tcPr>
            <w:tcW w:w="1290" w:type="dxa"/>
          </w:tcPr>
          <w:p w:rsidR="007733D5" w:rsidRDefault="007733D5" w:rsidP="00FE615D">
            <w:pPr>
              <w:rPr>
                <w:sz w:val="21"/>
                <w:szCs w:val="21"/>
              </w:rPr>
            </w:pPr>
            <w:r>
              <w:rPr>
                <w:color w:val="FFFFFF"/>
                <w:w w:val="105"/>
                <w:sz w:val="21"/>
              </w:rPr>
              <w:t>Percentage</w:t>
            </w:r>
            <w:r>
              <w:rPr>
                <w:color w:val="FFFFFF"/>
                <w:spacing w:val="-26"/>
                <w:w w:val="105"/>
                <w:sz w:val="21"/>
              </w:rPr>
              <w:t xml:space="preserve"> </w:t>
            </w:r>
            <w:r>
              <w:rPr>
                <w:color w:val="FFFFFF"/>
                <w:w w:val="105"/>
                <w:sz w:val="21"/>
              </w:rPr>
              <w:t>of</w:t>
            </w:r>
            <w:r>
              <w:rPr>
                <w:color w:val="FFFFFF"/>
                <w:w w:val="107"/>
                <w:sz w:val="21"/>
              </w:rPr>
              <w:t xml:space="preserve"> </w:t>
            </w:r>
            <w:r>
              <w:rPr>
                <w:color w:val="FFFFFF"/>
                <w:w w:val="105"/>
                <w:sz w:val="21"/>
              </w:rPr>
              <w:t>all</w:t>
            </w:r>
            <w:r>
              <w:rPr>
                <w:color w:val="FFFFFF"/>
                <w:spacing w:val="-5"/>
                <w:w w:val="105"/>
                <w:sz w:val="21"/>
              </w:rPr>
              <w:t xml:space="preserve"> </w:t>
            </w:r>
            <w:r>
              <w:rPr>
                <w:color w:val="FFFFFF"/>
                <w:w w:val="105"/>
                <w:sz w:val="21"/>
              </w:rPr>
              <w:t>students</w:t>
            </w:r>
          </w:p>
        </w:tc>
      </w:tr>
      <w:tr w:rsidR="007733D5" w:rsidTr="00911BD9">
        <w:trPr>
          <w:cnfStyle w:val="000000100000" w:firstRow="0" w:lastRow="0" w:firstColumn="0" w:lastColumn="0" w:oddVBand="0" w:evenVBand="0" w:oddHBand="1" w:evenHBand="0" w:firstRowFirstColumn="0" w:firstRowLastColumn="0" w:lastRowFirstColumn="0" w:lastRowLastColumn="0"/>
          <w:trHeight w:hRule="exact" w:val="503"/>
        </w:trPr>
        <w:tc>
          <w:tcPr>
            <w:tcW w:w="6944" w:type="dxa"/>
          </w:tcPr>
          <w:p w:rsidR="007733D5" w:rsidRPr="0058304B" w:rsidRDefault="007733D5" w:rsidP="00FE615D">
            <w:r w:rsidRPr="0058304B">
              <w:rPr>
                <w:w w:val="105"/>
              </w:rPr>
              <w:t>(A) Past higher education</w:t>
            </w:r>
            <w:r w:rsidRPr="0058304B">
              <w:rPr>
                <w:spacing w:val="13"/>
                <w:w w:val="105"/>
              </w:rPr>
              <w:t xml:space="preserve"> </w:t>
            </w:r>
            <w:r w:rsidRPr="0058304B">
              <w:rPr>
                <w:w w:val="105"/>
              </w:rPr>
              <w:t>study</w:t>
            </w:r>
          </w:p>
          <w:p w:rsidR="007733D5" w:rsidRPr="0058304B" w:rsidRDefault="007733D5" w:rsidP="00FE615D">
            <w:pPr>
              <w:rPr>
                <w:rFonts w:eastAsia="Lucida Sans Unicode" w:cs="Lucida Sans Unicode"/>
                <w:sz w:val="20"/>
                <w:szCs w:val="20"/>
              </w:rPr>
            </w:pPr>
            <w:r w:rsidRPr="0058304B">
              <w:rPr>
                <w:w w:val="75"/>
                <w:sz w:val="20"/>
                <w:szCs w:val="20"/>
              </w:rPr>
              <w:t>(includes a bridging or enabling</w:t>
            </w:r>
            <w:r w:rsidRPr="0058304B">
              <w:rPr>
                <w:spacing w:val="-22"/>
                <w:w w:val="75"/>
                <w:sz w:val="20"/>
                <w:szCs w:val="20"/>
              </w:rPr>
              <w:t xml:space="preserve"> </w:t>
            </w:r>
            <w:r w:rsidRPr="0058304B">
              <w:rPr>
                <w:w w:val="75"/>
                <w:sz w:val="20"/>
                <w:szCs w:val="20"/>
              </w:rPr>
              <w:t>course)</w:t>
            </w:r>
          </w:p>
        </w:tc>
        <w:tc>
          <w:tcPr>
            <w:tcW w:w="1290" w:type="dxa"/>
          </w:tcPr>
          <w:p w:rsidR="007733D5" w:rsidRPr="0058304B" w:rsidRDefault="0080189A" w:rsidP="00FE615D">
            <w:r>
              <w:rPr>
                <w:w w:val="105"/>
              </w:rPr>
              <w:t>126</w:t>
            </w:r>
          </w:p>
        </w:tc>
        <w:tc>
          <w:tcPr>
            <w:tcW w:w="1290" w:type="dxa"/>
          </w:tcPr>
          <w:p w:rsidR="007733D5" w:rsidRPr="0058304B" w:rsidRDefault="0080189A" w:rsidP="00FE615D">
            <w:r>
              <w:t>30.1</w:t>
            </w:r>
            <w:r w:rsidR="007733D5" w:rsidRPr="0058304B">
              <w:t>%</w:t>
            </w:r>
          </w:p>
        </w:tc>
      </w:tr>
      <w:tr w:rsidR="007733D5" w:rsidTr="00911BD9">
        <w:trPr>
          <w:cnfStyle w:val="000000010000" w:firstRow="0" w:lastRow="0" w:firstColumn="0" w:lastColumn="0" w:oddVBand="0" w:evenVBand="0" w:oddHBand="0" w:evenHBand="1" w:firstRowFirstColumn="0" w:firstRowLastColumn="0" w:lastRowFirstColumn="0" w:lastRowLastColumn="0"/>
          <w:trHeight w:val="360"/>
        </w:trPr>
        <w:tc>
          <w:tcPr>
            <w:tcW w:w="6944" w:type="dxa"/>
          </w:tcPr>
          <w:p w:rsidR="007733D5" w:rsidRPr="0058304B" w:rsidRDefault="007733D5" w:rsidP="00FE615D">
            <w:r w:rsidRPr="0058304B">
              <w:rPr>
                <w:w w:val="105"/>
              </w:rPr>
              <w:t>(B) Past vocational education and training (VET)</w:t>
            </w:r>
            <w:r w:rsidRPr="0058304B">
              <w:rPr>
                <w:spacing w:val="3"/>
                <w:w w:val="105"/>
              </w:rPr>
              <w:t xml:space="preserve"> </w:t>
            </w:r>
            <w:r w:rsidRPr="0058304B">
              <w:rPr>
                <w:w w:val="105"/>
              </w:rPr>
              <w:t>study</w:t>
            </w:r>
          </w:p>
        </w:tc>
        <w:tc>
          <w:tcPr>
            <w:tcW w:w="1290" w:type="dxa"/>
          </w:tcPr>
          <w:p w:rsidR="007733D5" w:rsidRPr="0058304B" w:rsidRDefault="007733D5" w:rsidP="00FE615D">
            <w:r w:rsidRPr="0058304B">
              <w:rPr>
                <w:w w:val="105"/>
              </w:rPr>
              <w:t>35</w:t>
            </w:r>
          </w:p>
        </w:tc>
        <w:tc>
          <w:tcPr>
            <w:tcW w:w="1290" w:type="dxa"/>
          </w:tcPr>
          <w:p w:rsidR="007733D5" w:rsidRPr="0058304B" w:rsidRDefault="007733D5" w:rsidP="00FE615D">
            <w:r w:rsidRPr="0058304B">
              <w:t>8.4%</w:t>
            </w:r>
          </w:p>
        </w:tc>
      </w:tr>
      <w:tr w:rsidR="007733D5" w:rsidTr="00911BD9">
        <w:trPr>
          <w:cnfStyle w:val="000000100000" w:firstRow="0" w:lastRow="0" w:firstColumn="0" w:lastColumn="0" w:oddVBand="0" w:evenVBand="0" w:oddHBand="1" w:evenHBand="0" w:firstRowFirstColumn="0" w:firstRowLastColumn="0" w:lastRowFirstColumn="0" w:lastRowLastColumn="0"/>
          <w:trHeight w:hRule="exact" w:val="491"/>
        </w:trPr>
        <w:tc>
          <w:tcPr>
            <w:tcW w:w="6944" w:type="dxa"/>
          </w:tcPr>
          <w:p w:rsidR="007733D5" w:rsidRPr="0058304B" w:rsidRDefault="007733D5" w:rsidP="00FE615D">
            <w:r w:rsidRPr="0058304B">
              <w:rPr>
                <w:w w:val="105"/>
              </w:rPr>
              <w:t>(C) Work and life</w:t>
            </w:r>
            <w:r w:rsidRPr="0058304B">
              <w:rPr>
                <w:spacing w:val="-9"/>
                <w:w w:val="105"/>
              </w:rPr>
              <w:t xml:space="preserve"> </w:t>
            </w:r>
            <w:r w:rsidRPr="0058304B">
              <w:rPr>
                <w:w w:val="105"/>
              </w:rPr>
              <w:t>experience</w:t>
            </w:r>
          </w:p>
          <w:p w:rsidR="007733D5" w:rsidRPr="0058304B" w:rsidRDefault="007733D5" w:rsidP="00FE615D">
            <w:pPr>
              <w:rPr>
                <w:rFonts w:eastAsia="Lucida Sans Unicode" w:cs="Lucida Sans Unicode"/>
                <w:sz w:val="20"/>
                <w:szCs w:val="20"/>
              </w:rPr>
            </w:pPr>
            <w:r w:rsidRPr="0058304B">
              <w:rPr>
                <w:w w:val="75"/>
                <w:sz w:val="20"/>
                <w:szCs w:val="20"/>
              </w:rPr>
              <w:t>(Admitted on the basis of previous achievement not in the other three</w:t>
            </w:r>
            <w:r w:rsidRPr="0058304B">
              <w:rPr>
                <w:spacing w:val="-29"/>
                <w:w w:val="75"/>
                <w:sz w:val="20"/>
                <w:szCs w:val="20"/>
              </w:rPr>
              <w:t xml:space="preserve"> </w:t>
            </w:r>
            <w:r w:rsidRPr="0058304B">
              <w:rPr>
                <w:w w:val="75"/>
                <w:sz w:val="20"/>
                <w:szCs w:val="20"/>
              </w:rPr>
              <w:t>categories)</w:t>
            </w:r>
          </w:p>
        </w:tc>
        <w:tc>
          <w:tcPr>
            <w:tcW w:w="1290" w:type="dxa"/>
          </w:tcPr>
          <w:p w:rsidR="007733D5" w:rsidRPr="0058304B" w:rsidRDefault="007733D5" w:rsidP="00FE615D">
            <w:pPr>
              <w:rPr>
                <w:rFonts w:eastAsia="Lucida Sans Unicode" w:cs="Lucida Sans Unicode"/>
              </w:rPr>
            </w:pPr>
            <w:r w:rsidRPr="0058304B">
              <w:rPr>
                <w:w w:val="90"/>
              </w:rPr>
              <w:t>N/P</w:t>
            </w:r>
          </w:p>
        </w:tc>
        <w:tc>
          <w:tcPr>
            <w:tcW w:w="1290" w:type="dxa"/>
          </w:tcPr>
          <w:p w:rsidR="007733D5" w:rsidRPr="0058304B" w:rsidRDefault="007733D5" w:rsidP="00FE615D">
            <w:pPr>
              <w:rPr>
                <w:rFonts w:eastAsia="Lucida Sans Unicode" w:cs="Lucida Sans Unicode"/>
              </w:rPr>
            </w:pPr>
            <w:r w:rsidRPr="0058304B">
              <w:rPr>
                <w:w w:val="90"/>
              </w:rPr>
              <w:t>N/P</w:t>
            </w:r>
          </w:p>
        </w:tc>
      </w:tr>
      <w:tr w:rsidR="007733D5" w:rsidTr="00911BD9">
        <w:trPr>
          <w:cnfStyle w:val="000000010000" w:firstRow="0" w:lastRow="0" w:firstColumn="0" w:lastColumn="0" w:oddVBand="0" w:evenVBand="0" w:oddHBand="0" w:evenHBand="1" w:firstRowFirstColumn="0" w:firstRowLastColumn="0" w:lastRowFirstColumn="0" w:lastRowLastColumn="0"/>
          <w:trHeight w:hRule="exact" w:val="1538"/>
        </w:trPr>
        <w:tc>
          <w:tcPr>
            <w:tcW w:w="6944" w:type="dxa"/>
          </w:tcPr>
          <w:p w:rsidR="007733D5" w:rsidRPr="0058304B" w:rsidRDefault="007733D5" w:rsidP="00FE615D">
            <w:r w:rsidRPr="0058304B">
              <w:rPr>
                <w:w w:val="105"/>
              </w:rPr>
              <w:t>(D) Recent secondary</w:t>
            </w:r>
            <w:r w:rsidRPr="0058304B">
              <w:rPr>
                <w:spacing w:val="5"/>
                <w:w w:val="105"/>
              </w:rPr>
              <w:t xml:space="preserve"> </w:t>
            </w:r>
            <w:r w:rsidRPr="0058304B">
              <w:rPr>
                <w:w w:val="105"/>
              </w:rPr>
              <w:t>education:</w:t>
            </w:r>
          </w:p>
          <w:p w:rsidR="007733D5" w:rsidRPr="0058304B" w:rsidRDefault="007733D5" w:rsidP="00FE615D">
            <w:pPr>
              <w:pStyle w:val="ListBullet"/>
              <w:rPr>
                <w:rFonts w:eastAsia="Lucida Sans Unicode" w:cs="Lucida Sans Unicode"/>
              </w:rPr>
            </w:pPr>
            <w:r w:rsidRPr="00FE615D">
              <w:t>Admitted solely on the basis of ATAR</w:t>
            </w:r>
            <w:r w:rsidRPr="00FE615D">
              <w:br/>
              <w:t>(regardless of whether this includes the impact of adjustment factors such as equity</w:t>
            </w:r>
            <w:r w:rsidRPr="00911BD9">
              <w:t xml:space="preserve"> or subject bonus points)</w:t>
            </w:r>
          </w:p>
        </w:tc>
        <w:tc>
          <w:tcPr>
            <w:tcW w:w="1290" w:type="dxa"/>
          </w:tcPr>
          <w:p w:rsidR="007733D5" w:rsidRPr="0058304B" w:rsidRDefault="007733D5" w:rsidP="00FE615D">
            <w:r w:rsidRPr="0058304B">
              <w:rPr>
                <w:w w:val="105"/>
              </w:rPr>
              <w:t>153</w:t>
            </w:r>
          </w:p>
        </w:tc>
        <w:tc>
          <w:tcPr>
            <w:tcW w:w="1290" w:type="dxa"/>
          </w:tcPr>
          <w:p w:rsidR="007733D5" w:rsidRPr="0058304B" w:rsidRDefault="007733D5" w:rsidP="00FE615D">
            <w:r w:rsidRPr="0058304B">
              <w:t>36.6%</w:t>
            </w:r>
          </w:p>
        </w:tc>
      </w:tr>
      <w:tr w:rsidR="007733D5" w:rsidTr="00911BD9">
        <w:trPr>
          <w:cnfStyle w:val="000000100000" w:firstRow="0" w:lastRow="0" w:firstColumn="0" w:lastColumn="0" w:oddVBand="0" w:evenVBand="0" w:oddHBand="1" w:evenHBand="0" w:firstRowFirstColumn="0" w:firstRowLastColumn="0" w:lastRowFirstColumn="0" w:lastRowLastColumn="0"/>
          <w:trHeight w:hRule="exact" w:val="1087"/>
        </w:trPr>
        <w:tc>
          <w:tcPr>
            <w:tcW w:w="6944" w:type="dxa"/>
          </w:tcPr>
          <w:p w:rsidR="007733D5" w:rsidRPr="0058304B" w:rsidRDefault="007733D5" w:rsidP="00FE615D">
            <w:pPr>
              <w:pStyle w:val="ListBullet"/>
              <w:rPr>
                <w:rFonts w:eastAsia="Lucida Sans Unicode" w:cs="Lucida Sans Unicode"/>
              </w:rPr>
            </w:pPr>
            <w:r w:rsidRPr="00FE615D">
              <w:t>Admitted where both ATAR and additional criteria</w:t>
            </w:r>
            <w:r w:rsidRPr="00BC581F">
              <w:rPr>
                <w:w w:val="85"/>
              </w:rPr>
              <w:t xml:space="preserve"> </w:t>
            </w:r>
            <w:r w:rsidRPr="00FE615D">
              <w:t>were considered</w:t>
            </w:r>
            <w:r w:rsidRPr="00FE615D">
              <w:br/>
              <w:t>(e.g. portfolio, audition, extra test, early offer conditional on minimum ATAR)</w:t>
            </w:r>
          </w:p>
        </w:tc>
        <w:tc>
          <w:tcPr>
            <w:tcW w:w="1290" w:type="dxa"/>
          </w:tcPr>
          <w:p w:rsidR="007733D5" w:rsidRPr="0058304B" w:rsidRDefault="007733D5" w:rsidP="00FE615D">
            <w:pPr>
              <w:rPr>
                <w:rFonts w:eastAsia="Lucida Sans Unicode" w:cs="Lucida Sans Unicode"/>
              </w:rPr>
            </w:pPr>
            <w:r w:rsidRPr="0058304B">
              <w:rPr>
                <w:w w:val="75"/>
              </w:rPr>
              <w:t>0</w:t>
            </w:r>
          </w:p>
        </w:tc>
        <w:tc>
          <w:tcPr>
            <w:tcW w:w="1290" w:type="dxa"/>
          </w:tcPr>
          <w:p w:rsidR="007733D5" w:rsidRPr="0058304B" w:rsidRDefault="007733D5" w:rsidP="00FE615D">
            <w:r w:rsidRPr="0058304B">
              <w:t>0%</w:t>
            </w:r>
          </w:p>
        </w:tc>
      </w:tr>
      <w:tr w:rsidR="007733D5" w:rsidTr="00911BD9">
        <w:trPr>
          <w:cnfStyle w:val="000000010000" w:firstRow="0" w:lastRow="0" w:firstColumn="0" w:lastColumn="0" w:oddVBand="0" w:evenVBand="0" w:oddHBand="0" w:evenHBand="1" w:firstRowFirstColumn="0" w:firstRowLastColumn="0" w:lastRowFirstColumn="0" w:lastRowLastColumn="0"/>
          <w:trHeight w:hRule="exact" w:val="1126"/>
        </w:trPr>
        <w:tc>
          <w:tcPr>
            <w:tcW w:w="6944" w:type="dxa"/>
          </w:tcPr>
          <w:p w:rsidR="007733D5" w:rsidRPr="00BC581F" w:rsidRDefault="007733D5" w:rsidP="00FE615D">
            <w:pPr>
              <w:pStyle w:val="ListBullet"/>
              <w:rPr>
                <w:w w:val="85"/>
              </w:rPr>
            </w:pPr>
            <w:r w:rsidRPr="00FE615D">
              <w:t>Admitted on the basis of other criteria only and ATAR was not a factor</w:t>
            </w:r>
            <w:r w:rsidRPr="00FE615D">
              <w:br/>
              <w:t>(e.g. special consideration, audition alone, schools recommendation with no minimum ATAR)</w:t>
            </w:r>
          </w:p>
        </w:tc>
        <w:tc>
          <w:tcPr>
            <w:tcW w:w="1290" w:type="dxa"/>
          </w:tcPr>
          <w:p w:rsidR="007733D5" w:rsidRPr="0058304B" w:rsidRDefault="007733D5" w:rsidP="00FE615D">
            <w:r w:rsidRPr="0058304B">
              <w:rPr>
                <w:w w:val="105"/>
              </w:rPr>
              <w:t>&lt;5</w:t>
            </w:r>
          </w:p>
        </w:tc>
        <w:tc>
          <w:tcPr>
            <w:tcW w:w="1290" w:type="dxa"/>
          </w:tcPr>
          <w:p w:rsidR="007733D5" w:rsidRPr="0058304B" w:rsidRDefault="007733D5" w:rsidP="00FE615D">
            <w:r w:rsidRPr="0058304B">
              <w:rPr>
                <w:w w:val="105"/>
              </w:rPr>
              <w:t>&lt;5</w:t>
            </w:r>
          </w:p>
        </w:tc>
      </w:tr>
      <w:tr w:rsidR="007733D5" w:rsidTr="00911BD9">
        <w:trPr>
          <w:cnfStyle w:val="000000100000" w:firstRow="0" w:lastRow="0" w:firstColumn="0" w:lastColumn="0" w:oddVBand="0" w:evenVBand="0" w:oddHBand="1" w:evenHBand="0" w:firstRowFirstColumn="0" w:firstRowLastColumn="0" w:lastRowFirstColumn="0" w:lastRowLastColumn="0"/>
          <w:trHeight w:val="387"/>
        </w:trPr>
        <w:tc>
          <w:tcPr>
            <w:tcW w:w="6944" w:type="dxa"/>
          </w:tcPr>
          <w:p w:rsidR="007733D5" w:rsidRPr="0058304B" w:rsidRDefault="007733D5" w:rsidP="00FE615D">
            <w:r w:rsidRPr="0058304B">
              <w:rPr>
                <w:w w:val="110"/>
              </w:rPr>
              <w:t>International</w:t>
            </w:r>
            <w:r w:rsidRPr="0058304B">
              <w:rPr>
                <w:spacing w:val="-32"/>
                <w:w w:val="110"/>
              </w:rPr>
              <w:t xml:space="preserve"> </w:t>
            </w:r>
            <w:r w:rsidRPr="0058304B">
              <w:rPr>
                <w:w w:val="110"/>
              </w:rPr>
              <w:t>students</w:t>
            </w:r>
          </w:p>
        </w:tc>
        <w:tc>
          <w:tcPr>
            <w:tcW w:w="1290" w:type="dxa"/>
          </w:tcPr>
          <w:p w:rsidR="007733D5" w:rsidRPr="0058304B" w:rsidRDefault="007733D5" w:rsidP="00FE615D">
            <w:pPr>
              <w:rPr>
                <w:rFonts w:eastAsia="Lucida Sans Unicode" w:cs="Lucida Sans Unicode"/>
              </w:rPr>
            </w:pPr>
            <w:r w:rsidRPr="0058304B">
              <w:rPr>
                <w:w w:val="85"/>
              </w:rPr>
              <w:t>90</w:t>
            </w:r>
          </w:p>
        </w:tc>
        <w:tc>
          <w:tcPr>
            <w:tcW w:w="1290" w:type="dxa"/>
          </w:tcPr>
          <w:p w:rsidR="007733D5" w:rsidRPr="0058304B" w:rsidRDefault="007733D5" w:rsidP="00FE615D">
            <w:r w:rsidRPr="0058304B">
              <w:t>21.5%</w:t>
            </w:r>
          </w:p>
        </w:tc>
      </w:tr>
      <w:tr w:rsidR="007733D5" w:rsidRPr="00882255" w:rsidTr="00911BD9">
        <w:trPr>
          <w:cnfStyle w:val="000000010000" w:firstRow="0" w:lastRow="0" w:firstColumn="0" w:lastColumn="0" w:oddVBand="0" w:evenVBand="0" w:oddHBand="0" w:evenHBand="1" w:firstRowFirstColumn="0" w:firstRowLastColumn="0" w:lastRowFirstColumn="0" w:lastRowLastColumn="0"/>
          <w:trHeight w:hRule="exact" w:val="622"/>
        </w:trPr>
        <w:tc>
          <w:tcPr>
            <w:tcW w:w="6944" w:type="dxa"/>
          </w:tcPr>
          <w:p w:rsidR="007733D5" w:rsidRPr="00882255" w:rsidRDefault="007733D5" w:rsidP="00FE615D">
            <w:pPr>
              <w:rPr>
                <w:rFonts w:eastAsia="Gill Sans MT" w:cs="Gill Sans MT"/>
                <w:b/>
              </w:rPr>
            </w:pPr>
            <w:r w:rsidRPr="00882255">
              <w:rPr>
                <w:b/>
                <w:i/>
                <w:w w:val="110"/>
              </w:rPr>
              <w:t>All</w:t>
            </w:r>
            <w:r w:rsidRPr="00882255">
              <w:rPr>
                <w:b/>
                <w:i/>
                <w:spacing w:val="-37"/>
                <w:w w:val="110"/>
              </w:rPr>
              <w:t xml:space="preserve"> </w:t>
            </w:r>
            <w:r w:rsidRPr="00882255">
              <w:rPr>
                <w:b/>
                <w:i/>
                <w:w w:val="110"/>
              </w:rPr>
              <w:t>students</w:t>
            </w:r>
          </w:p>
        </w:tc>
        <w:tc>
          <w:tcPr>
            <w:tcW w:w="1290" w:type="dxa"/>
          </w:tcPr>
          <w:p w:rsidR="007733D5" w:rsidRPr="00882255" w:rsidRDefault="007733D5" w:rsidP="00FE615D">
            <w:pPr>
              <w:rPr>
                <w:rFonts w:eastAsia="Gill Sans MT" w:cs="Gill Sans MT"/>
                <w:b/>
              </w:rPr>
            </w:pPr>
            <w:r w:rsidRPr="00882255">
              <w:rPr>
                <w:b/>
                <w:i/>
              </w:rPr>
              <w:t>418</w:t>
            </w:r>
          </w:p>
        </w:tc>
        <w:tc>
          <w:tcPr>
            <w:tcW w:w="1290" w:type="dxa"/>
          </w:tcPr>
          <w:p w:rsidR="007733D5" w:rsidRPr="00882255" w:rsidRDefault="007733D5" w:rsidP="00FE615D">
            <w:pPr>
              <w:rPr>
                <w:rFonts w:eastAsia="Gill Sans MT" w:cs="Gill Sans MT"/>
                <w:b/>
              </w:rPr>
            </w:pPr>
            <w:r w:rsidRPr="00882255">
              <w:rPr>
                <w:b/>
                <w:i/>
              </w:rPr>
              <w:t>100.0%</w:t>
            </w:r>
          </w:p>
        </w:tc>
      </w:tr>
    </w:tbl>
    <w:p w:rsidR="007733D5" w:rsidRPr="004660A1" w:rsidRDefault="007733D5" w:rsidP="00911BD9">
      <w:pPr>
        <w:pStyle w:val="SourceImageCaption"/>
      </w:pPr>
      <w:r w:rsidRPr="004660A1">
        <w:t xml:space="preserve">Notes: </w:t>
      </w:r>
      <w:r>
        <w:tab/>
      </w:r>
      <w:r w:rsidRPr="004660A1">
        <w:t xml:space="preserve">“&lt;5” – the number of students is less than </w:t>
      </w:r>
      <w:proofErr w:type="gramStart"/>
      <w:r w:rsidRPr="004660A1">
        <w:t>5</w:t>
      </w:r>
      <w:proofErr w:type="gramEnd"/>
    </w:p>
    <w:p w:rsidR="007733D5" w:rsidRPr="004660A1" w:rsidRDefault="007733D5" w:rsidP="00911BD9">
      <w:pPr>
        <w:pStyle w:val="SourceImageCaption"/>
      </w:pPr>
      <w:r w:rsidRPr="004660A1">
        <w:lastRenderedPageBreak/>
        <w:t>N/A – Students not accepted in this category</w:t>
      </w:r>
    </w:p>
    <w:p w:rsidR="007733D5" w:rsidRDefault="007733D5" w:rsidP="00911BD9">
      <w:pPr>
        <w:pStyle w:val="SourceImageCaption"/>
      </w:pPr>
      <w:r w:rsidRPr="004660A1">
        <w:t xml:space="preserve">N/P – Not published: the number is hidden to prevent calculation of numbers in cells with less than </w:t>
      </w:r>
      <w:proofErr w:type="gramStart"/>
      <w:r w:rsidRPr="004660A1">
        <w:t>5</w:t>
      </w:r>
      <w:proofErr w:type="gramEnd"/>
      <w:r w:rsidRPr="004660A1">
        <w:t xml:space="preserve"> students.</w:t>
      </w:r>
    </w:p>
    <w:p w:rsidR="00FE615D" w:rsidRPr="00D6691F" w:rsidRDefault="00FE615D" w:rsidP="00FE615D">
      <w:pPr>
        <w:pStyle w:val="Heading1"/>
      </w:pPr>
      <w:r w:rsidRPr="00D6691F">
        <w:t>New national admissions information hub</w:t>
      </w:r>
    </w:p>
    <w:p w:rsidR="00FE615D" w:rsidRPr="00D6691F" w:rsidRDefault="00FE615D" w:rsidP="00FE615D">
      <w:r w:rsidRPr="00D6691F">
        <w:t>Later in 2018</w:t>
      </w:r>
      <w:r w:rsidR="00D0514E">
        <w:t>,</w:t>
      </w:r>
      <w:r w:rsidRPr="00D6691F">
        <w:t xml:space="preserve"> a new website will be launched that will bring together, in one place, relevant admission information for undergraduate courses across Australia. You will be able to research and compare the admission requirements and processes for </w:t>
      </w:r>
      <w:r w:rsidR="00D46C4E">
        <w:t>many</w:t>
      </w:r>
      <w:r w:rsidRPr="00D6691F">
        <w:t xml:space="preserve"> Australian higher education providers in one place.</w:t>
      </w:r>
    </w:p>
    <w:p w:rsidR="00FE615D" w:rsidRPr="00D6691F" w:rsidRDefault="00FE615D" w:rsidP="00FE615D">
      <w:r w:rsidRPr="00D6691F">
        <w:t>You will be able to select up to six different courses at once across different providers and directly compare the key entry requirements and other information, including the likely ATAR required for entry</w:t>
      </w:r>
      <w:r w:rsidR="00927248">
        <w:t xml:space="preserve">, </w:t>
      </w:r>
      <w:r w:rsidRPr="00D6691F">
        <w:t>where relevant. The first release in late 2018 will just be the start. Over time</w:t>
      </w:r>
      <w:r w:rsidR="00D0514E">
        <w:t>,</w:t>
      </w:r>
      <w:r w:rsidRPr="00D6691F">
        <w:t xml:space="preserve"> the new information hub will grow to include more </w:t>
      </w:r>
      <w:proofErr w:type="gramStart"/>
      <w:r w:rsidRPr="00D6691F">
        <w:t>types</w:t>
      </w:r>
      <w:proofErr w:type="gramEnd"/>
      <w:r w:rsidRPr="00D6691F">
        <w:t xml:space="preserve"> information and additional features.</w:t>
      </w:r>
    </w:p>
    <w:p w:rsidR="00FE615D" w:rsidRPr="00D6691F" w:rsidRDefault="00FE615D" w:rsidP="0009770A">
      <w:pPr>
        <w:pStyle w:val="Heading1"/>
      </w:pPr>
      <w:r w:rsidRPr="00D6691F">
        <w:t>Where can I get further help or advice?</w:t>
      </w:r>
    </w:p>
    <w:p w:rsidR="00541400" w:rsidRPr="00541400" w:rsidRDefault="00FE615D" w:rsidP="00F112E5">
      <w:pPr>
        <w:pStyle w:val="ListBullet"/>
        <w:rPr>
          <w:rStyle w:val="Hyperlink"/>
          <w:color w:val="auto"/>
          <w:u w:val="none"/>
        </w:rPr>
      </w:pPr>
      <w:r w:rsidRPr="00D6691F">
        <w:t xml:space="preserve">General information on the changes is available at </w:t>
      </w:r>
      <w:hyperlink r:id="rId10" w:history="1">
        <w:r w:rsidR="00541400" w:rsidRPr="00A91EEC">
          <w:rPr>
            <w:rStyle w:val="Hyperlink"/>
          </w:rPr>
          <w:t>https://www.education.gov.au/admissions-transparency-implementation-working-group-0</w:t>
        </w:r>
      </w:hyperlink>
      <w:r w:rsidR="00541400">
        <w:rPr>
          <w:rStyle w:val="Hyperlink"/>
          <w:u w:val="none"/>
        </w:rPr>
        <w:t>.</w:t>
      </w:r>
    </w:p>
    <w:p w:rsidR="00FE615D" w:rsidRPr="00D6691F" w:rsidRDefault="00FE615D" w:rsidP="00F112E5">
      <w:pPr>
        <w:pStyle w:val="ListBullet"/>
      </w:pPr>
      <w:r w:rsidRPr="00D6691F">
        <w:t xml:space="preserve">Check out these websites: </w:t>
      </w:r>
      <w:hyperlink r:id="rId11" w:history="1">
        <w:r w:rsidRPr="00D6691F">
          <w:rPr>
            <w:rStyle w:val="Hyperlink"/>
          </w:rPr>
          <w:t>www.myfuture.edu.au</w:t>
        </w:r>
      </w:hyperlink>
      <w:r w:rsidRPr="00D6691F">
        <w:t xml:space="preserve"> for career assistance, </w:t>
      </w:r>
      <w:hyperlink r:id="rId12" w:history="1">
        <w:r w:rsidRPr="00D6691F">
          <w:rPr>
            <w:rStyle w:val="Hyperlink"/>
          </w:rPr>
          <w:t>www.qilt.edu.au</w:t>
        </w:r>
      </w:hyperlink>
      <w:r w:rsidRPr="00D6691F">
        <w:t xml:space="preserve"> to compare experiences of past students, </w:t>
      </w:r>
      <w:hyperlink r:id="rId13" w:history="1">
        <w:r w:rsidRPr="00D6691F">
          <w:rPr>
            <w:rStyle w:val="Hyperlink"/>
          </w:rPr>
          <w:t>www.studyassist.gov.au</w:t>
        </w:r>
      </w:hyperlink>
      <w:r w:rsidRPr="00D6691F">
        <w:t xml:space="preserve"> for information on financing your tertiary study</w:t>
      </w:r>
    </w:p>
    <w:p w:rsidR="00FE615D" w:rsidRPr="00D6691F" w:rsidRDefault="00FE615D" w:rsidP="00FE615D">
      <w:pPr>
        <w:pStyle w:val="ListBullet"/>
      </w:pPr>
      <w:r w:rsidRPr="00D6691F">
        <w:t>Contact any university or higher education provider admissions office directly about course options and career opportunities.</w:t>
      </w:r>
    </w:p>
    <w:p w:rsidR="00FE615D" w:rsidRPr="00D6691F" w:rsidRDefault="00FE615D" w:rsidP="0009770A">
      <w:pPr>
        <w:pStyle w:val="Heading2"/>
      </w:pPr>
      <w:r w:rsidRPr="00D6691F">
        <w:t>Where can I get help if I am an international or postgraduate student?</w:t>
      </w:r>
    </w:p>
    <w:p w:rsidR="00FE615D" w:rsidRPr="00D6691F" w:rsidRDefault="00FE615D" w:rsidP="00FE615D">
      <w:r w:rsidRPr="00D6691F">
        <w:t xml:space="preserve">For information on how these changes will affect you, please contact the admissions staff at the relevant Tertiary Admission Centre or higher education institution you wish to apply </w:t>
      </w:r>
      <w:proofErr w:type="gramStart"/>
      <w:r w:rsidRPr="00D6691F">
        <w:t>to</w:t>
      </w:r>
      <w:proofErr w:type="gramEnd"/>
      <w:r w:rsidRPr="00D6691F">
        <w:t>.</w:t>
      </w:r>
    </w:p>
    <w:p w:rsidR="00FE615D" w:rsidRDefault="00FE615D" w:rsidP="007733D5">
      <w:pPr>
        <w:contextualSpacing/>
      </w:pPr>
    </w:p>
    <w:p w:rsidR="009F2F0C" w:rsidRPr="00A82BDB" w:rsidRDefault="009F2F0C" w:rsidP="002678F4">
      <w:pPr>
        <w:pStyle w:val="Normal-AfterTableFigure"/>
      </w:pPr>
    </w:p>
    <w:sectPr w:rsidR="009F2F0C" w:rsidRPr="00A82BDB" w:rsidSect="00C7023A">
      <w:type w:val="continuous"/>
      <w:pgSz w:w="11906" w:h="16838"/>
      <w:pgMar w:top="1134" w:right="1134" w:bottom="1134" w:left="1134" w:header="680" w:footer="22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F03" w:rsidRDefault="00235F03" w:rsidP="00EE7FDA">
      <w:pPr>
        <w:spacing w:after="0" w:line="240" w:lineRule="auto"/>
      </w:pPr>
      <w:r>
        <w:separator/>
      </w:r>
    </w:p>
  </w:endnote>
  <w:endnote w:type="continuationSeparator" w:id="0">
    <w:p w:rsidR="00235F03" w:rsidRDefault="00235F03" w:rsidP="00EE7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DA" w:rsidRDefault="00871DA4">
    <w:pPr>
      <w:pStyle w:val="Footer"/>
    </w:pPr>
    <w:r>
      <w:rPr>
        <w:noProof/>
        <w:lang w:eastAsia="en-AU"/>
      </w:rPr>
      <w:drawing>
        <wp:anchor distT="0" distB="0" distL="114300" distR="114300" simplePos="0" relativeHeight="251658240" behindDoc="1" locked="0" layoutInCell="1" allowOverlap="1">
          <wp:simplePos x="0" y="0"/>
          <wp:positionH relativeFrom="page">
            <wp:align>right</wp:align>
          </wp:positionH>
          <wp:positionV relativeFrom="page">
            <wp:posOffset>9087485</wp:posOffset>
          </wp:positionV>
          <wp:extent cx="7560000" cy="1573200"/>
          <wp:effectExtent l="0" t="0" r="3175" b="8255"/>
          <wp:wrapNone/>
          <wp:docPr id="23" name="Picture 2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D18-0133 - HE - IWG Comms Strategy documents_Word Template_Foote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7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F03" w:rsidRDefault="00235F03" w:rsidP="00D105E6">
      <w:pPr>
        <w:spacing w:after="60" w:line="240" w:lineRule="auto"/>
      </w:pPr>
      <w:r>
        <w:separator/>
      </w:r>
    </w:p>
  </w:footnote>
  <w:footnote w:type="continuationSeparator" w:id="0">
    <w:p w:rsidR="00235F03" w:rsidRDefault="00235F03" w:rsidP="00EE7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DE87914"/>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1B58880C"/>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31AB0BE"/>
    <w:lvl w:ilvl="0">
      <w:start w:val="1"/>
      <w:numFmt w:val="decimal"/>
      <w:lvlText w:val="%1."/>
      <w:lvlJc w:val="left"/>
      <w:pPr>
        <w:tabs>
          <w:tab w:val="num" w:pos="643"/>
        </w:tabs>
        <w:ind w:left="643" w:hanging="360"/>
      </w:pPr>
    </w:lvl>
  </w:abstractNum>
  <w:abstractNum w:abstractNumId="3" w15:restartNumberingAfterBreak="0">
    <w:nsid w:val="FFFFFF81"/>
    <w:multiLevelType w:val="singleLevel"/>
    <w:tmpl w:val="56A0C43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0EC04D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0E88FD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720D48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A942D5C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CE1212"/>
    <w:multiLevelType w:val="multilevel"/>
    <w:tmpl w:val="13003D80"/>
    <w:numStyleLink w:val="RSCBNumberList1"/>
  </w:abstractNum>
  <w:abstractNum w:abstractNumId="9" w15:restartNumberingAfterBreak="0">
    <w:nsid w:val="0BE176C9"/>
    <w:multiLevelType w:val="multilevel"/>
    <w:tmpl w:val="11A8BA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18E18E5"/>
    <w:multiLevelType w:val="multilevel"/>
    <w:tmpl w:val="13003D80"/>
    <w:numStyleLink w:val="RSCBNumberList1"/>
  </w:abstractNum>
  <w:abstractNum w:abstractNumId="11" w15:restartNumberingAfterBreak="0">
    <w:nsid w:val="123E0A03"/>
    <w:multiLevelType w:val="multilevel"/>
    <w:tmpl w:val="13003D80"/>
    <w:numStyleLink w:val="RSCBNumberList1"/>
  </w:abstractNum>
  <w:abstractNum w:abstractNumId="12" w15:restartNumberingAfterBreak="0">
    <w:nsid w:val="13CE6DD1"/>
    <w:multiLevelType w:val="multilevel"/>
    <w:tmpl w:val="13003D80"/>
    <w:numStyleLink w:val="RSCBNumberList1"/>
  </w:abstractNum>
  <w:abstractNum w:abstractNumId="13" w15:restartNumberingAfterBreak="0">
    <w:nsid w:val="14787F8A"/>
    <w:multiLevelType w:val="multilevel"/>
    <w:tmpl w:val="13003D80"/>
    <w:numStyleLink w:val="RSCBNumberList1"/>
  </w:abstractNum>
  <w:abstractNum w:abstractNumId="14" w15:restartNumberingAfterBreak="0">
    <w:nsid w:val="172935CE"/>
    <w:multiLevelType w:val="multilevel"/>
    <w:tmpl w:val="13003D80"/>
    <w:numStyleLink w:val="RSCBNumberList1"/>
  </w:abstractNum>
  <w:abstractNum w:abstractNumId="15" w15:restartNumberingAfterBreak="0">
    <w:nsid w:val="183B3472"/>
    <w:multiLevelType w:val="multilevel"/>
    <w:tmpl w:val="13003D80"/>
    <w:numStyleLink w:val="RSCBNumberList1"/>
  </w:abstractNum>
  <w:abstractNum w:abstractNumId="16" w15:restartNumberingAfterBreak="0">
    <w:nsid w:val="183E2EB0"/>
    <w:multiLevelType w:val="multilevel"/>
    <w:tmpl w:val="13003D80"/>
    <w:numStyleLink w:val="RSCBNumberList1"/>
  </w:abstractNum>
  <w:abstractNum w:abstractNumId="17" w15:restartNumberingAfterBreak="0">
    <w:nsid w:val="1C4B1F18"/>
    <w:multiLevelType w:val="multilevel"/>
    <w:tmpl w:val="13003D80"/>
    <w:numStyleLink w:val="RSCBNumberList1"/>
  </w:abstractNum>
  <w:abstractNum w:abstractNumId="18" w15:restartNumberingAfterBreak="0">
    <w:nsid w:val="1E8224E2"/>
    <w:multiLevelType w:val="multilevel"/>
    <w:tmpl w:val="9AAADADC"/>
    <w:numStyleLink w:val="Style1"/>
  </w:abstractNum>
  <w:abstractNum w:abstractNumId="19" w15:restartNumberingAfterBreak="0">
    <w:nsid w:val="22BE0D51"/>
    <w:multiLevelType w:val="multilevel"/>
    <w:tmpl w:val="13003D80"/>
    <w:numStyleLink w:val="RSCBNumberList1"/>
  </w:abstractNum>
  <w:abstractNum w:abstractNumId="20" w15:restartNumberingAfterBreak="0">
    <w:nsid w:val="230B0B81"/>
    <w:multiLevelType w:val="multilevel"/>
    <w:tmpl w:val="433007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6D03546"/>
    <w:multiLevelType w:val="multilevel"/>
    <w:tmpl w:val="13003D80"/>
    <w:numStyleLink w:val="RSCBNumberList1"/>
  </w:abstractNum>
  <w:abstractNum w:abstractNumId="22" w15:restartNumberingAfterBreak="0">
    <w:nsid w:val="26DE56D5"/>
    <w:multiLevelType w:val="multilevel"/>
    <w:tmpl w:val="13003D80"/>
    <w:numStyleLink w:val="RSCBNumberList1"/>
  </w:abstractNum>
  <w:abstractNum w:abstractNumId="23" w15:restartNumberingAfterBreak="0">
    <w:nsid w:val="33AD3028"/>
    <w:multiLevelType w:val="multilevel"/>
    <w:tmpl w:val="13003D80"/>
    <w:numStyleLink w:val="RSCBNumberList1"/>
  </w:abstractNum>
  <w:abstractNum w:abstractNumId="24" w15:restartNumberingAfterBreak="0">
    <w:nsid w:val="360770A9"/>
    <w:multiLevelType w:val="multilevel"/>
    <w:tmpl w:val="13003D80"/>
    <w:numStyleLink w:val="RSCBNumberList1"/>
  </w:abstractNum>
  <w:abstractNum w:abstractNumId="25" w15:restartNumberingAfterBreak="0">
    <w:nsid w:val="363661C3"/>
    <w:multiLevelType w:val="hybridMultilevel"/>
    <w:tmpl w:val="9320BDB0"/>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6" w15:restartNumberingAfterBreak="0">
    <w:nsid w:val="3E8067AC"/>
    <w:multiLevelType w:val="multilevel"/>
    <w:tmpl w:val="13003D80"/>
    <w:numStyleLink w:val="RSCBNumberList1"/>
  </w:abstractNum>
  <w:abstractNum w:abstractNumId="27" w15:restartNumberingAfterBreak="0">
    <w:nsid w:val="3F81732B"/>
    <w:multiLevelType w:val="multilevel"/>
    <w:tmpl w:val="13003D80"/>
    <w:numStyleLink w:val="RSCBNumberList1"/>
  </w:abstractNum>
  <w:abstractNum w:abstractNumId="28" w15:restartNumberingAfterBreak="0">
    <w:nsid w:val="3F863C35"/>
    <w:multiLevelType w:val="multilevel"/>
    <w:tmpl w:val="13003D80"/>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2.%1."/>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9" w15:restartNumberingAfterBreak="0">
    <w:nsid w:val="45505B52"/>
    <w:multiLevelType w:val="multilevel"/>
    <w:tmpl w:val="13003D80"/>
    <w:numStyleLink w:val="RSCBNumberList1"/>
  </w:abstractNum>
  <w:abstractNum w:abstractNumId="30" w15:restartNumberingAfterBreak="0">
    <w:nsid w:val="4D3E7BEE"/>
    <w:multiLevelType w:val="multilevel"/>
    <w:tmpl w:val="13003D80"/>
    <w:numStyleLink w:val="RSCBNumberList1"/>
  </w:abstractNum>
  <w:abstractNum w:abstractNumId="31" w15:restartNumberingAfterBreak="0">
    <w:nsid w:val="4DEF0367"/>
    <w:multiLevelType w:val="multilevel"/>
    <w:tmpl w:val="13003D80"/>
    <w:numStyleLink w:val="RSCBNumberList1"/>
  </w:abstractNum>
  <w:abstractNum w:abstractNumId="32" w15:restartNumberingAfterBreak="0">
    <w:nsid w:val="50562F09"/>
    <w:multiLevelType w:val="multilevel"/>
    <w:tmpl w:val="13003D80"/>
    <w:numStyleLink w:val="RSCBNumberList1"/>
  </w:abstractNum>
  <w:abstractNum w:abstractNumId="33" w15:restartNumberingAfterBreak="0">
    <w:nsid w:val="50772C17"/>
    <w:multiLevelType w:val="multilevel"/>
    <w:tmpl w:val="13003D80"/>
    <w:numStyleLink w:val="RSCBNumberList1"/>
  </w:abstractNum>
  <w:abstractNum w:abstractNumId="34" w15:restartNumberingAfterBreak="0">
    <w:nsid w:val="511725BE"/>
    <w:multiLevelType w:val="multilevel"/>
    <w:tmpl w:val="13003D80"/>
    <w:numStyleLink w:val="RSCBNumberList1"/>
  </w:abstractNum>
  <w:abstractNum w:abstractNumId="35" w15:restartNumberingAfterBreak="0">
    <w:nsid w:val="51B8547F"/>
    <w:multiLevelType w:val="multilevel"/>
    <w:tmpl w:val="13003D80"/>
    <w:numStyleLink w:val="RSCBNumberList1"/>
  </w:abstractNum>
  <w:abstractNum w:abstractNumId="36" w15:restartNumberingAfterBreak="0">
    <w:nsid w:val="571F1AB0"/>
    <w:multiLevelType w:val="multilevel"/>
    <w:tmpl w:val="13003D80"/>
    <w:numStyleLink w:val="RSCBNumberList1"/>
  </w:abstractNum>
  <w:abstractNum w:abstractNumId="37" w15:restartNumberingAfterBreak="0">
    <w:nsid w:val="57842B7B"/>
    <w:multiLevelType w:val="multilevel"/>
    <w:tmpl w:val="86CA58B2"/>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7DD04F5"/>
    <w:multiLevelType w:val="multilevel"/>
    <w:tmpl w:val="13003D80"/>
    <w:numStyleLink w:val="RSCBNumberList1"/>
  </w:abstractNum>
  <w:abstractNum w:abstractNumId="39" w15:restartNumberingAfterBreak="0">
    <w:nsid w:val="58AB69F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10256A2"/>
    <w:multiLevelType w:val="multilevel"/>
    <w:tmpl w:val="13003D80"/>
    <w:numStyleLink w:val="RSCBNumberList1"/>
  </w:abstractNum>
  <w:abstractNum w:abstractNumId="41" w15:restartNumberingAfterBreak="0">
    <w:nsid w:val="68C47B32"/>
    <w:multiLevelType w:val="multilevel"/>
    <w:tmpl w:val="13003D80"/>
    <w:numStyleLink w:val="RSCBNumberList1"/>
  </w:abstractNum>
  <w:abstractNum w:abstractNumId="42" w15:restartNumberingAfterBreak="0">
    <w:nsid w:val="698F5734"/>
    <w:multiLevelType w:val="multilevel"/>
    <w:tmpl w:val="13003D80"/>
    <w:numStyleLink w:val="RSCBNumberList1"/>
  </w:abstractNum>
  <w:abstractNum w:abstractNumId="43" w15:restartNumberingAfterBreak="0">
    <w:nsid w:val="69C447DD"/>
    <w:multiLevelType w:val="multilevel"/>
    <w:tmpl w:val="9AAADAD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pStyle w:val="ListBullet2"/>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E8B1BC7"/>
    <w:multiLevelType w:val="multilevel"/>
    <w:tmpl w:val="13003D80"/>
    <w:numStyleLink w:val="RSCBNumberList1"/>
  </w:abstractNum>
  <w:abstractNum w:abstractNumId="45" w15:restartNumberingAfterBreak="0">
    <w:nsid w:val="73CA695E"/>
    <w:multiLevelType w:val="multilevel"/>
    <w:tmpl w:val="13003D80"/>
    <w:numStyleLink w:val="RSCBNumberList1"/>
  </w:abstractNum>
  <w:abstractNum w:abstractNumId="46" w15:restartNumberingAfterBreak="0">
    <w:nsid w:val="75E93F69"/>
    <w:multiLevelType w:val="multilevel"/>
    <w:tmpl w:val="13003D80"/>
    <w:numStyleLink w:val="RSCBNumberList1"/>
  </w:abstractNum>
  <w:abstractNum w:abstractNumId="47" w15:restartNumberingAfterBreak="0">
    <w:nsid w:val="77C33E78"/>
    <w:multiLevelType w:val="multilevel"/>
    <w:tmpl w:val="13003D80"/>
    <w:numStyleLink w:val="RSCBNumberList1"/>
  </w:abstractNum>
  <w:abstractNum w:abstractNumId="48" w15:restartNumberingAfterBreak="0">
    <w:nsid w:val="78761E8E"/>
    <w:multiLevelType w:val="multilevel"/>
    <w:tmpl w:val="13003D80"/>
    <w:numStyleLink w:val="RSCBNumberList1"/>
  </w:abstractNum>
  <w:num w:numId="1">
    <w:abstractNumId w:val="7"/>
  </w:num>
  <w:num w:numId="2">
    <w:abstractNumId w:val="5"/>
  </w:num>
  <w:num w:numId="3">
    <w:abstractNumId w:val="6"/>
  </w:num>
  <w:num w:numId="4">
    <w:abstractNumId w:val="2"/>
  </w:num>
  <w:num w:numId="5">
    <w:abstractNumId w:val="37"/>
  </w:num>
  <w:num w:numId="6">
    <w:abstractNumId w:val="1"/>
  </w:num>
  <w:num w:numId="7">
    <w:abstractNumId w:val="0"/>
  </w:num>
  <w:num w:numId="8">
    <w:abstractNumId w:val="4"/>
  </w:num>
  <w:num w:numId="9">
    <w:abstractNumId w:val="3"/>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8"/>
  </w:num>
  <w:num w:numId="14">
    <w:abstractNumId w:val="27"/>
  </w:num>
  <w:num w:numId="15">
    <w:abstractNumId w:val="14"/>
  </w:num>
  <w:num w:numId="16">
    <w:abstractNumId w:val="39"/>
  </w:num>
  <w:num w:numId="17">
    <w:abstractNumId w:val="19"/>
  </w:num>
  <w:num w:numId="18">
    <w:abstractNumId w:val="13"/>
  </w:num>
  <w:num w:numId="19">
    <w:abstractNumId w:val="47"/>
  </w:num>
  <w:num w:numId="20">
    <w:abstractNumId w:val="10"/>
  </w:num>
  <w:num w:numId="21">
    <w:abstractNumId w:val="42"/>
  </w:num>
  <w:num w:numId="22">
    <w:abstractNumId w:val="17"/>
  </w:num>
  <w:num w:numId="23">
    <w:abstractNumId w:val="21"/>
  </w:num>
  <w:num w:numId="24">
    <w:abstractNumId w:val="33"/>
  </w:num>
  <w:num w:numId="25">
    <w:abstractNumId w:val="11"/>
  </w:num>
  <w:num w:numId="26">
    <w:abstractNumId w:val="29"/>
  </w:num>
  <w:num w:numId="27">
    <w:abstractNumId w:val="31"/>
  </w:num>
  <w:num w:numId="28">
    <w:abstractNumId w:val="22"/>
  </w:num>
  <w:num w:numId="29">
    <w:abstractNumId w:val="16"/>
  </w:num>
  <w:num w:numId="30">
    <w:abstractNumId w:val="41"/>
  </w:num>
  <w:num w:numId="31">
    <w:abstractNumId w:val="48"/>
  </w:num>
  <w:num w:numId="32">
    <w:abstractNumId w:val="12"/>
  </w:num>
  <w:num w:numId="33">
    <w:abstractNumId w:val="46"/>
  </w:num>
  <w:num w:numId="34">
    <w:abstractNumId w:val="34"/>
  </w:num>
  <w:num w:numId="35">
    <w:abstractNumId w:val="44"/>
  </w:num>
  <w:num w:numId="36">
    <w:abstractNumId w:val="45"/>
  </w:num>
  <w:num w:numId="37">
    <w:abstractNumId w:val="15"/>
  </w:num>
  <w:num w:numId="38">
    <w:abstractNumId w:val="23"/>
  </w:num>
  <w:num w:numId="39">
    <w:abstractNumId w:val="32"/>
  </w:num>
  <w:num w:numId="40">
    <w:abstractNumId w:val="36"/>
  </w:num>
  <w:num w:numId="41">
    <w:abstractNumId w:val="24"/>
  </w:num>
  <w:num w:numId="42">
    <w:abstractNumId w:val="26"/>
  </w:num>
  <w:num w:numId="43">
    <w:abstractNumId w:val="40"/>
  </w:num>
  <w:num w:numId="44">
    <w:abstractNumId w:val="30"/>
  </w:num>
  <w:num w:numId="45">
    <w:abstractNumId w:val="38"/>
  </w:num>
  <w:num w:numId="46">
    <w:abstractNumId w:val="43"/>
  </w:num>
  <w:num w:numId="47">
    <w:abstractNumId w:val="18"/>
  </w:num>
  <w:num w:numId="48">
    <w:abstractNumId w:val="9"/>
  </w:num>
  <w:num w:numId="49">
    <w:abstractNumId w:val="20"/>
  </w:num>
  <w:num w:numId="50">
    <w:abstractNumId w:val="25"/>
  </w:num>
  <w:num w:numId="51">
    <w:abstractNumId w:val="18"/>
  </w:num>
  <w:num w:numId="5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3"/>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3D5"/>
    <w:rsid w:val="00000505"/>
    <w:rsid w:val="00037765"/>
    <w:rsid w:val="0009541A"/>
    <w:rsid w:val="000969D3"/>
    <w:rsid w:val="0009770A"/>
    <w:rsid w:val="001468ED"/>
    <w:rsid w:val="0016510A"/>
    <w:rsid w:val="00195EF0"/>
    <w:rsid w:val="001B6D04"/>
    <w:rsid w:val="001C6347"/>
    <w:rsid w:val="001F444A"/>
    <w:rsid w:val="001F7332"/>
    <w:rsid w:val="0020068E"/>
    <w:rsid w:val="002104F4"/>
    <w:rsid w:val="00235F03"/>
    <w:rsid w:val="00257065"/>
    <w:rsid w:val="002678F4"/>
    <w:rsid w:val="00276445"/>
    <w:rsid w:val="002D5618"/>
    <w:rsid w:val="002E6F00"/>
    <w:rsid w:val="00316088"/>
    <w:rsid w:val="00370DD6"/>
    <w:rsid w:val="00397800"/>
    <w:rsid w:val="003E21F8"/>
    <w:rsid w:val="0046637C"/>
    <w:rsid w:val="00487EE1"/>
    <w:rsid w:val="004D00B2"/>
    <w:rsid w:val="00541400"/>
    <w:rsid w:val="005565B8"/>
    <w:rsid w:val="005725B2"/>
    <w:rsid w:val="00575DFC"/>
    <w:rsid w:val="00586EA4"/>
    <w:rsid w:val="005C248D"/>
    <w:rsid w:val="0061636D"/>
    <w:rsid w:val="00633B6E"/>
    <w:rsid w:val="00657B92"/>
    <w:rsid w:val="006950D8"/>
    <w:rsid w:val="007733D5"/>
    <w:rsid w:val="00774BA7"/>
    <w:rsid w:val="007B38BF"/>
    <w:rsid w:val="0080189A"/>
    <w:rsid w:val="00813629"/>
    <w:rsid w:val="008447BA"/>
    <w:rsid w:val="00871DA4"/>
    <w:rsid w:val="008D5761"/>
    <w:rsid w:val="008E42A5"/>
    <w:rsid w:val="00911BD9"/>
    <w:rsid w:val="00927248"/>
    <w:rsid w:val="00973379"/>
    <w:rsid w:val="00997BE6"/>
    <w:rsid w:val="009D079F"/>
    <w:rsid w:val="009F2F0C"/>
    <w:rsid w:val="00A34D39"/>
    <w:rsid w:val="00A513A6"/>
    <w:rsid w:val="00A74FD2"/>
    <w:rsid w:val="00A81FB9"/>
    <w:rsid w:val="00A82BDB"/>
    <w:rsid w:val="00AA03F6"/>
    <w:rsid w:val="00AF363B"/>
    <w:rsid w:val="00B81A68"/>
    <w:rsid w:val="00BB57FE"/>
    <w:rsid w:val="00BC7244"/>
    <w:rsid w:val="00BE54EE"/>
    <w:rsid w:val="00BF7BDF"/>
    <w:rsid w:val="00C66B71"/>
    <w:rsid w:val="00C7023A"/>
    <w:rsid w:val="00C85C94"/>
    <w:rsid w:val="00CB25CF"/>
    <w:rsid w:val="00D0514E"/>
    <w:rsid w:val="00D105E6"/>
    <w:rsid w:val="00D46C4E"/>
    <w:rsid w:val="00D8776A"/>
    <w:rsid w:val="00D910F9"/>
    <w:rsid w:val="00DA46BB"/>
    <w:rsid w:val="00DB1D0C"/>
    <w:rsid w:val="00DE1663"/>
    <w:rsid w:val="00EC63BF"/>
    <w:rsid w:val="00EE7FDA"/>
    <w:rsid w:val="00F1157B"/>
    <w:rsid w:val="00F121AC"/>
    <w:rsid w:val="00F23C4B"/>
    <w:rsid w:val="00F25A17"/>
    <w:rsid w:val="00F927D5"/>
    <w:rsid w:val="00FE615D"/>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AB5F2AAD-CD30-4C2F-B83C-BF38E0EF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FB9"/>
    <w:pPr>
      <w:spacing w:before="120" w:after="120"/>
    </w:pPr>
  </w:style>
  <w:style w:type="paragraph" w:styleId="Heading1">
    <w:name w:val="heading 1"/>
    <w:basedOn w:val="Normal"/>
    <w:next w:val="Normal"/>
    <w:link w:val="Heading1Char"/>
    <w:uiPriority w:val="9"/>
    <w:qFormat/>
    <w:rsid w:val="001468ED"/>
    <w:pPr>
      <w:keepNext/>
      <w:keepLines/>
      <w:spacing w:before="480" w:line="240" w:lineRule="auto"/>
      <w:outlineLvl w:val="0"/>
    </w:pPr>
    <w:rPr>
      <w:rFonts w:ascii="Rockwell" w:eastAsiaTheme="majorEastAsia" w:hAnsi="Rockwell" w:cstheme="majorBidi"/>
      <w:color w:val="522761"/>
      <w:sz w:val="40"/>
      <w:szCs w:val="32"/>
    </w:rPr>
  </w:style>
  <w:style w:type="paragraph" w:styleId="Heading2">
    <w:name w:val="heading 2"/>
    <w:basedOn w:val="Normal"/>
    <w:next w:val="Normal"/>
    <w:link w:val="Heading2Char"/>
    <w:uiPriority w:val="9"/>
    <w:qFormat/>
    <w:rsid w:val="008D5761"/>
    <w:pPr>
      <w:keepNext/>
      <w:keepLines/>
      <w:spacing w:before="240" w:after="60" w:line="240" w:lineRule="auto"/>
      <w:outlineLvl w:val="1"/>
    </w:pPr>
    <w:rPr>
      <w:rFonts w:ascii="Calibri" w:eastAsiaTheme="majorEastAsia" w:hAnsi="Calibri" w:cstheme="majorBidi"/>
      <w:b/>
      <w:color w:val="522761"/>
      <w:sz w:val="28"/>
      <w:szCs w:val="26"/>
    </w:rPr>
  </w:style>
  <w:style w:type="paragraph" w:styleId="Heading3">
    <w:name w:val="heading 3"/>
    <w:basedOn w:val="Normal"/>
    <w:next w:val="Normal"/>
    <w:link w:val="Heading3Char"/>
    <w:uiPriority w:val="9"/>
    <w:qFormat/>
    <w:rsid w:val="005725B2"/>
    <w:pPr>
      <w:keepNext/>
      <w:keepLines/>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qFormat/>
    <w:rsid w:val="005725B2"/>
    <w:pPr>
      <w:keepNext/>
      <w:keepLines/>
      <w:spacing w:before="40" w:after="0"/>
      <w:outlineLvl w:val="3"/>
    </w:pPr>
    <w:rPr>
      <w:rFonts w:ascii="Calibri" w:eastAsiaTheme="majorEastAsia" w:hAnsi="Calibri" w:cstheme="majorBidi"/>
      <w:b/>
      <w:i/>
      <w:iCs/>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276445"/>
    <w:pPr>
      <w:spacing w:before="360" w:after="180" w:line="240" w:lineRule="auto"/>
      <w:contextualSpacing/>
    </w:pPr>
    <w:rPr>
      <w:rFonts w:ascii="Rockwell" w:eastAsiaTheme="majorEastAsia" w:hAnsi="Rockwell" w:cstheme="majorBidi"/>
      <w:color w:val="522761"/>
      <w:spacing w:val="-10"/>
      <w:kern w:val="28"/>
      <w:sz w:val="56"/>
      <w:szCs w:val="56"/>
    </w:rPr>
  </w:style>
  <w:style w:type="character" w:customStyle="1" w:styleId="TitleChar">
    <w:name w:val="Title Char"/>
    <w:basedOn w:val="DefaultParagraphFont"/>
    <w:link w:val="Title"/>
    <w:uiPriority w:val="10"/>
    <w:rsid w:val="00276445"/>
    <w:rPr>
      <w:rFonts w:ascii="Rockwell" w:eastAsiaTheme="majorEastAsia" w:hAnsi="Rockwell" w:cstheme="majorBidi"/>
      <w:color w:val="522761"/>
      <w:spacing w:val="-10"/>
      <w:kern w:val="28"/>
      <w:sz w:val="56"/>
      <w:szCs w:val="56"/>
    </w:rPr>
  </w:style>
  <w:style w:type="paragraph" w:customStyle="1" w:styleId="InstructionText">
    <w:name w:val="Instruction Text"/>
    <w:basedOn w:val="Normal"/>
    <w:rsid w:val="00A82BDB"/>
    <w:pPr>
      <w:spacing w:after="200" w:line="240" w:lineRule="auto"/>
    </w:pPr>
    <w:rPr>
      <w:color w:val="7030A0"/>
    </w:rPr>
  </w:style>
  <w:style w:type="character" w:customStyle="1" w:styleId="Heading1Char">
    <w:name w:val="Heading 1 Char"/>
    <w:basedOn w:val="DefaultParagraphFont"/>
    <w:link w:val="Heading1"/>
    <w:uiPriority w:val="9"/>
    <w:rsid w:val="001468ED"/>
    <w:rPr>
      <w:rFonts w:ascii="Rockwell" w:eastAsiaTheme="majorEastAsia" w:hAnsi="Rockwell" w:cstheme="majorBidi"/>
      <w:color w:val="522761"/>
      <w:sz w:val="40"/>
      <w:szCs w:val="32"/>
    </w:rPr>
  </w:style>
  <w:style w:type="character" w:customStyle="1" w:styleId="Heading2Char">
    <w:name w:val="Heading 2 Char"/>
    <w:basedOn w:val="DefaultParagraphFont"/>
    <w:link w:val="Heading2"/>
    <w:uiPriority w:val="9"/>
    <w:rsid w:val="008D5761"/>
    <w:rPr>
      <w:rFonts w:ascii="Calibri" w:eastAsiaTheme="majorEastAsia" w:hAnsi="Calibri" w:cstheme="majorBidi"/>
      <w:b/>
      <w:color w:val="522761"/>
      <w:sz w:val="28"/>
      <w:szCs w:val="26"/>
    </w:rPr>
  </w:style>
  <w:style w:type="character" w:customStyle="1" w:styleId="Heading3Char">
    <w:name w:val="Heading 3 Char"/>
    <w:basedOn w:val="DefaultParagraphFont"/>
    <w:link w:val="Heading3"/>
    <w:uiPriority w:val="9"/>
    <w:rsid w:val="005725B2"/>
    <w:rPr>
      <w:rFonts w:ascii="Calibri" w:eastAsiaTheme="majorEastAsia" w:hAnsi="Calibri" w:cstheme="majorBidi"/>
      <w:b/>
      <w:sz w:val="24"/>
      <w:szCs w:val="24"/>
    </w:rPr>
  </w:style>
  <w:style w:type="character" w:customStyle="1" w:styleId="Heading4Char">
    <w:name w:val="Heading 4 Char"/>
    <w:basedOn w:val="DefaultParagraphFont"/>
    <w:link w:val="Heading4"/>
    <w:uiPriority w:val="9"/>
    <w:rsid w:val="005725B2"/>
    <w:rPr>
      <w:rFonts w:ascii="Calibri" w:eastAsiaTheme="majorEastAsia" w:hAnsi="Calibri" w:cstheme="majorBidi"/>
      <w:b/>
      <w:i/>
      <w:iCs/>
    </w:rPr>
  </w:style>
  <w:style w:type="paragraph" w:styleId="ListNumber">
    <w:name w:val="List Number"/>
    <w:basedOn w:val="Normal"/>
    <w:uiPriority w:val="99"/>
    <w:qFormat/>
    <w:rsid w:val="00A513A6"/>
    <w:pPr>
      <w:numPr>
        <w:numId w:val="45"/>
      </w:numPr>
      <w:tabs>
        <w:tab w:val="left" w:pos="284"/>
        <w:tab w:val="left" w:pos="567"/>
        <w:tab w:val="left" w:pos="851"/>
        <w:tab w:val="left" w:pos="1134"/>
      </w:tabs>
      <w:contextualSpacing/>
    </w:pPr>
  </w:style>
  <w:style w:type="paragraph" w:styleId="ListNumber2">
    <w:name w:val="List Number 2"/>
    <w:basedOn w:val="Normal"/>
    <w:uiPriority w:val="99"/>
    <w:qFormat/>
    <w:rsid w:val="00A513A6"/>
    <w:pPr>
      <w:numPr>
        <w:ilvl w:val="1"/>
        <w:numId w:val="45"/>
      </w:numPr>
      <w:contextualSpacing/>
    </w:pPr>
  </w:style>
  <w:style w:type="paragraph" w:styleId="ListBullet">
    <w:name w:val="List Bullet"/>
    <w:basedOn w:val="Normal"/>
    <w:uiPriority w:val="99"/>
    <w:qFormat/>
    <w:rsid w:val="00316088"/>
    <w:pPr>
      <w:numPr>
        <w:numId w:val="47"/>
      </w:numPr>
      <w:contextualSpacing/>
    </w:pPr>
  </w:style>
  <w:style w:type="paragraph" w:styleId="ListBullet2">
    <w:name w:val="List Bullet 2"/>
    <w:basedOn w:val="Normal"/>
    <w:uiPriority w:val="99"/>
    <w:qFormat/>
    <w:rsid w:val="00316088"/>
    <w:pPr>
      <w:numPr>
        <w:ilvl w:val="1"/>
        <w:numId w:val="47"/>
      </w:numPr>
      <w:tabs>
        <w:tab w:val="left" w:pos="567"/>
      </w:tabs>
      <w:contextualSpacing/>
    </w:pPr>
  </w:style>
  <w:style w:type="character" w:styleId="Hyperlink">
    <w:name w:val="Hyperlink"/>
    <w:basedOn w:val="DefaultParagraphFont"/>
    <w:uiPriority w:val="99"/>
    <w:qFormat/>
    <w:rsid w:val="00C85C94"/>
    <w:rPr>
      <w:color w:val="3C54A5"/>
      <w:u w:val="single"/>
    </w:rPr>
  </w:style>
  <w:style w:type="table" w:styleId="TableGrid">
    <w:name w:val="Table Grid"/>
    <w:aliases w:val="NSRB Table"/>
    <w:basedOn w:val="TableNormal"/>
    <w:uiPriority w:val="39"/>
    <w:rsid w:val="001468ED"/>
    <w:pPr>
      <w:spacing w:after="40" w:line="240" w:lineRule="auto"/>
    </w:pPr>
    <w:tblPr>
      <w:tblStyleRowBandSize w:val="1"/>
      <w:tblBorders>
        <w:top w:val="single" w:sz="4" w:space="0" w:color="FFFFFF" w:themeColor="background1"/>
        <w:left w:val="single" w:sz="4" w:space="0" w:color="FFFFFF" w:themeColor="background1"/>
        <w:bottom w:val="single" w:sz="4" w:space="0" w:color="522761"/>
        <w:right w:val="single" w:sz="4" w:space="0" w:color="FFFFFF" w:themeColor="background1"/>
        <w:insideH w:val="single" w:sz="4" w:space="0" w:color="FFFFFF" w:themeColor="background1"/>
        <w:insideV w:val="single" w:sz="4" w:space="0" w:color="FFFFFF" w:themeColor="background1"/>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522761"/>
      </w:tcPr>
    </w:tblStylePr>
    <w:tblStylePr w:type="lastRow">
      <w:tblPr/>
      <w:tcPr>
        <w:tcBorders>
          <w:top w:val="single" w:sz="4" w:space="0" w:color="FFFFFF" w:themeColor="background1"/>
          <w:left w:val="single" w:sz="4" w:space="0" w:color="FFFFFF" w:themeColor="background1"/>
          <w:bottom w:val="single" w:sz="4" w:space="0" w:color="522761"/>
          <w:right w:val="single" w:sz="4" w:space="0" w:color="FFFFFF" w:themeColor="background1"/>
          <w:insideH w:val="nil"/>
          <w:insideV w:val="single" w:sz="4" w:space="0" w:color="FFFFFF" w:themeColor="background1"/>
          <w:tl2br w:val="nil"/>
          <w:tr2bl w:val="nil"/>
        </w:tcBorders>
      </w:tcPr>
    </w:tblStylePr>
    <w:tblStylePr w:type="band1Horz">
      <w:tblPr/>
      <w:tcPr>
        <w:shd w:val="clear" w:color="auto" w:fill="F0ECF3"/>
      </w:tcPr>
    </w:tblStylePr>
    <w:tblStylePr w:type="band2Horz">
      <w:tblPr/>
      <w:tcPr>
        <w:shd w:val="clear" w:color="auto" w:fill="DFD7E5"/>
      </w:tcPr>
    </w:tblStylePr>
  </w:style>
  <w:style w:type="paragraph" w:styleId="Caption">
    <w:name w:val="caption"/>
    <w:basedOn w:val="Normal"/>
    <w:next w:val="Normal"/>
    <w:uiPriority w:val="35"/>
    <w:qFormat/>
    <w:rsid w:val="008D5761"/>
    <w:pPr>
      <w:spacing w:before="240"/>
    </w:pPr>
    <w:rPr>
      <w:b/>
      <w:i/>
    </w:rPr>
  </w:style>
  <w:style w:type="numbering" w:customStyle="1" w:styleId="RSCBNumberList1">
    <w:name w:val="RSCB Number List 1"/>
    <w:uiPriority w:val="99"/>
    <w:rsid w:val="00A513A6"/>
    <w:pPr>
      <w:numPr>
        <w:numId w:val="10"/>
      </w:numPr>
    </w:pPr>
  </w:style>
  <w:style w:type="paragraph" w:styleId="ListBullet3">
    <w:name w:val="List Bullet 3"/>
    <w:basedOn w:val="Normal"/>
    <w:uiPriority w:val="99"/>
    <w:qFormat/>
    <w:rsid w:val="00316088"/>
    <w:pPr>
      <w:numPr>
        <w:ilvl w:val="2"/>
        <w:numId w:val="47"/>
      </w:numPr>
      <w:tabs>
        <w:tab w:val="left" w:pos="851"/>
      </w:tabs>
      <w:contextualSpacing/>
    </w:pPr>
  </w:style>
  <w:style w:type="paragraph" w:styleId="ListNumber3">
    <w:name w:val="List Number 3"/>
    <w:basedOn w:val="Normal"/>
    <w:uiPriority w:val="99"/>
    <w:qFormat/>
    <w:rsid w:val="00A513A6"/>
    <w:pPr>
      <w:numPr>
        <w:ilvl w:val="2"/>
        <w:numId w:val="45"/>
      </w:numPr>
      <w:tabs>
        <w:tab w:val="left" w:pos="1021"/>
      </w:tabs>
      <w:contextualSpacing/>
    </w:pPr>
  </w:style>
  <w:style w:type="paragraph" w:styleId="ListNumber4">
    <w:name w:val="List Number 4"/>
    <w:basedOn w:val="Normal"/>
    <w:uiPriority w:val="99"/>
    <w:qFormat/>
    <w:rsid w:val="00A513A6"/>
    <w:pPr>
      <w:numPr>
        <w:ilvl w:val="3"/>
        <w:numId w:val="45"/>
      </w:numPr>
      <w:contextualSpacing/>
    </w:pPr>
  </w:style>
  <w:style w:type="paragraph" w:styleId="ListBullet4">
    <w:name w:val="List Bullet 4"/>
    <w:basedOn w:val="Normal"/>
    <w:uiPriority w:val="99"/>
    <w:qFormat/>
    <w:rsid w:val="00316088"/>
    <w:pPr>
      <w:numPr>
        <w:ilvl w:val="3"/>
        <w:numId w:val="47"/>
      </w:numPr>
      <w:tabs>
        <w:tab w:val="left" w:pos="1134"/>
      </w:tabs>
      <w:contextualSpacing/>
    </w:pPr>
  </w:style>
  <w:style w:type="numbering" w:customStyle="1" w:styleId="Style1">
    <w:name w:val="Style1"/>
    <w:uiPriority w:val="99"/>
    <w:rsid w:val="00316088"/>
    <w:pPr>
      <w:numPr>
        <w:numId w:val="46"/>
      </w:numPr>
    </w:pPr>
  </w:style>
  <w:style w:type="paragraph" w:styleId="Header">
    <w:name w:val="header"/>
    <w:basedOn w:val="Normal"/>
    <w:link w:val="HeaderChar"/>
    <w:uiPriority w:val="99"/>
    <w:unhideWhenUsed/>
    <w:rsid w:val="00EE7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5725B2"/>
    <w:pPr>
      <w:tabs>
        <w:tab w:val="center" w:pos="4513"/>
        <w:tab w:val="right" w:pos="9026"/>
      </w:tabs>
      <w:spacing w:after="0" w:line="240" w:lineRule="auto"/>
    </w:pPr>
    <w:rPr>
      <w:rFonts w:ascii="Calibri" w:hAnsi="Calibri"/>
      <w:sz w:val="18"/>
    </w:rPr>
  </w:style>
  <w:style w:type="character" w:customStyle="1" w:styleId="FooterChar">
    <w:name w:val="Footer Char"/>
    <w:basedOn w:val="DefaultParagraphFont"/>
    <w:link w:val="Footer"/>
    <w:uiPriority w:val="99"/>
    <w:rsid w:val="005725B2"/>
    <w:rPr>
      <w:rFonts w:ascii="Calibri" w:hAnsi="Calibri"/>
      <w:sz w:val="18"/>
    </w:rPr>
  </w:style>
  <w:style w:type="paragraph" w:styleId="FootnoteText">
    <w:name w:val="footnote text"/>
    <w:basedOn w:val="Normal"/>
    <w:link w:val="FootnoteTextChar"/>
    <w:uiPriority w:val="99"/>
    <w:rsid w:val="005725B2"/>
    <w:pPr>
      <w:spacing w:after="0" w:line="240" w:lineRule="auto"/>
    </w:pPr>
    <w:rPr>
      <w:sz w:val="20"/>
      <w:szCs w:val="20"/>
    </w:rPr>
  </w:style>
  <w:style w:type="character" w:customStyle="1" w:styleId="FootnoteTextChar">
    <w:name w:val="Footnote Text Char"/>
    <w:basedOn w:val="DefaultParagraphFont"/>
    <w:link w:val="FootnoteText"/>
    <w:uiPriority w:val="99"/>
    <w:rsid w:val="005725B2"/>
    <w:rPr>
      <w:sz w:val="20"/>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6950D8"/>
    <w:pPr>
      <w:numPr>
        <w:ilvl w:val="1"/>
      </w:numPr>
    </w:pPr>
    <w:rPr>
      <w:rFonts w:ascii="Calibri" w:eastAsiaTheme="minorEastAsia" w:hAnsi="Calibri"/>
      <w:i/>
      <w:color w:val="522761"/>
      <w:spacing w:val="15"/>
      <w:sz w:val="44"/>
    </w:rPr>
  </w:style>
  <w:style w:type="character" w:customStyle="1" w:styleId="SubtitleChar">
    <w:name w:val="Subtitle Char"/>
    <w:basedOn w:val="DefaultParagraphFont"/>
    <w:link w:val="Subtitle"/>
    <w:uiPriority w:val="11"/>
    <w:rsid w:val="006950D8"/>
    <w:rPr>
      <w:rFonts w:ascii="Calibri" w:eastAsiaTheme="minorEastAsia" w:hAnsi="Calibri"/>
      <w:i/>
      <w:color w:val="522761"/>
      <w:spacing w:val="15"/>
      <w:sz w:val="44"/>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qFormat/>
    <w:rsid w:val="002678F4"/>
    <w:pPr>
      <w:spacing w:before="240"/>
    </w:pPr>
  </w:style>
  <w:style w:type="paragraph" w:styleId="ListParagraph">
    <w:name w:val="List Paragraph"/>
    <w:basedOn w:val="Normal"/>
    <w:uiPriority w:val="34"/>
    <w:semiHidden/>
    <w:qFormat/>
    <w:rsid w:val="002678F4"/>
    <w:pPr>
      <w:ind w:left="720"/>
      <w:contextualSpacing/>
    </w:pPr>
  </w:style>
  <w:style w:type="paragraph" w:styleId="Quote">
    <w:name w:val="Quote"/>
    <w:basedOn w:val="Normal"/>
    <w:next w:val="Normal"/>
    <w:link w:val="QuoteChar"/>
    <w:uiPriority w:val="29"/>
    <w:qFormat/>
    <w:rsid w:val="00F121AC"/>
    <w:pPr>
      <w:spacing w:before="200" w:line="240" w:lineRule="auto"/>
      <w:ind w:left="567" w:right="567"/>
    </w:pPr>
    <w:rPr>
      <w:i/>
      <w:iCs/>
      <w:color w:val="404040" w:themeColor="text1" w:themeTint="BF"/>
    </w:rPr>
  </w:style>
  <w:style w:type="character" w:customStyle="1" w:styleId="QuoteChar">
    <w:name w:val="Quote Char"/>
    <w:basedOn w:val="DefaultParagraphFont"/>
    <w:link w:val="Quote"/>
    <w:uiPriority w:val="29"/>
    <w:rsid w:val="00F121AC"/>
    <w:rPr>
      <w:i/>
      <w:iCs/>
      <w:color w:val="404040" w:themeColor="text1" w:themeTint="BF"/>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ImageHeader">
    <w:name w:val="Image Header"/>
    <w:basedOn w:val="Normal"/>
    <w:rsid w:val="00A81FB9"/>
    <w:pPr>
      <w:spacing w:before="0" w:after="600"/>
      <w:ind w:left="-1134"/>
    </w:pPr>
    <w:rPr>
      <w:rFonts w:eastAsia="Times New Roman" w:cs="Times New Roman"/>
      <w:szCs w:val="20"/>
    </w:rPr>
  </w:style>
  <w:style w:type="paragraph" w:customStyle="1" w:styleId="TableParagraph">
    <w:name w:val="Table Paragraph"/>
    <w:basedOn w:val="Normal"/>
    <w:uiPriority w:val="1"/>
    <w:qFormat/>
    <w:rsid w:val="007733D5"/>
    <w:pPr>
      <w:widowControl w:val="0"/>
      <w:spacing w:before="0" w:after="0" w:line="240" w:lineRule="auto"/>
    </w:pPr>
    <w:rPr>
      <w:lang w:val="en-US"/>
    </w:rPr>
  </w:style>
  <w:style w:type="character" w:styleId="FollowedHyperlink">
    <w:name w:val="FollowedHyperlink"/>
    <w:basedOn w:val="DefaultParagraphFont"/>
    <w:uiPriority w:val="99"/>
    <w:semiHidden/>
    <w:rsid w:val="00541400"/>
    <w:rPr>
      <w:color w:val="954F72" w:themeColor="followedHyperlink"/>
      <w:u w:val="single"/>
    </w:rPr>
  </w:style>
  <w:style w:type="paragraph" w:styleId="BalloonText">
    <w:name w:val="Balloon Text"/>
    <w:basedOn w:val="Normal"/>
    <w:link w:val="BalloonTextChar"/>
    <w:uiPriority w:val="99"/>
    <w:semiHidden/>
    <w:rsid w:val="007B38B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8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tudyassist.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qilt.edu.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future.edu.a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education.gov.au/admissions-transparency-implementation-working-group-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3280\AppData\Local\Microsoft\Windows\INetCache\Content.Outlook\HPFVFVRX\ED18-0133%20-%20HE%20-%20IWG%20Comms%20Strategy%20documents_Word%20Template_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A1078813544E5CA89BEE66D74FAFB6"/>
        <w:category>
          <w:name w:val="General"/>
          <w:gallery w:val="placeholder"/>
        </w:category>
        <w:types>
          <w:type w:val="bbPlcHdr"/>
        </w:types>
        <w:behaviors>
          <w:behavior w:val="content"/>
        </w:behaviors>
        <w:guid w:val="{1A97C111-63A3-4CF2-A98C-D05B8CADFFB5}"/>
      </w:docPartPr>
      <w:docPartBody>
        <w:p w:rsidR="00C842BB" w:rsidRDefault="00C842BB">
          <w:pPr>
            <w:pStyle w:val="8BA1078813544E5CA89BEE66D74FAFB6"/>
          </w:pPr>
          <w:r w:rsidRPr="004C548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2BB"/>
    <w:rsid w:val="0063537D"/>
    <w:rsid w:val="00C84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BA1078813544E5CA89BEE66D74FAFB6">
    <w:name w:val="8BA1078813544E5CA89BEE66D74FA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B6276-2FFF-4175-A3F0-8ED258D59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ED18-0133 - HE - IWG Comms Strategy documents_Word Template_01.dotx</Template>
  <TotalTime>13</TotalTime>
  <Pages>3</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Better information about applying for higher education study is now available!</vt:lpstr>
    </vt:vector>
  </TitlesOfParts>
  <Company>Australian Government</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information about applying for higher education study is now available!</dc:title>
  <dc:subject/>
  <dc:creator>MADAFFARI,Anna</dc:creator>
  <cp:keywords/>
  <dc:description/>
  <cp:lastModifiedBy>Anna MADAFFARI</cp:lastModifiedBy>
  <cp:revision>8</cp:revision>
  <dcterms:created xsi:type="dcterms:W3CDTF">2018-07-31T01:57:00Z</dcterms:created>
  <dcterms:modified xsi:type="dcterms:W3CDTF">2018-08-13T06:03:00Z</dcterms:modified>
</cp:coreProperties>
</file>