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3E2D1" w14:textId="7FAB62BA" w:rsidR="001414F3" w:rsidRPr="00515D3C" w:rsidRDefault="004C535C" w:rsidP="00130923">
      <w:pPr>
        <w:pStyle w:val="BodyText"/>
      </w:pPr>
      <w:r w:rsidRPr="00515D3C">
        <w:t xml:space="preserve"> </w:t>
      </w:r>
      <w:r w:rsidR="00243D6B" w:rsidRPr="00515D3C">
        <w:rPr>
          <w:noProof/>
        </w:rPr>
        <w:drawing>
          <wp:inline distT="0" distB="0" distL="0" distR="0" wp14:anchorId="47764351" wp14:editId="1F015132">
            <wp:extent cx="2252345" cy="40391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descr="Department of Educatio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2345" cy="403915"/>
                    </a:xfrm>
                    <a:prstGeom prst="rect">
                      <a:avLst/>
                    </a:prstGeom>
                  </pic:spPr>
                </pic:pic>
              </a:graphicData>
            </a:graphic>
          </wp:inline>
        </w:drawing>
      </w:r>
    </w:p>
    <w:p w14:paraId="17514026" w14:textId="77777777" w:rsidR="001414F3" w:rsidRPr="00515D3C" w:rsidRDefault="001414F3" w:rsidP="00F80CFC">
      <w:pPr>
        <w:pStyle w:val="Subtitle"/>
        <w:ind w:left="1276" w:right="-22"/>
        <w:rPr>
          <w:sz w:val="120"/>
          <w:szCs w:val="120"/>
        </w:rPr>
      </w:pPr>
    </w:p>
    <w:p w14:paraId="2316AB94" w14:textId="6DBBE1F9" w:rsidR="00BA282D" w:rsidRPr="00515D3C" w:rsidRDefault="006F5C42" w:rsidP="00BA4D57">
      <w:pPr>
        <w:pStyle w:val="Title"/>
        <w:ind w:left="1276" w:right="-23"/>
      </w:pPr>
      <w:r w:rsidRPr="00515D3C">
        <w:t>Resear</w:t>
      </w:r>
      <w:r w:rsidR="005711BC" w:rsidRPr="00515D3C">
        <w:t>ch Training Implementation Plan</w:t>
      </w:r>
    </w:p>
    <w:p w14:paraId="32BC9D31" w14:textId="77777777" w:rsidR="005711BC" w:rsidRPr="00515D3C" w:rsidRDefault="005711BC" w:rsidP="00F80CFC">
      <w:pPr>
        <w:pStyle w:val="Subtitle"/>
        <w:ind w:left="1276" w:right="-22"/>
      </w:pPr>
      <w:r w:rsidRPr="00515D3C">
        <w:t>Progress Report</w:t>
      </w:r>
    </w:p>
    <w:p w14:paraId="37C101F7" w14:textId="646C887A" w:rsidR="00BA282D" w:rsidRPr="00515D3C" w:rsidRDefault="00813E5D" w:rsidP="00F80CFC">
      <w:pPr>
        <w:pStyle w:val="Subtitle"/>
        <w:ind w:left="1276" w:right="-22"/>
      </w:pPr>
      <w:r w:rsidRPr="00515D3C">
        <w:t>July 2018</w:t>
      </w:r>
      <w:r w:rsidR="005864A8" w:rsidRPr="00515D3C">
        <w:t xml:space="preserve"> </w:t>
      </w:r>
    </w:p>
    <w:p w14:paraId="0275393A" w14:textId="77777777" w:rsidR="00F47193" w:rsidRPr="00515D3C" w:rsidRDefault="00F47193" w:rsidP="00F47193">
      <w:pPr>
        <w:rPr>
          <w:sz w:val="620"/>
          <w:szCs w:val="620"/>
        </w:rPr>
      </w:pPr>
      <w:r w:rsidRPr="00515D3C">
        <w:rPr>
          <w:noProof/>
          <w:lang w:eastAsia="en-AU"/>
        </w:rPr>
        <w:drawing>
          <wp:anchor distT="0" distB="0" distL="114300" distR="114300" simplePos="0" relativeHeight="251658240" behindDoc="1" locked="0" layoutInCell="1" allowOverlap="1" wp14:anchorId="1094ABAE" wp14:editId="328AF4C0">
            <wp:simplePos x="0" y="0"/>
            <wp:positionH relativeFrom="page">
              <wp:posOffset>0</wp:posOffset>
            </wp:positionH>
            <wp:positionV relativeFrom="page">
              <wp:align>bottom</wp:align>
            </wp:positionV>
            <wp:extent cx="7653020" cy="5392420"/>
            <wp:effectExtent l="0" t="0" r="5080" b="0"/>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report cover_01.jpg"/>
                    <pic:cNvPicPr/>
                  </pic:nvPicPr>
                  <pic:blipFill>
                    <a:blip r:embed="rId9">
                      <a:extLst>
                        <a:ext uri="{28A0092B-C50C-407E-A947-70E740481C1C}">
                          <a14:useLocalDpi xmlns:a14="http://schemas.microsoft.com/office/drawing/2010/main" val="0"/>
                        </a:ext>
                      </a:extLst>
                    </a:blip>
                    <a:stretch>
                      <a:fillRect/>
                    </a:stretch>
                  </pic:blipFill>
                  <pic:spPr>
                    <a:xfrm>
                      <a:off x="0" y="0"/>
                      <a:ext cx="7653600" cy="5392800"/>
                    </a:xfrm>
                    <a:prstGeom prst="rect">
                      <a:avLst/>
                    </a:prstGeom>
                  </pic:spPr>
                </pic:pic>
              </a:graphicData>
            </a:graphic>
            <wp14:sizeRelH relativeFrom="page">
              <wp14:pctWidth>0</wp14:pctWidth>
            </wp14:sizeRelH>
            <wp14:sizeRelV relativeFrom="page">
              <wp14:pctHeight>0</wp14:pctHeight>
            </wp14:sizeRelV>
          </wp:anchor>
        </w:drawing>
      </w:r>
    </w:p>
    <w:p w14:paraId="66210709" w14:textId="54131B31" w:rsidR="00130923" w:rsidRPr="00515D3C" w:rsidRDefault="00130923" w:rsidP="00EF5845">
      <w:pPr>
        <w:spacing w:after="0"/>
        <w:ind w:left="1276"/>
      </w:pPr>
    </w:p>
    <w:p w14:paraId="1C17E17B" w14:textId="77777777" w:rsidR="00130923" w:rsidRPr="00515D3C" w:rsidRDefault="00130923" w:rsidP="00130923">
      <w:pPr>
        <w:pStyle w:val="BodyText"/>
        <w:sectPr w:rsidR="00130923" w:rsidRPr="00515D3C" w:rsidSect="00AD09E4">
          <w:headerReference w:type="even" r:id="rId10"/>
          <w:headerReference w:type="default" r:id="rId11"/>
          <w:footerReference w:type="even" r:id="rId12"/>
          <w:footerReference w:type="default" r:id="rId13"/>
          <w:headerReference w:type="first" r:id="rId14"/>
          <w:footerReference w:type="first" r:id="rId15"/>
          <w:pgSz w:w="11906" w:h="16838"/>
          <w:pgMar w:top="1418" w:right="1558" w:bottom="567" w:left="1440" w:header="708" w:footer="283" w:gutter="0"/>
          <w:cols w:space="708"/>
          <w:docGrid w:linePitch="360"/>
        </w:sectPr>
      </w:pPr>
    </w:p>
    <w:p w14:paraId="5B31E3CE" w14:textId="60F2D4DE" w:rsidR="00130923" w:rsidRDefault="00130923" w:rsidP="007D58FB">
      <w:r w:rsidRPr="00515D3C">
        <w:t>ISBN</w:t>
      </w:r>
    </w:p>
    <w:p w14:paraId="5EB12EF9" w14:textId="52F61931" w:rsidR="004B56F3" w:rsidRDefault="004B56F3" w:rsidP="004B56F3">
      <w:pPr>
        <w:spacing w:after="0"/>
      </w:pPr>
      <w:r>
        <w:t>978-1-760-51564-5 [PDF]</w:t>
      </w:r>
    </w:p>
    <w:p w14:paraId="46315361" w14:textId="704AFEA3" w:rsidR="004B56F3" w:rsidRPr="00515D3C" w:rsidRDefault="004B56F3" w:rsidP="007D58FB">
      <w:r>
        <w:t>978-1-760-51565-2 [DOCX]</w:t>
      </w:r>
    </w:p>
    <w:p w14:paraId="4362AE49" w14:textId="77777777" w:rsidR="00130923" w:rsidRPr="00515D3C" w:rsidRDefault="00130923" w:rsidP="00130923">
      <w:pPr>
        <w:pStyle w:val="numberedpara"/>
        <w:numPr>
          <w:ilvl w:val="0"/>
          <w:numId w:val="0"/>
        </w:numPr>
        <w:tabs>
          <w:tab w:val="left" w:pos="720"/>
        </w:tabs>
        <w:rPr>
          <w:sz w:val="20"/>
          <w:szCs w:val="20"/>
        </w:rPr>
      </w:pPr>
      <w:r w:rsidRPr="00515D3C">
        <w:rPr>
          <w:noProof/>
          <w:sz w:val="20"/>
          <w:szCs w:val="20"/>
        </w:rPr>
        <w:drawing>
          <wp:inline distT="0" distB="0" distL="0" distR="0" wp14:anchorId="17DC289E" wp14:editId="740EF815">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6" r:link="rId17"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3BC50BF9" w14:textId="77777777" w:rsidR="00130923" w:rsidRPr="00515D3C" w:rsidRDefault="00130923" w:rsidP="007D58FB">
      <w:r w:rsidRPr="00515D3C">
        <w:t xml:space="preserve">With the exception of the Commonwealth Coat of Arms, the Department’s logo, any material protected by a trade mark and where otherwise noted all material presented in this document is provided under a </w:t>
      </w:r>
      <w:hyperlink r:id="rId18" w:history="1">
        <w:r w:rsidR="00C84E0C" w:rsidRPr="00515D3C">
          <w:rPr>
            <w:rStyle w:val="Hyperlink"/>
          </w:rPr>
          <w:t>Creative Commons Attribution 4.0 International</w:t>
        </w:r>
      </w:hyperlink>
      <w:r w:rsidR="007D58FB" w:rsidRPr="00515D3C">
        <w:t xml:space="preserve"> </w:t>
      </w:r>
      <w:r w:rsidRPr="00515D3C">
        <w:t xml:space="preserve">(http://creativecommons.org/licenses/by/3.0/au/) licence. </w:t>
      </w:r>
    </w:p>
    <w:p w14:paraId="1169270D" w14:textId="77777777" w:rsidR="00130923" w:rsidRPr="00515D3C" w:rsidRDefault="00130923" w:rsidP="007D58FB">
      <w:r w:rsidRPr="00515D3C">
        <w:t xml:space="preserve">The details of the relevant licence conditions are available on the Creative Commons website (accessible using the links provided) as is the full legal code for the </w:t>
      </w:r>
      <w:hyperlink r:id="rId19" w:history="1">
        <w:r w:rsidR="00C84E0C" w:rsidRPr="00515D3C">
          <w:rPr>
            <w:rStyle w:val="Hyperlink"/>
          </w:rPr>
          <w:t>CC BY 4.0 International</w:t>
        </w:r>
      </w:hyperlink>
      <w:r w:rsidRPr="00515D3C">
        <w:t xml:space="preserve"> (http://creativecommons.org/licenses/by/</w:t>
      </w:r>
      <w:r w:rsidR="00C84E0C" w:rsidRPr="00515D3C">
        <w:t>4</w:t>
      </w:r>
      <w:r w:rsidRPr="00515D3C">
        <w:t>.0</w:t>
      </w:r>
      <w:r w:rsidR="00C84E0C" w:rsidRPr="00515D3C">
        <w:t>/</w:t>
      </w:r>
      <w:r w:rsidRPr="00515D3C">
        <w:t xml:space="preserve">legalcode). </w:t>
      </w:r>
    </w:p>
    <w:p w14:paraId="0A0BDE2A" w14:textId="361E2CF8" w:rsidR="00130923" w:rsidRPr="00515D3C" w:rsidRDefault="00130923" w:rsidP="007D58FB">
      <w:r w:rsidRPr="00515D3C">
        <w:t xml:space="preserve">The document must be attributed as the </w:t>
      </w:r>
      <w:r w:rsidR="003F4A27" w:rsidRPr="00515D3C">
        <w:rPr>
          <w:i/>
        </w:rPr>
        <w:t>Research Training Implementation Plan Progress Report, July 2018.</w:t>
      </w:r>
    </w:p>
    <w:p w14:paraId="0456ACD4" w14:textId="77777777" w:rsidR="00130923" w:rsidRPr="00515D3C" w:rsidRDefault="00130923" w:rsidP="00130923">
      <w:pPr>
        <w:pStyle w:val="numberedpara"/>
        <w:numPr>
          <w:ilvl w:val="0"/>
          <w:numId w:val="0"/>
        </w:numPr>
        <w:tabs>
          <w:tab w:val="left" w:pos="720"/>
        </w:tabs>
        <w:spacing w:before="120" w:after="120"/>
        <w:rPr>
          <w:sz w:val="20"/>
          <w:szCs w:val="20"/>
        </w:rPr>
        <w:sectPr w:rsidR="00130923" w:rsidRPr="00515D3C" w:rsidSect="007D58FB">
          <w:type w:val="continuous"/>
          <w:pgSz w:w="11906" w:h="16838"/>
          <w:pgMar w:top="10348" w:right="1440" w:bottom="1440" w:left="1440" w:header="708" w:footer="708" w:gutter="0"/>
          <w:cols w:space="708"/>
          <w:docGrid w:linePitch="360"/>
        </w:sectPr>
      </w:pPr>
    </w:p>
    <w:p w14:paraId="0C310401" w14:textId="45AEAD0B" w:rsidR="00AF5AB9" w:rsidRPr="00515D3C" w:rsidRDefault="00AF5AB9">
      <w:pPr>
        <w:rPr>
          <w:rFonts w:ascii="Calibri" w:eastAsiaTheme="minorHAnsi" w:hAnsi="Calibri" w:cs="Calibri"/>
          <w:sz w:val="20"/>
          <w:szCs w:val="20"/>
          <w:lang w:eastAsia="en-AU"/>
        </w:rPr>
      </w:pPr>
      <w:r w:rsidRPr="00515D3C">
        <w:rPr>
          <w:sz w:val="20"/>
          <w:szCs w:val="20"/>
        </w:rPr>
        <w:br w:type="page"/>
      </w:r>
    </w:p>
    <w:p w14:paraId="59316A5E" w14:textId="77777777" w:rsidR="00EF4A38" w:rsidRPr="00515D3C" w:rsidRDefault="00EF4A38" w:rsidP="00EF4A38">
      <w:pPr>
        <w:pStyle w:val="numberedpara"/>
        <w:numPr>
          <w:ilvl w:val="0"/>
          <w:numId w:val="0"/>
        </w:numPr>
        <w:tabs>
          <w:tab w:val="left" w:pos="720"/>
        </w:tabs>
        <w:spacing w:before="120" w:after="120"/>
        <w:rPr>
          <w:sz w:val="20"/>
          <w:szCs w:val="20"/>
        </w:rPr>
        <w:sectPr w:rsidR="00EF4A38" w:rsidRPr="00515D3C" w:rsidSect="00EF4A38">
          <w:type w:val="continuous"/>
          <w:pgSz w:w="11906" w:h="16838"/>
          <w:pgMar w:top="3544" w:right="1440" w:bottom="1440" w:left="1440" w:header="708" w:footer="708" w:gutter="0"/>
          <w:cols w:space="708"/>
          <w:docGrid w:linePitch="360"/>
        </w:sectPr>
      </w:pPr>
    </w:p>
    <w:sdt>
      <w:sdtPr>
        <w:rPr>
          <w:rFonts w:asciiTheme="minorHAnsi" w:eastAsiaTheme="minorEastAsia" w:hAnsiTheme="minorHAnsi" w:cstheme="minorBidi"/>
          <w:b w:val="0"/>
          <w:bCs w:val="0"/>
          <w:color w:val="auto"/>
          <w:sz w:val="22"/>
          <w:szCs w:val="22"/>
          <w:lang w:bidi="ar-SA"/>
        </w:rPr>
        <w:id w:val="-779411872"/>
        <w:docPartObj>
          <w:docPartGallery w:val="Table of Contents"/>
          <w:docPartUnique/>
        </w:docPartObj>
      </w:sdtPr>
      <w:sdtEndPr/>
      <w:sdtContent>
        <w:p w14:paraId="5804F76E" w14:textId="36835E50" w:rsidR="00F10104" w:rsidRPr="00515D3C" w:rsidRDefault="00F10104">
          <w:pPr>
            <w:pStyle w:val="TOCHeading"/>
          </w:pPr>
          <w:r w:rsidRPr="00515D3C">
            <w:t>Contents</w:t>
          </w:r>
        </w:p>
        <w:p w14:paraId="465EC04E" w14:textId="57988908" w:rsidR="00D405D5" w:rsidRDefault="00F10104">
          <w:pPr>
            <w:pStyle w:val="TOC1"/>
            <w:tabs>
              <w:tab w:val="right" w:leader="dot" w:pos="9016"/>
            </w:tabs>
            <w:rPr>
              <w:noProof/>
              <w:lang w:eastAsia="en-AU"/>
            </w:rPr>
          </w:pPr>
          <w:r w:rsidRPr="00515D3C">
            <w:fldChar w:fldCharType="begin"/>
          </w:r>
          <w:r w:rsidRPr="00515D3C">
            <w:instrText xml:space="preserve"> TOC \o "1-2" \h \z \u </w:instrText>
          </w:r>
          <w:r w:rsidRPr="00515D3C">
            <w:fldChar w:fldCharType="separate"/>
          </w:r>
          <w:hyperlink w:anchor="_Toc522100110" w:history="1">
            <w:r w:rsidR="00D405D5" w:rsidRPr="004F2A0E">
              <w:rPr>
                <w:rStyle w:val="Hyperlink"/>
                <w:noProof/>
              </w:rPr>
              <w:t>Introduction</w:t>
            </w:r>
            <w:r w:rsidR="00D405D5">
              <w:rPr>
                <w:noProof/>
                <w:webHidden/>
              </w:rPr>
              <w:tab/>
            </w:r>
            <w:r w:rsidR="00D405D5">
              <w:rPr>
                <w:noProof/>
                <w:webHidden/>
              </w:rPr>
              <w:fldChar w:fldCharType="begin"/>
            </w:r>
            <w:r w:rsidR="00D405D5">
              <w:rPr>
                <w:noProof/>
                <w:webHidden/>
              </w:rPr>
              <w:instrText xml:space="preserve"> PAGEREF _Toc522100110 \h </w:instrText>
            </w:r>
            <w:r w:rsidR="00D405D5">
              <w:rPr>
                <w:noProof/>
                <w:webHidden/>
              </w:rPr>
            </w:r>
            <w:r w:rsidR="00D405D5">
              <w:rPr>
                <w:noProof/>
                <w:webHidden/>
              </w:rPr>
              <w:fldChar w:fldCharType="separate"/>
            </w:r>
            <w:r w:rsidR="00FF2556">
              <w:rPr>
                <w:noProof/>
                <w:webHidden/>
              </w:rPr>
              <w:t>1</w:t>
            </w:r>
            <w:r w:rsidR="00D405D5">
              <w:rPr>
                <w:noProof/>
                <w:webHidden/>
              </w:rPr>
              <w:fldChar w:fldCharType="end"/>
            </w:r>
          </w:hyperlink>
        </w:p>
        <w:p w14:paraId="3C045A83" w14:textId="6685CF06" w:rsidR="00D405D5" w:rsidRDefault="00761A02">
          <w:pPr>
            <w:pStyle w:val="TOC1"/>
            <w:tabs>
              <w:tab w:val="right" w:leader="dot" w:pos="9016"/>
            </w:tabs>
            <w:rPr>
              <w:noProof/>
              <w:lang w:eastAsia="en-AU"/>
            </w:rPr>
          </w:pPr>
          <w:hyperlink w:anchor="_Toc522100111" w:history="1">
            <w:r w:rsidR="00D405D5" w:rsidRPr="004F2A0E">
              <w:rPr>
                <w:rStyle w:val="Hyperlink"/>
                <w:noProof/>
              </w:rPr>
              <w:t>Priority Issue 1: Pathways to HDR training</w:t>
            </w:r>
            <w:r w:rsidR="00D405D5">
              <w:rPr>
                <w:noProof/>
                <w:webHidden/>
              </w:rPr>
              <w:tab/>
            </w:r>
            <w:r w:rsidR="00D405D5">
              <w:rPr>
                <w:noProof/>
                <w:webHidden/>
              </w:rPr>
              <w:fldChar w:fldCharType="begin"/>
            </w:r>
            <w:r w:rsidR="00D405D5">
              <w:rPr>
                <w:noProof/>
                <w:webHidden/>
              </w:rPr>
              <w:instrText xml:space="preserve"> PAGEREF _Toc522100111 \h </w:instrText>
            </w:r>
            <w:r w:rsidR="00D405D5">
              <w:rPr>
                <w:noProof/>
                <w:webHidden/>
              </w:rPr>
            </w:r>
            <w:r w:rsidR="00D405D5">
              <w:rPr>
                <w:noProof/>
                <w:webHidden/>
              </w:rPr>
              <w:fldChar w:fldCharType="separate"/>
            </w:r>
            <w:r w:rsidR="00FF2556">
              <w:rPr>
                <w:noProof/>
                <w:webHidden/>
              </w:rPr>
              <w:t>2</w:t>
            </w:r>
            <w:r w:rsidR="00D405D5">
              <w:rPr>
                <w:noProof/>
                <w:webHidden/>
              </w:rPr>
              <w:fldChar w:fldCharType="end"/>
            </w:r>
          </w:hyperlink>
        </w:p>
        <w:p w14:paraId="0E1115D4" w14:textId="38E3D9A3" w:rsidR="00D405D5" w:rsidRDefault="00761A02">
          <w:pPr>
            <w:pStyle w:val="TOC2"/>
            <w:tabs>
              <w:tab w:val="right" w:leader="dot" w:pos="9016"/>
            </w:tabs>
            <w:rPr>
              <w:noProof/>
              <w:lang w:eastAsia="en-AU"/>
            </w:rPr>
          </w:pPr>
          <w:hyperlink w:anchor="_Toc522100112" w:history="1">
            <w:r w:rsidR="00D405D5" w:rsidRPr="004F2A0E">
              <w:rPr>
                <w:rStyle w:val="Hyperlink"/>
                <w:noProof/>
              </w:rPr>
              <w:t>Action 1.1 Monitor new pathways to HDR training, undertake modelling and review the use of RTP funding</w:t>
            </w:r>
            <w:r w:rsidR="00D405D5">
              <w:rPr>
                <w:noProof/>
                <w:webHidden/>
              </w:rPr>
              <w:tab/>
            </w:r>
            <w:r w:rsidR="00D405D5">
              <w:rPr>
                <w:noProof/>
                <w:webHidden/>
              </w:rPr>
              <w:fldChar w:fldCharType="begin"/>
            </w:r>
            <w:r w:rsidR="00D405D5">
              <w:rPr>
                <w:noProof/>
                <w:webHidden/>
              </w:rPr>
              <w:instrText xml:space="preserve"> PAGEREF _Toc522100112 \h </w:instrText>
            </w:r>
            <w:r w:rsidR="00D405D5">
              <w:rPr>
                <w:noProof/>
                <w:webHidden/>
              </w:rPr>
            </w:r>
            <w:r w:rsidR="00D405D5">
              <w:rPr>
                <w:noProof/>
                <w:webHidden/>
              </w:rPr>
              <w:fldChar w:fldCharType="separate"/>
            </w:r>
            <w:r w:rsidR="00FF2556">
              <w:rPr>
                <w:noProof/>
                <w:webHidden/>
              </w:rPr>
              <w:t>2</w:t>
            </w:r>
            <w:r w:rsidR="00D405D5">
              <w:rPr>
                <w:noProof/>
                <w:webHidden/>
              </w:rPr>
              <w:fldChar w:fldCharType="end"/>
            </w:r>
          </w:hyperlink>
        </w:p>
        <w:p w14:paraId="407F2F5F" w14:textId="47FC253E" w:rsidR="00D405D5" w:rsidRDefault="00761A02">
          <w:pPr>
            <w:pStyle w:val="TOC2"/>
            <w:tabs>
              <w:tab w:val="right" w:leader="dot" w:pos="9016"/>
            </w:tabs>
            <w:rPr>
              <w:noProof/>
              <w:lang w:eastAsia="en-AU"/>
            </w:rPr>
          </w:pPr>
          <w:hyperlink w:anchor="_Toc522100113" w:history="1">
            <w:r w:rsidR="00D405D5" w:rsidRPr="004F2A0E">
              <w:rPr>
                <w:rStyle w:val="Hyperlink"/>
                <w:noProof/>
              </w:rPr>
              <w:t>Action 1.2 Consult on the new CGS postgraduate scholarship arrangements</w:t>
            </w:r>
            <w:r w:rsidR="00D405D5">
              <w:rPr>
                <w:noProof/>
                <w:webHidden/>
              </w:rPr>
              <w:tab/>
            </w:r>
            <w:r w:rsidR="00D405D5">
              <w:rPr>
                <w:noProof/>
                <w:webHidden/>
              </w:rPr>
              <w:fldChar w:fldCharType="begin"/>
            </w:r>
            <w:r w:rsidR="00D405D5">
              <w:rPr>
                <w:noProof/>
                <w:webHidden/>
              </w:rPr>
              <w:instrText xml:space="preserve"> PAGEREF _Toc522100113 \h </w:instrText>
            </w:r>
            <w:r w:rsidR="00D405D5">
              <w:rPr>
                <w:noProof/>
                <w:webHidden/>
              </w:rPr>
            </w:r>
            <w:r w:rsidR="00D405D5">
              <w:rPr>
                <w:noProof/>
                <w:webHidden/>
              </w:rPr>
              <w:fldChar w:fldCharType="separate"/>
            </w:r>
            <w:r w:rsidR="00FF2556">
              <w:rPr>
                <w:noProof/>
                <w:webHidden/>
              </w:rPr>
              <w:t>3</w:t>
            </w:r>
            <w:r w:rsidR="00D405D5">
              <w:rPr>
                <w:noProof/>
                <w:webHidden/>
              </w:rPr>
              <w:fldChar w:fldCharType="end"/>
            </w:r>
          </w:hyperlink>
        </w:p>
        <w:p w14:paraId="6A4922AE" w14:textId="02E4A12B" w:rsidR="00D405D5" w:rsidRDefault="00761A02">
          <w:pPr>
            <w:pStyle w:val="TOC1"/>
            <w:tabs>
              <w:tab w:val="right" w:leader="dot" w:pos="9016"/>
            </w:tabs>
            <w:rPr>
              <w:noProof/>
              <w:lang w:eastAsia="en-AU"/>
            </w:rPr>
          </w:pPr>
          <w:hyperlink w:anchor="_Toc522100114" w:history="1">
            <w:r w:rsidR="00D405D5" w:rsidRPr="004F2A0E">
              <w:rPr>
                <w:rStyle w:val="Hyperlink"/>
                <w:noProof/>
              </w:rPr>
              <w:t>Priority Issue 2: Industry-university collaboration</w:t>
            </w:r>
            <w:r w:rsidR="00D405D5">
              <w:rPr>
                <w:noProof/>
                <w:webHidden/>
              </w:rPr>
              <w:tab/>
            </w:r>
            <w:r w:rsidR="00D405D5">
              <w:rPr>
                <w:noProof/>
                <w:webHidden/>
              </w:rPr>
              <w:fldChar w:fldCharType="begin"/>
            </w:r>
            <w:r w:rsidR="00D405D5">
              <w:rPr>
                <w:noProof/>
                <w:webHidden/>
              </w:rPr>
              <w:instrText xml:space="preserve"> PAGEREF _Toc522100114 \h </w:instrText>
            </w:r>
            <w:r w:rsidR="00D405D5">
              <w:rPr>
                <w:noProof/>
                <w:webHidden/>
              </w:rPr>
            </w:r>
            <w:r w:rsidR="00D405D5">
              <w:rPr>
                <w:noProof/>
                <w:webHidden/>
              </w:rPr>
              <w:fldChar w:fldCharType="separate"/>
            </w:r>
            <w:r w:rsidR="00FF2556">
              <w:rPr>
                <w:noProof/>
                <w:webHidden/>
              </w:rPr>
              <w:t>4</w:t>
            </w:r>
            <w:r w:rsidR="00D405D5">
              <w:rPr>
                <w:noProof/>
                <w:webHidden/>
              </w:rPr>
              <w:fldChar w:fldCharType="end"/>
            </w:r>
          </w:hyperlink>
        </w:p>
        <w:p w14:paraId="12C45EE1" w14:textId="7763F072" w:rsidR="00D405D5" w:rsidRDefault="00761A02">
          <w:pPr>
            <w:pStyle w:val="TOC2"/>
            <w:tabs>
              <w:tab w:val="right" w:leader="dot" w:pos="9016"/>
            </w:tabs>
            <w:rPr>
              <w:noProof/>
              <w:lang w:eastAsia="en-AU"/>
            </w:rPr>
          </w:pPr>
          <w:hyperlink w:anchor="_Toc522100115" w:history="1">
            <w:r w:rsidR="00D405D5" w:rsidRPr="004F2A0E">
              <w:rPr>
                <w:rStyle w:val="Hyperlink"/>
                <w:noProof/>
              </w:rPr>
              <w:t>Action 2.1 Principles to guide industry-university collaboration in HDR training</w:t>
            </w:r>
            <w:r w:rsidR="00D405D5">
              <w:rPr>
                <w:noProof/>
                <w:webHidden/>
              </w:rPr>
              <w:tab/>
            </w:r>
            <w:r w:rsidR="00D405D5">
              <w:rPr>
                <w:noProof/>
                <w:webHidden/>
              </w:rPr>
              <w:fldChar w:fldCharType="begin"/>
            </w:r>
            <w:r w:rsidR="00D405D5">
              <w:rPr>
                <w:noProof/>
                <w:webHidden/>
              </w:rPr>
              <w:instrText xml:space="preserve"> PAGEREF _Toc522100115 \h </w:instrText>
            </w:r>
            <w:r w:rsidR="00D405D5">
              <w:rPr>
                <w:noProof/>
                <w:webHidden/>
              </w:rPr>
            </w:r>
            <w:r w:rsidR="00D405D5">
              <w:rPr>
                <w:noProof/>
                <w:webHidden/>
              </w:rPr>
              <w:fldChar w:fldCharType="separate"/>
            </w:r>
            <w:r w:rsidR="00FF2556">
              <w:rPr>
                <w:noProof/>
                <w:webHidden/>
              </w:rPr>
              <w:t>4</w:t>
            </w:r>
            <w:r w:rsidR="00D405D5">
              <w:rPr>
                <w:noProof/>
                <w:webHidden/>
              </w:rPr>
              <w:fldChar w:fldCharType="end"/>
            </w:r>
          </w:hyperlink>
        </w:p>
        <w:p w14:paraId="1278A646" w14:textId="7DE69D76" w:rsidR="00D405D5" w:rsidRDefault="00761A02">
          <w:pPr>
            <w:pStyle w:val="TOC2"/>
            <w:tabs>
              <w:tab w:val="right" w:leader="dot" w:pos="9016"/>
            </w:tabs>
            <w:rPr>
              <w:noProof/>
              <w:lang w:eastAsia="en-AU"/>
            </w:rPr>
          </w:pPr>
          <w:hyperlink w:anchor="_Toc522100116" w:history="1">
            <w:r w:rsidR="00D405D5" w:rsidRPr="004F2A0E">
              <w:rPr>
                <w:rStyle w:val="Hyperlink"/>
                <w:noProof/>
              </w:rPr>
              <w:t>Action 2.2 Promote availability of HDR industry internships and other collaboration</w:t>
            </w:r>
            <w:r w:rsidR="00D405D5">
              <w:rPr>
                <w:noProof/>
                <w:webHidden/>
              </w:rPr>
              <w:tab/>
            </w:r>
            <w:r w:rsidR="00D405D5">
              <w:rPr>
                <w:noProof/>
                <w:webHidden/>
              </w:rPr>
              <w:fldChar w:fldCharType="begin"/>
            </w:r>
            <w:r w:rsidR="00D405D5">
              <w:rPr>
                <w:noProof/>
                <w:webHidden/>
              </w:rPr>
              <w:instrText xml:space="preserve"> PAGEREF _Toc522100116 \h </w:instrText>
            </w:r>
            <w:r w:rsidR="00D405D5">
              <w:rPr>
                <w:noProof/>
                <w:webHidden/>
              </w:rPr>
            </w:r>
            <w:r w:rsidR="00D405D5">
              <w:rPr>
                <w:noProof/>
                <w:webHidden/>
              </w:rPr>
              <w:fldChar w:fldCharType="separate"/>
            </w:r>
            <w:r w:rsidR="00FF2556">
              <w:rPr>
                <w:noProof/>
                <w:webHidden/>
              </w:rPr>
              <w:t>5</w:t>
            </w:r>
            <w:r w:rsidR="00D405D5">
              <w:rPr>
                <w:noProof/>
                <w:webHidden/>
              </w:rPr>
              <w:fldChar w:fldCharType="end"/>
            </w:r>
          </w:hyperlink>
        </w:p>
        <w:p w14:paraId="398F7850" w14:textId="406610AA" w:rsidR="00D405D5" w:rsidRDefault="00761A02">
          <w:pPr>
            <w:pStyle w:val="TOC2"/>
            <w:tabs>
              <w:tab w:val="right" w:leader="dot" w:pos="9016"/>
            </w:tabs>
            <w:rPr>
              <w:noProof/>
              <w:lang w:eastAsia="en-AU"/>
            </w:rPr>
          </w:pPr>
          <w:hyperlink w:anchor="_Toc522100117" w:history="1">
            <w:r w:rsidR="00D405D5" w:rsidRPr="004F2A0E">
              <w:rPr>
                <w:rStyle w:val="Hyperlink"/>
                <w:noProof/>
              </w:rPr>
              <w:t>Action 2.3 Monitor implementation of the National Research Internships Program (NRIP)</w:t>
            </w:r>
            <w:r w:rsidR="00D405D5">
              <w:rPr>
                <w:noProof/>
                <w:webHidden/>
              </w:rPr>
              <w:tab/>
            </w:r>
            <w:r w:rsidR="00D405D5">
              <w:rPr>
                <w:noProof/>
                <w:webHidden/>
              </w:rPr>
              <w:fldChar w:fldCharType="begin"/>
            </w:r>
            <w:r w:rsidR="00D405D5">
              <w:rPr>
                <w:noProof/>
                <w:webHidden/>
              </w:rPr>
              <w:instrText xml:space="preserve"> PAGEREF _Toc522100117 \h </w:instrText>
            </w:r>
            <w:r w:rsidR="00D405D5">
              <w:rPr>
                <w:noProof/>
                <w:webHidden/>
              </w:rPr>
            </w:r>
            <w:r w:rsidR="00D405D5">
              <w:rPr>
                <w:noProof/>
                <w:webHidden/>
              </w:rPr>
              <w:fldChar w:fldCharType="separate"/>
            </w:r>
            <w:r w:rsidR="00FF2556">
              <w:rPr>
                <w:noProof/>
                <w:webHidden/>
              </w:rPr>
              <w:t>6</w:t>
            </w:r>
            <w:r w:rsidR="00D405D5">
              <w:rPr>
                <w:noProof/>
                <w:webHidden/>
              </w:rPr>
              <w:fldChar w:fldCharType="end"/>
            </w:r>
          </w:hyperlink>
        </w:p>
        <w:p w14:paraId="50076755" w14:textId="039387E7" w:rsidR="00D405D5" w:rsidRDefault="00761A02">
          <w:pPr>
            <w:pStyle w:val="TOC2"/>
            <w:tabs>
              <w:tab w:val="right" w:leader="dot" w:pos="9016"/>
            </w:tabs>
            <w:rPr>
              <w:noProof/>
              <w:lang w:eastAsia="en-AU"/>
            </w:rPr>
          </w:pPr>
          <w:hyperlink w:anchor="_Toc522100118" w:history="1">
            <w:r w:rsidR="00D405D5" w:rsidRPr="004F2A0E">
              <w:rPr>
                <w:rStyle w:val="Hyperlink"/>
                <w:noProof/>
              </w:rPr>
              <w:t>Action 2.4 Establish baseline data and monitor internships and other collaboration</w:t>
            </w:r>
            <w:r w:rsidR="00D405D5">
              <w:rPr>
                <w:noProof/>
                <w:webHidden/>
              </w:rPr>
              <w:tab/>
            </w:r>
            <w:r w:rsidR="00D405D5">
              <w:rPr>
                <w:noProof/>
                <w:webHidden/>
              </w:rPr>
              <w:fldChar w:fldCharType="begin"/>
            </w:r>
            <w:r w:rsidR="00D405D5">
              <w:rPr>
                <w:noProof/>
                <w:webHidden/>
              </w:rPr>
              <w:instrText xml:space="preserve"> PAGEREF _Toc522100118 \h </w:instrText>
            </w:r>
            <w:r w:rsidR="00D405D5">
              <w:rPr>
                <w:noProof/>
                <w:webHidden/>
              </w:rPr>
            </w:r>
            <w:r w:rsidR="00D405D5">
              <w:rPr>
                <w:noProof/>
                <w:webHidden/>
              </w:rPr>
              <w:fldChar w:fldCharType="separate"/>
            </w:r>
            <w:r w:rsidR="00FF2556">
              <w:rPr>
                <w:noProof/>
                <w:webHidden/>
              </w:rPr>
              <w:t>7</w:t>
            </w:r>
            <w:r w:rsidR="00D405D5">
              <w:rPr>
                <w:noProof/>
                <w:webHidden/>
              </w:rPr>
              <w:fldChar w:fldCharType="end"/>
            </w:r>
          </w:hyperlink>
        </w:p>
        <w:p w14:paraId="471412A7" w14:textId="74313C18" w:rsidR="00D405D5" w:rsidRDefault="00761A02">
          <w:pPr>
            <w:pStyle w:val="TOC2"/>
            <w:tabs>
              <w:tab w:val="right" w:leader="dot" w:pos="9016"/>
            </w:tabs>
            <w:rPr>
              <w:noProof/>
              <w:lang w:eastAsia="en-AU"/>
            </w:rPr>
          </w:pPr>
          <w:hyperlink w:anchor="_Toc522100119" w:history="1">
            <w:r w:rsidR="00D405D5" w:rsidRPr="004F2A0E">
              <w:rPr>
                <w:rStyle w:val="Hyperlink"/>
                <w:noProof/>
              </w:rPr>
              <w:t>Action 2.5 Collaborative IP templates</w:t>
            </w:r>
            <w:r w:rsidR="00D405D5">
              <w:rPr>
                <w:noProof/>
                <w:webHidden/>
              </w:rPr>
              <w:tab/>
            </w:r>
            <w:r w:rsidR="00D405D5">
              <w:rPr>
                <w:noProof/>
                <w:webHidden/>
              </w:rPr>
              <w:fldChar w:fldCharType="begin"/>
            </w:r>
            <w:r w:rsidR="00D405D5">
              <w:rPr>
                <w:noProof/>
                <w:webHidden/>
              </w:rPr>
              <w:instrText xml:space="preserve"> PAGEREF _Toc522100119 \h </w:instrText>
            </w:r>
            <w:r w:rsidR="00D405D5">
              <w:rPr>
                <w:noProof/>
                <w:webHidden/>
              </w:rPr>
            </w:r>
            <w:r w:rsidR="00D405D5">
              <w:rPr>
                <w:noProof/>
                <w:webHidden/>
              </w:rPr>
              <w:fldChar w:fldCharType="separate"/>
            </w:r>
            <w:r w:rsidR="00FF2556">
              <w:rPr>
                <w:noProof/>
                <w:webHidden/>
              </w:rPr>
              <w:t>7</w:t>
            </w:r>
            <w:r w:rsidR="00D405D5">
              <w:rPr>
                <w:noProof/>
                <w:webHidden/>
              </w:rPr>
              <w:fldChar w:fldCharType="end"/>
            </w:r>
          </w:hyperlink>
        </w:p>
        <w:p w14:paraId="681C6449" w14:textId="3B88486A" w:rsidR="00D405D5" w:rsidRDefault="00761A02">
          <w:pPr>
            <w:pStyle w:val="TOC1"/>
            <w:tabs>
              <w:tab w:val="right" w:leader="dot" w:pos="9016"/>
            </w:tabs>
            <w:rPr>
              <w:noProof/>
              <w:lang w:eastAsia="en-AU"/>
            </w:rPr>
          </w:pPr>
          <w:hyperlink w:anchor="_Toc522100120" w:history="1">
            <w:r w:rsidR="00D405D5" w:rsidRPr="004F2A0E">
              <w:rPr>
                <w:rStyle w:val="Hyperlink"/>
                <w:noProof/>
              </w:rPr>
              <w:t>Priority issue 3: Equity, including Indigenous participation</w:t>
            </w:r>
            <w:r w:rsidR="00D405D5">
              <w:rPr>
                <w:noProof/>
                <w:webHidden/>
              </w:rPr>
              <w:tab/>
            </w:r>
            <w:r w:rsidR="00D405D5">
              <w:rPr>
                <w:noProof/>
                <w:webHidden/>
              </w:rPr>
              <w:fldChar w:fldCharType="begin"/>
            </w:r>
            <w:r w:rsidR="00D405D5">
              <w:rPr>
                <w:noProof/>
                <w:webHidden/>
              </w:rPr>
              <w:instrText xml:space="preserve"> PAGEREF _Toc522100120 \h </w:instrText>
            </w:r>
            <w:r w:rsidR="00D405D5">
              <w:rPr>
                <w:noProof/>
                <w:webHidden/>
              </w:rPr>
            </w:r>
            <w:r w:rsidR="00D405D5">
              <w:rPr>
                <w:noProof/>
                <w:webHidden/>
              </w:rPr>
              <w:fldChar w:fldCharType="separate"/>
            </w:r>
            <w:r w:rsidR="00FF2556">
              <w:rPr>
                <w:noProof/>
                <w:webHidden/>
              </w:rPr>
              <w:t>9</w:t>
            </w:r>
            <w:r w:rsidR="00D405D5">
              <w:rPr>
                <w:noProof/>
                <w:webHidden/>
              </w:rPr>
              <w:fldChar w:fldCharType="end"/>
            </w:r>
          </w:hyperlink>
        </w:p>
        <w:p w14:paraId="244039A2" w14:textId="4B6A1E34" w:rsidR="00D405D5" w:rsidRDefault="00761A02">
          <w:pPr>
            <w:pStyle w:val="TOC2"/>
            <w:tabs>
              <w:tab w:val="right" w:leader="dot" w:pos="9016"/>
            </w:tabs>
            <w:rPr>
              <w:noProof/>
              <w:lang w:eastAsia="en-AU"/>
            </w:rPr>
          </w:pPr>
          <w:hyperlink w:anchor="_Toc522100121" w:history="1">
            <w:r w:rsidR="00D405D5" w:rsidRPr="004F2A0E">
              <w:rPr>
                <w:rStyle w:val="Hyperlink"/>
                <w:noProof/>
              </w:rPr>
              <w:t>Action 3.1 Better data collection, and monitoring and analysis</w:t>
            </w:r>
            <w:r w:rsidR="00D405D5">
              <w:rPr>
                <w:noProof/>
                <w:webHidden/>
              </w:rPr>
              <w:tab/>
            </w:r>
            <w:r w:rsidR="00D405D5">
              <w:rPr>
                <w:noProof/>
                <w:webHidden/>
              </w:rPr>
              <w:fldChar w:fldCharType="begin"/>
            </w:r>
            <w:r w:rsidR="00D405D5">
              <w:rPr>
                <w:noProof/>
                <w:webHidden/>
              </w:rPr>
              <w:instrText xml:space="preserve"> PAGEREF _Toc522100121 \h </w:instrText>
            </w:r>
            <w:r w:rsidR="00D405D5">
              <w:rPr>
                <w:noProof/>
                <w:webHidden/>
              </w:rPr>
            </w:r>
            <w:r w:rsidR="00D405D5">
              <w:rPr>
                <w:noProof/>
                <w:webHidden/>
              </w:rPr>
              <w:fldChar w:fldCharType="separate"/>
            </w:r>
            <w:r w:rsidR="00FF2556">
              <w:rPr>
                <w:noProof/>
                <w:webHidden/>
              </w:rPr>
              <w:t>9</w:t>
            </w:r>
            <w:r w:rsidR="00D405D5">
              <w:rPr>
                <w:noProof/>
                <w:webHidden/>
              </w:rPr>
              <w:fldChar w:fldCharType="end"/>
            </w:r>
          </w:hyperlink>
        </w:p>
        <w:p w14:paraId="4EEFD205" w14:textId="7169C5C2" w:rsidR="00D405D5" w:rsidRDefault="00761A02">
          <w:pPr>
            <w:pStyle w:val="TOC2"/>
            <w:tabs>
              <w:tab w:val="right" w:leader="dot" w:pos="9016"/>
            </w:tabs>
            <w:rPr>
              <w:noProof/>
              <w:lang w:eastAsia="en-AU"/>
            </w:rPr>
          </w:pPr>
          <w:hyperlink w:anchor="_Toc522100122" w:history="1">
            <w:r w:rsidR="00D405D5" w:rsidRPr="004F2A0E">
              <w:rPr>
                <w:rStyle w:val="Hyperlink"/>
                <w:noProof/>
              </w:rPr>
              <w:t>Action 3.2 University Indigenous strategies and promotion of best practice</w:t>
            </w:r>
            <w:r w:rsidR="00D405D5">
              <w:rPr>
                <w:noProof/>
                <w:webHidden/>
              </w:rPr>
              <w:tab/>
            </w:r>
            <w:r w:rsidR="00D405D5">
              <w:rPr>
                <w:noProof/>
                <w:webHidden/>
              </w:rPr>
              <w:fldChar w:fldCharType="begin"/>
            </w:r>
            <w:r w:rsidR="00D405D5">
              <w:rPr>
                <w:noProof/>
                <w:webHidden/>
              </w:rPr>
              <w:instrText xml:space="preserve"> PAGEREF _Toc522100122 \h </w:instrText>
            </w:r>
            <w:r w:rsidR="00D405D5">
              <w:rPr>
                <w:noProof/>
                <w:webHidden/>
              </w:rPr>
            </w:r>
            <w:r w:rsidR="00D405D5">
              <w:rPr>
                <w:noProof/>
                <w:webHidden/>
              </w:rPr>
              <w:fldChar w:fldCharType="separate"/>
            </w:r>
            <w:r w:rsidR="00FF2556">
              <w:rPr>
                <w:noProof/>
                <w:webHidden/>
              </w:rPr>
              <w:t>10</w:t>
            </w:r>
            <w:r w:rsidR="00D405D5">
              <w:rPr>
                <w:noProof/>
                <w:webHidden/>
              </w:rPr>
              <w:fldChar w:fldCharType="end"/>
            </w:r>
          </w:hyperlink>
        </w:p>
        <w:p w14:paraId="6158DF4F" w14:textId="56169644" w:rsidR="00D405D5" w:rsidRDefault="00761A02">
          <w:pPr>
            <w:pStyle w:val="TOC2"/>
            <w:tabs>
              <w:tab w:val="right" w:leader="dot" w:pos="9016"/>
            </w:tabs>
            <w:rPr>
              <w:noProof/>
              <w:lang w:eastAsia="en-AU"/>
            </w:rPr>
          </w:pPr>
          <w:hyperlink w:anchor="_Toc522100123" w:history="1">
            <w:r w:rsidR="00D405D5" w:rsidRPr="004F2A0E">
              <w:rPr>
                <w:rStyle w:val="Hyperlink"/>
                <w:noProof/>
              </w:rPr>
              <w:t>Action 3.3 Indigenous PhD forum</w:t>
            </w:r>
            <w:r w:rsidR="00D405D5">
              <w:rPr>
                <w:noProof/>
                <w:webHidden/>
              </w:rPr>
              <w:tab/>
            </w:r>
            <w:r w:rsidR="00D405D5">
              <w:rPr>
                <w:noProof/>
                <w:webHidden/>
              </w:rPr>
              <w:fldChar w:fldCharType="begin"/>
            </w:r>
            <w:r w:rsidR="00D405D5">
              <w:rPr>
                <w:noProof/>
                <w:webHidden/>
              </w:rPr>
              <w:instrText xml:space="preserve"> PAGEREF _Toc522100123 \h </w:instrText>
            </w:r>
            <w:r w:rsidR="00D405D5">
              <w:rPr>
                <w:noProof/>
                <w:webHidden/>
              </w:rPr>
            </w:r>
            <w:r w:rsidR="00D405D5">
              <w:rPr>
                <w:noProof/>
                <w:webHidden/>
              </w:rPr>
              <w:fldChar w:fldCharType="separate"/>
            </w:r>
            <w:r w:rsidR="00FF2556">
              <w:rPr>
                <w:noProof/>
                <w:webHidden/>
              </w:rPr>
              <w:t>11</w:t>
            </w:r>
            <w:r w:rsidR="00D405D5">
              <w:rPr>
                <w:noProof/>
                <w:webHidden/>
              </w:rPr>
              <w:fldChar w:fldCharType="end"/>
            </w:r>
          </w:hyperlink>
        </w:p>
        <w:p w14:paraId="297BBD35" w14:textId="0F02A7D1" w:rsidR="00D405D5" w:rsidRDefault="00761A02">
          <w:pPr>
            <w:pStyle w:val="TOC2"/>
            <w:tabs>
              <w:tab w:val="right" w:leader="dot" w:pos="9016"/>
            </w:tabs>
            <w:rPr>
              <w:noProof/>
              <w:lang w:eastAsia="en-AU"/>
            </w:rPr>
          </w:pPr>
          <w:hyperlink w:anchor="_Toc522100124" w:history="1">
            <w:r w:rsidR="00D405D5" w:rsidRPr="004F2A0E">
              <w:rPr>
                <w:rStyle w:val="Hyperlink"/>
                <w:noProof/>
              </w:rPr>
              <w:t>Action 3.4 Monitoring and reporting on scholarship support</w:t>
            </w:r>
            <w:r w:rsidR="00D405D5">
              <w:rPr>
                <w:noProof/>
                <w:webHidden/>
              </w:rPr>
              <w:tab/>
            </w:r>
            <w:r w:rsidR="00D405D5">
              <w:rPr>
                <w:noProof/>
                <w:webHidden/>
              </w:rPr>
              <w:fldChar w:fldCharType="begin"/>
            </w:r>
            <w:r w:rsidR="00D405D5">
              <w:rPr>
                <w:noProof/>
                <w:webHidden/>
              </w:rPr>
              <w:instrText xml:space="preserve"> PAGEREF _Toc522100124 \h </w:instrText>
            </w:r>
            <w:r w:rsidR="00D405D5">
              <w:rPr>
                <w:noProof/>
                <w:webHidden/>
              </w:rPr>
            </w:r>
            <w:r w:rsidR="00D405D5">
              <w:rPr>
                <w:noProof/>
                <w:webHidden/>
              </w:rPr>
              <w:fldChar w:fldCharType="separate"/>
            </w:r>
            <w:r w:rsidR="00FF2556">
              <w:rPr>
                <w:noProof/>
                <w:webHidden/>
              </w:rPr>
              <w:t>12</w:t>
            </w:r>
            <w:r w:rsidR="00D405D5">
              <w:rPr>
                <w:noProof/>
                <w:webHidden/>
              </w:rPr>
              <w:fldChar w:fldCharType="end"/>
            </w:r>
          </w:hyperlink>
        </w:p>
        <w:p w14:paraId="0B165620" w14:textId="5C5498C6" w:rsidR="00D405D5" w:rsidRDefault="00761A02">
          <w:pPr>
            <w:pStyle w:val="TOC1"/>
            <w:tabs>
              <w:tab w:val="right" w:leader="dot" w:pos="9016"/>
            </w:tabs>
            <w:rPr>
              <w:noProof/>
              <w:lang w:eastAsia="en-AU"/>
            </w:rPr>
          </w:pPr>
          <w:hyperlink w:anchor="_Toc522100125" w:history="1">
            <w:r w:rsidR="00D405D5" w:rsidRPr="004F2A0E">
              <w:rPr>
                <w:rStyle w:val="Hyperlink"/>
                <w:noProof/>
              </w:rPr>
              <w:t>Priority Issue 4: Quality of the HDR system</w:t>
            </w:r>
            <w:r w:rsidR="00D405D5">
              <w:rPr>
                <w:noProof/>
                <w:webHidden/>
              </w:rPr>
              <w:tab/>
            </w:r>
            <w:r w:rsidR="00D405D5">
              <w:rPr>
                <w:noProof/>
                <w:webHidden/>
              </w:rPr>
              <w:fldChar w:fldCharType="begin"/>
            </w:r>
            <w:r w:rsidR="00D405D5">
              <w:rPr>
                <w:noProof/>
                <w:webHidden/>
              </w:rPr>
              <w:instrText xml:space="preserve"> PAGEREF _Toc522100125 \h </w:instrText>
            </w:r>
            <w:r w:rsidR="00D405D5">
              <w:rPr>
                <w:noProof/>
                <w:webHidden/>
              </w:rPr>
            </w:r>
            <w:r w:rsidR="00D405D5">
              <w:rPr>
                <w:noProof/>
                <w:webHidden/>
              </w:rPr>
              <w:fldChar w:fldCharType="separate"/>
            </w:r>
            <w:r w:rsidR="00FF2556">
              <w:rPr>
                <w:noProof/>
                <w:webHidden/>
              </w:rPr>
              <w:t>13</w:t>
            </w:r>
            <w:r w:rsidR="00D405D5">
              <w:rPr>
                <w:noProof/>
                <w:webHidden/>
              </w:rPr>
              <w:fldChar w:fldCharType="end"/>
            </w:r>
          </w:hyperlink>
        </w:p>
        <w:p w14:paraId="72F2C21E" w14:textId="2892CB7A" w:rsidR="00D405D5" w:rsidRDefault="00761A02">
          <w:pPr>
            <w:pStyle w:val="TOC2"/>
            <w:tabs>
              <w:tab w:val="right" w:leader="dot" w:pos="9016"/>
            </w:tabs>
            <w:rPr>
              <w:noProof/>
              <w:lang w:eastAsia="en-AU"/>
            </w:rPr>
          </w:pPr>
          <w:hyperlink w:anchor="_Toc522100126" w:history="1">
            <w:r w:rsidR="00D405D5" w:rsidRPr="004F2A0E">
              <w:rPr>
                <w:rStyle w:val="Hyperlink"/>
                <w:noProof/>
              </w:rPr>
              <w:t>Action 4.1 Revised Student Experience Survey</w:t>
            </w:r>
            <w:r w:rsidR="00D405D5">
              <w:rPr>
                <w:noProof/>
                <w:webHidden/>
              </w:rPr>
              <w:tab/>
            </w:r>
            <w:r w:rsidR="00D405D5">
              <w:rPr>
                <w:noProof/>
                <w:webHidden/>
              </w:rPr>
              <w:fldChar w:fldCharType="begin"/>
            </w:r>
            <w:r w:rsidR="00D405D5">
              <w:rPr>
                <w:noProof/>
                <w:webHidden/>
              </w:rPr>
              <w:instrText xml:space="preserve"> PAGEREF _Toc522100126 \h </w:instrText>
            </w:r>
            <w:r w:rsidR="00D405D5">
              <w:rPr>
                <w:noProof/>
                <w:webHidden/>
              </w:rPr>
            </w:r>
            <w:r w:rsidR="00D405D5">
              <w:rPr>
                <w:noProof/>
                <w:webHidden/>
              </w:rPr>
              <w:fldChar w:fldCharType="separate"/>
            </w:r>
            <w:r w:rsidR="00FF2556">
              <w:rPr>
                <w:noProof/>
                <w:webHidden/>
              </w:rPr>
              <w:t>13</w:t>
            </w:r>
            <w:r w:rsidR="00D405D5">
              <w:rPr>
                <w:noProof/>
                <w:webHidden/>
              </w:rPr>
              <w:fldChar w:fldCharType="end"/>
            </w:r>
          </w:hyperlink>
        </w:p>
        <w:p w14:paraId="660DF773" w14:textId="3FBAAB2D" w:rsidR="00D405D5" w:rsidRDefault="00761A02">
          <w:pPr>
            <w:pStyle w:val="TOC2"/>
            <w:tabs>
              <w:tab w:val="right" w:leader="dot" w:pos="9016"/>
            </w:tabs>
            <w:rPr>
              <w:noProof/>
              <w:lang w:eastAsia="en-AU"/>
            </w:rPr>
          </w:pPr>
          <w:hyperlink w:anchor="_Toc522100127" w:history="1">
            <w:r w:rsidR="00D405D5" w:rsidRPr="004F2A0E">
              <w:rPr>
                <w:rStyle w:val="Hyperlink"/>
                <w:noProof/>
              </w:rPr>
              <w:t>Action 4.2 National guidelines on the development, assessment and recognition of transferable skills</w:t>
            </w:r>
            <w:r w:rsidR="00D405D5">
              <w:rPr>
                <w:noProof/>
                <w:webHidden/>
              </w:rPr>
              <w:tab/>
            </w:r>
            <w:r w:rsidR="00D405D5">
              <w:rPr>
                <w:noProof/>
                <w:webHidden/>
              </w:rPr>
              <w:fldChar w:fldCharType="begin"/>
            </w:r>
            <w:r w:rsidR="00D405D5">
              <w:rPr>
                <w:noProof/>
                <w:webHidden/>
              </w:rPr>
              <w:instrText xml:space="preserve"> PAGEREF _Toc522100127 \h </w:instrText>
            </w:r>
            <w:r w:rsidR="00D405D5">
              <w:rPr>
                <w:noProof/>
                <w:webHidden/>
              </w:rPr>
            </w:r>
            <w:r w:rsidR="00D405D5">
              <w:rPr>
                <w:noProof/>
                <w:webHidden/>
              </w:rPr>
              <w:fldChar w:fldCharType="separate"/>
            </w:r>
            <w:r w:rsidR="00FF2556">
              <w:rPr>
                <w:noProof/>
                <w:webHidden/>
              </w:rPr>
              <w:t>13</w:t>
            </w:r>
            <w:r w:rsidR="00D405D5">
              <w:rPr>
                <w:noProof/>
                <w:webHidden/>
              </w:rPr>
              <w:fldChar w:fldCharType="end"/>
            </w:r>
          </w:hyperlink>
        </w:p>
        <w:p w14:paraId="40DAEF0A" w14:textId="4999F236" w:rsidR="00D405D5" w:rsidRDefault="00761A02">
          <w:pPr>
            <w:pStyle w:val="TOC2"/>
            <w:tabs>
              <w:tab w:val="right" w:leader="dot" w:pos="9016"/>
            </w:tabs>
            <w:rPr>
              <w:noProof/>
              <w:lang w:eastAsia="en-AU"/>
            </w:rPr>
          </w:pPr>
          <w:hyperlink w:anchor="_Toc522100128" w:history="1">
            <w:r w:rsidR="00D405D5" w:rsidRPr="004F2A0E">
              <w:rPr>
                <w:rStyle w:val="Hyperlink"/>
                <w:noProof/>
              </w:rPr>
              <w:t>Action 4.3 Refresh Good Practice Principles for Research Supervision</w:t>
            </w:r>
            <w:r w:rsidR="00D405D5">
              <w:rPr>
                <w:noProof/>
                <w:webHidden/>
              </w:rPr>
              <w:tab/>
            </w:r>
            <w:r w:rsidR="00D405D5">
              <w:rPr>
                <w:noProof/>
                <w:webHidden/>
              </w:rPr>
              <w:fldChar w:fldCharType="begin"/>
            </w:r>
            <w:r w:rsidR="00D405D5">
              <w:rPr>
                <w:noProof/>
                <w:webHidden/>
              </w:rPr>
              <w:instrText xml:space="preserve"> PAGEREF _Toc522100128 \h </w:instrText>
            </w:r>
            <w:r w:rsidR="00D405D5">
              <w:rPr>
                <w:noProof/>
                <w:webHidden/>
              </w:rPr>
            </w:r>
            <w:r w:rsidR="00D405D5">
              <w:rPr>
                <w:noProof/>
                <w:webHidden/>
              </w:rPr>
              <w:fldChar w:fldCharType="separate"/>
            </w:r>
            <w:r w:rsidR="00FF2556">
              <w:rPr>
                <w:noProof/>
                <w:webHidden/>
              </w:rPr>
              <w:t>14</w:t>
            </w:r>
            <w:r w:rsidR="00D405D5">
              <w:rPr>
                <w:noProof/>
                <w:webHidden/>
              </w:rPr>
              <w:fldChar w:fldCharType="end"/>
            </w:r>
          </w:hyperlink>
        </w:p>
        <w:p w14:paraId="2A111A91" w14:textId="0DA9E1F0" w:rsidR="00D405D5" w:rsidRDefault="00761A02">
          <w:pPr>
            <w:pStyle w:val="TOC2"/>
            <w:tabs>
              <w:tab w:val="right" w:leader="dot" w:pos="9016"/>
            </w:tabs>
            <w:rPr>
              <w:noProof/>
              <w:lang w:eastAsia="en-AU"/>
            </w:rPr>
          </w:pPr>
          <w:hyperlink w:anchor="_Toc522100129" w:history="1">
            <w:r w:rsidR="00D405D5" w:rsidRPr="004F2A0E">
              <w:rPr>
                <w:rStyle w:val="Hyperlink"/>
                <w:noProof/>
              </w:rPr>
              <w:t>Action 4.4 Better address HDR supervision responsibilities in academic performance expectations</w:t>
            </w:r>
            <w:r w:rsidR="00D405D5">
              <w:rPr>
                <w:noProof/>
                <w:webHidden/>
              </w:rPr>
              <w:tab/>
            </w:r>
            <w:r w:rsidR="00D405D5">
              <w:rPr>
                <w:noProof/>
                <w:webHidden/>
              </w:rPr>
              <w:fldChar w:fldCharType="begin"/>
            </w:r>
            <w:r w:rsidR="00D405D5">
              <w:rPr>
                <w:noProof/>
                <w:webHidden/>
              </w:rPr>
              <w:instrText xml:space="preserve"> PAGEREF _Toc522100129 \h </w:instrText>
            </w:r>
            <w:r w:rsidR="00D405D5">
              <w:rPr>
                <w:noProof/>
                <w:webHidden/>
              </w:rPr>
            </w:r>
            <w:r w:rsidR="00D405D5">
              <w:rPr>
                <w:noProof/>
                <w:webHidden/>
              </w:rPr>
              <w:fldChar w:fldCharType="separate"/>
            </w:r>
            <w:r w:rsidR="00FF2556">
              <w:rPr>
                <w:noProof/>
                <w:webHidden/>
              </w:rPr>
              <w:t>14</w:t>
            </w:r>
            <w:r w:rsidR="00D405D5">
              <w:rPr>
                <w:noProof/>
                <w:webHidden/>
              </w:rPr>
              <w:fldChar w:fldCharType="end"/>
            </w:r>
          </w:hyperlink>
        </w:p>
        <w:p w14:paraId="6D34EE89" w14:textId="3966783E" w:rsidR="00D405D5" w:rsidRDefault="00761A02">
          <w:pPr>
            <w:pStyle w:val="TOC1"/>
            <w:tabs>
              <w:tab w:val="right" w:leader="dot" w:pos="9016"/>
            </w:tabs>
            <w:rPr>
              <w:noProof/>
              <w:lang w:eastAsia="en-AU"/>
            </w:rPr>
          </w:pPr>
          <w:hyperlink w:anchor="_Toc522100130" w:history="1">
            <w:r w:rsidR="00D405D5" w:rsidRPr="004F2A0E">
              <w:rPr>
                <w:rStyle w:val="Hyperlink"/>
                <w:noProof/>
              </w:rPr>
              <w:t>Priority Issue 5: Data and evidence to better monitor HDR system performance</w:t>
            </w:r>
            <w:r w:rsidR="00D405D5">
              <w:rPr>
                <w:noProof/>
                <w:webHidden/>
              </w:rPr>
              <w:tab/>
            </w:r>
            <w:r w:rsidR="00D405D5">
              <w:rPr>
                <w:noProof/>
                <w:webHidden/>
              </w:rPr>
              <w:fldChar w:fldCharType="begin"/>
            </w:r>
            <w:r w:rsidR="00D405D5">
              <w:rPr>
                <w:noProof/>
                <w:webHidden/>
              </w:rPr>
              <w:instrText xml:space="preserve"> PAGEREF _Toc522100130 \h </w:instrText>
            </w:r>
            <w:r w:rsidR="00D405D5">
              <w:rPr>
                <w:noProof/>
                <w:webHidden/>
              </w:rPr>
            </w:r>
            <w:r w:rsidR="00D405D5">
              <w:rPr>
                <w:noProof/>
                <w:webHidden/>
              </w:rPr>
              <w:fldChar w:fldCharType="separate"/>
            </w:r>
            <w:r w:rsidR="00FF2556">
              <w:rPr>
                <w:noProof/>
                <w:webHidden/>
              </w:rPr>
              <w:t>16</w:t>
            </w:r>
            <w:r w:rsidR="00D405D5">
              <w:rPr>
                <w:noProof/>
                <w:webHidden/>
              </w:rPr>
              <w:fldChar w:fldCharType="end"/>
            </w:r>
          </w:hyperlink>
        </w:p>
        <w:p w14:paraId="22AFF103" w14:textId="789EAF14" w:rsidR="00D405D5" w:rsidRDefault="00761A02">
          <w:pPr>
            <w:pStyle w:val="TOC2"/>
            <w:tabs>
              <w:tab w:val="right" w:leader="dot" w:pos="9016"/>
            </w:tabs>
            <w:rPr>
              <w:noProof/>
              <w:lang w:eastAsia="en-AU"/>
            </w:rPr>
          </w:pPr>
          <w:hyperlink w:anchor="_Toc522100131" w:history="1">
            <w:r w:rsidR="00D405D5" w:rsidRPr="004F2A0E">
              <w:rPr>
                <w:rStyle w:val="Hyperlink"/>
                <w:noProof/>
              </w:rPr>
              <w:t>Action 5.1 Prospective cohort studies</w:t>
            </w:r>
            <w:r w:rsidR="00D405D5">
              <w:rPr>
                <w:noProof/>
                <w:webHidden/>
              </w:rPr>
              <w:tab/>
            </w:r>
            <w:r w:rsidR="00D405D5">
              <w:rPr>
                <w:noProof/>
                <w:webHidden/>
              </w:rPr>
              <w:fldChar w:fldCharType="begin"/>
            </w:r>
            <w:r w:rsidR="00D405D5">
              <w:rPr>
                <w:noProof/>
                <w:webHidden/>
              </w:rPr>
              <w:instrText xml:space="preserve"> PAGEREF _Toc522100131 \h </w:instrText>
            </w:r>
            <w:r w:rsidR="00D405D5">
              <w:rPr>
                <w:noProof/>
                <w:webHidden/>
              </w:rPr>
            </w:r>
            <w:r w:rsidR="00D405D5">
              <w:rPr>
                <w:noProof/>
                <w:webHidden/>
              </w:rPr>
              <w:fldChar w:fldCharType="separate"/>
            </w:r>
            <w:r w:rsidR="00FF2556">
              <w:rPr>
                <w:noProof/>
                <w:webHidden/>
              </w:rPr>
              <w:t>16</w:t>
            </w:r>
            <w:r w:rsidR="00D405D5">
              <w:rPr>
                <w:noProof/>
                <w:webHidden/>
              </w:rPr>
              <w:fldChar w:fldCharType="end"/>
            </w:r>
          </w:hyperlink>
        </w:p>
        <w:p w14:paraId="52BDC1A7" w14:textId="3C1A1CC6" w:rsidR="00D405D5" w:rsidRDefault="00761A02">
          <w:pPr>
            <w:pStyle w:val="TOC2"/>
            <w:tabs>
              <w:tab w:val="right" w:leader="dot" w:pos="9016"/>
            </w:tabs>
            <w:rPr>
              <w:noProof/>
              <w:lang w:eastAsia="en-AU"/>
            </w:rPr>
          </w:pPr>
          <w:hyperlink w:anchor="_Toc522100132" w:history="1">
            <w:r w:rsidR="00D405D5" w:rsidRPr="004F2A0E">
              <w:rPr>
                <w:rStyle w:val="Hyperlink"/>
                <w:noProof/>
              </w:rPr>
              <w:t>Action 5.2 Expanding CHESSN reporting</w:t>
            </w:r>
            <w:r w:rsidR="00D405D5">
              <w:rPr>
                <w:noProof/>
                <w:webHidden/>
              </w:rPr>
              <w:tab/>
            </w:r>
            <w:r w:rsidR="00D405D5">
              <w:rPr>
                <w:noProof/>
                <w:webHidden/>
              </w:rPr>
              <w:fldChar w:fldCharType="begin"/>
            </w:r>
            <w:r w:rsidR="00D405D5">
              <w:rPr>
                <w:noProof/>
                <w:webHidden/>
              </w:rPr>
              <w:instrText xml:space="preserve"> PAGEREF _Toc522100132 \h </w:instrText>
            </w:r>
            <w:r w:rsidR="00D405D5">
              <w:rPr>
                <w:noProof/>
                <w:webHidden/>
              </w:rPr>
            </w:r>
            <w:r w:rsidR="00D405D5">
              <w:rPr>
                <w:noProof/>
                <w:webHidden/>
              </w:rPr>
              <w:fldChar w:fldCharType="separate"/>
            </w:r>
            <w:r w:rsidR="00FF2556">
              <w:rPr>
                <w:noProof/>
                <w:webHidden/>
              </w:rPr>
              <w:t>16</w:t>
            </w:r>
            <w:r w:rsidR="00D405D5">
              <w:rPr>
                <w:noProof/>
                <w:webHidden/>
              </w:rPr>
              <w:fldChar w:fldCharType="end"/>
            </w:r>
          </w:hyperlink>
        </w:p>
        <w:p w14:paraId="54BAFB09" w14:textId="22B4F931" w:rsidR="00D405D5" w:rsidRDefault="00761A02">
          <w:pPr>
            <w:pStyle w:val="TOC2"/>
            <w:tabs>
              <w:tab w:val="right" w:leader="dot" w:pos="9016"/>
            </w:tabs>
            <w:rPr>
              <w:noProof/>
              <w:lang w:eastAsia="en-AU"/>
            </w:rPr>
          </w:pPr>
          <w:hyperlink w:anchor="_Toc522100133" w:history="1">
            <w:r w:rsidR="00D405D5" w:rsidRPr="004F2A0E">
              <w:rPr>
                <w:rStyle w:val="Hyperlink"/>
                <w:noProof/>
              </w:rPr>
              <w:t>Action 5.3 Best practice guidelines on tracking HDR students</w:t>
            </w:r>
            <w:r w:rsidR="00D405D5">
              <w:rPr>
                <w:noProof/>
                <w:webHidden/>
              </w:rPr>
              <w:tab/>
            </w:r>
            <w:r w:rsidR="00D405D5">
              <w:rPr>
                <w:noProof/>
                <w:webHidden/>
              </w:rPr>
              <w:fldChar w:fldCharType="begin"/>
            </w:r>
            <w:r w:rsidR="00D405D5">
              <w:rPr>
                <w:noProof/>
                <w:webHidden/>
              </w:rPr>
              <w:instrText xml:space="preserve"> PAGEREF _Toc522100133 \h </w:instrText>
            </w:r>
            <w:r w:rsidR="00D405D5">
              <w:rPr>
                <w:noProof/>
                <w:webHidden/>
              </w:rPr>
            </w:r>
            <w:r w:rsidR="00D405D5">
              <w:rPr>
                <w:noProof/>
                <w:webHidden/>
              </w:rPr>
              <w:fldChar w:fldCharType="separate"/>
            </w:r>
            <w:r w:rsidR="00FF2556">
              <w:rPr>
                <w:noProof/>
                <w:webHidden/>
              </w:rPr>
              <w:t>17</w:t>
            </w:r>
            <w:r w:rsidR="00D405D5">
              <w:rPr>
                <w:noProof/>
                <w:webHidden/>
              </w:rPr>
              <w:fldChar w:fldCharType="end"/>
            </w:r>
          </w:hyperlink>
        </w:p>
        <w:p w14:paraId="4C9DF0BB" w14:textId="37800C25" w:rsidR="0064112A" w:rsidRPr="00515D3C" w:rsidRDefault="00F10104">
          <w:pPr>
            <w:rPr>
              <w:rFonts w:ascii="Calibri" w:eastAsiaTheme="majorEastAsia" w:hAnsi="Calibri" w:cstheme="majorBidi"/>
              <w:b/>
              <w:spacing w:val="5"/>
              <w:sz w:val="56"/>
              <w:szCs w:val="52"/>
            </w:rPr>
          </w:pPr>
          <w:r w:rsidRPr="00515D3C">
            <w:fldChar w:fldCharType="end"/>
          </w:r>
        </w:p>
      </w:sdtContent>
    </w:sdt>
    <w:p w14:paraId="65D2ECA5" w14:textId="77777777" w:rsidR="00C46CF9" w:rsidRDefault="005711BC">
      <w:pPr>
        <w:sectPr w:rsidR="00C46CF9" w:rsidSect="003242B9">
          <w:headerReference w:type="default" r:id="rId20"/>
          <w:footerReference w:type="default" r:id="rId21"/>
          <w:type w:val="continuous"/>
          <w:pgSz w:w="11906" w:h="16838"/>
          <w:pgMar w:top="1985" w:right="1440" w:bottom="1440" w:left="1440" w:header="708" w:footer="1011" w:gutter="0"/>
          <w:cols w:space="708"/>
          <w:docGrid w:linePitch="360"/>
        </w:sectPr>
      </w:pPr>
      <w:bookmarkStart w:id="0" w:name="_Toc494980720"/>
      <w:r w:rsidRPr="00515D3C">
        <w:br w:type="page"/>
      </w:r>
    </w:p>
    <w:p w14:paraId="635942D6" w14:textId="5B070509" w:rsidR="003806A8" w:rsidRPr="00515D3C" w:rsidRDefault="00DF702A" w:rsidP="003806A8">
      <w:pPr>
        <w:pStyle w:val="Heading1"/>
      </w:pPr>
      <w:bookmarkStart w:id="1" w:name="_Toc522100110"/>
      <w:r w:rsidRPr="00515D3C">
        <w:lastRenderedPageBreak/>
        <w:t>Introduction</w:t>
      </w:r>
      <w:bookmarkEnd w:id="1"/>
    </w:p>
    <w:p w14:paraId="63BBD317" w14:textId="2A39BD54" w:rsidR="00B5528D" w:rsidRPr="00515D3C" w:rsidRDefault="00B5528D" w:rsidP="001A6329">
      <w:pPr>
        <w:spacing w:after="120"/>
      </w:pPr>
      <w:r w:rsidRPr="00515D3C">
        <w:t xml:space="preserve">This report </w:t>
      </w:r>
      <w:r w:rsidR="00FC0B84" w:rsidRPr="00515D3C">
        <w:t>is an</w:t>
      </w:r>
      <w:r w:rsidRPr="00515D3C">
        <w:t xml:space="preserve"> update on progress in implementing the </w:t>
      </w:r>
      <w:hyperlink r:id="rId22" w:history="1">
        <w:r w:rsidRPr="00515D3C">
          <w:rPr>
            <w:rStyle w:val="Hyperlink"/>
          </w:rPr>
          <w:t>Research Training Implementation Plan</w:t>
        </w:r>
      </w:hyperlink>
      <w:r w:rsidRPr="00515D3C">
        <w:t>. The Plan, rel</w:t>
      </w:r>
      <w:r w:rsidR="00B84775">
        <w:t>eased on 22 December 2017 by Senator the</w:t>
      </w:r>
      <w:r w:rsidRPr="00515D3C">
        <w:t xml:space="preserve"> Hon Simon Birmingham, Minister for Education and Training, responds to the </w:t>
      </w:r>
      <w:r w:rsidRPr="00515D3C">
        <w:rPr>
          <w:i/>
        </w:rPr>
        <w:t>Review of Australia’s Research Training System</w:t>
      </w:r>
      <w:r w:rsidR="001A6329">
        <w:t xml:space="preserve"> (2016) prepared by the</w:t>
      </w:r>
      <w:r w:rsidR="001A6329" w:rsidRPr="001A6329">
        <w:t xml:space="preserve"> </w:t>
      </w:r>
      <w:r w:rsidR="001A6329" w:rsidRPr="00515D3C">
        <w:t>Australi</w:t>
      </w:r>
      <w:r w:rsidR="001A6329">
        <w:t>an Council of Learned Academies (ACOLA).</w:t>
      </w:r>
    </w:p>
    <w:p w14:paraId="02B4D8AE" w14:textId="691C0774" w:rsidR="00DF702A" w:rsidRPr="00515D3C" w:rsidRDefault="00DF702A" w:rsidP="00B20571">
      <w:pPr>
        <w:spacing w:after="120"/>
      </w:pPr>
      <w:r w:rsidRPr="00515D3C">
        <w:t>The Plan was developed by the Research Training Implementation Working Group, which comprised representatives from the higher education, industry and government sectors, including Indigenous a</w:t>
      </w:r>
      <w:r w:rsidR="00935BBF" w:rsidRPr="00515D3C">
        <w:t xml:space="preserve">nd </w:t>
      </w:r>
      <w:r w:rsidR="00C357CB">
        <w:t>higher degree by research (</w:t>
      </w:r>
      <w:r w:rsidR="00935BBF" w:rsidRPr="00515D3C">
        <w:t>HDR</w:t>
      </w:r>
      <w:r w:rsidR="00C357CB">
        <w:t>)</w:t>
      </w:r>
      <w:r w:rsidR="00935BBF" w:rsidRPr="00515D3C">
        <w:t xml:space="preserve"> student representatives.</w:t>
      </w:r>
    </w:p>
    <w:p w14:paraId="04E5D9D0" w14:textId="77777777" w:rsidR="00DF702A" w:rsidRPr="00515D3C" w:rsidRDefault="00DF702A" w:rsidP="00B20571">
      <w:pPr>
        <w:spacing w:after="120"/>
      </w:pPr>
      <w:r w:rsidRPr="00515D3C">
        <w:t>The working group developed eighteen actions to address the Review’s findings under five Priority Issues:</w:t>
      </w:r>
    </w:p>
    <w:p w14:paraId="00E1C3ED" w14:textId="77777777" w:rsidR="00DF702A" w:rsidRPr="00515D3C" w:rsidRDefault="00DF702A" w:rsidP="00B20571">
      <w:pPr>
        <w:spacing w:after="120"/>
      </w:pPr>
      <w:r w:rsidRPr="00515D3C">
        <w:t>1.</w:t>
      </w:r>
      <w:r w:rsidRPr="00515D3C">
        <w:tab/>
        <w:t>Pathways to HDR training</w:t>
      </w:r>
    </w:p>
    <w:p w14:paraId="702619E3" w14:textId="77777777" w:rsidR="00DF702A" w:rsidRPr="00515D3C" w:rsidRDefault="00DF702A" w:rsidP="00B20571">
      <w:pPr>
        <w:spacing w:after="120"/>
      </w:pPr>
      <w:r w:rsidRPr="00515D3C">
        <w:t>2.</w:t>
      </w:r>
      <w:r w:rsidRPr="00515D3C">
        <w:tab/>
        <w:t>Industry-university collaboration, including placements</w:t>
      </w:r>
    </w:p>
    <w:p w14:paraId="00BBFB8D" w14:textId="77777777" w:rsidR="00DF702A" w:rsidRPr="00515D3C" w:rsidRDefault="00DF702A" w:rsidP="00B20571">
      <w:pPr>
        <w:spacing w:after="120"/>
      </w:pPr>
      <w:r w:rsidRPr="00515D3C">
        <w:t>3.</w:t>
      </w:r>
      <w:r w:rsidRPr="00515D3C">
        <w:tab/>
        <w:t>Equity, including Indigenous participation</w:t>
      </w:r>
    </w:p>
    <w:p w14:paraId="46AE0665" w14:textId="77777777" w:rsidR="00DF702A" w:rsidRPr="00515D3C" w:rsidRDefault="00DF702A" w:rsidP="00B20571">
      <w:pPr>
        <w:spacing w:after="120"/>
      </w:pPr>
      <w:r w:rsidRPr="00515D3C">
        <w:t>4.</w:t>
      </w:r>
      <w:r w:rsidRPr="00515D3C">
        <w:tab/>
        <w:t>Quality of the HDR training system</w:t>
      </w:r>
    </w:p>
    <w:p w14:paraId="1D38370C" w14:textId="34F16C61" w:rsidR="00DF702A" w:rsidRPr="00515D3C" w:rsidRDefault="00DF702A" w:rsidP="00B20571">
      <w:pPr>
        <w:spacing w:after="120"/>
      </w:pPr>
      <w:r w:rsidRPr="00515D3C">
        <w:t>5.</w:t>
      </w:r>
      <w:r w:rsidRPr="00515D3C">
        <w:tab/>
        <w:t>Data and evidence to better monitor HDR system performance.</w:t>
      </w:r>
    </w:p>
    <w:p w14:paraId="0A746789" w14:textId="62AC3E29" w:rsidR="00DF702A" w:rsidRPr="00515D3C" w:rsidRDefault="00935BBF" w:rsidP="00B20571">
      <w:pPr>
        <w:spacing w:after="120"/>
      </w:pPr>
      <w:r w:rsidRPr="00515D3C">
        <w:t>The Plan identifies</w:t>
      </w:r>
      <w:r w:rsidR="00694ABF" w:rsidRPr="00515D3C">
        <w:t xml:space="preserve"> lead organisations for each action, including </w:t>
      </w:r>
      <w:r w:rsidR="00B20571">
        <w:t>the Depart</w:t>
      </w:r>
      <w:r w:rsidR="001A6329">
        <w:t>ment of Education and Training</w:t>
      </w:r>
      <w:r w:rsidR="008A7876">
        <w:t xml:space="preserve"> (DET)</w:t>
      </w:r>
      <w:r w:rsidR="00694ABF" w:rsidRPr="00515D3C">
        <w:t>,</w:t>
      </w:r>
      <w:r w:rsidR="00BB4322" w:rsidRPr="00515D3C">
        <w:t xml:space="preserve"> the Australian Council of Graduate Research</w:t>
      </w:r>
      <w:r w:rsidR="00694ABF" w:rsidRPr="00515D3C">
        <w:t xml:space="preserve"> (ACGR)</w:t>
      </w:r>
      <w:r w:rsidR="00BB4322" w:rsidRPr="00515D3C">
        <w:t>, Universities Australia</w:t>
      </w:r>
      <w:r w:rsidR="00694ABF" w:rsidRPr="00515D3C">
        <w:t xml:space="preserve"> (UA)</w:t>
      </w:r>
      <w:r w:rsidR="00BB4322" w:rsidRPr="00515D3C">
        <w:t>, and the Australian Industry Group</w:t>
      </w:r>
      <w:r w:rsidR="00B20571">
        <w:t xml:space="preserve"> (Ai Group)</w:t>
      </w:r>
      <w:r w:rsidR="00BB4322" w:rsidRPr="00515D3C">
        <w:t xml:space="preserve">. </w:t>
      </w:r>
      <w:r w:rsidRPr="00515D3C">
        <w:t xml:space="preserve">Drawing on updates from the lead organisations, </w:t>
      </w:r>
      <w:r w:rsidR="001A6329">
        <w:t>the department</w:t>
      </w:r>
      <w:r w:rsidR="00694ABF" w:rsidRPr="00515D3C">
        <w:t xml:space="preserve"> w</w:t>
      </w:r>
      <w:r w:rsidRPr="00515D3C">
        <w:t>ill</w:t>
      </w:r>
      <w:r w:rsidR="00694ABF" w:rsidRPr="00515D3C">
        <w:t xml:space="preserve"> publish six-monthly progress reports</w:t>
      </w:r>
      <w:r w:rsidRPr="00515D3C">
        <w:t xml:space="preserve"> until the actions are </w:t>
      </w:r>
      <w:r w:rsidR="007064C5">
        <w:t xml:space="preserve">fully </w:t>
      </w:r>
      <w:r w:rsidRPr="00515D3C">
        <w:t>implemented.</w:t>
      </w:r>
    </w:p>
    <w:p w14:paraId="5B1909B8" w14:textId="5AA44DB2" w:rsidR="00B20571" w:rsidRPr="00515D3C" w:rsidRDefault="00B20571" w:rsidP="00B20571">
      <w:pPr>
        <w:spacing w:after="120"/>
      </w:pPr>
      <w:r w:rsidRPr="00515D3C">
        <w:t>This first report documents the progress the organisations have made from December 2017, when the Plan was released, to Ju</w:t>
      </w:r>
      <w:r w:rsidR="002A426E">
        <w:t>ly</w:t>
      </w:r>
      <w:r w:rsidRPr="00515D3C">
        <w:t xml:space="preserve"> 2018.</w:t>
      </w:r>
    </w:p>
    <w:p w14:paraId="6AADF70C" w14:textId="40D39B68" w:rsidR="00CA069D" w:rsidRPr="00515D3C" w:rsidRDefault="00CA069D" w:rsidP="00B20571">
      <w:pPr>
        <w:spacing w:after="120"/>
      </w:pPr>
      <w:r w:rsidRPr="00515D3C">
        <w:t xml:space="preserve">For each action, the report </w:t>
      </w:r>
      <w:r w:rsidR="00E43889" w:rsidRPr="00515D3C">
        <w:t xml:space="preserve">outlines the progress made by the lead organisations and </w:t>
      </w:r>
      <w:r w:rsidR="00DF445C" w:rsidRPr="00515D3C">
        <w:t>their next steps</w:t>
      </w:r>
      <w:r w:rsidRPr="00515D3C">
        <w:t xml:space="preserve">. </w:t>
      </w:r>
      <w:r w:rsidR="00BF3B6E">
        <w:t>Where relevant, links to related documents are provided.</w:t>
      </w:r>
    </w:p>
    <w:bookmarkEnd w:id="0"/>
    <w:p w14:paraId="3B662164" w14:textId="73168E10" w:rsidR="00C46CF9" w:rsidRPr="00C46CF9" w:rsidRDefault="001A6329" w:rsidP="00E439F1">
      <w:pPr>
        <w:spacing w:after="0"/>
      </w:pPr>
      <w:r>
        <w:t>The department</w:t>
      </w:r>
      <w:r w:rsidR="003806A8" w:rsidRPr="00515D3C">
        <w:t xml:space="preserve"> </w:t>
      </w:r>
      <w:r w:rsidR="009D4E12" w:rsidRPr="00515D3C">
        <w:t xml:space="preserve">is grateful to the lead organisations </w:t>
      </w:r>
      <w:r w:rsidR="00132B29" w:rsidRPr="00515D3C">
        <w:t xml:space="preserve">for their contributions </w:t>
      </w:r>
      <w:r w:rsidR="009D4E12" w:rsidRPr="00515D3C">
        <w:t>and assistance in preparing</w:t>
      </w:r>
      <w:r w:rsidR="00132B29" w:rsidRPr="00515D3C">
        <w:t xml:space="preserve"> </w:t>
      </w:r>
      <w:r w:rsidR="009E27F0" w:rsidRPr="00515D3C">
        <w:t xml:space="preserve">this </w:t>
      </w:r>
      <w:r w:rsidR="00132B29" w:rsidRPr="00515D3C">
        <w:t>report</w:t>
      </w:r>
      <w:r w:rsidR="003806A8" w:rsidRPr="00515D3C">
        <w:t xml:space="preserve">. We would also like to thank </w:t>
      </w:r>
      <w:r w:rsidR="00F37F62" w:rsidRPr="00515D3C">
        <w:t>all</w:t>
      </w:r>
      <w:r w:rsidR="003806A8" w:rsidRPr="00515D3C">
        <w:t xml:space="preserve"> </w:t>
      </w:r>
      <w:r w:rsidR="009D4E12" w:rsidRPr="00515D3C">
        <w:t xml:space="preserve">those </w:t>
      </w:r>
      <w:r w:rsidR="001975C1" w:rsidRPr="00515D3C">
        <w:t>working to implement the</w:t>
      </w:r>
      <w:r w:rsidR="00B855D1" w:rsidRPr="00515D3C">
        <w:t xml:space="preserve"> actions</w:t>
      </w:r>
      <w:r w:rsidR="00315ADF" w:rsidRPr="00515D3C">
        <w:t>.</w:t>
      </w:r>
    </w:p>
    <w:p w14:paraId="2A89F0EE" w14:textId="49298FA0" w:rsidR="00C46CF9" w:rsidRDefault="00C46CF9" w:rsidP="00C46CF9"/>
    <w:p w14:paraId="5A77C550" w14:textId="77777777" w:rsidR="00D25A00" w:rsidRPr="00C46CF9" w:rsidRDefault="00D25A00" w:rsidP="00C46CF9">
      <w:pPr>
        <w:sectPr w:rsidR="00D25A00" w:rsidRPr="00C46CF9" w:rsidSect="00C46CF9">
          <w:footerReference w:type="default" r:id="rId23"/>
          <w:type w:val="continuous"/>
          <w:pgSz w:w="11906" w:h="16838"/>
          <w:pgMar w:top="1985" w:right="1440" w:bottom="1440" w:left="1440" w:header="708" w:footer="1011" w:gutter="0"/>
          <w:pgNumType w:start="1"/>
          <w:cols w:space="708"/>
          <w:docGrid w:linePitch="360"/>
        </w:sectPr>
      </w:pPr>
    </w:p>
    <w:p w14:paraId="50E5A04F" w14:textId="4137EF00" w:rsidR="00D6473A" w:rsidRPr="00515D3C" w:rsidRDefault="00C36EA3" w:rsidP="00D6473A">
      <w:pPr>
        <w:pStyle w:val="Heading1"/>
      </w:pPr>
      <w:bookmarkStart w:id="2" w:name="_Toc522100111"/>
      <w:bookmarkStart w:id="3" w:name="_Toc494980755"/>
      <w:r w:rsidRPr="00515D3C">
        <w:lastRenderedPageBreak/>
        <w:t>Priority Issue 1</w:t>
      </w:r>
      <w:r w:rsidR="009942BD" w:rsidRPr="00515D3C">
        <w:t xml:space="preserve">: </w:t>
      </w:r>
      <w:r w:rsidRPr="00515D3C">
        <w:t>Pathways to HDR training</w:t>
      </w:r>
      <w:bookmarkEnd w:id="2"/>
    </w:p>
    <w:p w14:paraId="27A18D49" w14:textId="4F321F3F" w:rsidR="004A414C" w:rsidRPr="00515D3C" w:rsidRDefault="006A3BD2" w:rsidP="0037139F">
      <w:pPr>
        <w:pStyle w:val="Heading2"/>
      </w:pPr>
      <w:bookmarkStart w:id="4" w:name="_Toc522100112"/>
      <w:r w:rsidRPr="00515D3C">
        <w:t xml:space="preserve">Action </w:t>
      </w:r>
      <w:bookmarkEnd w:id="3"/>
      <w:r w:rsidR="00D5649C" w:rsidRPr="00515D3C">
        <w:t>1.1</w:t>
      </w:r>
      <w:r w:rsidR="00392334" w:rsidRPr="00515D3C">
        <w:t xml:space="preserve"> </w:t>
      </w:r>
      <w:r w:rsidR="00D5649C" w:rsidRPr="00515D3C">
        <w:t>Monitor new pathways to HDR training, undertake modelling and review the use of RTP funding</w:t>
      </w:r>
      <w:bookmarkEnd w:id="4"/>
    </w:p>
    <w:tbl>
      <w:tblPr>
        <w:tblStyle w:val="TableGrid"/>
        <w:tblW w:w="0" w:type="auto"/>
        <w:tblLook w:val="04A0" w:firstRow="1" w:lastRow="0" w:firstColumn="1" w:lastColumn="0" w:noHBand="0" w:noVBand="1"/>
      </w:tblPr>
      <w:tblGrid>
        <w:gridCol w:w="9016"/>
      </w:tblGrid>
      <w:tr w:rsidR="0014328F" w:rsidRPr="00515D3C" w14:paraId="27E6014C" w14:textId="77777777" w:rsidTr="0014328F">
        <w:tc>
          <w:tcPr>
            <w:tcW w:w="9016" w:type="dxa"/>
          </w:tcPr>
          <w:p w14:paraId="092CB8BF" w14:textId="5196D85B" w:rsidR="0014328F" w:rsidRPr="00515D3C" w:rsidRDefault="0014328F" w:rsidP="00D77C7D">
            <w:pPr>
              <w:spacing w:before="120" w:line="276" w:lineRule="auto"/>
            </w:pPr>
            <w:r w:rsidRPr="00515D3C">
              <w:t xml:space="preserve">DET to monitor and model the impact of new </w:t>
            </w:r>
            <w:r w:rsidR="0092047F">
              <w:t>Higher Degree by Research (</w:t>
            </w:r>
            <w:r w:rsidRPr="00515D3C">
              <w:t>HDR</w:t>
            </w:r>
            <w:r w:rsidR="0092047F">
              <w:t>)</w:t>
            </w:r>
            <w:r w:rsidRPr="00515D3C">
              <w:t xml:space="preserve"> pathways programs on the research training system, including the balance between PhD and Masters by Research places. This will include reporting on enrolments in specific HDR pathways programs, HDR completion numbers and HDR completion timeframes based on the pathways taken by students. Based on the outcomes of monitoring and modelling, DET to review the use of </w:t>
            </w:r>
            <w:r w:rsidR="003C5811">
              <w:t>Research Training Program (</w:t>
            </w:r>
            <w:r w:rsidRPr="00515D3C">
              <w:t>RTP</w:t>
            </w:r>
            <w:r w:rsidR="003C5811">
              <w:t>)</w:t>
            </w:r>
            <w:r w:rsidRPr="00515D3C">
              <w:t xml:space="preserve"> funding in supporting HDR pathways.</w:t>
            </w:r>
          </w:p>
          <w:p w14:paraId="13B8265F" w14:textId="77777777" w:rsidR="0014328F" w:rsidRPr="00515D3C" w:rsidRDefault="0014328F" w:rsidP="00D77C7D">
            <w:pPr>
              <w:spacing w:line="276" w:lineRule="auto"/>
            </w:pPr>
          </w:p>
          <w:p w14:paraId="13E0889F" w14:textId="275A6A6C" w:rsidR="0014328F" w:rsidRPr="00515D3C" w:rsidRDefault="001055FE" w:rsidP="00D77C7D">
            <w:pPr>
              <w:spacing w:after="120" w:line="276" w:lineRule="auto"/>
            </w:pPr>
            <w:r>
              <w:t>Responsibility:</w:t>
            </w:r>
            <w:r w:rsidR="0014328F" w:rsidRPr="00515D3C">
              <w:t xml:space="preserve"> DET – by December 2018</w:t>
            </w:r>
          </w:p>
        </w:tc>
      </w:tr>
    </w:tbl>
    <w:p w14:paraId="0DD796A2" w14:textId="27C5E048" w:rsidR="0014328F" w:rsidRPr="00515D3C" w:rsidRDefault="0014328F" w:rsidP="00493CDB">
      <w:pPr>
        <w:spacing w:after="120"/>
      </w:pPr>
    </w:p>
    <w:p w14:paraId="6D39E173" w14:textId="58327CD3" w:rsidR="002648FC" w:rsidRPr="00515D3C" w:rsidRDefault="00806AD4" w:rsidP="002648FC">
      <w:pPr>
        <w:pStyle w:val="Heading3"/>
      </w:pPr>
      <w:r w:rsidRPr="00515D3C">
        <w:t>Status</w:t>
      </w:r>
    </w:p>
    <w:p w14:paraId="2B823882" w14:textId="1360A79B" w:rsidR="002648FC" w:rsidRPr="00515D3C" w:rsidRDefault="008268F2" w:rsidP="00225EBF">
      <w:r w:rsidRPr="00515D3C">
        <w:t>In progress</w:t>
      </w:r>
    </w:p>
    <w:p w14:paraId="2514A74B" w14:textId="723703F3" w:rsidR="002648FC" w:rsidRPr="00515D3C" w:rsidRDefault="002648FC" w:rsidP="002648FC">
      <w:pPr>
        <w:pStyle w:val="Heading3"/>
      </w:pPr>
      <w:r w:rsidRPr="00515D3C">
        <w:t>Progress to date</w:t>
      </w:r>
    </w:p>
    <w:p w14:paraId="3495CF46" w14:textId="35F4EA37" w:rsidR="008976D9" w:rsidRPr="00A03B3F" w:rsidRDefault="00C9079C" w:rsidP="008976D9">
      <w:pPr>
        <w:spacing w:after="120"/>
      </w:pPr>
      <w:r w:rsidRPr="00A03B3F">
        <w:rPr>
          <w:color w:val="000000" w:themeColor="text1"/>
        </w:rPr>
        <w:t xml:space="preserve">The department is currently </w:t>
      </w:r>
      <w:r w:rsidR="00D607BC" w:rsidRPr="00A03B3F">
        <w:rPr>
          <w:color w:val="000000" w:themeColor="text1"/>
        </w:rPr>
        <w:t>analysing</w:t>
      </w:r>
      <w:r w:rsidR="0022617D" w:rsidRPr="00A03B3F">
        <w:rPr>
          <w:color w:val="000000" w:themeColor="text1"/>
        </w:rPr>
        <w:t xml:space="preserve"> </w:t>
      </w:r>
      <w:r w:rsidR="008976D9" w:rsidRPr="00A03B3F">
        <w:rPr>
          <w:color w:val="000000" w:themeColor="text1"/>
        </w:rPr>
        <w:t>HDR enrolments and finances</w:t>
      </w:r>
      <w:r w:rsidR="0022617D" w:rsidRPr="00A03B3F">
        <w:rPr>
          <w:color w:val="000000" w:themeColor="text1"/>
        </w:rPr>
        <w:t xml:space="preserve">, </w:t>
      </w:r>
      <w:r w:rsidRPr="00A03B3F">
        <w:rPr>
          <w:color w:val="000000" w:themeColor="text1"/>
        </w:rPr>
        <w:t xml:space="preserve">drawing on recent </w:t>
      </w:r>
      <w:r w:rsidR="0022617D" w:rsidRPr="00A03B3F">
        <w:rPr>
          <w:color w:val="000000" w:themeColor="text1"/>
        </w:rPr>
        <w:t>trends in HDR pathways and u</w:t>
      </w:r>
      <w:r w:rsidR="004A4D0D" w:rsidRPr="00A03B3F">
        <w:rPr>
          <w:color w:val="000000" w:themeColor="text1"/>
        </w:rPr>
        <w:t xml:space="preserve">sing data from the </w:t>
      </w:r>
      <w:r w:rsidR="001E7585" w:rsidRPr="00A03B3F">
        <w:rPr>
          <w:color w:val="000000" w:themeColor="text1"/>
        </w:rPr>
        <w:t>Higher Education Data Collection (</w:t>
      </w:r>
      <w:r w:rsidR="0022617D" w:rsidRPr="00A03B3F">
        <w:rPr>
          <w:color w:val="000000" w:themeColor="text1"/>
        </w:rPr>
        <w:t>HEDC</w:t>
      </w:r>
      <w:r w:rsidR="001E7585" w:rsidRPr="00A03B3F">
        <w:rPr>
          <w:color w:val="000000" w:themeColor="text1"/>
        </w:rPr>
        <w:t>)</w:t>
      </w:r>
      <w:r w:rsidR="0022617D" w:rsidRPr="00A03B3F">
        <w:rPr>
          <w:color w:val="000000" w:themeColor="text1"/>
        </w:rPr>
        <w:t xml:space="preserve"> and other </w:t>
      </w:r>
      <w:r w:rsidR="00D74C50" w:rsidRPr="00A03B3F">
        <w:rPr>
          <w:color w:val="000000" w:themeColor="text1"/>
        </w:rPr>
        <w:t>sources</w:t>
      </w:r>
      <w:r w:rsidR="0022617D" w:rsidRPr="00A03B3F">
        <w:rPr>
          <w:color w:val="000000" w:themeColor="text1"/>
        </w:rPr>
        <w:t>.</w:t>
      </w:r>
      <w:r w:rsidR="004A4D0D" w:rsidRPr="00A03B3F">
        <w:rPr>
          <w:color w:val="000000" w:themeColor="text1"/>
        </w:rPr>
        <w:t xml:space="preserve"> </w:t>
      </w:r>
    </w:p>
    <w:p w14:paraId="6AFA8102" w14:textId="501F0E76" w:rsidR="004A4D0D" w:rsidRPr="00515D3C" w:rsidRDefault="004A4D0D" w:rsidP="004A4D0D">
      <w:pPr>
        <w:rPr>
          <w:color w:val="000000" w:themeColor="text1"/>
        </w:rPr>
      </w:pPr>
      <w:r w:rsidRPr="00A03B3F">
        <w:rPr>
          <w:color w:val="000000" w:themeColor="text1"/>
        </w:rPr>
        <w:t xml:space="preserve">Due to the relative infancy of new HDR pathway programs, </w:t>
      </w:r>
      <w:r w:rsidR="007F77FB" w:rsidRPr="00A03B3F">
        <w:rPr>
          <w:color w:val="000000" w:themeColor="text1"/>
        </w:rPr>
        <w:t xml:space="preserve">the </w:t>
      </w:r>
      <w:r w:rsidR="001607AE" w:rsidRPr="00A03B3F">
        <w:rPr>
          <w:color w:val="000000" w:themeColor="text1"/>
        </w:rPr>
        <w:t xml:space="preserve">initial </w:t>
      </w:r>
      <w:r w:rsidR="00D607BC" w:rsidRPr="00A03B3F">
        <w:rPr>
          <w:color w:val="000000" w:themeColor="text1"/>
        </w:rPr>
        <w:t>analysis will need to be updated and refined as additional data becomes available</w:t>
      </w:r>
      <w:r w:rsidRPr="00A03B3F">
        <w:rPr>
          <w:color w:val="000000" w:themeColor="text1"/>
        </w:rPr>
        <w:t>.</w:t>
      </w:r>
      <w:r w:rsidRPr="00515D3C">
        <w:rPr>
          <w:color w:val="000000" w:themeColor="text1"/>
        </w:rPr>
        <w:t xml:space="preserve"> </w:t>
      </w:r>
    </w:p>
    <w:p w14:paraId="7A6D7290" w14:textId="023D4E71" w:rsidR="002648FC" w:rsidRPr="00515D3C" w:rsidRDefault="002648FC" w:rsidP="002648FC">
      <w:pPr>
        <w:pStyle w:val="Heading3"/>
      </w:pPr>
      <w:r w:rsidRPr="00515D3C">
        <w:t>Next steps</w:t>
      </w:r>
    </w:p>
    <w:p w14:paraId="73136593" w14:textId="116A6A0D" w:rsidR="008976D9" w:rsidRPr="00515D3C" w:rsidRDefault="008976D9" w:rsidP="008976D9">
      <w:pPr>
        <w:spacing w:after="120"/>
        <w:rPr>
          <w:color w:val="000000" w:themeColor="text1"/>
        </w:rPr>
      </w:pPr>
      <w:r>
        <w:rPr>
          <w:color w:val="000000" w:themeColor="text1"/>
        </w:rPr>
        <w:t xml:space="preserve">Based </w:t>
      </w:r>
      <w:r w:rsidR="00066811">
        <w:rPr>
          <w:color w:val="000000" w:themeColor="text1"/>
        </w:rPr>
        <w:t xml:space="preserve">on this </w:t>
      </w:r>
      <w:r w:rsidR="00BA005C">
        <w:rPr>
          <w:color w:val="000000" w:themeColor="text1"/>
        </w:rPr>
        <w:t>research</w:t>
      </w:r>
      <w:r w:rsidR="00066811">
        <w:rPr>
          <w:color w:val="000000" w:themeColor="text1"/>
        </w:rPr>
        <w:t xml:space="preserve">, the </w:t>
      </w:r>
      <w:r w:rsidR="00760420">
        <w:rPr>
          <w:color w:val="000000" w:themeColor="text1"/>
        </w:rPr>
        <w:t>department will publish</w:t>
      </w:r>
      <w:r w:rsidR="00066811">
        <w:rPr>
          <w:color w:val="000000" w:themeColor="text1"/>
        </w:rPr>
        <w:t xml:space="preserve"> a series of rep</w:t>
      </w:r>
      <w:r w:rsidR="00C32648">
        <w:rPr>
          <w:color w:val="000000" w:themeColor="text1"/>
        </w:rPr>
        <w:t>orts on HDR pathways, including</w:t>
      </w:r>
      <w:r w:rsidR="0092047F">
        <w:rPr>
          <w:color w:val="000000" w:themeColor="text1"/>
        </w:rPr>
        <w:t>:</w:t>
      </w:r>
    </w:p>
    <w:p w14:paraId="4A2C9AC8" w14:textId="170021AE" w:rsidR="008976D9" w:rsidRPr="00515D3C" w:rsidRDefault="00BA3C3C" w:rsidP="008976D9">
      <w:pPr>
        <w:pStyle w:val="ListParagraph"/>
        <w:numPr>
          <w:ilvl w:val="0"/>
          <w:numId w:val="7"/>
        </w:numPr>
        <w:spacing w:after="120"/>
        <w:ind w:left="714" w:hanging="357"/>
      </w:pPr>
      <w:r>
        <w:t>d</w:t>
      </w:r>
      <w:r w:rsidR="008976D9" w:rsidRPr="00515D3C">
        <w:t>escriptive analysis of enrolment and completion numbers of new HDR training pathways c</w:t>
      </w:r>
      <w:r>
        <w:t>ompared to traditional pathways</w:t>
      </w:r>
      <w:r w:rsidR="008976D9" w:rsidRPr="00515D3C">
        <w:t xml:space="preserve"> </w:t>
      </w:r>
    </w:p>
    <w:p w14:paraId="2C3AD787" w14:textId="7EE9B00B" w:rsidR="008976D9" w:rsidRDefault="00BA3C3C" w:rsidP="008976D9">
      <w:pPr>
        <w:pStyle w:val="ListParagraph"/>
        <w:numPr>
          <w:ilvl w:val="0"/>
          <w:numId w:val="7"/>
        </w:numPr>
        <w:spacing w:after="120"/>
        <w:ind w:left="714" w:hanging="357"/>
      </w:pPr>
      <w:r>
        <w:t>m</w:t>
      </w:r>
      <w:r w:rsidR="0092047F">
        <w:t xml:space="preserve">odelling the impact the RTP funding model is having on </w:t>
      </w:r>
      <w:r w:rsidR="008976D9" w:rsidRPr="00515D3C">
        <w:t xml:space="preserve">new HDR training pathways </w:t>
      </w:r>
      <w:r w:rsidR="005E5C70">
        <w:t>and Masters by Research places</w:t>
      </w:r>
    </w:p>
    <w:p w14:paraId="1996AFEF" w14:textId="6EDC8361" w:rsidR="008976D9" w:rsidRDefault="00BA3C3C" w:rsidP="008976D9">
      <w:pPr>
        <w:pStyle w:val="ListParagraph"/>
        <w:numPr>
          <w:ilvl w:val="0"/>
          <w:numId w:val="7"/>
        </w:numPr>
      </w:pPr>
      <w:r>
        <w:t>a</w:t>
      </w:r>
      <w:r w:rsidR="008976D9" w:rsidRPr="00515D3C">
        <w:t xml:space="preserve">nalysis on HDR completion timeframes (to be provided in </w:t>
      </w:r>
      <w:r w:rsidR="00DE5C7C">
        <w:t>the second half of 2019 once the department</w:t>
      </w:r>
      <w:r w:rsidR="008976D9" w:rsidRPr="00515D3C">
        <w:t xml:space="preserve"> receives data from new HEDC thesis submission and HDR completion timeframe data item</w:t>
      </w:r>
      <w:r w:rsidR="008976D9">
        <w:t>s).</w:t>
      </w:r>
    </w:p>
    <w:p w14:paraId="7E6D5818" w14:textId="17E2956F" w:rsidR="0022617D" w:rsidRPr="00515D3C" w:rsidRDefault="00DE5C7C" w:rsidP="008976D9">
      <w:pPr>
        <w:rPr>
          <w:color w:val="000000" w:themeColor="text1"/>
        </w:rPr>
      </w:pPr>
      <w:r>
        <w:t>The department</w:t>
      </w:r>
      <w:r w:rsidR="008976D9">
        <w:t xml:space="preserve"> will publish</w:t>
      </w:r>
      <w:r w:rsidR="004A4D0D" w:rsidRPr="00515D3C">
        <w:t xml:space="preserve"> the first </w:t>
      </w:r>
      <w:r w:rsidR="004A4D0D" w:rsidRPr="00515D3C">
        <w:rPr>
          <w:color w:val="000000" w:themeColor="text1"/>
        </w:rPr>
        <w:t>HDR pathways</w:t>
      </w:r>
      <w:r w:rsidR="008976D9">
        <w:t xml:space="preserve"> summary report </w:t>
      </w:r>
      <w:r w:rsidR="00AB2F93">
        <w:t>by the end of 2018</w:t>
      </w:r>
      <w:r w:rsidR="008976D9">
        <w:t>, with further reports to follow</w:t>
      </w:r>
      <w:r w:rsidR="004A4D0D" w:rsidRPr="00515D3C">
        <w:t>.</w:t>
      </w:r>
      <w:r w:rsidR="0022617D" w:rsidRPr="0022617D">
        <w:rPr>
          <w:color w:val="000000" w:themeColor="text1"/>
        </w:rPr>
        <w:t xml:space="preserve"> </w:t>
      </w:r>
      <w:r w:rsidR="0022617D">
        <w:rPr>
          <w:color w:val="000000" w:themeColor="text1"/>
        </w:rPr>
        <w:t>Separately, t</w:t>
      </w:r>
      <w:r w:rsidR="0022617D" w:rsidRPr="00515D3C">
        <w:rPr>
          <w:color w:val="000000" w:themeColor="text1"/>
        </w:rPr>
        <w:t xml:space="preserve">he department will be conducting an evaluation of the new </w:t>
      </w:r>
      <w:r w:rsidR="0022617D">
        <w:rPr>
          <w:color w:val="000000" w:themeColor="text1"/>
        </w:rPr>
        <w:t>Research Block Grant (</w:t>
      </w:r>
      <w:r w:rsidR="0022617D" w:rsidRPr="00515D3C">
        <w:rPr>
          <w:color w:val="000000" w:themeColor="text1"/>
        </w:rPr>
        <w:t>RBG</w:t>
      </w:r>
      <w:r w:rsidR="0022617D">
        <w:rPr>
          <w:color w:val="000000" w:themeColor="text1"/>
        </w:rPr>
        <w:t xml:space="preserve">) </w:t>
      </w:r>
      <w:r w:rsidR="0022617D" w:rsidRPr="00515D3C">
        <w:rPr>
          <w:color w:val="000000" w:themeColor="text1"/>
        </w:rPr>
        <w:t xml:space="preserve">arrangements prior to the end of the transitional arrangements in 2021. The impacts on RTP funding of new HDR pathways will </w:t>
      </w:r>
      <w:r w:rsidR="0022617D">
        <w:rPr>
          <w:color w:val="000000" w:themeColor="text1"/>
        </w:rPr>
        <w:t xml:space="preserve">also </w:t>
      </w:r>
      <w:r w:rsidR="0022617D" w:rsidRPr="00515D3C">
        <w:rPr>
          <w:color w:val="000000" w:themeColor="text1"/>
        </w:rPr>
        <w:t xml:space="preserve">be considered in this context. </w:t>
      </w:r>
    </w:p>
    <w:p w14:paraId="31053915" w14:textId="5E0A39C7" w:rsidR="004A4D0D" w:rsidRPr="00515D3C" w:rsidRDefault="004A4D0D" w:rsidP="004A4D0D">
      <w:pPr>
        <w:spacing w:after="0" w:line="240" w:lineRule="auto"/>
      </w:pPr>
    </w:p>
    <w:p w14:paraId="04F6E726" w14:textId="542BB1B3" w:rsidR="00493CDB" w:rsidRDefault="00493CDB">
      <w:r>
        <w:br w:type="page"/>
      </w:r>
    </w:p>
    <w:p w14:paraId="3F772994" w14:textId="3CD63D55" w:rsidR="003806A8" w:rsidRPr="00515D3C" w:rsidRDefault="003806A8" w:rsidP="0037139F">
      <w:pPr>
        <w:pStyle w:val="Heading2"/>
      </w:pPr>
      <w:bookmarkStart w:id="5" w:name="_Toc522100113"/>
      <w:r w:rsidRPr="00515D3C">
        <w:lastRenderedPageBreak/>
        <w:t>Action 1.2 Consult on the new CGS postgraduate scholarship arrangements</w:t>
      </w:r>
      <w:bookmarkEnd w:id="5"/>
    </w:p>
    <w:tbl>
      <w:tblPr>
        <w:tblStyle w:val="TableGrid"/>
        <w:tblW w:w="0" w:type="auto"/>
        <w:tblLook w:val="04A0" w:firstRow="1" w:lastRow="0" w:firstColumn="1" w:lastColumn="0" w:noHBand="0" w:noVBand="1"/>
      </w:tblPr>
      <w:tblGrid>
        <w:gridCol w:w="9016"/>
      </w:tblGrid>
      <w:tr w:rsidR="009F1373" w:rsidRPr="00515D3C" w14:paraId="39B78C2C" w14:textId="77777777" w:rsidTr="009F1373">
        <w:tc>
          <w:tcPr>
            <w:tcW w:w="9016" w:type="dxa"/>
          </w:tcPr>
          <w:p w14:paraId="2957D848" w14:textId="34C8A805" w:rsidR="009F1373" w:rsidRPr="00515D3C" w:rsidRDefault="009F1373" w:rsidP="00D77C7D">
            <w:pPr>
              <w:spacing w:before="120" w:after="120" w:line="276" w:lineRule="auto"/>
            </w:pPr>
            <w:r w:rsidRPr="00515D3C">
              <w:t>As announced as part of the Commonwealth higher education reform, DET will consult universities, students and other stakeholders on the proposed changes to the postgraduate scholarships system later in the year.</w:t>
            </w:r>
          </w:p>
          <w:p w14:paraId="365A1A81" w14:textId="7520E25B" w:rsidR="009F1373" w:rsidRPr="00515D3C" w:rsidRDefault="00D82775" w:rsidP="00D77C7D">
            <w:pPr>
              <w:spacing w:before="120" w:after="120" w:line="276" w:lineRule="auto"/>
            </w:pPr>
            <w:r>
              <w:t>Responsibility:</w:t>
            </w:r>
            <w:r w:rsidR="009F1373" w:rsidRPr="00515D3C">
              <w:t xml:space="preserve"> DET – subject to the passage of legislation</w:t>
            </w:r>
          </w:p>
        </w:tc>
      </w:tr>
    </w:tbl>
    <w:p w14:paraId="2077D260" w14:textId="77777777" w:rsidR="009F1373" w:rsidRPr="00515D3C" w:rsidRDefault="009F1373" w:rsidP="00B75CB4">
      <w:pPr>
        <w:spacing w:after="120"/>
      </w:pPr>
    </w:p>
    <w:p w14:paraId="5347AD15" w14:textId="77777777" w:rsidR="00225EBF" w:rsidRPr="00515D3C" w:rsidRDefault="00225EBF" w:rsidP="00225EBF">
      <w:pPr>
        <w:pStyle w:val="Heading3"/>
      </w:pPr>
      <w:r w:rsidRPr="00515D3C">
        <w:t>Status</w:t>
      </w:r>
    </w:p>
    <w:p w14:paraId="7FC7D0AC" w14:textId="396EFF47" w:rsidR="00225EBF" w:rsidRPr="00515D3C" w:rsidRDefault="00865222" w:rsidP="00225EBF">
      <w:r>
        <w:t>Action as proposed is</w:t>
      </w:r>
      <w:r w:rsidR="00933199">
        <w:t xml:space="preserve"> not required due to change of policy</w:t>
      </w:r>
    </w:p>
    <w:p w14:paraId="2F9D52B8" w14:textId="77777777" w:rsidR="00225EBF" w:rsidRPr="00515D3C" w:rsidRDefault="00225EBF" w:rsidP="00225EBF">
      <w:pPr>
        <w:pStyle w:val="Heading3"/>
      </w:pPr>
      <w:r w:rsidRPr="00515D3C">
        <w:t>Progress to date</w:t>
      </w:r>
    </w:p>
    <w:p w14:paraId="76830E92" w14:textId="26D0DEE7" w:rsidR="00935E02" w:rsidRPr="00515D3C" w:rsidRDefault="00935E02" w:rsidP="00935E02">
      <w:pPr>
        <w:spacing w:after="240"/>
      </w:pPr>
      <w:r w:rsidRPr="00515D3C">
        <w:t>Legislation to implement the C</w:t>
      </w:r>
      <w:r w:rsidR="00C74FB3">
        <w:t xml:space="preserve">ommonwealth </w:t>
      </w:r>
      <w:r w:rsidRPr="00515D3C">
        <w:t>G</w:t>
      </w:r>
      <w:r w:rsidR="00C74FB3">
        <w:t xml:space="preserve">rant </w:t>
      </w:r>
      <w:r w:rsidRPr="00515D3C">
        <w:t>S</w:t>
      </w:r>
      <w:r w:rsidR="00C74FB3">
        <w:t>cheme (CGS)</w:t>
      </w:r>
      <w:r w:rsidRPr="00515D3C">
        <w:t xml:space="preserve"> postgraduate scholarship arrangements did not pass the Senate and this measure is no longer Government policy. In the</w:t>
      </w:r>
      <w:r w:rsidR="00B75CB4">
        <w:t xml:space="preserve"> 2017–</w:t>
      </w:r>
      <w:r w:rsidRPr="00515D3C">
        <w:t>18 Mid-Year Economic and Fiscal Outlook</w:t>
      </w:r>
      <w:r w:rsidR="00B75CB4">
        <w:t>,</w:t>
      </w:r>
      <w:r w:rsidRPr="00515D3C">
        <w:t xml:space="preserve"> the Government announced that it would proceed with reforms</w:t>
      </w:r>
      <w:r w:rsidR="00D632B0">
        <w:t>,</w:t>
      </w:r>
      <w:r w:rsidRPr="00515D3C">
        <w:t xml:space="preserve"> including a new allocation mechanism based on institutional outcomes and industry needs for sub-bachelor and postgraduate Commonwealth Supported Places (CSPs). </w:t>
      </w:r>
    </w:p>
    <w:p w14:paraId="2A1F6099" w14:textId="77777777" w:rsidR="00225EBF" w:rsidRPr="00515D3C" w:rsidRDefault="00225EBF" w:rsidP="00225EBF">
      <w:pPr>
        <w:pStyle w:val="Heading3"/>
      </w:pPr>
      <w:r w:rsidRPr="00515D3C">
        <w:t>Next steps</w:t>
      </w:r>
    </w:p>
    <w:p w14:paraId="1A3B53EA" w14:textId="77777777" w:rsidR="00935E02" w:rsidRPr="00515D3C" w:rsidRDefault="00935E02" w:rsidP="00935E02">
      <w:r w:rsidRPr="00515D3C">
        <w:t>The Government will be consulting with the sector in 2018 on new arrangements for the allocation of sub-bachelor and postgraduate CSPs from 2019.</w:t>
      </w:r>
    </w:p>
    <w:p w14:paraId="76F6F717" w14:textId="77777777" w:rsidR="005170DF" w:rsidRPr="00515D3C" w:rsidRDefault="005170DF">
      <w:pPr>
        <w:rPr>
          <w:rFonts w:ascii="Calibri" w:eastAsiaTheme="majorEastAsia" w:hAnsi="Calibri" w:cstheme="majorBidi"/>
          <w:b/>
          <w:bCs/>
          <w:color w:val="522761"/>
          <w:sz w:val="28"/>
          <w:szCs w:val="28"/>
        </w:rPr>
      </w:pPr>
      <w:r w:rsidRPr="00515D3C">
        <w:br w:type="page"/>
      </w:r>
    </w:p>
    <w:p w14:paraId="083AD2B4" w14:textId="33B48AF3" w:rsidR="00C36EA3" w:rsidRPr="00515D3C" w:rsidRDefault="009942BD" w:rsidP="009942BD">
      <w:pPr>
        <w:pStyle w:val="Heading1"/>
      </w:pPr>
      <w:bookmarkStart w:id="6" w:name="_Toc522100114"/>
      <w:r w:rsidRPr="00515D3C">
        <w:lastRenderedPageBreak/>
        <w:t>Priority Issue 2: Industry-university collaboration</w:t>
      </w:r>
      <w:bookmarkEnd w:id="6"/>
    </w:p>
    <w:p w14:paraId="51ABA9FD" w14:textId="1C446DF3" w:rsidR="0014328F" w:rsidRPr="00515D3C" w:rsidRDefault="006A25D4" w:rsidP="0037139F">
      <w:pPr>
        <w:pStyle w:val="Heading2"/>
      </w:pPr>
      <w:bookmarkStart w:id="7" w:name="_Toc522100115"/>
      <w:r w:rsidRPr="00515D3C">
        <w:t>Action 2.1 Principles to guide industry-university collaboration in HDR training</w:t>
      </w:r>
      <w:bookmarkEnd w:id="7"/>
    </w:p>
    <w:tbl>
      <w:tblPr>
        <w:tblStyle w:val="TableGrid"/>
        <w:tblW w:w="0" w:type="auto"/>
        <w:tblLook w:val="04A0" w:firstRow="1" w:lastRow="0" w:firstColumn="1" w:lastColumn="0" w:noHBand="0" w:noVBand="1"/>
      </w:tblPr>
      <w:tblGrid>
        <w:gridCol w:w="9016"/>
      </w:tblGrid>
      <w:tr w:rsidR="0014328F" w:rsidRPr="00515D3C" w14:paraId="675526E4" w14:textId="77777777" w:rsidTr="0014328F">
        <w:tc>
          <w:tcPr>
            <w:tcW w:w="9016" w:type="dxa"/>
          </w:tcPr>
          <w:p w14:paraId="0DD225CD" w14:textId="62173CBC" w:rsidR="0014328F" w:rsidRPr="00515D3C" w:rsidRDefault="0014328F" w:rsidP="00D77C7D">
            <w:pPr>
              <w:spacing w:before="120" w:line="276" w:lineRule="auto"/>
            </w:pPr>
            <w:r w:rsidRPr="00515D3C">
              <w:t>The Australian Council of Graduate Research (ACGR) and the Australian Industry Group (Ai Group) to work together to develop and disseminate complementary principles that build on the range of available models of industry engagement in HDR training, including:</w:t>
            </w:r>
          </w:p>
          <w:p w14:paraId="5200D228" w14:textId="77777777" w:rsidR="0014328F" w:rsidRPr="00515D3C" w:rsidRDefault="0014328F" w:rsidP="00D77C7D">
            <w:pPr>
              <w:pStyle w:val="ListParagraph"/>
              <w:numPr>
                <w:ilvl w:val="0"/>
                <w:numId w:val="6"/>
              </w:numPr>
              <w:spacing w:line="276" w:lineRule="auto"/>
            </w:pPr>
            <w:r w:rsidRPr="00515D3C">
              <w:t>principles for university collaboration with industry in HDR training (for use by universities)</w:t>
            </w:r>
          </w:p>
          <w:p w14:paraId="048B3A93" w14:textId="77777777" w:rsidR="0014328F" w:rsidRPr="00515D3C" w:rsidRDefault="0014328F" w:rsidP="00D77C7D">
            <w:pPr>
              <w:pStyle w:val="ListParagraph"/>
              <w:numPr>
                <w:ilvl w:val="0"/>
                <w:numId w:val="6"/>
              </w:numPr>
              <w:spacing w:line="276" w:lineRule="auto"/>
            </w:pPr>
            <w:proofErr w:type="gramStart"/>
            <w:r w:rsidRPr="00515D3C">
              <w:t>principles</w:t>
            </w:r>
            <w:proofErr w:type="gramEnd"/>
            <w:r w:rsidRPr="00515D3C">
              <w:t xml:space="preserve"> for industry collaboration with universities in HDR training (for use by industry partners).</w:t>
            </w:r>
          </w:p>
          <w:p w14:paraId="422B4726" w14:textId="456ACF4D" w:rsidR="0014328F" w:rsidRPr="00515D3C" w:rsidRDefault="0014328F" w:rsidP="00D77C7D">
            <w:pPr>
              <w:spacing w:line="276" w:lineRule="auto"/>
            </w:pPr>
            <w:r w:rsidRPr="00515D3C">
              <w:t>The principles should promote the short- and long-term benefits of engagement, including the benefits HDR candidates can offer industry, and address issues such as the establishment of clear expectations and protections for all parties, including in re</w:t>
            </w:r>
            <w:r w:rsidR="009F1373" w:rsidRPr="00515D3C">
              <w:t>lation to IP arrangements.</w:t>
            </w:r>
          </w:p>
          <w:p w14:paraId="6E91B838" w14:textId="6533F319" w:rsidR="0014328F" w:rsidRPr="00515D3C" w:rsidRDefault="00D82775" w:rsidP="00D77C7D">
            <w:pPr>
              <w:pStyle w:val="Heading3"/>
              <w:shd w:val="clear" w:color="auto" w:fill="auto"/>
              <w:spacing w:before="200" w:after="120" w:line="276" w:lineRule="auto"/>
              <w:outlineLvl w:val="2"/>
              <w:rPr>
                <w:b w:val="0"/>
              </w:rPr>
            </w:pPr>
            <w:r>
              <w:rPr>
                <w:b w:val="0"/>
              </w:rPr>
              <w:t>Responsibility:</w:t>
            </w:r>
            <w:r w:rsidR="0014328F" w:rsidRPr="00515D3C">
              <w:rPr>
                <w:b w:val="0"/>
              </w:rPr>
              <w:t xml:space="preserve"> ACGR and Ai Group, in consultation with universities and industry sector stakeholders – by July 2018</w:t>
            </w:r>
          </w:p>
        </w:tc>
      </w:tr>
    </w:tbl>
    <w:p w14:paraId="27ED0F57" w14:textId="74511AF7" w:rsidR="0014328F" w:rsidRPr="00515D3C" w:rsidRDefault="0014328F" w:rsidP="005910B5">
      <w:pPr>
        <w:pStyle w:val="Heading3"/>
        <w:shd w:val="clear" w:color="auto" w:fill="auto"/>
        <w:spacing w:before="120"/>
        <w:rPr>
          <w:rFonts w:ascii="Calibri" w:eastAsiaTheme="majorEastAsia" w:hAnsi="Calibri" w:cstheme="majorBidi"/>
          <w:bCs/>
        </w:rPr>
      </w:pPr>
    </w:p>
    <w:p w14:paraId="3F18DCC6" w14:textId="77777777" w:rsidR="00225EBF" w:rsidRPr="00515D3C" w:rsidRDefault="00225EBF" w:rsidP="00225EBF">
      <w:pPr>
        <w:pStyle w:val="Heading3"/>
      </w:pPr>
      <w:r w:rsidRPr="00515D3C">
        <w:t>Status</w:t>
      </w:r>
    </w:p>
    <w:p w14:paraId="37DA5FC9" w14:textId="01269F66" w:rsidR="00225EBF" w:rsidRPr="00515D3C" w:rsidRDefault="006D2C4C" w:rsidP="00225EBF">
      <w:r w:rsidRPr="00515D3C">
        <w:t>In progress</w:t>
      </w:r>
    </w:p>
    <w:p w14:paraId="4F998347" w14:textId="77777777" w:rsidR="00225EBF" w:rsidRPr="00515D3C" w:rsidRDefault="00225EBF" w:rsidP="00225EBF">
      <w:pPr>
        <w:pStyle w:val="Heading3"/>
      </w:pPr>
      <w:r w:rsidRPr="00515D3C">
        <w:t>Progress to date</w:t>
      </w:r>
    </w:p>
    <w:p w14:paraId="4066D047" w14:textId="7EB91D8A" w:rsidR="00310A76" w:rsidRPr="00515D3C" w:rsidRDefault="005F598D" w:rsidP="00310A76">
      <w:r w:rsidRPr="00515D3C">
        <w:t>ACGR and Ai Group representatives have met on two occasions to plan the approach to this joint deliverable</w:t>
      </w:r>
      <w:r w:rsidR="00310A76">
        <w:t xml:space="preserve">. </w:t>
      </w:r>
      <w:r w:rsidRPr="00515D3C">
        <w:t xml:space="preserve">ACGR convened a focus session at the ACGR National Meeting on </w:t>
      </w:r>
      <w:r w:rsidR="00595212">
        <w:t>16 April</w:t>
      </w:r>
      <w:r w:rsidRPr="00515D3C">
        <w:t xml:space="preserve"> 2018</w:t>
      </w:r>
      <w:r w:rsidR="00310A76">
        <w:t>, discussing</w:t>
      </w:r>
      <w:r w:rsidRPr="00515D3C">
        <w:t xml:space="preserve"> the elements that should be included in the overarching principles and the information that would be helpful in a guide for university users</w:t>
      </w:r>
      <w:r w:rsidR="00310A76">
        <w:t>.</w:t>
      </w:r>
      <w:r w:rsidR="00310A76" w:rsidRPr="00310A76">
        <w:t xml:space="preserve"> </w:t>
      </w:r>
      <w:r w:rsidR="00310A76" w:rsidRPr="00515D3C">
        <w:t xml:space="preserve">A set of Principles to Guide </w:t>
      </w:r>
      <w:r w:rsidR="00082755">
        <w:t>U</w:t>
      </w:r>
      <w:r w:rsidR="00310A76" w:rsidRPr="00515D3C">
        <w:t>niversity</w:t>
      </w:r>
      <w:r w:rsidR="00082755">
        <w:t>-Industry</w:t>
      </w:r>
      <w:r w:rsidR="00310A76" w:rsidRPr="00515D3C">
        <w:t xml:space="preserve"> Collaboration in HDR Training has been de</w:t>
      </w:r>
      <w:r w:rsidR="00721FE9">
        <w:t>veloped by ACGR and has been</w:t>
      </w:r>
      <w:r w:rsidR="00310A76" w:rsidRPr="00515D3C">
        <w:t xml:space="preserve"> reviewed by the Executive Committee prior to circulation to the membership</w:t>
      </w:r>
      <w:r w:rsidR="00310A76">
        <w:t>.</w:t>
      </w:r>
    </w:p>
    <w:p w14:paraId="17474CAF" w14:textId="45DE93E4" w:rsidR="00310A76" w:rsidRDefault="001278F2" w:rsidP="001278F2">
      <w:r>
        <w:t>The organisations are also developing industry and university-facing guides to assist with the implementation of university/industry engagement.</w:t>
      </w:r>
    </w:p>
    <w:p w14:paraId="00272BCA" w14:textId="1BAEAD9E" w:rsidR="00225EBF" w:rsidRPr="00515D3C" w:rsidRDefault="00225EBF" w:rsidP="00225EBF">
      <w:pPr>
        <w:pStyle w:val="Heading3"/>
      </w:pPr>
      <w:r w:rsidRPr="00515D3C">
        <w:t>Next steps</w:t>
      </w:r>
    </w:p>
    <w:p w14:paraId="68D55301" w14:textId="251140FC" w:rsidR="005F598D" w:rsidRPr="00515D3C" w:rsidRDefault="00800685" w:rsidP="000E6EF4">
      <w:pPr>
        <w:pStyle w:val="ListParagraph"/>
        <w:numPr>
          <w:ilvl w:val="0"/>
          <w:numId w:val="7"/>
        </w:numPr>
        <w:spacing w:after="0"/>
      </w:pPr>
      <w:r>
        <w:t>Both organisations will publish t</w:t>
      </w:r>
      <w:r w:rsidR="00595212">
        <w:t>he</w:t>
      </w:r>
      <w:r w:rsidR="00BE791E">
        <w:t xml:space="preserve"> set of overall principles to guide collaboration </w:t>
      </w:r>
      <w:r>
        <w:t>b</w:t>
      </w:r>
      <w:r w:rsidR="00BE791E">
        <w:t xml:space="preserve">y </w:t>
      </w:r>
      <w:r>
        <w:br/>
      </w:r>
      <w:r w:rsidR="00BE791E">
        <w:t>mid-August 2018.</w:t>
      </w:r>
      <w:r w:rsidR="00DA1DC2">
        <w:t xml:space="preserve"> The guides for universities and industry will be fully drafted by mid-August for release later in 2018.</w:t>
      </w:r>
    </w:p>
    <w:p w14:paraId="5ADE294D" w14:textId="2B037553" w:rsidR="005F598D" w:rsidRPr="00515D3C" w:rsidRDefault="005C2765" w:rsidP="000E6EF4">
      <w:pPr>
        <w:pStyle w:val="ListParagraph"/>
        <w:numPr>
          <w:ilvl w:val="0"/>
          <w:numId w:val="7"/>
        </w:numPr>
        <w:spacing w:after="0"/>
      </w:pPr>
      <w:r>
        <w:t xml:space="preserve">The </w:t>
      </w:r>
      <w:r w:rsidR="005F598D" w:rsidRPr="00515D3C">
        <w:t xml:space="preserve">ACGR </w:t>
      </w:r>
      <w:r w:rsidR="00DA1DC2">
        <w:t>guide</w:t>
      </w:r>
      <w:r w:rsidR="005F598D" w:rsidRPr="00515D3C">
        <w:t xml:space="preserve"> for universities will be published on the ACGR website</w:t>
      </w:r>
      <w:r>
        <w:t xml:space="preserve"> and circulated directly to Deputy Vice-Chancellors (</w:t>
      </w:r>
      <w:r w:rsidR="005F598D" w:rsidRPr="00515D3C">
        <w:t>Research</w:t>
      </w:r>
      <w:r>
        <w:t>)</w:t>
      </w:r>
      <w:r w:rsidR="000E6EF4">
        <w:t xml:space="preserve"> </w:t>
      </w:r>
      <w:r w:rsidR="006E42AC">
        <w:t xml:space="preserve">(DVC-R) </w:t>
      </w:r>
      <w:r w:rsidR="000E6EF4">
        <w:t>and via the ACGR membership</w:t>
      </w:r>
      <w:r w:rsidR="00D632B0">
        <w:t>.</w:t>
      </w:r>
    </w:p>
    <w:p w14:paraId="17E343F2" w14:textId="2545056C" w:rsidR="005F598D" w:rsidRDefault="005F598D" w:rsidP="000E6EF4">
      <w:pPr>
        <w:pStyle w:val="ListParagraph"/>
        <w:numPr>
          <w:ilvl w:val="0"/>
          <w:numId w:val="7"/>
        </w:numPr>
        <w:spacing w:after="0"/>
      </w:pPr>
      <w:r w:rsidRPr="00515D3C">
        <w:t xml:space="preserve">Ai Group’s </w:t>
      </w:r>
      <w:r w:rsidR="00DA1DC2">
        <w:t>guide</w:t>
      </w:r>
      <w:r w:rsidRPr="00515D3C">
        <w:t xml:space="preserve"> for industry partners will be published on Ai Group’s website and promoted in Ai Group’s weekly newsletter to companies.</w:t>
      </w:r>
    </w:p>
    <w:p w14:paraId="00DFABBD" w14:textId="77777777" w:rsidR="00DA1DC2" w:rsidRDefault="00DA1DC2" w:rsidP="00DA1DC2">
      <w:pPr>
        <w:spacing w:after="0"/>
        <w:sectPr w:rsidR="00DA1DC2" w:rsidSect="002A27A3">
          <w:pgSz w:w="11906" w:h="16838" w:code="9"/>
          <w:pgMar w:top="1440" w:right="1440" w:bottom="1440" w:left="1440" w:header="567" w:footer="1009" w:gutter="0"/>
          <w:cols w:space="708"/>
          <w:docGrid w:linePitch="360"/>
        </w:sectPr>
      </w:pPr>
    </w:p>
    <w:p w14:paraId="0F046962" w14:textId="4A97A3D1" w:rsidR="00FC7F3D" w:rsidRPr="00515D3C" w:rsidRDefault="00FC7F3D" w:rsidP="0037139F">
      <w:pPr>
        <w:pStyle w:val="Heading2"/>
      </w:pPr>
      <w:bookmarkStart w:id="8" w:name="_Toc522100116"/>
      <w:r w:rsidRPr="00515D3C">
        <w:lastRenderedPageBreak/>
        <w:t>Action 2.2 Promote availability of HDR industry internships and other collaboration</w:t>
      </w:r>
      <w:bookmarkEnd w:id="8"/>
    </w:p>
    <w:tbl>
      <w:tblPr>
        <w:tblStyle w:val="TableGrid"/>
        <w:tblW w:w="0" w:type="auto"/>
        <w:tblLook w:val="04A0" w:firstRow="1" w:lastRow="0" w:firstColumn="1" w:lastColumn="0" w:noHBand="0" w:noVBand="1"/>
      </w:tblPr>
      <w:tblGrid>
        <w:gridCol w:w="9016"/>
      </w:tblGrid>
      <w:tr w:rsidR="009F1373" w:rsidRPr="00515D3C" w14:paraId="43EA9073" w14:textId="77777777" w:rsidTr="009F1373">
        <w:tc>
          <w:tcPr>
            <w:tcW w:w="9016" w:type="dxa"/>
          </w:tcPr>
          <w:p w14:paraId="4ADD2C3F" w14:textId="77777777" w:rsidR="009F1373" w:rsidRPr="00515D3C" w:rsidRDefault="009F1373" w:rsidP="00D77C7D">
            <w:pPr>
              <w:pStyle w:val="Heading3"/>
              <w:shd w:val="clear" w:color="auto" w:fill="auto"/>
              <w:spacing w:before="120" w:line="276" w:lineRule="auto"/>
              <w:outlineLvl w:val="2"/>
              <w:rPr>
                <w:rFonts w:ascii="Calibri" w:eastAsiaTheme="majorEastAsia" w:hAnsi="Calibri" w:cstheme="majorBidi"/>
                <w:b w:val="0"/>
                <w:bCs/>
              </w:rPr>
            </w:pPr>
            <w:r w:rsidRPr="00515D3C">
              <w:rPr>
                <w:rFonts w:ascii="Calibri" w:eastAsiaTheme="majorEastAsia" w:hAnsi="Calibri" w:cstheme="majorBidi"/>
                <w:b w:val="0"/>
                <w:bCs/>
              </w:rPr>
              <w:t>ACGR and Ai Group to encourage their members to promote internships and other collaboration opportunities to students, including by publishing information on their websites.</w:t>
            </w:r>
          </w:p>
          <w:p w14:paraId="3F6E2630" w14:textId="77777777" w:rsidR="009F1373" w:rsidRPr="00515D3C" w:rsidRDefault="009F1373" w:rsidP="00D77C7D">
            <w:pPr>
              <w:spacing w:line="276" w:lineRule="auto"/>
            </w:pPr>
          </w:p>
          <w:p w14:paraId="58049C3C" w14:textId="0D254AEA" w:rsidR="009F1373" w:rsidRPr="00515D3C" w:rsidRDefault="00D82775" w:rsidP="00D77C7D">
            <w:pPr>
              <w:spacing w:after="120" w:line="276" w:lineRule="auto"/>
            </w:pPr>
            <w:r>
              <w:t>Responsibility:</w:t>
            </w:r>
            <w:r w:rsidR="009F1373" w:rsidRPr="00515D3C">
              <w:t xml:space="preserve"> ACGR and Ai Group – by March 2018</w:t>
            </w:r>
          </w:p>
        </w:tc>
      </w:tr>
    </w:tbl>
    <w:p w14:paraId="45A7E39D" w14:textId="15FE082D" w:rsidR="009F1373" w:rsidRPr="00515D3C" w:rsidRDefault="009F1373" w:rsidP="005910B5">
      <w:pPr>
        <w:pStyle w:val="Heading3"/>
        <w:shd w:val="clear" w:color="auto" w:fill="auto"/>
        <w:spacing w:before="120"/>
        <w:rPr>
          <w:rFonts w:ascii="Calibri" w:eastAsiaTheme="majorEastAsia" w:hAnsi="Calibri" w:cstheme="majorBidi"/>
          <w:bCs/>
        </w:rPr>
      </w:pPr>
    </w:p>
    <w:p w14:paraId="5F68B62D" w14:textId="77777777" w:rsidR="00225EBF" w:rsidRPr="00515D3C" w:rsidRDefault="00225EBF" w:rsidP="00225EBF">
      <w:pPr>
        <w:pStyle w:val="Heading3"/>
      </w:pPr>
      <w:r w:rsidRPr="00515D3C">
        <w:t>Status</w:t>
      </w:r>
    </w:p>
    <w:p w14:paraId="4F21C865" w14:textId="59283379" w:rsidR="00225EBF" w:rsidRPr="00515D3C" w:rsidRDefault="00225EBF" w:rsidP="00225EBF">
      <w:r w:rsidRPr="00515D3C">
        <w:t>Complete</w:t>
      </w:r>
    </w:p>
    <w:p w14:paraId="5E11A1AF" w14:textId="77777777" w:rsidR="00225EBF" w:rsidRPr="00515D3C" w:rsidRDefault="00225EBF" w:rsidP="00225EBF">
      <w:pPr>
        <w:pStyle w:val="Heading3"/>
      </w:pPr>
      <w:r w:rsidRPr="00515D3C">
        <w:t>Progress to date</w:t>
      </w:r>
    </w:p>
    <w:p w14:paraId="7C1D2DD9" w14:textId="38FC16DC" w:rsidR="000E6EF4" w:rsidRPr="00515D3C" w:rsidRDefault="000E6EF4" w:rsidP="0097230C">
      <w:pPr>
        <w:spacing w:after="120"/>
      </w:pPr>
      <w:r>
        <w:t>ACGR has undertaken the following actions:</w:t>
      </w:r>
    </w:p>
    <w:p w14:paraId="0F85D4FA" w14:textId="7F9449E2" w:rsidR="00D03A86" w:rsidRPr="00515D3C" w:rsidRDefault="00D03A86" w:rsidP="0097230C">
      <w:pPr>
        <w:pStyle w:val="ListParagraph"/>
        <w:numPr>
          <w:ilvl w:val="0"/>
          <w:numId w:val="7"/>
        </w:numPr>
        <w:spacing w:after="0"/>
      </w:pPr>
      <w:r w:rsidRPr="00515D3C">
        <w:t>Discussion</w:t>
      </w:r>
      <w:r w:rsidR="00912878">
        <w:t>s</w:t>
      </w:r>
      <w:r w:rsidRPr="00515D3C">
        <w:t xml:space="preserve"> on international mod</w:t>
      </w:r>
      <w:r w:rsidR="000E6EF4">
        <w:t>els of industry engaged PhD</w:t>
      </w:r>
      <w:r w:rsidRPr="00515D3C">
        <w:t xml:space="preserve">s </w:t>
      </w:r>
      <w:r w:rsidR="000E6EF4">
        <w:t xml:space="preserve">were </w:t>
      </w:r>
      <w:r w:rsidRPr="00515D3C">
        <w:t xml:space="preserve">held at </w:t>
      </w:r>
      <w:r w:rsidR="005910B5">
        <w:t xml:space="preserve">the </w:t>
      </w:r>
      <w:r w:rsidRPr="00515D3C">
        <w:t>ACGR</w:t>
      </w:r>
      <w:r w:rsidR="000E6EF4">
        <w:t xml:space="preserve"> International Forum in Vietnam in</w:t>
      </w:r>
      <w:r w:rsidRPr="00515D3C">
        <w:t xml:space="preserve"> November 2017</w:t>
      </w:r>
      <w:r w:rsidR="00D632B0">
        <w:t>.</w:t>
      </w:r>
    </w:p>
    <w:p w14:paraId="1C483E55" w14:textId="3E380821" w:rsidR="00D03A86" w:rsidRPr="00515D3C" w:rsidRDefault="000E6EF4" w:rsidP="0097230C">
      <w:pPr>
        <w:pStyle w:val="ListParagraph"/>
        <w:numPr>
          <w:ilvl w:val="0"/>
          <w:numId w:val="7"/>
        </w:numPr>
        <w:spacing w:after="0"/>
      </w:pPr>
      <w:r>
        <w:t>A b</w:t>
      </w:r>
      <w:r w:rsidR="00D03A86" w:rsidRPr="00515D3C">
        <w:t xml:space="preserve">ackground paper outlining all types of industry engagement </w:t>
      </w:r>
      <w:r>
        <w:t xml:space="preserve">was </w:t>
      </w:r>
      <w:r w:rsidR="00D03A86" w:rsidRPr="00515D3C">
        <w:t>circulated to all ACGR members for discussion at the ACGR National Meeting in April 2018</w:t>
      </w:r>
      <w:r w:rsidR="00D632B0">
        <w:t>.</w:t>
      </w:r>
    </w:p>
    <w:p w14:paraId="1A8C0F9C" w14:textId="10AA9061" w:rsidR="00D03A86" w:rsidRPr="00515D3C" w:rsidRDefault="000E6EF4" w:rsidP="0097230C">
      <w:pPr>
        <w:pStyle w:val="ListParagraph"/>
        <w:numPr>
          <w:ilvl w:val="0"/>
          <w:numId w:val="7"/>
        </w:numPr>
        <w:spacing w:after="0"/>
      </w:pPr>
      <w:r>
        <w:t xml:space="preserve">An </w:t>
      </w:r>
      <w:r w:rsidR="00D03A86" w:rsidRPr="00515D3C">
        <w:t xml:space="preserve">Australian Postgraduate Research Intern (APRI) presentation </w:t>
      </w:r>
      <w:r>
        <w:t xml:space="preserve">was </w:t>
      </w:r>
      <w:r w:rsidR="00D03A86" w:rsidRPr="00515D3C">
        <w:t xml:space="preserve">provided by </w:t>
      </w:r>
      <w:r>
        <w:t xml:space="preserve">the Australian Mathematical Sciences Institute (AMSI) </w:t>
      </w:r>
      <w:r w:rsidR="00D03A86" w:rsidRPr="00515D3C">
        <w:t xml:space="preserve">to all ACGR members at </w:t>
      </w:r>
      <w:r>
        <w:t xml:space="preserve">the </w:t>
      </w:r>
      <w:r w:rsidR="00D03A86" w:rsidRPr="00515D3C">
        <w:t>same meeting</w:t>
      </w:r>
      <w:r w:rsidR="00D632B0">
        <w:t>.</w:t>
      </w:r>
    </w:p>
    <w:p w14:paraId="0A3F8727" w14:textId="01E8B0FE" w:rsidR="00D03A86" w:rsidRPr="00515D3C" w:rsidRDefault="00D03A86" w:rsidP="0097230C">
      <w:pPr>
        <w:pStyle w:val="ListParagraph"/>
        <w:numPr>
          <w:ilvl w:val="0"/>
          <w:numId w:val="7"/>
        </w:numPr>
        <w:spacing w:after="0"/>
      </w:pPr>
      <w:r w:rsidRPr="00515D3C">
        <w:t xml:space="preserve">Internship and other collaboration opportunities </w:t>
      </w:r>
      <w:r w:rsidR="000E6EF4">
        <w:t xml:space="preserve">were </w:t>
      </w:r>
      <w:r w:rsidRPr="00515D3C">
        <w:t xml:space="preserve">promoted through </w:t>
      </w:r>
      <w:r w:rsidR="000E6EF4">
        <w:t xml:space="preserve">the </w:t>
      </w:r>
      <w:r w:rsidR="00D632B0">
        <w:t>monthly ACGR Update.</w:t>
      </w:r>
    </w:p>
    <w:p w14:paraId="397FF52C" w14:textId="1A9B61BA" w:rsidR="000E6EF4" w:rsidRDefault="00D03A86" w:rsidP="0097230C">
      <w:pPr>
        <w:pStyle w:val="ListParagraph"/>
        <w:numPr>
          <w:ilvl w:val="0"/>
          <w:numId w:val="7"/>
        </w:numPr>
        <w:spacing w:after="120"/>
        <w:ind w:left="714" w:hanging="357"/>
      </w:pPr>
      <w:r w:rsidRPr="00515D3C">
        <w:t>ACGR has established and annually makes a national award for Excellence in Promoting Industry Engagement in Graduate Research</w:t>
      </w:r>
      <w:r w:rsidR="005910B5">
        <w:t>.</w:t>
      </w:r>
    </w:p>
    <w:p w14:paraId="01740263" w14:textId="0D044FCB" w:rsidR="000E6EF4" w:rsidRPr="00515D3C" w:rsidRDefault="000E6EF4" w:rsidP="0097230C">
      <w:pPr>
        <w:spacing w:after="120"/>
      </w:pPr>
      <w:r>
        <w:t>Ai Group has undertaken the following actions:</w:t>
      </w:r>
    </w:p>
    <w:p w14:paraId="5BD6B7B5" w14:textId="65C16F44" w:rsidR="00D03A86" w:rsidRPr="00515D3C" w:rsidRDefault="00D03A86" w:rsidP="0097230C">
      <w:pPr>
        <w:pStyle w:val="ListParagraph"/>
        <w:numPr>
          <w:ilvl w:val="0"/>
          <w:numId w:val="7"/>
        </w:numPr>
        <w:spacing w:after="0"/>
      </w:pPr>
      <w:r w:rsidRPr="00515D3C">
        <w:t xml:space="preserve">Ai Group promotes the uptake of </w:t>
      </w:r>
      <w:r w:rsidRPr="00A763DE">
        <w:t xml:space="preserve">postgraduate </w:t>
      </w:r>
      <w:r w:rsidRPr="00515D3C">
        <w:t>research internships and other collaboration activities through its Innovation Facilitators’ activities under the Entrepreneurs’ Programme</w:t>
      </w:r>
      <w:r w:rsidR="00D632B0">
        <w:t>.</w:t>
      </w:r>
    </w:p>
    <w:p w14:paraId="57528F57" w14:textId="099BB8DC" w:rsidR="00D03A86" w:rsidRPr="00515D3C" w:rsidRDefault="00D03A86" w:rsidP="0097230C">
      <w:pPr>
        <w:pStyle w:val="ListParagraph"/>
        <w:numPr>
          <w:ilvl w:val="0"/>
          <w:numId w:val="7"/>
        </w:numPr>
        <w:spacing w:after="0"/>
      </w:pPr>
      <w:r w:rsidRPr="00515D3C">
        <w:t xml:space="preserve">Ai Group promoted AMSI’s </w:t>
      </w:r>
      <w:proofErr w:type="spellStart"/>
      <w:r w:rsidRPr="00515D3C">
        <w:t>APR.Intern</w:t>
      </w:r>
      <w:proofErr w:type="spellEnd"/>
      <w:r w:rsidRPr="00515D3C">
        <w:t xml:space="preserve"> program through its weekly newsletter to member companies in May 2018</w:t>
      </w:r>
      <w:r w:rsidR="00D632B0">
        <w:t>.</w:t>
      </w:r>
    </w:p>
    <w:p w14:paraId="1551EEB9" w14:textId="2EC91C49" w:rsidR="00D03A86" w:rsidRPr="00515D3C" w:rsidRDefault="00D03A86" w:rsidP="0097230C">
      <w:pPr>
        <w:pStyle w:val="ListParagraph"/>
        <w:numPr>
          <w:ilvl w:val="0"/>
          <w:numId w:val="7"/>
        </w:numPr>
        <w:spacing w:after="0"/>
      </w:pPr>
      <w:r w:rsidRPr="00515D3C">
        <w:t xml:space="preserve">Collaboration activities between industry and universities are developed and promoted by </w:t>
      </w:r>
      <w:r w:rsidR="005910B5">
        <w:br/>
      </w:r>
      <w:r w:rsidRPr="00515D3C">
        <w:t>Ai Group through its involvement with</w:t>
      </w:r>
      <w:r w:rsidR="005910B5">
        <w:t xml:space="preserve"> Industry Growth Centres </w:t>
      </w:r>
      <w:r w:rsidR="00325B15">
        <w:t xml:space="preserve">(IGCs) </w:t>
      </w:r>
      <w:r w:rsidR="005910B5">
        <w:t>and Cooperative Research Centres (CRC</w:t>
      </w:r>
      <w:r w:rsidRPr="00515D3C">
        <w:t>s</w:t>
      </w:r>
      <w:r w:rsidR="005910B5">
        <w:t>)</w:t>
      </w:r>
      <w:r w:rsidR="00D632B0">
        <w:t>.</w:t>
      </w:r>
    </w:p>
    <w:p w14:paraId="033FFB30" w14:textId="0E627F6A" w:rsidR="00D03A86" w:rsidRPr="00515D3C" w:rsidRDefault="00D03A86" w:rsidP="0097230C">
      <w:pPr>
        <w:pStyle w:val="ListParagraph"/>
        <w:numPr>
          <w:ilvl w:val="0"/>
          <w:numId w:val="7"/>
        </w:numPr>
        <w:spacing w:after="120"/>
        <w:ind w:left="714" w:hanging="357"/>
      </w:pPr>
      <w:r w:rsidRPr="00515D3C">
        <w:t xml:space="preserve">Ai Group’s Business </w:t>
      </w:r>
      <w:proofErr w:type="gramStart"/>
      <w:r w:rsidRPr="00515D3C">
        <w:t>Beyond</w:t>
      </w:r>
      <w:proofErr w:type="gramEnd"/>
      <w:r w:rsidRPr="00515D3C">
        <w:t xml:space="preserve"> Broadband report to companies in 2017 promoted the need for closer collaboration on research between industry and universities,</w:t>
      </w:r>
      <w:r w:rsidR="005910B5">
        <w:t xml:space="preserve"> including through student work-</w:t>
      </w:r>
      <w:r w:rsidRPr="00515D3C">
        <w:t xml:space="preserve">integrated learning opportunities. </w:t>
      </w:r>
    </w:p>
    <w:p w14:paraId="4FFD00C2" w14:textId="77777777" w:rsidR="00B636CD" w:rsidRPr="00515D3C" w:rsidRDefault="00B636CD" w:rsidP="00B636CD">
      <w:pPr>
        <w:pStyle w:val="Heading3"/>
      </w:pPr>
      <w:r w:rsidRPr="00515D3C">
        <w:t>Next steps</w:t>
      </w:r>
    </w:p>
    <w:p w14:paraId="118A368F" w14:textId="6D03DD0A" w:rsidR="001E0B69" w:rsidRDefault="00E810F2" w:rsidP="00E810F2">
      <w:pPr>
        <w:spacing w:after="120"/>
      </w:pPr>
      <w:r w:rsidRPr="00515D3C">
        <w:t>ACGR and Ai Group will continue to promote and support all types of industry col</w:t>
      </w:r>
      <w:r>
        <w:t xml:space="preserve">laboration in graduate research, </w:t>
      </w:r>
      <w:r w:rsidRPr="00515D3C">
        <w:t>both through communication of programs and opportunities as they become available and by exploring new and innovative models as they arise.</w:t>
      </w:r>
    </w:p>
    <w:p w14:paraId="4843B32E" w14:textId="77777777" w:rsidR="001E0B69" w:rsidRDefault="001E0B69">
      <w:r>
        <w:br w:type="page"/>
      </w:r>
    </w:p>
    <w:p w14:paraId="4A56BFF6" w14:textId="7F9BA076" w:rsidR="00621112" w:rsidRPr="00515D3C" w:rsidRDefault="00746F85" w:rsidP="0037139F">
      <w:pPr>
        <w:pStyle w:val="Heading2"/>
      </w:pPr>
      <w:bookmarkStart w:id="9" w:name="_Toc522100117"/>
      <w:r w:rsidRPr="00515D3C">
        <w:lastRenderedPageBreak/>
        <w:t>Action 2.3 Monitor implementation of the N</w:t>
      </w:r>
      <w:r w:rsidR="00726950">
        <w:t>ational Research Internships Program (NRIP)</w:t>
      </w:r>
      <w:bookmarkEnd w:id="9"/>
    </w:p>
    <w:tbl>
      <w:tblPr>
        <w:tblStyle w:val="TableGrid"/>
        <w:tblW w:w="0" w:type="auto"/>
        <w:tblLook w:val="04A0" w:firstRow="1" w:lastRow="0" w:firstColumn="1" w:lastColumn="0" w:noHBand="0" w:noVBand="1"/>
      </w:tblPr>
      <w:tblGrid>
        <w:gridCol w:w="9016"/>
      </w:tblGrid>
      <w:tr w:rsidR="009F1373" w:rsidRPr="00515D3C" w14:paraId="01F1D196" w14:textId="77777777" w:rsidTr="009F1373">
        <w:tc>
          <w:tcPr>
            <w:tcW w:w="9016" w:type="dxa"/>
          </w:tcPr>
          <w:p w14:paraId="60FC7FDF" w14:textId="1C577B5E" w:rsidR="009F1373" w:rsidRPr="00515D3C" w:rsidRDefault="009F1373" w:rsidP="00D77C7D">
            <w:pPr>
              <w:spacing w:before="120" w:line="276" w:lineRule="auto"/>
            </w:pPr>
            <w:r w:rsidRPr="00515D3C">
              <w:t>DET to monitor and report to the sector on implementation of the NRIP, including in:</w:t>
            </w:r>
          </w:p>
          <w:p w14:paraId="51C27902" w14:textId="77777777" w:rsidR="009F1373" w:rsidRPr="00515D3C" w:rsidRDefault="009F1373" w:rsidP="00D77C7D">
            <w:pPr>
              <w:numPr>
                <w:ilvl w:val="0"/>
                <w:numId w:val="4"/>
              </w:numPr>
              <w:spacing w:line="276" w:lineRule="auto"/>
            </w:pPr>
            <w:r w:rsidRPr="00515D3C">
              <w:t>supporting collaboration</w:t>
            </w:r>
          </w:p>
          <w:p w14:paraId="2CA92A41" w14:textId="77777777" w:rsidR="009F1373" w:rsidRPr="00515D3C" w:rsidRDefault="009F1373" w:rsidP="00D77C7D">
            <w:pPr>
              <w:numPr>
                <w:ilvl w:val="0"/>
                <w:numId w:val="4"/>
              </w:numPr>
              <w:spacing w:line="276" w:lineRule="auto"/>
            </w:pPr>
            <w:r w:rsidRPr="00515D3C">
              <w:t>achieving targets for women and Indigenous student participation</w:t>
            </w:r>
          </w:p>
          <w:p w14:paraId="70C6C1FF" w14:textId="77777777" w:rsidR="009F1373" w:rsidRPr="00515D3C" w:rsidRDefault="009F1373" w:rsidP="00D77C7D">
            <w:pPr>
              <w:numPr>
                <w:ilvl w:val="0"/>
                <w:numId w:val="4"/>
              </w:numPr>
              <w:spacing w:line="276" w:lineRule="auto"/>
            </w:pPr>
            <w:proofErr w:type="gramStart"/>
            <w:r w:rsidRPr="00515D3C">
              <w:t>supporting</w:t>
            </w:r>
            <w:proofErr w:type="gramEnd"/>
            <w:r w:rsidRPr="00515D3C">
              <w:t xml:space="preserve"> STEM research.</w:t>
            </w:r>
          </w:p>
          <w:p w14:paraId="140D514B" w14:textId="77777777" w:rsidR="009F1373" w:rsidRPr="00515D3C" w:rsidRDefault="009F1373" w:rsidP="00D77C7D">
            <w:pPr>
              <w:spacing w:line="276" w:lineRule="auto"/>
            </w:pPr>
            <w:r w:rsidRPr="00515D3C">
              <w:t>To support this process, AMSI to report annually on system level issues, in addition to providing regular project reports to DET.</w:t>
            </w:r>
          </w:p>
          <w:p w14:paraId="10F6F452" w14:textId="77777777" w:rsidR="009F1373" w:rsidRPr="00515D3C" w:rsidRDefault="009F1373" w:rsidP="00D77C7D">
            <w:pPr>
              <w:spacing w:line="276" w:lineRule="auto"/>
            </w:pPr>
          </w:p>
          <w:p w14:paraId="6605A758" w14:textId="2D92B021" w:rsidR="009F1373" w:rsidRPr="00515D3C" w:rsidRDefault="00D82775" w:rsidP="00D77C7D">
            <w:pPr>
              <w:spacing w:after="120" w:line="276" w:lineRule="auto"/>
            </w:pPr>
            <w:r>
              <w:t xml:space="preserve">Responsibility: </w:t>
            </w:r>
            <w:r w:rsidR="009F1373" w:rsidRPr="00515D3C">
              <w:t>DET, in consultation with AMSI – ongoing, with first report by July 2018</w:t>
            </w:r>
          </w:p>
        </w:tc>
      </w:tr>
    </w:tbl>
    <w:p w14:paraId="37912059" w14:textId="463E5719" w:rsidR="009F1373" w:rsidRPr="00515D3C" w:rsidRDefault="009F1373" w:rsidP="005910B5">
      <w:pPr>
        <w:spacing w:after="120"/>
      </w:pPr>
    </w:p>
    <w:p w14:paraId="2817AB5F" w14:textId="77777777" w:rsidR="00225EBF" w:rsidRPr="00515D3C" w:rsidRDefault="00225EBF" w:rsidP="00225EBF">
      <w:pPr>
        <w:pStyle w:val="Heading3"/>
      </w:pPr>
      <w:r w:rsidRPr="00515D3C">
        <w:t>Status</w:t>
      </w:r>
    </w:p>
    <w:p w14:paraId="2F162D8F" w14:textId="4DD5D96A" w:rsidR="00225EBF" w:rsidRPr="00515D3C" w:rsidRDefault="00887C9C" w:rsidP="00225EBF">
      <w:r w:rsidRPr="00515D3C">
        <w:t>In progress</w:t>
      </w:r>
    </w:p>
    <w:p w14:paraId="00DE9CD2" w14:textId="77777777" w:rsidR="00225EBF" w:rsidRPr="00515D3C" w:rsidRDefault="00225EBF" w:rsidP="00225EBF">
      <w:pPr>
        <w:pStyle w:val="Heading3"/>
      </w:pPr>
      <w:r w:rsidRPr="00515D3C">
        <w:t>Progress to date</w:t>
      </w:r>
    </w:p>
    <w:p w14:paraId="1A77D918" w14:textId="43B8CED1" w:rsidR="00887C9C" w:rsidRPr="00515D3C" w:rsidRDefault="00887C9C" w:rsidP="00F71657">
      <w:pPr>
        <w:spacing w:after="120"/>
      </w:pPr>
      <w:r w:rsidRPr="00515D3C">
        <w:t>On 27</w:t>
      </w:r>
      <w:r w:rsidR="00C5038C">
        <w:t xml:space="preserve"> May 2017, the department</w:t>
      </w:r>
      <w:r w:rsidR="004368B7">
        <w:t xml:space="preserve"> </w:t>
      </w:r>
      <w:r w:rsidRPr="00515D3C">
        <w:t>finalised the grant for “Supporting more Women into STEM careers: Australian Mathematical Sciences Institute (AMSI) National Research Internships Program” for AMSI to deliver 1400 new PhD research based internships over four years</w:t>
      </w:r>
      <w:r w:rsidR="004368B7">
        <w:t>,</w:t>
      </w:r>
      <w:r w:rsidRPr="00515D3C">
        <w:t xml:space="preserve"> with a particular focus on women in STEM.</w:t>
      </w:r>
    </w:p>
    <w:p w14:paraId="091FC41A" w14:textId="03D2C179" w:rsidR="00887C9C" w:rsidRPr="00515D3C" w:rsidRDefault="00887C9C" w:rsidP="00F71657">
      <w:pPr>
        <w:spacing w:after="120"/>
      </w:pPr>
      <w:r w:rsidRPr="00515D3C">
        <w:t>The key performance target for 2017, the commencement of 100 internships</w:t>
      </w:r>
      <w:r w:rsidR="00F71657" w:rsidRPr="00515D3C">
        <w:t>,</w:t>
      </w:r>
      <w:r w:rsidRPr="00515D3C">
        <w:t xml:space="preserve"> was not met,</w:t>
      </w:r>
      <w:r w:rsidR="002B7A25">
        <w:t xml:space="preserve"> with only </w:t>
      </w:r>
      <w:r w:rsidRPr="00515D3C">
        <w:t>68 internships commenced in 2017. Key performance targets for 2018 are set and AMSI is to make up the 2017 internship shortfall in future years.</w:t>
      </w:r>
      <w:r w:rsidR="00F71657" w:rsidRPr="00515D3C">
        <w:t xml:space="preserve"> </w:t>
      </w:r>
      <w:r w:rsidRPr="00515D3C">
        <w:t>As over 30 per cent of higher degree by research students are part-time, the department and AMSI have modified the requirements to allow these students to participate in the program.</w:t>
      </w:r>
    </w:p>
    <w:p w14:paraId="40822F67" w14:textId="016A3F58" w:rsidR="009A13B0" w:rsidRPr="00515D3C" w:rsidRDefault="00F71657" w:rsidP="009A13B0">
      <w:pPr>
        <w:spacing w:after="120"/>
      </w:pPr>
      <w:r w:rsidRPr="00515D3C">
        <w:t xml:space="preserve">In 2017, </w:t>
      </w:r>
      <w:r w:rsidR="002B7A25">
        <w:t xml:space="preserve">AMSI </w:t>
      </w:r>
      <w:r w:rsidRPr="00515D3C">
        <w:t>worked with 24 new industry partners, increased participation in the program to 18 universities and established 47 new industry</w:t>
      </w:r>
      <w:r w:rsidRPr="00515D3C">
        <w:noBreakHyphen/>
        <w:t>university collaborations. Almost all of the internships (97 per cent) are in STEM fields.</w:t>
      </w:r>
    </w:p>
    <w:p w14:paraId="10F2ACF9" w14:textId="2114F5A5" w:rsidR="00F71657" w:rsidRPr="00515D3C" w:rsidRDefault="00F71657" w:rsidP="009A13B0">
      <w:pPr>
        <w:spacing w:after="0"/>
      </w:pPr>
      <w:r w:rsidRPr="00515D3C">
        <w:t xml:space="preserve">Targets for participation of women and Indigenous students were not set for 2017. They are </w:t>
      </w:r>
      <w:r w:rsidR="0024517F">
        <w:t xml:space="preserve">key performance targets in 2018, at </w:t>
      </w:r>
      <w:r w:rsidRPr="00515D3C">
        <w:t xml:space="preserve">40 per cent and 1.2 per cent respectively. These targets will increase substantially in future years as the program expands nationally. </w:t>
      </w:r>
    </w:p>
    <w:p w14:paraId="30DF4A51" w14:textId="77777777" w:rsidR="009A13B0" w:rsidRPr="00515D3C" w:rsidRDefault="009A13B0" w:rsidP="009A13B0">
      <w:pPr>
        <w:spacing w:after="0"/>
      </w:pPr>
    </w:p>
    <w:p w14:paraId="75780145" w14:textId="77777777" w:rsidR="00225EBF" w:rsidRPr="00515D3C" w:rsidRDefault="00225EBF" w:rsidP="00225EBF">
      <w:pPr>
        <w:pStyle w:val="Heading3"/>
      </w:pPr>
      <w:r w:rsidRPr="00515D3C">
        <w:t>Next steps</w:t>
      </w:r>
    </w:p>
    <w:p w14:paraId="6DC66A4F" w14:textId="25688418" w:rsidR="009A13B0" w:rsidRPr="00515D3C" w:rsidRDefault="009A13B0" w:rsidP="004368B7">
      <w:pPr>
        <w:spacing w:after="120"/>
      </w:pPr>
      <w:r w:rsidRPr="00515D3C">
        <w:t>The key activit</w:t>
      </w:r>
      <w:r w:rsidR="004E0FBE" w:rsidRPr="00515D3C">
        <w:t>ies for 2018 are c</w:t>
      </w:r>
      <w:r w:rsidRPr="00515D3C">
        <w:t>ontinued expansion of the program and associated activities</w:t>
      </w:r>
      <w:r w:rsidR="00C32648">
        <w:t>, including</w:t>
      </w:r>
    </w:p>
    <w:p w14:paraId="6FE93DED" w14:textId="182C8745" w:rsidR="009A13B0" w:rsidRPr="00515D3C" w:rsidRDefault="009A13B0" w:rsidP="004368B7">
      <w:pPr>
        <w:pStyle w:val="ListParagraph"/>
        <w:numPr>
          <w:ilvl w:val="0"/>
          <w:numId w:val="14"/>
        </w:numPr>
        <w:spacing w:after="0"/>
      </w:pPr>
      <w:r w:rsidRPr="00515D3C">
        <w:t>Tasmanian internships begin</w:t>
      </w:r>
      <w:r w:rsidR="00C32648">
        <w:t>ning</w:t>
      </w:r>
      <w:r w:rsidRPr="00515D3C">
        <w:t xml:space="preserve"> in July 2018</w:t>
      </w:r>
    </w:p>
    <w:p w14:paraId="61F99638" w14:textId="186A154E" w:rsidR="009A13B0" w:rsidRPr="00515D3C" w:rsidRDefault="00721FE9" w:rsidP="004368B7">
      <w:pPr>
        <w:pStyle w:val="ListParagraph"/>
        <w:numPr>
          <w:ilvl w:val="0"/>
          <w:numId w:val="14"/>
        </w:numPr>
        <w:spacing w:after="0"/>
      </w:pPr>
      <w:r>
        <w:t>N</w:t>
      </w:r>
      <w:r w:rsidR="009A13B0" w:rsidRPr="00515D3C">
        <w:t>ew business development officers start</w:t>
      </w:r>
      <w:r w:rsidR="00C32648">
        <w:t>ing</w:t>
      </w:r>
      <w:r w:rsidR="009A13B0" w:rsidRPr="00515D3C">
        <w:t xml:space="preserve"> in NSW and VIC in June 2018</w:t>
      </w:r>
    </w:p>
    <w:p w14:paraId="3F04DC8D" w14:textId="5F0980DD" w:rsidR="009A13B0" w:rsidRPr="00515D3C" w:rsidRDefault="009A13B0" w:rsidP="004368B7">
      <w:pPr>
        <w:pStyle w:val="ListParagraph"/>
        <w:numPr>
          <w:ilvl w:val="0"/>
          <w:numId w:val="14"/>
        </w:numPr>
        <w:spacing w:after="0"/>
      </w:pPr>
      <w:r w:rsidRPr="00515D3C">
        <w:t>Engagement with universities and peak bodies to increase university participation (ongoing)</w:t>
      </w:r>
    </w:p>
    <w:p w14:paraId="388DF0E1" w14:textId="7E568099" w:rsidR="009A13B0" w:rsidRPr="00515D3C" w:rsidRDefault="009A13B0" w:rsidP="004368B7">
      <w:pPr>
        <w:pStyle w:val="ListParagraph"/>
        <w:numPr>
          <w:ilvl w:val="0"/>
          <w:numId w:val="14"/>
        </w:numPr>
        <w:spacing w:after="0"/>
      </w:pPr>
      <w:r w:rsidRPr="00515D3C">
        <w:t>Marketing to increase the participation of underrepresented groups including women in STEM, regional/remote an</w:t>
      </w:r>
      <w:r w:rsidR="004E0FBE" w:rsidRPr="00515D3C">
        <w:t>d indigenous students (ongoing</w:t>
      </w:r>
      <w:r w:rsidRPr="00515D3C">
        <w:t>).</w:t>
      </w:r>
    </w:p>
    <w:p w14:paraId="60A0235C" w14:textId="77777777" w:rsidR="00225EBF" w:rsidRPr="00515D3C" w:rsidRDefault="00225EBF"/>
    <w:p w14:paraId="70A170B0" w14:textId="2DA7616D" w:rsidR="00746F85" w:rsidRPr="00515D3C" w:rsidRDefault="00746F85" w:rsidP="0037139F">
      <w:pPr>
        <w:pStyle w:val="Heading2"/>
      </w:pPr>
      <w:bookmarkStart w:id="10" w:name="_Toc522100118"/>
      <w:r w:rsidRPr="00515D3C">
        <w:lastRenderedPageBreak/>
        <w:t>Action 2.4 Establish baseline data and monitor internships and other collaboration</w:t>
      </w:r>
      <w:bookmarkEnd w:id="10"/>
    </w:p>
    <w:tbl>
      <w:tblPr>
        <w:tblStyle w:val="TableGrid"/>
        <w:tblW w:w="0" w:type="auto"/>
        <w:tblLook w:val="04A0" w:firstRow="1" w:lastRow="0" w:firstColumn="1" w:lastColumn="0" w:noHBand="0" w:noVBand="1"/>
      </w:tblPr>
      <w:tblGrid>
        <w:gridCol w:w="9016"/>
      </w:tblGrid>
      <w:tr w:rsidR="009F1373" w:rsidRPr="00515D3C" w14:paraId="58760914" w14:textId="77777777" w:rsidTr="009F1373">
        <w:tc>
          <w:tcPr>
            <w:tcW w:w="9016" w:type="dxa"/>
          </w:tcPr>
          <w:p w14:paraId="38DD5792" w14:textId="78AE3D4F" w:rsidR="009F1373" w:rsidRPr="00515D3C" w:rsidRDefault="00455CDF" w:rsidP="00D77C7D">
            <w:pPr>
              <w:pStyle w:val="Heading3"/>
              <w:shd w:val="clear" w:color="auto" w:fill="auto"/>
              <w:spacing w:before="120" w:line="276" w:lineRule="auto"/>
              <w:outlineLvl w:val="2"/>
              <w:rPr>
                <w:rFonts w:ascii="Calibri" w:eastAsiaTheme="majorEastAsia" w:hAnsi="Calibri" w:cstheme="majorBidi"/>
                <w:b w:val="0"/>
                <w:bCs/>
              </w:rPr>
            </w:pPr>
            <w:r w:rsidRPr="00515D3C">
              <w:rPr>
                <w:rFonts w:ascii="Calibri" w:eastAsiaTheme="majorEastAsia" w:hAnsi="Calibri" w:cstheme="majorBidi"/>
                <w:b w:val="0"/>
                <w:bCs/>
              </w:rPr>
              <w:t>DET to build on existing data collections and processes to establish baseline data on HDR internships and other collaboration.</w:t>
            </w:r>
          </w:p>
          <w:p w14:paraId="4F730153" w14:textId="675853D1" w:rsidR="00455CDF" w:rsidRPr="00515D3C" w:rsidRDefault="00455CDF" w:rsidP="00D77C7D">
            <w:pPr>
              <w:spacing w:line="276" w:lineRule="auto"/>
            </w:pPr>
          </w:p>
          <w:p w14:paraId="42946F16" w14:textId="1E44BE28" w:rsidR="00455CDF" w:rsidRPr="00515D3C" w:rsidRDefault="00455CDF" w:rsidP="00D77C7D">
            <w:pPr>
              <w:spacing w:line="276" w:lineRule="auto"/>
            </w:pPr>
            <w:r w:rsidRPr="00515D3C">
              <w:t>This would includ</w:t>
            </w:r>
            <w:r w:rsidR="007A6B81">
              <w:t>e ongoing monitoring and report</w:t>
            </w:r>
            <w:r w:rsidRPr="00515D3C">
              <w:t>ing on the implementation of new RBG arrangements and their impact on supporting greater collaboration.</w:t>
            </w:r>
          </w:p>
          <w:p w14:paraId="6325E9D3" w14:textId="7AD73BD2" w:rsidR="00455CDF" w:rsidRPr="00515D3C" w:rsidRDefault="00455CDF" w:rsidP="00D77C7D">
            <w:pPr>
              <w:spacing w:line="276" w:lineRule="auto"/>
            </w:pPr>
          </w:p>
          <w:p w14:paraId="7F3CBEF0" w14:textId="4C1DBFC4" w:rsidR="009F1373" w:rsidRPr="00515D3C" w:rsidRDefault="00971C30" w:rsidP="00D77C7D">
            <w:pPr>
              <w:spacing w:after="120" w:line="276" w:lineRule="auto"/>
            </w:pPr>
            <w:r>
              <w:t>Responsibility:</w:t>
            </w:r>
            <w:r w:rsidR="00455CDF" w:rsidRPr="00515D3C">
              <w:t xml:space="preserve"> DET – ongoing (6 monthly), with first report by July 2018</w:t>
            </w:r>
          </w:p>
        </w:tc>
      </w:tr>
    </w:tbl>
    <w:p w14:paraId="392AD2E0" w14:textId="635576F8" w:rsidR="009F1373" w:rsidRPr="00515D3C" w:rsidRDefault="009F1373" w:rsidP="00455CDF">
      <w:pPr>
        <w:pStyle w:val="Heading3"/>
        <w:shd w:val="clear" w:color="auto" w:fill="auto"/>
        <w:rPr>
          <w:rFonts w:ascii="Calibri" w:eastAsiaTheme="majorEastAsia" w:hAnsi="Calibri" w:cstheme="majorBidi"/>
          <w:bCs/>
        </w:rPr>
      </w:pPr>
    </w:p>
    <w:p w14:paraId="321ABB1B" w14:textId="77777777" w:rsidR="00225EBF" w:rsidRPr="00515D3C" w:rsidRDefault="00225EBF" w:rsidP="00225EBF">
      <w:pPr>
        <w:pStyle w:val="Heading3"/>
      </w:pPr>
      <w:r w:rsidRPr="00515D3C">
        <w:t>Status</w:t>
      </w:r>
    </w:p>
    <w:p w14:paraId="4688CD4E" w14:textId="59F31E51" w:rsidR="00225EBF" w:rsidRPr="00515D3C" w:rsidRDefault="006D2C4C" w:rsidP="00225EBF">
      <w:r w:rsidRPr="00515D3C">
        <w:t>In progress</w:t>
      </w:r>
    </w:p>
    <w:p w14:paraId="093902A7" w14:textId="77777777" w:rsidR="00225EBF" w:rsidRPr="00515D3C" w:rsidRDefault="00225EBF" w:rsidP="00225EBF">
      <w:pPr>
        <w:pStyle w:val="Heading3"/>
      </w:pPr>
      <w:r w:rsidRPr="00515D3C">
        <w:t>Progress to date</w:t>
      </w:r>
    </w:p>
    <w:p w14:paraId="1105E490" w14:textId="6CB90990" w:rsidR="00CF4090" w:rsidRPr="00515D3C" w:rsidRDefault="00C5038C" w:rsidP="005910B5">
      <w:pPr>
        <w:spacing w:after="120"/>
        <w:rPr>
          <w:color w:val="000000" w:themeColor="text1"/>
        </w:rPr>
      </w:pPr>
      <w:r>
        <w:rPr>
          <w:color w:val="000000" w:themeColor="text1"/>
        </w:rPr>
        <w:t>The department</w:t>
      </w:r>
      <w:r w:rsidR="00CF4090" w:rsidRPr="00515D3C">
        <w:rPr>
          <w:color w:val="000000" w:themeColor="text1"/>
        </w:rPr>
        <w:t xml:space="preserve"> has recently introduced a new indicator in the HEDC to collect data on the amount of engagement occurring between </w:t>
      </w:r>
      <w:r w:rsidR="00C87C5C">
        <w:rPr>
          <w:color w:val="000000" w:themeColor="text1"/>
        </w:rPr>
        <w:t>HDR</w:t>
      </w:r>
      <w:r w:rsidR="00CF4090" w:rsidRPr="00515D3C">
        <w:rPr>
          <w:color w:val="000000" w:themeColor="text1"/>
        </w:rPr>
        <w:t xml:space="preserve"> students and research end-users. Data on five types of engagement is being collected:</w:t>
      </w:r>
    </w:p>
    <w:p w14:paraId="2A1E1C2A" w14:textId="72656494" w:rsidR="00CF4090" w:rsidRPr="00515D3C" w:rsidRDefault="005B70D9" w:rsidP="005910B5">
      <w:pPr>
        <w:pStyle w:val="ListParagraph"/>
        <w:numPr>
          <w:ilvl w:val="0"/>
          <w:numId w:val="7"/>
        </w:numPr>
        <w:spacing w:after="120"/>
        <w:ind w:left="714" w:hanging="357"/>
      </w:pPr>
      <w:r>
        <w:t>r</w:t>
      </w:r>
      <w:r w:rsidR="00CF4090" w:rsidRPr="00515D3C">
        <w:t>esearch internship with a research end</w:t>
      </w:r>
      <w:r w:rsidR="00CF4090" w:rsidRPr="00515D3C">
        <w:rPr>
          <w:rFonts w:ascii="Cambria Math" w:hAnsi="Cambria Math" w:cs="Cambria Math"/>
        </w:rPr>
        <w:t>‑</w:t>
      </w:r>
      <w:r w:rsidR="00CF4090" w:rsidRPr="00515D3C">
        <w:t>user</w:t>
      </w:r>
    </w:p>
    <w:p w14:paraId="602B4568" w14:textId="32BD1099" w:rsidR="00CF4090" w:rsidRPr="00515D3C" w:rsidRDefault="005B70D9" w:rsidP="005910B5">
      <w:pPr>
        <w:pStyle w:val="ListParagraph"/>
        <w:numPr>
          <w:ilvl w:val="0"/>
          <w:numId w:val="7"/>
        </w:numPr>
        <w:spacing w:after="120"/>
        <w:ind w:left="714" w:hanging="357"/>
      </w:pPr>
      <w:r>
        <w:t>j</w:t>
      </w:r>
      <w:r w:rsidR="00CF4090" w:rsidRPr="00515D3C">
        <w:t>oint supervision by a research end</w:t>
      </w:r>
      <w:r w:rsidR="00CF4090" w:rsidRPr="00515D3C">
        <w:rPr>
          <w:rFonts w:ascii="Cambria Math" w:hAnsi="Cambria Math" w:cs="Cambria Math"/>
        </w:rPr>
        <w:t>‑</w:t>
      </w:r>
      <w:r w:rsidR="00CF4090" w:rsidRPr="00515D3C">
        <w:t>user</w:t>
      </w:r>
    </w:p>
    <w:p w14:paraId="771291ED" w14:textId="1C8222B9" w:rsidR="00CF4090" w:rsidRPr="00515D3C" w:rsidRDefault="005B70D9" w:rsidP="005910B5">
      <w:pPr>
        <w:pStyle w:val="ListParagraph"/>
        <w:numPr>
          <w:ilvl w:val="0"/>
          <w:numId w:val="7"/>
        </w:numPr>
        <w:spacing w:after="120"/>
        <w:ind w:left="714" w:hanging="357"/>
      </w:pPr>
      <w:r>
        <w:t>j</w:t>
      </w:r>
      <w:r w:rsidR="00CF4090" w:rsidRPr="00515D3C">
        <w:t>ointly funded or fully funded by a research end</w:t>
      </w:r>
      <w:r w:rsidR="00CF4090" w:rsidRPr="00515D3C">
        <w:rPr>
          <w:rFonts w:ascii="Cambria Math" w:hAnsi="Cambria Math" w:cs="Cambria Math"/>
        </w:rPr>
        <w:t>‑</w:t>
      </w:r>
      <w:r w:rsidR="00CF4090" w:rsidRPr="00515D3C">
        <w:t>user</w:t>
      </w:r>
    </w:p>
    <w:p w14:paraId="1E752790" w14:textId="3436488E" w:rsidR="00CF4090" w:rsidRPr="00515D3C" w:rsidRDefault="005B70D9" w:rsidP="005910B5">
      <w:pPr>
        <w:pStyle w:val="ListParagraph"/>
        <w:numPr>
          <w:ilvl w:val="0"/>
          <w:numId w:val="7"/>
        </w:numPr>
        <w:spacing w:after="120"/>
        <w:ind w:left="714" w:hanging="357"/>
      </w:pPr>
      <w:r>
        <w:t>f</w:t>
      </w:r>
      <w:r w:rsidR="00CF4090" w:rsidRPr="00515D3C">
        <w:t>ormal training on industry engagement</w:t>
      </w:r>
    </w:p>
    <w:p w14:paraId="0F7B7989" w14:textId="0AE1C1E7" w:rsidR="00CF4090" w:rsidRPr="00515D3C" w:rsidRDefault="005B70D9" w:rsidP="005910B5">
      <w:pPr>
        <w:pStyle w:val="ListParagraph"/>
        <w:numPr>
          <w:ilvl w:val="0"/>
          <w:numId w:val="7"/>
        </w:numPr>
        <w:spacing w:after="120"/>
        <w:ind w:left="714" w:hanging="357"/>
      </w:pPr>
      <w:proofErr w:type="gramStart"/>
      <w:r>
        <w:t>o</w:t>
      </w:r>
      <w:r w:rsidR="00CF4090" w:rsidRPr="00515D3C">
        <w:t>ther</w:t>
      </w:r>
      <w:proofErr w:type="gramEnd"/>
      <w:r w:rsidR="00CF4090" w:rsidRPr="00515D3C">
        <w:t xml:space="preserve"> commercialisation and engagement activities</w:t>
      </w:r>
      <w:r w:rsidR="00D632B0">
        <w:t>.</w:t>
      </w:r>
    </w:p>
    <w:p w14:paraId="55B33160" w14:textId="52E42440" w:rsidR="00CF4090" w:rsidRPr="00515D3C" w:rsidRDefault="00CF4090" w:rsidP="005910B5">
      <w:pPr>
        <w:spacing w:after="0"/>
      </w:pPr>
      <w:r w:rsidRPr="00515D3C">
        <w:t xml:space="preserve">The new indicator came </w:t>
      </w:r>
      <w:r w:rsidR="005910B5">
        <w:t xml:space="preserve">into effect from 1 January 2018. </w:t>
      </w:r>
      <w:r w:rsidR="005B70D9">
        <w:t>The department</w:t>
      </w:r>
      <w:r w:rsidRPr="00515D3C">
        <w:t xml:space="preserve"> </w:t>
      </w:r>
      <w:r w:rsidR="005910B5">
        <w:t>will</w:t>
      </w:r>
      <w:r w:rsidRPr="00515D3C">
        <w:t xml:space="preserve"> receive full-year 2018 data from higher education providers in mid-2019.</w:t>
      </w:r>
    </w:p>
    <w:p w14:paraId="4D0D8CD4" w14:textId="77777777" w:rsidR="00CF4090" w:rsidRPr="00515D3C" w:rsidRDefault="00CF4090" w:rsidP="00CF4090">
      <w:pPr>
        <w:spacing w:after="0" w:line="240" w:lineRule="auto"/>
      </w:pPr>
    </w:p>
    <w:p w14:paraId="66965EF8" w14:textId="7782695D" w:rsidR="00225EBF" w:rsidRPr="00515D3C" w:rsidRDefault="00225EBF" w:rsidP="00225EBF">
      <w:pPr>
        <w:pStyle w:val="Heading3"/>
      </w:pPr>
      <w:r w:rsidRPr="00515D3C">
        <w:t>Next steps</w:t>
      </w:r>
    </w:p>
    <w:p w14:paraId="7AC7188C" w14:textId="3526EB9C" w:rsidR="00CF4090" w:rsidRPr="00515D3C" w:rsidRDefault="0070184A" w:rsidP="005910B5">
      <w:pPr>
        <w:spacing w:after="0"/>
      </w:pPr>
      <w:r>
        <w:t>The department</w:t>
      </w:r>
      <w:r w:rsidR="00CF4090" w:rsidRPr="00515D3C">
        <w:t xml:space="preserve"> will publish an annual table of HDR engagement data by higher education provider, with 2018 full-year data publish</w:t>
      </w:r>
      <w:r w:rsidR="00C46CF9">
        <w:t>ed in 2019 to be considered as “</w:t>
      </w:r>
      <w:r w:rsidR="00CF4090" w:rsidRPr="00515D3C">
        <w:t>baseline data</w:t>
      </w:r>
      <w:r w:rsidR="00C46CF9">
        <w:t>”</w:t>
      </w:r>
      <w:r w:rsidR="00CF4090" w:rsidRPr="00515D3C">
        <w:t xml:space="preserve">. </w:t>
      </w:r>
    </w:p>
    <w:p w14:paraId="60C1F351" w14:textId="77777777" w:rsidR="00225EBF" w:rsidRPr="00515D3C" w:rsidRDefault="00225EBF" w:rsidP="00225EBF"/>
    <w:p w14:paraId="6D030107" w14:textId="130C3437" w:rsidR="002F1E59" w:rsidRPr="00515D3C" w:rsidRDefault="004437C3" w:rsidP="0037139F">
      <w:pPr>
        <w:pStyle w:val="Heading2"/>
      </w:pPr>
      <w:bookmarkStart w:id="11" w:name="_Toc522100119"/>
      <w:r w:rsidRPr="00515D3C">
        <w:t>Action 2.5 Collaborative IP templates</w:t>
      </w:r>
      <w:bookmarkEnd w:id="11"/>
    </w:p>
    <w:tbl>
      <w:tblPr>
        <w:tblStyle w:val="TableGrid"/>
        <w:tblW w:w="0" w:type="auto"/>
        <w:tblLook w:val="04A0" w:firstRow="1" w:lastRow="0" w:firstColumn="1" w:lastColumn="0" w:noHBand="0" w:noVBand="1"/>
      </w:tblPr>
      <w:tblGrid>
        <w:gridCol w:w="9016"/>
      </w:tblGrid>
      <w:tr w:rsidR="00455CDF" w:rsidRPr="00515D3C" w14:paraId="0F9758DA" w14:textId="77777777" w:rsidTr="00455CDF">
        <w:tc>
          <w:tcPr>
            <w:tcW w:w="9016" w:type="dxa"/>
          </w:tcPr>
          <w:p w14:paraId="19820CA2" w14:textId="3351BD88" w:rsidR="00455CDF" w:rsidRPr="00515D3C" w:rsidRDefault="00455CDF" w:rsidP="00D77C7D">
            <w:pPr>
              <w:spacing w:before="120" w:line="276" w:lineRule="auto"/>
            </w:pPr>
            <w:r w:rsidRPr="00515D3C">
              <w:t>DET and the Department of Industry, Innovation and Science (DIIS) to develop and make available templates to inform the development of IP arrangements involving HDR students</w:t>
            </w:r>
            <w:r w:rsidRPr="00515D3C" w:rsidDel="00E05B69">
              <w:t xml:space="preserve"> </w:t>
            </w:r>
            <w:r w:rsidRPr="00515D3C">
              <w:t xml:space="preserve">in collaborative research activities, drawing from existing IP models such as the </w:t>
            </w:r>
            <w:r w:rsidRPr="00515D3C">
              <w:rPr>
                <w:i/>
              </w:rPr>
              <w:t>IP Toolkit</w:t>
            </w:r>
            <w:r w:rsidRPr="00515D3C">
              <w:t xml:space="preserve"> and the AMSI internship program agreement template. The templates should</w:t>
            </w:r>
            <w:r w:rsidRPr="00515D3C" w:rsidDel="00E05B69">
              <w:t xml:space="preserve"> </w:t>
            </w:r>
            <w:r w:rsidRPr="00515D3C">
              <w:t>address issues including:</w:t>
            </w:r>
          </w:p>
          <w:p w14:paraId="2D2B634B" w14:textId="77777777" w:rsidR="00455CDF" w:rsidRPr="00515D3C" w:rsidRDefault="00455CDF" w:rsidP="00D77C7D">
            <w:pPr>
              <w:numPr>
                <w:ilvl w:val="0"/>
                <w:numId w:val="4"/>
              </w:numPr>
              <w:spacing w:line="276" w:lineRule="auto"/>
            </w:pPr>
            <w:r w:rsidRPr="00515D3C">
              <w:t>establishing trust and pursuing mutual benefit to support more formal commercial boundaries</w:t>
            </w:r>
          </w:p>
          <w:p w14:paraId="748CEFD0" w14:textId="77777777" w:rsidR="00455CDF" w:rsidRPr="00515D3C" w:rsidRDefault="00455CDF" w:rsidP="00D77C7D">
            <w:pPr>
              <w:numPr>
                <w:ilvl w:val="0"/>
                <w:numId w:val="4"/>
              </w:numPr>
              <w:spacing w:line="276" w:lineRule="auto"/>
            </w:pPr>
            <w:r w:rsidRPr="00515D3C">
              <w:t>identifying and addressing key issues and challenges at the beginning of the relationship</w:t>
            </w:r>
          </w:p>
          <w:p w14:paraId="5DD8E7E9" w14:textId="77777777" w:rsidR="00455CDF" w:rsidRPr="00515D3C" w:rsidRDefault="00455CDF" w:rsidP="00D77C7D">
            <w:pPr>
              <w:numPr>
                <w:ilvl w:val="0"/>
                <w:numId w:val="4"/>
              </w:numPr>
              <w:spacing w:line="276" w:lineRule="auto"/>
            </w:pPr>
            <w:r w:rsidRPr="00515D3C">
              <w:t>confidentiality arrangements in the examination of a thesis</w:t>
            </w:r>
          </w:p>
          <w:p w14:paraId="6545BE78" w14:textId="77777777" w:rsidR="00455CDF" w:rsidRPr="00515D3C" w:rsidRDefault="00455CDF" w:rsidP="00D77C7D">
            <w:pPr>
              <w:numPr>
                <w:ilvl w:val="0"/>
                <w:numId w:val="4"/>
              </w:numPr>
              <w:spacing w:line="276" w:lineRule="auto"/>
            </w:pPr>
            <w:r w:rsidRPr="00515D3C">
              <w:t xml:space="preserve">arrangements to allow for the publication of students’ research outputs </w:t>
            </w:r>
          </w:p>
          <w:p w14:paraId="3FA8DFDB" w14:textId="77777777" w:rsidR="00455CDF" w:rsidRPr="00515D3C" w:rsidRDefault="00455CDF" w:rsidP="00D77C7D">
            <w:pPr>
              <w:numPr>
                <w:ilvl w:val="0"/>
                <w:numId w:val="4"/>
              </w:numPr>
              <w:spacing w:line="276" w:lineRule="auto"/>
            </w:pPr>
            <w:proofErr w:type="gramStart"/>
            <w:r w:rsidRPr="00515D3C">
              <w:lastRenderedPageBreak/>
              <w:t>agreeing</w:t>
            </w:r>
            <w:proofErr w:type="gramEnd"/>
            <w:r w:rsidRPr="00515D3C">
              <w:t xml:space="preserve"> on the commercial potential of the product and likely revenue after all costs have been taken into account.</w:t>
            </w:r>
          </w:p>
          <w:p w14:paraId="4CA09B5E" w14:textId="77777777" w:rsidR="00455CDF" w:rsidRPr="00515D3C" w:rsidRDefault="00455CDF" w:rsidP="00D77C7D">
            <w:pPr>
              <w:spacing w:line="276" w:lineRule="auto"/>
            </w:pPr>
            <w:r w:rsidRPr="00515D3C">
              <w:t>The templates should be developed in consultation with industry and university stakeholders and informed by the industry-university collaboration principles developed by ACGR and Ai Group under Action 2.1, to ensure they are practical and will be adopted.</w:t>
            </w:r>
          </w:p>
          <w:p w14:paraId="54DBA056" w14:textId="77777777" w:rsidR="00455CDF" w:rsidRPr="00515D3C" w:rsidRDefault="00455CDF" w:rsidP="00D77C7D">
            <w:pPr>
              <w:spacing w:line="276" w:lineRule="auto"/>
            </w:pPr>
          </w:p>
          <w:p w14:paraId="3B6AE9C7" w14:textId="17280BD0" w:rsidR="00455CDF" w:rsidRPr="00515D3C" w:rsidRDefault="00971C30" w:rsidP="00D77C7D">
            <w:pPr>
              <w:spacing w:after="120" w:line="276" w:lineRule="auto"/>
            </w:pPr>
            <w:r>
              <w:t>Responsibility:</w:t>
            </w:r>
            <w:r w:rsidR="00455CDF" w:rsidRPr="00515D3C">
              <w:t xml:space="preserve"> DET and DIIS – by mid-2019</w:t>
            </w:r>
          </w:p>
        </w:tc>
      </w:tr>
    </w:tbl>
    <w:p w14:paraId="2E6BB1AB" w14:textId="6CFE86B3" w:rsidR="005170DF" w:rsidRPr="00515D3C" w:rsidRDefault="005170DF" w:rsidP="00CD152C">
      <w:pPr>
        <w:spacing w:after="120" w:line="240" w:lineRule="auto"/>
      </w:pPr>
    </w:p>
    <w:p w14:paraId="4BA33EF1" w14:textId="77777777" w:rsidR="00225EBF" w:rsidRPr="00515D3C" w:rsidRDefault="00225EBF" w:rsidP="00225EBF">
      <w:pPr>
        <w:pStyle w:val="Heading3"/>
      </w:pPr>
      <w:r w:rsidRPr="00515D3C">
        <w:t>Status</w:t>
      </w:r>
    </w:p>
    <w:p w14:paraId="50B2718D" w14:textId="62A9AA9A" w:rsidR="00225EBF" w:rsidRPr="00515D3C" w:rsidRDefault="00485ECD" w:rsidP="00225EBF">
      <w:r w:rsidRPr="00515D3C">
        <w:t>In progress</w:t>
      </w:r>
    </w:p>
    <w:p w14:paraId="68BB0B6E" w14:textId="0F8C65FB" w:rsidR="00225EBF" w:rsidRDefault="00225EBF" w:rsidP="00225EBF">
      <w:pPr>
        <w:pStyle w:val="Heading3"/>
      </w:pPr>
      <w:r w:rsidRPr="00515D3C">
        <w:t>Progress to date</w:t>
      </w:r>
    </w:p>
    <w:p w14:paraId="66B18AE8" w14:textId="308E720C" w:rsidR="00526FB7" w:rsidRDefault="00325B15" w:rsidP="00526FB7">
      <w:r>
        <w:t>The department and</w:t>
      </w:r>
      <w:r w:rsidR="00D73E95">
        <w:t xml:space="preserve"> the</w:t>
      </w:r>
      <w:r w:rsidR="00F94A72">
        <w:t xml:space="preserve"> </w:t>
      </w:r>
      <w:r w:rsidR="00D73E95" w:rsidRPr="00515D3C">
        <w:t xml:space="preserve">Department of Industry, Innovation and Science </w:t>
      </w:r>
      <w:r>
        <w:t xml:space="preserve">(DIIS) </w:t>
      </w:r>
      <w:r w:rsidR="004754DD">
        <w:t>are examining</w:t>
      </w:r>
      <w:r w:rsidR="00E472C0">
        <w:t xml:space="preserve"> a range of ex</w:t>
      </w:r>
      <w:r w:rsidR="00F94A72">
        <w:t xml:space="preserve">isting IP templates and guidance </w:t>
      </w:r>
      <w:r w:rsidR="004754DD">
        <w:t xml:space="preserve">that are </w:t>
      </w:r>
      <w:r w:rsidR="00F94A72">
        <w:t>cur</w:t>
      </w:r>
      <w:r w:rsidR="004754DD">
        <w:t xml:space="preserve">rently being used in a number of </w:t>
      </w:r>
      <w:r w:rsidR="00FF7B23">
        <w:br/>
      </w:r>
      <w:r w:rsidR="006F4379">
        <w:t>university-</w:t>
      </w:r>
      <w:r w:rsidR="00F94A72">
        <w:t>industry research collaboration</w:t>
      </w:r>
      <w:r w:rsidR="004754DD">
        <w:t xml:space="preserve"> initiatives</w:t>
      </w:r>
      <w:r w:rsidR="00F94A72">
        <w:t xml:space="preserve">. </w:t>
      </w:r>
    </w:p>
    <w:p w14:paraId="5BF24E84" w14:textId="77777777" w:rsidR="00225EBF" w:rsidRPr="00515D3C" w:rsidRDefault="00225EBF" w:rsidP="00225EBF">
      <w:pPr>
        <w:pStyle w:val="Heading3"/>
      </w:pPr>
      <w:r w:rsidRPr="00515D3C">
        <w:t>Next steps</w:t>
      </w:r>
    </w:p>
    <w:p w14:paraId="7B827D8E" w14:textId="3984AF50" w:rsidR="005170DF" w:rsidRPr="00515D3C" w:rsidRDefault="00D73E95">
      <w:r>
        <w:t>The departments</w:t>
      </w:r>
      <w:r w:rsidR="00F94A72">
        <w:t xml:space="preserve"> will </w:t>
      </w:r>
      <w:r w:rsidR="004754DD">
        <w:t xml:space="preserve">consult with industry and university </w:t>
      </w:r>
      <w:r w:rsidR="00F94A72">
        <w:t>stakeholders during the second half of 2018</w:t>
      </w:r>
      <w:r w:rsidR="00BB1373">
        <w:t xml:space="preserve"> about the type of information they require, taking into account the industry-university collaboration principles developed under Action 2.1 when they are finalised</w:t>
      </w:r>
      <w:r w:rsidR="00F94A72">
        <w:t xml:space="preserve">. </w:t>
      </w:r>
      <w:r w:rsidR="005170DF" w:rsidRPr="00515D3C">
        <w:br w:type="page"/>
      </w:r>
    </w:p>
    <w:p w14:paraId="5351474A" w14:textId="34439387" w:rsidR="009942BD" w:rsidRPr="00515D3C" w:rsidRDefault="009942BD" w:rsidP="009942BD">
      <w:pPr>
        <w:pStyle w:val="Heading1"/>
      </w:pPr>
      <w:bookmarkStart w:id="12" w:name="_Toc522100120"/>
      <w:r w:rsidRPr="00515D3C">
        <w:lastRenderedPageBreak/>
        <w:t>Priority issue 3: Equity, including Indigenous participation</w:t>
      </w:r>
      <w:bookmarkEnd w:id="12"/>
    </w:p>
    <w:p w14:paraId="3DF36009" w14:textId="4C4A23EE" w:rsidR="002F1E59" w:rsidRPr="00515D3C" w:rsidRDefault="002F1E59" w:rsidP="0037139F">
      <w:pPr>
        <w:pStyle w:val="Heading2"/>
      </w:pPr>
      <w:bookmarkStart w:id="13" w:name="_Toc522100121"/>
      <w:r w:rsidRPr="00515D3C">
        <w:t>Action 3.1 Better data collection, and monitoring and analysis</w:t>
      </w:r>
      <w:bookmarkEnd w:id="13"/>
    </w:p>
    <w:tbl>
      <w:tblPr>
        <w:tblStyle w:val="TableGrid"/>
        <w:tblW w:w="0" w:type="auto"/>
        <w:tblLook w:val="04A0" w:firstRow="1" w:lastRow="0" w:firstColumn="1" w:lastColumn="0" w:noHBand="0" w:noVBand="1"/>
      </w:tblPr>
      <w:tblGrid>
        <w:gridCol w:w="9016"/>
      </w:tblGrid>
      <w:tr w:rsidR="00455CDF" w:rsidRPr="00515D3C" w14:paraId="4D65A86E" w14:textId="77777777" w:rsidTr="00455CDF">
        <w:tc>
          <w:tcPr>
            <w:tcW w:w="9016" w:type="dxa"/>
          </w:tcPr>
          <w:p w14:paraId="27F7A6AB" w14:textId="6EE80A94" w:rsidR="00455CDF" w:rsidRPr="00515D3C" w:rsidRDefault="00455CDF" w:rsidP="00D77C7D">
            <w:pPr>
              <w:spacing w:before="120" w:line="276" w:lineRule="auto"/>
            </w:pPr>
            <w:r w:rsidRPr="00515D3C">
              <w:t>DET to:</w:t>
            </w:r>
          </w:p>
          <w:p w14:paraId="62C1C928" w14:textId="77777777" w:rsidR="00455CDF" w:rsidRPr="00515D3C" w:rsidRDefault="00455CDF" w:rsidP="00D77C7D">
            <w:pPr>
              <w:numPr>
                <w:ilvl w:val="0"/>
                <w:numId w:val="5"/>
              </w:numPr>
              <w:spacing w:line="276" w:lineRule="auto"/>
              <w:ind w:right="95"/>
            </w:pPr>
            <w:proofErr w:type="gramStart"/>
            <w:r w:rsidRPr="00515D3C">
              <w:t>explore</w:t>
            </w:r>
            <w:proofErr w:type="gramEnd"/>
            <w:r w:rsidRPr="00515D3C">
              <w:t xml:space="preserve"> improvements to data reporting to support a better understanding of Indigenous student participation in the HDR system, including the pathways taken to HDR, access to scholarships and completion rates.</w:t>
            </w:r>
          </w:p>
          <w:p w14:paraId="3F4EF7F8" w14:textId="77777777" w:rsidR="00455CDF" w:rsidRPr="00515D3C" w:rsidRDefault="00455CDF" w:rsidP="00D77C7D">
            <w:pPr>
              <w:numPr>
                <w:ilvl w:val="0"/>
                <w:numId w:val="5"/>
              </w:numPr>
              <w:spacing w:line="276" w:lineRule="auto"/>
              <w:ind w:right="95"/>
            </w:pPr>
            <w:proofErr w:type="gramStart"/>
            <w:r w:rsidRPr="00515D3C">
              <w:t>monitor</w:t>
            </w:r>
            <w:proofErr w:type="gramEnd"/>
            <w:r w:rsidRPr="00515D3C">
              <w:t xml:space="preserve"> and undertake further analysis of the issues surrounding participation rates of other equity groups, particularly of low SES backgrounds and from Regional/Remote areas.</w:t>
            </w:r>
          </w:p>
          <w:p w14:paraId="538BC946" w14:textId="2D57510B" w:rsidR="00455CDF" w:rsidRPr="00515D3C" w:rsidRDefault="00455CDF" w:rsidP="00D77C7D">
            <w:pPr>
              <w:numPr>
                <w:ilvl w:val="0"/>
                <w:numId w:val="5"/>
              </w:numPr>
              <w:spacing w:line="276" w:lineRule="auto"/>
              <w:ind w:right="95"/>
            </w:pPr>
            <w:r w:rsidRPr="00515D3C">
              <w:t>explore the development of a four-digit Australian and New Zealand Standard Research Classification (ANZSRC) Field of Research (</w:t>
            </w:r>
            <w:proofErr w:type="spellStart"/>
            <w:r w:rsidRPr="00515D3C">
              <w:t>FoR</w:t>
            </w:r>
            <w:proofErr w:type="spellEnd"/>
            <w:r w:rsidRPr="00515D3C">
              <w:t xml:space="preserve">) code for Indigenous research, including lower cost options that do not require a broader review of all </w:t>
            </w:r>
            <w:proofErr w:type="spellStart"/>
            <w:r w:rsidRPr="00515D3C">
              <w:t>FoR</w:t>
            </w:r>
            <w:proofErr w:type="spellEnd"/>
            <w:r w:rsidRPr="00515D3C">
              <w:t xml:space="preserve"> codes (noting that the term Indigenous research here applies to Indigenous subject matter, not to research done by Indigenous students).</w:t>
            </w:r>
          </w:p>
          <w:p w14:paraId="09CCD90F" w14:textId="77777777" w:rsidR="00455CDF" w:rsidRPr="00515D3C" w:rsidRDefault="00455CDF" w:rsidP="00D77C7D">
            <w:pPr>
              <w:spacing w:line="276" w:lineRule="auto"/>
              <w:ind w:right="95"/>
            </w:pPr>
          </w:p>
          <w:p w14:paraId="2605F3C6" w14:textId="7FB4E1E3" w:rsidR="00455CDF" w:rsidRPr="00515D3C" w:rsidRDefault="00971C30" w:rsidP="00D77C7D">
            <w:pPr>
              <w:spacing w:after="120" w:line="276" w:lineRule="auto"/>
            </w:pPr>
            <w:r>
              <w:t>Responsibility:</w:t>
            </w:r>
            <w:r w:rsidR="00455CDF" w:rsidRPr="00515D3C">
              <w:t xml:space="preserve"> DET to explore with relevant government agencies and sector stakeholders – by end 2018</w:t>
            </w:r>
          </w:p>
        </w:tc>
      </w:tr>
    </w:tbl>
    <w:p w14:paraId="4024F416" w14:textId="183F1EC9" w:rsidR="00455CDF" w:rsidRPr="00515D3C" w:rsidRDefault="00455CDF" w:rsidP="00455CDF">
      <w:pPr>
        <w:spacing w:after="0"/>
      </w:pPr>
    </w:p>
    <w:p w14:paraId="7958D35A" w14:textId="77777777" w:rsidR="00225EBF" w:rsidRPr="00515D3C" w:rsidRDefault="00225EBF" w:rsidP="00225EBF">
      <w:pPr>
        <w:pStyle w:val="Heading3"/>
      </w:pPr>
      <w:r w:rsidRPr="00515D3C">
        <w:t>Status</w:t>
      </w:r>
    </w:p>
    <w:p w14:paraId="5FB10FD1" w14:textId="39A7F4EE" w:rsidR="00225EBF" w:rsidRPr="00515D3C" w:rsidRDefault="00225EBF" w:rsidP="00225EBF">
      <w:r w:rsidRPr="00515D3C">
        <w:t xml:space="preserve">In </w:t>
      </w:r>
      <w:r w:rsidR="00023810" w:rsidRPr="00515D3C">
        <w:t>progress</w:t>
      </w:r>
    </w:p>
    <w:p w14:paraId="26B8A2F6" w14:textId="77777777" w:rsidR="00225EBF" w:rsidRPr="00515D3C" w:rsidRDefault="00225EBF" w:rsidP="00225EBF">
      <w:pPr>
        <w:pStyle w:val="Heading3"/>
      </w:pPr>
      <w:r w:rsidRPr="00515D3C">
        <w:t>Progress to date</w:t>
      </w:r>
    </w:p>
    <w:p w14:paraId="3864DE6C" w14:textId="550A9068" w:rsidR="00A53D74" w:rsidRDefault="00C133F9" w:rsidP="00CE6E35">
      <w:pPr>
        <w:spacing w:after="120"/>
        <w:rPr>
          <w:rFonts w:cstheme="minorHAnsi"/>
        </w:rPr>
      </w:pPr>
      <w:r>
        <w:rPr>
          <w:rFonts w:cstheme="minorHAnsi"/>
        </w:rPr>
        <w:t>The department</w:t>
      </w:r>
      <w:r w:rsidR="00316531" w:rsidRPr="00CE6E35">
        <w:rPr>
          <w:rFonts w:cstheme="minorHAnsi"/>
        </w:rPr>
        <w:t xml:space="preserve"> is in the process of examining</w:t>
      </w:r>
      <w:r w:rsidR="00F46F8E" w:rsidRPr="00CE6E35">
        <w:rPr>
          <w:rFonts w:cstheme="minorHAnsi"/>
        </w:rPr>
        <w:t xml:space="preserve"> existing Indigenous </w:t>
      </w:r>
      <w:r w:rsidR="00AA06AC" w:rsidRPr="00CE6E35">
        <w:rPr>
          <w:rFonts w:cstheme="minorHAnsi"/>
        </w:rPr>
        <w:t xml:space="preserve">and equity </w:t>
      </w:r>
      <w:r w:rsidR="00F46F8E" w:rsidRPr="00CE6E35">
        <w:rPr>
          <w:rFonts w:cstheme="minorHAnsi"/>
        </w:rPr>
        <w:t xml:space="preserve">data to identify </w:t>
      </w:r>
      <w:r w:rsidR="00E93841" w:rsidRPr="00CE6E35">
        <w:rPr>
          <w:rFonts w:cstheme="minorHAnsi"/>
        </w:rPr>
        <w:t>areas for improvement</w:t>
      </w:r>
      <w:r w:rsidR="00F46F8E" w:rsidRPr="00CE6E35">
        <w:rPr>
          <w:rFonts w:cstheme="minorHAnsi"/>
        </w:rPr>
        <w:t xml:space="preserve">. </w:t>
      </w:r>
    </w:p>
    <w:p w14:paraId="12A45250" w14:textId="2234733F" w:rsidR="00F46F8E" w:rsidRPr="00CE6E35" w:rsidRDefault="00AA06AC" w:rsidP="00CE6E35">
      <w:pPr>
        <w:spacing w:after="120"/>
        <w:rPr>
          <w:rFonts w:cstheme="minorHAnsi"/>
        </w:rPr>
      </w:pPr>
      <w:r w:rsidRPr="00CE6E35">
        <w:rPr>
          <w:rFonts w:cstheme="minorHAnsi"/>
        </w:rPr>
        <w:t xml:space="preserve">A </w:t>
      </w:r>
      <w:r w:rsidR="008128F7">
        <w:rPr>
          <w:rFonts w:cstheme="minorHAnsi"/>
        </w:rPr>
        <w:t>number</w:t>
      </w:r>
      <w:r w:rsidRPr="00CE6E35">
        <w:rPr>
          <w:rFonts w:cstheme="minorHAnsi"/>
        </w:rPr>
        <w:t xml:space="preserve"> of equity reports w</w:t>
      </w:r>
      <w:r w:rsidR="006C6464" w:rsidRPr="00CE6E35">
        <w:rPr>
          <w:rFonts w:cstheme="minorHAnsi"/>
        </w:rPr>
        <w:t>ere</w:t>
      </w:r>
      <w:r w:rsidRPr="00CE6E35">
        <w:rPr>
          <w:rFonts w:cstheme="minorHAnsi"/>
        </w:rPr>
        <w:t xml:space="preserve"> developed for the</w:t>
      </w:r>
      <w:r w:rsidR="00A12B6B">
        <w:rPr>
          <w:rFonts w:cstheme="minorHAnsi"/>
        </w:rPr>
        <w:t xml:space="preserve"> Research Training Implementation Working Group</w:t>
      </w:r>
      <w:r w:rsidRPr="00CE6E35">
        <w:rPr>
          <w:rFonts w:cstheme="minorHAnsi"/>
        </w:rPr>
        <w:t>, and the department is exploring the potential to adapt these for use in the regular reporting of equity data.</w:t>
      </w:r>
    </w:p>
    <w:p w14:paraId="0E2AF40D" w14:textId="25DF2E4C" w:rsidR="00F46F8E" w:rsidRPr="00CE6E35" w:rsidRDefault="009A12F2" w:rsidP="00CE6E35">
      <w:pPr>
        <w:spacing w:before="120" w:after="240"/>
        <w:rPr>
          <w:rFonts w:cstheme="minorHAnsi"/>
        </w:rPr>
      </w:pPr>
      <w:r w:rsidRPr="00CE6E35">
        <w:rPr>
          <w:rFonts w:cstheme="minorHAnsi"/>
        </w:rPr>
        <w:t xml:space="preserve">On 28 June 2018, the Australian Research Council (ARC) and the Australian Bureau of Statistics (ABS) announced a review of the ANZSRC </w:t>
      </w:r>
      <w:r w:rsidR="00761A02">
        <w:rPr>
          <w:rFonts w:cstheme="minorHAnsi"/>
        </w:rPr>
        <w:t>commencing in 2018-19</w:t>
      </w:r>
      <w:bookmarkStart w:id="14" w:name="_GoBack"/>
      <w:bookmarkEnd w:id="14"/>
      <w:r w:rsidRPr="00CE6E35">
        <w:rPr>
          <w:rFonts w:cstheme="minorHAnsi"/>
        </w:rPr>
        <w:t xml:space="preserve">. </w:t>
      </w:r>
      <w:r w:rsidR="00795FBB" w:rsidRPr="00CE6E35">
        <w:rPr>
          <w:rFonts w:cstheme="minorHAnsi"/>
        </w:rPr>
        <w:t xml:space="preserve">The ANZSRC currently includes 15 specific </w:t>
      </w:r>
      <w:proofErr w:type="spellStart"/>
      <w:r w:rsidR="00795FBB" w:rsidRPr="00CE6E35">
        <w:rPr>
          <w:rFonts w:cstheme="minorHAnsi"/>
        </w:rPr>
        <w:t>FoR</w:t>
      </w:r>
      <w:r w:rsidR="002367C0" w:rsidRPr="00CE6E35">
        <w:rPr>
          <w:rFonts w:cstheme="minorHAnsi"/>
        </w:rPr>
        <w:t>s</w:t>
      </w:r>
      <w:proofErr w:type="spellEnd"/>
      <w:r w:rsidR="00795FBB" w:rsidRPr="00CE6E35">
        <w:rPr>
          <w:rFonts w:cstheme="minorHAnsi"/>
        </w:rPr>
        <w:t xml:space="preserve"> related to Aborigi</w:t>
      </w:r>
      <w:r w:rsidR="001E75C3" w:rsidRPr="00CE6E35">
        <w:rPr>
          <w:rFonts w:cstheme="minorHAnsi"/>
        </w:rPr>
        <w:t>nal and Torres Strait Islander S</w:t>
      </w:r>
      <w:r w:rsidR="00795FBB" w:rsidRPr="00CE6E35">
        <w:rPr>
          <w:rFonts w:cstheme="minorHAnsi"/>
        </w:rPr>
        <w:t xml:space="preserve">tudies (ATSIS), and recognises alternative </w:t>
      </w:r>
      <w:r w:rsidR="002367C0" w:rsidRPr="00CE6E35">
        <w:rPr>
          <w:rFonts w:cstheme="minorHAnsi"/>
        </w:rPr>
        <w:t>organisations</w:t>
      </w:r>
      <w:r w:rsidR="0017638D" w:rsidRPr="00CE6E35">
        <w:rPr>
          <w:rFonts w:cstheme="minorHAnsi"/>
        </w:rPr>
        <w:t xml:space="preserve"> of the classifications</w:t>
      </w:r>
      <w:r w:rsidR="00795FBB" w:rsidRPr="00CE6E35">
        <w:rPr>
          <w:rFonts w:cstheme="minorHAnsi"/>
        </w:rPr>
        <w:t xml:space="preserve"> for ATSIS, Maori Studies and Pacific Peoples Studies. </w:t>
      </w:r>
      <w:r w:rsidR="006C6464" w:rsidRPr="00CE6E35">
        <w:rPr>
          <w:rFonts w:cstheme="minorHAnsi"/>
        </w:rPr>
        <w:t>The review will provide an opportunity to consider the place of ATSIS in the ANZSRC.</w:t>
      </w:r>
    </w:p>
    <w:p w14:paraId="71A312A4" w14:textId="77777777" w:rsidR="00225EBF" w:rsidRPr="00515D3C" w:rsidRDefault="00225EBF" w:rsidP="00225EBF">
      <w:pPr>
        <w:pStyle w:val="Heading3"/>
      </w:pPr>
      <w:r w:rsidRPr="00515D3C">
        <w:t>Next steps</w:t>
      </w:r>
    </w:p>
    <w:p w14:paraId="795AE7A0" w14:textId="5E8FCA27" w:rsidR="00695FE5" w:rsidRPr="00515D3C" w:rsidRDefault="00695FE5" w:rsidP="00695FE5">
      <w:pPr>
        <w:spacing w:after="120"/>
        <w:rPr>
          <w:color w:val="000000" w:themeColor="text1"/>
        </w:rPr>
      </w:pPr>
      <w:r w:rsidRPr="00515D3C">
        <w:rPr>
          <w:color w:val="000000" w:themeColor="text1"/>
        </w:rPr>
        <w:t>Using data f</w:t>
      </w:r>
      <w:r w:rsidR="0040798C">
        <w:rPr>
          <w:color w:val="000000" w:themeColor="text1"/>
        </w:rPr>
        <w:t>rom the HEDC and other data, the department</w:t>
      </w:r>
      <w:r w:rsidR="00325B15">
        <w:rPr>
          <w:color w:val="000000" w:themeColor="text1"/>
        </w:rPr>
        <w:t xml:space="preserve"> will</w:t>
      </w:r>
      <w:r w:rsidRPr="00515D3C">
        <w:rPr>
          <w:color w:val="000000" w:themeColor="text1"/>
        </w:rPr>
        <w:t xml:space="preserve"> publish a number of summary reports</w:t>
      </w:r>
      <w:r w:rsidR="008B18B9">
        <w:rPr>
          <w:color w:val="000000" w:themeColor="text1"/>
        </w:rPr>
        <w:t>, which will include</w:t>
      </w:r>
      <w:r w:rsidRPr="00515D3C">
        <w:rPr>
          <w:color w:val="000000" w:themeColor="text1"/>
        </w:rPr>
        <w:t xml:space="preserve"> </w:t>
      </w:r>
    </w:p>
    <w:p w14:paraId="2F74E913" w14:textId="77777777" w:rsidR="00695FE5" w:rsidRPr="00515D3C" w:rsidRDefault="00695FE5" w:rsidP="00695FE5">
      <w:pPr>
        <w:pStyle w:val="ListParagraph"/>
        <w:numPr>
          <w:ilvl w:val="0"/>
          <w:numId w:val="7"/>
        </w:numPr>
        <w:spacing w:after="120"/>
        <w:ind w:left="714" w:hanging="357"/>
      </w:pPr>
      <w:r>
        <w:t>d</w:t>
      </w:r>
      <w:r w:rsidRPr="00515D3C">
        <w:t>escriptive analysis of trends in enrolment and completion numbers of HDR Indigenous students</w:t>
      </w:r>
    </w:p>
    <w:p w14:paraId="331E52CC" w14:textId="77777777" w:rsidR="00695FE5" w:rsidRPr="00515D3C" w:rsidRDefault="00695FE5" w:rsidP="00695FE5">
      <w:pPr>
        <w:pStyle w:val="ListParagraph"/>
        <w:numPr>
          <w:ilvl w:val="0"/>
          <w:numId w:val="7"/>
        </w:numPr>
        <w:spacing w:after="120"/>
        <w:ind w:left="714" w:hanging="357"/>
      </w:pPr>
      <w:r>
        <w:t>a</w:t>
      </w:r>
      <w:r w:rsidRPr="00515D3C">
        <w:t xml:space="preserve">nalysis of HDR training pathways undertaken by Indigenous students </w:t>
      </w:r>
    </w:p>
    <w:p w14:paraId="2D5B2E3B" w14:textId="093011F1" w:rsidR="00695FE5" w:rsidRPr="00515D3C" w:rsidRDefault="00695FE5" w:rsidP="00695FE5">
      <w:pPr>
        <w:pStyle w:val="ListParagraph"/>
        <w:numPr>
          <w:ilvl w:val="0"/>
          <w:numId w:val="7"/>
        </w:numPr>
        <w:spacing w:after="120"/>
        <w:ind w:left="714" w:hanging="357"/>
      </w:pPr>
      <w:r>
        <w:lastRenderedPageBreak/>
        <w:t>c</w:t>
      </w:r>
      <w:r w:rsidRPr="00515D3C">
        <w:t>omparative analysis on HDR completio</w:t>
      </w:r>
      <w:r>
        <w:t>n timeframes of Indigenous and n</w:t>
      </w:r>
      <w:r w:rsidRPr="00515D3C">
        <w:t xml:space="preserve">on-Indigenous students (to be provided in </w:t>
      </w:r>
      <w:r w:rsidR="00246773">
        <w:t>the second half of 2019 once the department</w:t>
      </w:r>
      <w:r w:rsidRPr="00515D3C">
        <w:t xml:space="preserve"> receives data from new HEDC thesis submission and HDR completion timeframe data items)</w:t>
      </w:r>
    </w:p>
    <w:p w14:paraId="1E096A46" w14:textId="2D08EBED" w:rsidR="00695FE5" w:rsidRDefault="00695FE5" w:rsidP="00695FE5">
      <w:pPr>
        <w:pStyle w:val="ListParagraph"/>
        <w:numPr>
          <w:ilvl w:val="0"/>
          <w:numId w:val="7"/>
        </w:numPr>
        <w:spacing w:after="120"/>
        <w:ind w:left="714" w:hanging="357"/>
      </w:pPr>
      <w:proofErr w:type="gramStart"/>
      <w:r>
        <w:t>a</w:t>
      </w:r>
      <w:r w:rsidRPr="00515D3C">
        <w:t>nalysis</w:t>
      </w:r>
      <w:proofErr w:type="gramEnd"/>
      <w:r w:rsidRPr="00515D3C">
        <w:t xml:space="preserve"> of trends in low SES and regional/remote HDR student participation</w:t>
      </w:r>
      <w:r>
        <w:t>.</w:t>
      </w:r>
    </w:p>
    <w:p w14:paraId="2BAE49F9" w14:textId="61E9A2FF" w:rsidR="00695FE5" w:rsidRDefault="006C6373" w:rsidP="00695FE5">
      <w:pPr>
        <w:spacing w:after="0"/>
      </w:pPr>
      <w:r>
        <w:t>The</w:t>
      </w:r>
      <w:r w:rsidR="00695FE5" w:rsidRPr="00515D3C">
        <w:t xml:space="preserve"> series of HDR equity reports </w:t>
      </w:r>
      <w:r w:rsidR="00695FE5">
        <w:t>will commence</w:t>
      </w:r>
      <w:r w:rsidR="00695FE5" w:rsidRPr="00515D3C">
        <w:t xml:space="preserve"> publication by the end of 2018. </w:t>
      </w:r>
    </w:p>
    <w:p w14:paraId="343D3DA4" w14:textId="1CC62C84" w:rsidR="00F46F8E" w:rsidRPr="00515D3C" w:rsidRDefault="00D12954" w:rsidP="00695FE5">
      <w:pPr>
        <w:spacing w:before="120" w:after="0"/>
      </w:pPr>
      <w:r>
        <w:t>The department</w:t>
      </w:r>
      <w:r w:rsidR="00695FE5">
        <w:t xml:space="preserve"> </w:t>
      </w:r>
      <w:r w:rsidR="00CB4BED">
        <w:t>will</w:t>
      </w:r>
      <w:r w:rsidR="00695FE5">
        <w:t xml:space="preserve"> engag</w:t>
      </w:r>
      <w:r w:rsidR="00CB4BED">
        <w:t>e</w:t>
      </w:r>
      <w:r w:rsidR="00695FE5">
        <w:t xml:space="preserve"> with the review of the ANZSRC as further details are announced.</w:t>
      </w:r>
    </w:p>
    <w:p w14:paraId="60ECAE21" w14:textId="77777777" w:rsidR="00023810" w:rsidRPr="00515D3C" w:rsidRDefault="00023810" w:rsidP="00455CDF">
      <w:pPr>
        <w:spacing w:after="0"/>
      </w:pPr>
    </w:p>
    <w:p w14:paraId="6FB44DBE" w14:textId="40B46F78" w:rsidR="00EF29D6" w:rsidRPr="00515D3C" w:rsidRDefault="00816888" w:rsidP="0037139F">
      <w:pPr>
        <w:pStyle w:val="Heading2"/>
      </w:pPr>
      <w:bookmarkStart w:id="15" w:name="_Toc522100122"/>
      <w:r w:rsidRPr="00515D3C">
        <w:t>Action 3.2 University Indigenous strategies and promotion of best practice</w:t>
      </w:r>
      <w:bookmarkEnd w:id="15"/>
    </w:p>
    <w:tbl>
      <w:tblPr>
        <w:tblStyle w:val="TableGrid"/>
        <w:tblW w:w="0" w:type="auto"/>
        <w:tblLook w:val="04A0" w:firstRow="1" w:lastRow="0" w:firstColumn="1" w:lastColumn="0" w:noHBand="0" w:noVBand="1"/>
      </w:tblPr>
      <w:tblGrid>
        <w:gridCol w:w="9016"/>
      </w:tblGrid>
      <w:tr w:rsidR="00455CDF" w:rsidRPr="00515D3C" w14:paraId="5763F319" w14:textId="77777777" w:rsidTr="00455CDF">
        <w:tc>
          <w:tcPr>
            <w:tcW w:w="9016" w:type="dxa"/>
          </w:tcPr>
          <w:p w14:paraId="670DF36E" w14:textId="77777777" w:rsidR="00455CDF" w:rsidRPr="00515D3C" w:rsidRDefault="00455CDF" w:rsidP="006C13F5">
            <w:pPr>
              <w:spacing w:before="120" w:after="120" w:line="276" w:lineRule="auto"/>
            </w:pPr>
            <w:r w:rsidRPr="00515D3C">
              <w:t>As part of their existing work to implement UA’s Indigenous Strategy, UA and ACGR to work collaboratively with Indigenous stakeholders to support implementation of strategies by universities and disseminate information on best practice models, drawing on the experience of institutions that are achieving the best outcomes, including in the following areas:</w:t>
            </w:r>
          </w:p>
          <w:p w14:paraId="1D409F46" w14:textId="77777777" w:rsidR="00455CDF" w:rsidRPr="00515D3C" w:rsidRDefault="00455CDF" w:rsidP="00D77C7D">
            <w:pPr>
              <w:numPr>
                <w:ilvl w:val="0"/>
                <w:numId w:val="5"/>
              </w:numPr>
              <w:spacing w:line="276" w:lineRule="auto"/>
            </w:pPr>
            <w:r w:rsidRPr="00515D3C">
              <w:t>better information for Indigenous students on pathways to HDR and strategies to engage and recruit Indigenous HDR candidates, including networking and sharing of resources where universities have very low numbers of Indigenous students</w:t>
            </w:r>
          </w:p>
          <w:p w14:paraId="532B11E0" w14:textId="77777777" w:rsidR="00455CDF" w:rsidRPr="00515D3C" w:rsidRDefault="00455CDF" w:rsidP="00D77C7D">
            <w:pPr>
              <w:numPr>
                <w:ilvl w:val="0"/>
                <w:numId w:val="5"/>
              </w:numPr>
              <w:spacing w:line="276" w:lineRule="auto"/>
            </w:pPr>
            <w:r w:rsidRPr="00515D3C">
              <w:t>training for supervisors on how to support Indigenous students including promoting a better understanding of Indigenous research methodologies</w:t>
            </w:r>
          </w:p>
          <w:p w14:paraId="3659A939" w14:textId="77777777" w:rsidR="00455CDF" w:rsidRPr="00515D3C" w:rsidRDefault="00455CDF" w:rsidP="00D77C7D">
            <w:pPr>
              <w:numPr>
                <w:ilvl w:val="0"/>
                <w:numId w:val="5"/>
              </w:numPr>
              <w:spacing w:line="276" w:lineRule="auto"/>
            </w:pPr>
            <w:proofErr w:type="gramStart"/>
            <w:r w:rsidRPr="00515D3C">
              <w:t>supporting</w:t>
            </w:r>
            <w:proofErr w:type="gramEnd"/>
            <w:r w:rsidRPr="00515D3C">
              <w:t xml:space="preserve"> the role of Indigenous academic staff and professors in implementation of university strategies, including the appointment of Indigenous research-only professors.</w:t>
            </w:r>
          </w:p>
          <w:p w14:paraId="65BB2414" w14:textId="22300DF4" w:rsidR="00455CDF" w:rsidRPr="00515D3C" w:rsidRDefault="00971C30" w:rsidP="006C13F5">
            <w:pPr>
              <w:spacing w:before="120" w:after="120" w:line="276" w:lineRule="auto"/>
            </w:pPr>
            <w:r>
              <w:t xml:space="preserve">Responsibility: </w:t>
            </w:r>
            <w:r w:rsidR="00455CDF" w:rsidRPr="00515D3C">
              <w:t>UA and ACGR, in consultation with the National Aboriginal and Torres Strait Islander Higher Education C</w:t>
            </w:r>
            <w:r w:rsidR="0067519D">
              <w:t xml:space="preserve">onsortium (NATSIHEC) and the National Indigenous Research and </w:t>
            </w:r>
            <w:proofErr w:type="spellStart"/>
            <w:r w:rsidR="0067519D">
              <w:t>Knowledges</w:t>
            </w:r>
            <w:proofErr w:type="spellEnd"/>
            <w:r w:rsidR="0067519D">
              <w:t xml:space="preserve"> Network (NIRAKN) </w:t>
            </w:r>
            <w:r w:rsidR="00455CDF" w:rsidRPr="00515D3C">
              <w:t>– by mid-2018</w:t>
            </w:r>
          </w:p>
        </w:tc>
      </w:tr>
    </w:tbl>
    <w:p w14:paraId="03BF271D" w14:textId="202723FF" w:rsidR="005170DF" w:rsidRPr="00515D3C" w:rsidRDefault="005170DF" w:rsidP="0037139F">
      <w:pPr>
        <w:pStyle w:val="Heading2"/>
      </w:pPr>
    </w:p>
    <w:p w14:paraId="21556B51" w14:textId="77777777" w:rsidR="00225EBF" w:rsidRPr="00515D3C" w:rsidRDefault="00225EBF" w:rsidP="00225EBF">
      <w:pPr>
        <w:pStyle w:val="Heading3"/>
      </w:pPr>
      <w:r w:rsidRPr="00515D3C">
        <w:t>Status</w:t>
      </w:r>
    </w:p>
    <w:p w14:paraId="6502B407" w14:textId="79E3E79D" w:rsidR="00225EBF" w:rsidRPr="00515D3C" w:rsidRDefault="006D2C4C" w:rsidP="00225EBF">
      <w:r w:rsidRPr="00515D3C">
        <w:t>In progress</w:t>
      </w:r>
    </w:p>
    <w:p w14:paraId="33C153D3" w14:textId="77777777" w:rsidR="00225EBF" w:rsidRPr="00515D3C" w:rsidRDefault="00225EBF" w:rsidP="00225EBF">
      <w:pPr>
        <w:pStyle w:val="Heading3"/>
      </w:pPr>
      <w:r w:rsidRPr="00515D3C">
        <w:t>Progress to date</w:t>
      </w:r>
    </w:p>
    <w:p w14:paraId="6FE51D03" w14:textId="4E7FB47A" w:rsidR="00143023" w:rsidRDefault="003B6E1D" w:rsidP="00143023">
      <w:pPr>
        <w:spacing w:after="120"/>
      </w:pPr>
      <w:r w:rsidRPr="00515D3C">
        <w:t xml:space="preserve">ACGR, UA and NIRAKN collaborated to convene a focus session on this deliverable at the ACGR National Meeting on </w:t>
      </w:r>
      <w:r w:rsidR="00886C6F" w:rsidRPr="00515D3C">
        <w:t xml:space="preserve">16 </w:t>
      </w:r>
      <w:r w:rsidRPr="00515D3C">
        <w:t>April 2018</w:t>
      </w:r>
      <w:r w:rsidR="00775C11">
        <w:t xml:space="preserve">. </w:t>
      </w:r>
      <w:r w:rsidRPr="00515D3C">
        <w:t>NIRAKN</w:t>
      </w:r>
      <w:r w:rsidR="00775C11">
        <w:t xml:space="preserve"> and </w:t>
      </w:r>
      <w:r w:rsidRPr="00515D3C">
        <w:t xml:space="preserve">UA </w:t>
      </w:r>
      <w:r w:rsidR="00775C11">
        <w:t>outlined their strategies</w:t>
      </w:r>
      <w:r w:rsidRPr="00515D3C">
        <w:t xml:space="preserve"> as </w:t>
      </w:r>
      <w:r w:rsidR="00775C11">
        <w:t>they applied</w:t>
      </w:r>
      <w:r w:rsidRPr="00515D3C">
        <w:t xml:space="preserve"> to research and</w:t>
      </w:r>
      <w:r w:rsidR="00775C11">
        <w:t xml:space="preserve"> research training.</w:t>
      </w:r>
      <w:r w:rsidR="00886C6F">
        <w:t xml:space="preserve"> </w:t>
      </w:r>
    </w:p>
    <w:p w14:paraId="4B5E378E" w14:textId="6EB0CC2C" w:rsidR="00775C11" w:rsidRDefault="003B6E1D" w:rsidP="00143023">
      <w:pPr>
        <w:spacing w:after="120"/>
      </w:pPr>
      <w:r w:rsidRPr="00515D3C">
        <w:t>ACGR has invited the nomination of examples of good practice in Indigenous graduate research training from its members</w:t>
      </w:r>
      <w:r w:rsidR="00775C11">
        <w:t xml:space="preserve">, and </w:t>
      </w:r>
      <w:r w:rsidRPr="00515D3C">
        <w:t>has drafted a set of Good Practice Guidelines for the Training of Indigenous Researchers</w:t>
      </w:r>
      <w:r w:rsidR="00775C11">
        <w:t>.</w:t>
      </w:r>
    </w:p>
    <w:p w14:paraId="1A48D6AD" w14:textId="6A2EDB1F" w:rsidR="007E5FA2" w:rsidRDefault="00725E93" w:rsidP="007D4DE9">
      <w:pPr>
        <w:spacing w:after="120"/>
      </w:pPr>
      <w:r>
        <w:t xml:space="preserve">The </w:t>
      </w:r>
      <w:r w:rsidR="003B6E1D" w:rsidRPr="00515D3C">
        <w:t xml:space="preserve">UA </w:t>
      </w:r>
      <w:r w:rsidR="00307C14">
        <w:t>DVC-R</w:t>
      </w:r>
      <w:r>
        <w:t xml:space="preserve"> Committee</w:t>
      </w:r>
      <w:r w:rsidR="00325B15">
        <w:t>,</w:t>
      </w:r>
      <w:r>
        <w:t xml:space="preserve"> in</w:t>
      </w:r>
      <w:r w:rsidR="003B6E1D" w:rsidRPr="00515D3C">
        <w:t xml:space="preserve"> </w:t>
      </w:r>
      <w:r w:rsidR="00266DB1">
        <w:t xml:space="preserve">its </w:t>
      </w:r>
      <w:r w:rsidR="003B6E1D" w:rsidRPr="00515D3C">
        <w:t>May 2018 meeting</w:t>
      </w:r>
      <w:r w:rsidR="00325B15">
        <w:t>,</w:t>
      </w:r>
      <w:r w:rsidR="003B6E1D" w:rsidRPr="00515D3C">
        <w:t xml:space="preserve"> discussed progress on institutional Indigenou</w:t>
      </w:r>
      <w:r w:rsidR="00143023">
        <w:t>s research strategies</w:t>
      </w:r>
      <w:r w:rsidR="00266DB1">
        <w:t>,</w:t>
      </w:r>
      <w:r w:rsidR="00143023">
        <w:t xml:space="preserve"> and </w:t>
      </w:r>
      <w:r w:rsidR="003B6E1D" w:rsidRPr="00515D3C">
        <w:t xml:space="preserve">what universities have learned in the course of consulting on these </w:t>
      </w:r>
      <w:r w:rsidR="00B56B4A">
        <w:t>strategies.</w:t>
      </w:r>
    </w:p>
    <w:p w14:paraId="5C486C0B" w14:textId="508555E4" w:rsidR="00225EBF" w:rsidRPr="00515D3C" w:rsidRDefault="00225EBF" w:rsidP="00A53D74">
      <w:pPr>
        <w:pStyle w:val="Heading3"/>
      </w:pPr>
      <w:r w:rsidRPr="00515D3C">
        <w:t>Next steps</w:t>
      </w:r>
    </w:p>
    <w:p w14:paraId="57948ED7" w14:textId="56917BE9" w:rsidR="00AA2C3E" w:rsidRDefault="002870EC" w:rsidP="00547980">
      <w:pPr>
        <w:pStyle w:val="ListParagraph"/>
        <w:numPr>
          <w:ilvl w:val="0"/>
          <w:numId w:val="10"/>
        </w:numPr>
      </w:pPr>
      <w:r>
        <w:t xml:space="preserve">As part of its Indigenous Strategy 2017–2020, </w:t>
      </w:r>
      <w:r w:rsidR="00AA2C3E">
        <w:t>UA</w:t>
      </w:r>
      <w:r>
        <w:t xml:space="preserve"> will </w:t>
      </w:r>
      <w:r w:rsidR="008846D9">
        <w:t>launch</w:t>
      </w:r>
      <w:r>
        <w:t xml:space="preserve"> an online platform to identify and share good practices </w:t>
      </w:r>
      <w:r w:rsidR="00854D15" w:rsidRPr="00854D15">
        <w:t xml:space="preserve">in Indigenous higher education </w:t>
      </w:r>
      <w:r>
        <w:t>by December 2018.</w:t>
      </w:r>
    </w:p>
    <w:p w14:paraId="1B148F26" w14:textId="1E32B080" w:rsidR="003B6E1D" w:rsidRPr="00515D3C" w:rsidRDefault="006E42AC" w:rsidP="00547980">
      <w:pPr>
        <w:pStyle w:val="ListParagraph"/>
        <w:numPr>
          <w:ilvl w:val="0"/>
          <w:numId w:val="10"/>
        </w:numPr>
      </w:pPr>
      <w:r>
        <w:lastRenderedPageBreak/>
        <w:t xml:space="preserve">ACGR </w:t>
      </w:r>
      <w:r w:rsidR="0025741E">
        <w:t xml:space="preserve">will compile a collection of good practice examples </w:t>
      </w:r>
      <w:r>
        <w:t>to populate this resource</w:t>
      </w:r>
      <w:r w:rsidR="00D632B0">
        <w:t>.</w:t>
      </w:r>
    </w:p>
    <w:p w14:paraId="7EC4725A" w14:textId="5B4ED5EA" w:rsidR="003B6E1D" w:rsidRPr="00515D3C" w:rsidRDefault="0025741E" w:rsidP="00547980">
      <w:pPr>
        <w:pStyle w:val="ListParagraph"/>
        <w:numPr>
          <w:ilvl w:val="0"/>
          <w:numId w:val="10"/>
        </w:numPr>
      </w:pPr>
      <w:r>
        <w:t xml:space="preserve">In particular, </w:t>
      </w:r>
      <w:r w:rsidR="003B6E1D" w:rsidRPr="00515D3C">
        <w:t>ACGR will liaise with UA, NIRAKN and NATSIHEC to review and finalise their Good Practice Guidelines for the Training of Indigenous Researchers for approval by the membership at the ACGR na</w:t>
      </w:r>
      <w:r w:rsidR="006E42AC">
        <w:t>tional meeting in November 2018</w:t>
      </w:r>
      <w:r w:rsidR="00D632B0">
        <w:t>.</w:t>
      </w:r>
    </w:p>
    <w:p w14:paraId="5163E6D2" w14:textId="5D167D59" w:rsidR="003B6E1D" w:rsidRPr="00515D3C" w:rsidRDefault="0048232C" w:rsidP="00A53D74">
      <w:pPr>
        <w:pStyle w:val="ListParagraph"/>
        <w:numPr>
          <w:ilvl w:val="0"/>
          <w:numId w:val="10"/>
        </w:numPr>
        <w:ind w:left="714" w:hanging="357"/>
        <w:contextualSpacing w:val="0"/>
      </w:pPr>
      <w:r>
        <w:t>Both DVCs-</w:t>
      </w:r>
      <w:r w:rsidR="003B6E1D" w:rsidRPr="00515D3C">
        <w:t>R and ACGR will continue to work at Executive and full membership levels to share and promote indigenous HDR strategi</w:t>
      </w:r>
      <w:r w:rsidR="0059547B">
        <w:t>es amongst its members</w:t>
      </w:r>
      <w:r w:rsidR="003B6E1D" w:rsidRPr="00515D3C">
        <w:t>.</w:t>
      </w:r>
    </w:p>
    <w:p w14:paraId="33DC1CD7" w14:textId="13BE39E1" w:rsidR="00816888" w:rsidRPr="00515D3C" w:rsidRDefault="00816888" w:rsidP="0037139F">
      <w:pPr>
        <w:pStyle w:val="Heading2"/>
      </w:pPr>
      <w:bookmarkStart w:id="16" w:name="_Toc522100123"/>
      <w:r w:rsidRPr="00515D3C">
        <w:t>Action 3.3 Indigenous PhD forum</w:t>
      </w:r>
      <w:bookmarkEnd w:id="16"/>
    </w:p>
    <w:tbl>
      <w:tblPr>
        <w:tblStyle w:val="TableGrid"/>
        <w:tblW w:w="0" w:type="auto"/>
        <w:tblLook w:val="04A0" w:firstRow="1" w:lastRow="0" w:firstColumn="1" w:lastColumn="0" w:noHBand="0" w:noVBand="1"/>
      </w:tblPr>
      <w:tblGrid>
        <w:gridCol w:w="9016"/>
      </w:tblGrid>
      <w:tr w:rsidR="001F52B7" w:rsidRPr="00515D3C" w14:paraId="14DBAD5B" w14:textId="77777777" w:rsidTr="001F52B7">
        <w:tc>
          <w:tcPr>
            <w:tcW w:w="9016" w:type="dxa"/>
          </w:tcPr>
          <w:p w14:paraId="75489844" w14:textId="15763DF7" w:rsidR="001F52B7" w:rsidRPr="00515D3C" w:rsidRDefault="001F52B7" w:rsidP="00D77C7D">
            <w:pPr>
              <w:pStyle w:val="Heading3"/>
              <w:shd w:val="clear" w:color="auto" w:fill="auto"/>
              <w:spacing w:before="120" w:line="276" w:lineRule="auto"/>
              <w:outlineLvl w:val="2"/>
              <w:rPr>
                <w:rFonts w:ascii="Calibri" w:eastAsiaTheme="majorEastAsia" w:hAnsi="Calibri" w:cstheme="majorBidi"/>
                <w:b w:val="0"/>
                <w:bCs/>
              </w:rPr>
            </w:pPr>
            <w:r w:rsidRPr="00515D3C">
              <w:rPr>
                <w:rFonts w:ascii="Calibri" w:eastAsiaTheme="majorEastAsia" w:hAnsi="Calibri" w:cstheme="majorBidi"/>
                <w:b w:val="0"/>
                <w:bCs/>
              </w:rPr>
              <w:t>DET and UA to explore establishing an Indigenous PhD forum to focus on enablers and barriers to Indigenous HDR participation and outcomes for Indigenous HDR graduates, in consultation with NATSIHEC, NIRAKIN and Indigenous HDR students.</w:t>
            </w:r>
          </w:p>
          <w:p w14:paraId="3B4623AB" w14:textId="77777777" w:rsidR="001F52B7" w:rsidRPr="00515D3C" w:rsidRDefault="001F52B7" w:rsidP="00D77C7D">
            <w:pPr>
              <w:spacing w:line="276" w:lineRule="auto"/>
            </w:pPr>
          </w:p>
          <w:p w14:paraId="0C96EBAB" w14:textId="1E9545D7" w:rsidR="001F52B7" w:rsidRPr="00515D3C" w:rsidRDefault="001F52B7" w:rsidP="00D77C7D">
            <w:pPr>
              <w:spacing w:after="120" w:line="276" w:lineRule="auto"/>
            </w:pPr>
            <w:proofErr w:type="spellStart"/>
            <w:r w:rsidRPr="00515D3C">
              <w:t>Responsbility</w:t>
            </w:r>
            <w:proofErr w:type="spellEnd"/>
            <w:r w:rsidRPr="00515D3C">
              <w:t xml:space="preserve"> – DET and UA, in consultation with </w:t>
            </w:r>
            <w:r w:rsidRPr="00515D3C">
              <w:rPr>
                <w:rFonts w:ascii="Calibri" w:eastAsiaTheme="majorEastAsia" w:hAnsi="Calibri" w:cstheme="majorBidi"/>
                <w:bCs/>
              </w:rPr>
              <w:t>NATSIHEC, NIRAKIN and Indigenous HDR students</w:t>
            </w:r>
            <w:r w:rsidR="00EA0CEE" w:rsidRPr="00515D3C">
              <w:rPr>
                <w:rFonts w:ascii="Calibri" w:eastAsiaTheme="majorEastAsia" w:hAnsi="Calibri" w:cstheme="majorBidi"/>
                <w:bCs/>
              </w:rPr>
              <w:t xml:space="preserve"> – by July 2018</w:t>
            </w:r>
          </w:p>
        </w:tc>
      </w:tr>
    </w:tbl>
    <w:p w14:paraId="0AC4ECB8" w14:textId="62E30F68" w:rsidR="00EA0CEE" w:rsidRPr="00515D3C" w:rsidRDefault="00EA0CEE" w:rsidP="00EA0CEE">
      <w:pPr>
        <w:pStyle w:val="Heading3"/>
        <w:shd w:val="clear" w:color="auto" w:fill="auto"/>
        <w:rPr>
          <w:rFonts w:ascii="Calibri" w:eastAsiaTheme="majorEastAsia" w:hAnsi="Calibri" w:cstheme="majorBidi"/>
          <w:bCs/>
        </w:rPr>
      </w:pPr>
    </w:p>
    <w:p w14:paraId="015FE6A0" w14:textId="77777777" w:rsidR="00225EBF" w:rsidRPr="00515D3C" w:rsidRDefault="00225EBF" w:rsidP="00225EBF">
      <w:pPr>
        <w:pStyle w:val="Heading3"/>
      </w:pPr>
      <w:r w:rsidRPr="00515D3C">
        <w:t>Status</w:t>
      </w:r>
    </w:p>
    <w:p w14:paraId="571F2E30" w14:textId="37F21563" w:rsidR="00225EBF" w:rsidRPr="00515D3C" w:rsidRDefault="00023810" w:rsidP="00225EBF">
      <w:r w:rsidRPr="00515D3C">
        <w:t>In progress</w:t>
      </w:r>
    </w:p>
    <w:p w14:paraId="623BCBC4" w14:textId="77777777" w:rsidR="00225EBF" w:rsidRPr="00515D3C" w:rsidRDefault="00225EBF" w:rsidP="00225EBF">
      <w:pPr>
        <w:pStyle w:val="Heading3"/>
      </w:pPr>
      <w:r w:rsidRPr="00515D3C">
        <w:t>Progress to date</w:t>
      </w:r>
    </w:p>
    <w:p w14:paraId="4DB55D3B" w14:textId="61185DE7" w:rsidR="00615674" w:rsidRPr="00515D3C" w:rsidRDefault="00D12954" w:rsidP="008B18B9">
      <w:r>
        <w:t>In February 2018, the department</w:t>
      </w:r>
      <w:r w:rsidR="00615674" w:rsidRPr="00515D3C">
        <w:t xml:space="preserve"> and UA held preliminary discussions to establish an approach to developing an Indigenous PhD forum.</w:t>
      </w:r>
    </w:p>
    <w:p w14:paraId="792AA01F" w14:textId="4FBAD399" w:rsidR="00615674" w:rsidRPr="00515D3C" w:rsidRDefault="00D12954" w:rsidP="008B18B9">
      <w:pPr>
        <w:spacing w:after="120"/>
      </w:pPr>
      <w:r>
        <w:t>In May 2018, the department</w:t>
      </w:r>
      <w:r w:rsidR="00615674" w:rsidRPr="00515D3C">
        <w:t xml:space="preserve"> convened a meeting with UA, NATSIHEC and NIRAKN to develop a concept for the forum.  From this discussion, a number of issues emerged that require decis</w:t>
      </w:r>
      <w:r w:rsidR="008B18B9">
        <w:t>ions by stakeholders, including</w:t>
      </w:r>
    </w:p>
    <w:p w14:paraId="734DB5F3" w14:textId="77777777" w:rsidR="00615674" w:rsidRPr="00515D3C" w:rsidRDefault="00615674" w:rsidP="008B18B9">
      <w:pPr>
        <w:pStyle w:val="ListParagraph"/>
        <w:numPr>
          <w:ilvl w:val="0"/>
          <w:numId w:val="8"/>
        </w:numPr>
        <w:spacing w:after="0"/>
      </w:pPr>
      <w:r w:rsidRPr="00515D3C">
        <w:t>desired forum outcomes and outputs</w:t>
      </w:r>
    </w:p>
    <w:p w14:paraId="074A32AD" w14:textId="77777777" w:rsidR="00615674" w:rsidRPr="00515D3C" w:rsidRDefault="00615674" w:rsidP="008B18B9">
      <w:pPr>
        <w:pStyle w:val="ListParagraph"/>
        <w:numPr>
          <w:ilvl w:val="0"/>
          <w:numId w:val="8"/>
        </w:numPr>
        <w:spacing w:after="0"/>
      </w:pPr>
      <w:r w:rsidRPr="00515D3C">
        <w:t>whether the forum should be a stand-alone event or combined with an existing meeting or conference</w:t>
      </w:r>
    </w:p>
    <w:p w14:paraId="4486D304" w14:textId="6CB42AF3" w:rsidR="00615674" w:rsidRPr="00515D3C" w:rsidRDefault="00615674" w:rsidP="008B18B9">
      <w:pPr>
        <w:pStyle w:val="ListParagraph"/>
        <w:numPr>
          <w:ilvl w:val="0"/>
          <w:numId w:val="8"/>
        </w:numPr>
        <w:spacing w:after="0"/>
      </w:pPr>
      <w:r w:rsidRPr="00515D3C">
        <w:t xml:space="preserve">the number of participants, who should participate, and how </w:t>
      </w:r>
      <w:r w:rsidR="0059039E">
        <w:t>participants will be identified</w:t>
      </w:r>
    </w:p>
    <w:p w14:paraId="035A14D4" w14:textId="77777777" w:rsidR="00615674" w:rsidRPr="00515D3C" w:rsidRDefault="00615674" w:rsidP="008B18B9">
      <w:pPr>
        <w:pStyle w:val="ListParagraph"/>
        <w:numPr>
          <w:ilvl w:val="0"/>
          <w:numId w:val="8"/>
        </w:numPr>
        <w:spacing w:after="0"/>
      </w:pPr>
      <w:proofErr w:type="gramStart"/>
      <w:r w:rsidRPr="00515D3C">
        <w:t>potential</w:t>
      </w:r>
      <w:proofErr w:type="gramEnd"/>
      <w:r w:rsidRPr="00515D3C">
        <w:t xml:space="preserve"> sources of funding.</w:t>
      </w:r>
    </w:p>
    <w:p w14:paraId="6FFB39EB" w14:textId="59ED5A7E" w:rsidR="00615674" w:rsidRPr="00515D3C" w:rsidRDefault="00615674" w:rsidP="008B18B9">
      <w:pPr>
        <w:spacing w:before="120"/>
      </w:pPr>
      <w:r w:rsidRPr="00515D3C">
        <w:t>Ba</w:t>
      </w:r>
      <w:r w:rsidR="006A58E4">
        <w:t>sed on the May 2018 meeting, the department</w:t>
      </w:r>
      <w:r w:rsidRPr="00515D3C">
        <w:t xml:space="preserve"> and UA are developing a concept document to ensure there is a clear understanding of the structure, participants and outcomes for the forum.</w:t>
      </w:r>
    </w:p>
    <w:p w14:paraId="13E9D400" w14:textId="77777777" w:rsidR="00615674" w:rsidRPr="00515D3C" w:rsidRDefault="00615674" w:rsidP="008B18B9">
      <w:r w:rsidRPr="00515D3C">
        <w:t>Engagement with NATSIHEC and NIRAKN is continuing.</w:t>
      </w:r>
    </w:p>
    <w:p w14:paraId="7BA36D86" w14:textId="77777777" w:rsidR="00225EBF" w:rsidRPr="00515D3C" w:rsidRDefault="00225EBF" w:rsidP="00225EBF">
      <w:pPr>
        <w:pStyle w:val="Heading3"/>
      </w:pPr>
      <w:r w:rsidRPr="00515D3C">
        <w:t>Next steps</w:t>
      </w:r>
    </w:p>
    <w:p w14:paraId="122DD83B" w14:textId="1250AB62" w:rsidR="00DD6B90" w:rsidRDefault="00997143" w:rsidP="00615674">
      <w:r>
        <w:t>The department</w:t>
      </w:r>
      <w:r w:rsidR="00615674" w:rsidRPr="00515D3C">
        <w:t xml:space="preserve"> and UA will circulate their concept document to stakeholders to finalise the concept of the forum. Once the details are ag</w:t>
      </w:r>
      <w:r w:rsidR="005C7843">
        <w:t>reed and funding identified, the department</w:t>
      </w:r>
      <w:r w:rsidR="00615674" w:rsidRPr="00515D3C">
        <w:t xml:space="preserve"> and UA will establish a process to identify a suitable organisation to deliver the event. It is anticipated that</w:t>
      </w:r>
      <w:r w:rsidR="00BE1741">
        <w:t>, subject to funding being obtained,</w:t>
      </w:r>
      <w:r w:rsidR="00615674" w:rsidRPr="00515D3C">
        <w:t xml:space="preserve"> the forum will be held in the second half of 2018, and a report produced by the end of 2018.</w:t>
      </w:r>
    </w:p>
    <w:p w14:paraId="3BCB9123" w14:textId="77777777" w:rsidR="00DD6B90" w:rsidRDefault="00DD6B90">
      <w:r>
        <w:br w:type="page"/>
      </w:r>
    </w:p>
    <w:p w14:paraId="2CF44343" w14:textId="50FFA5F6" w:rsidR="00621112" w:rsidRPr="00515D3C" w:rsidRDefault="00816888" w:rsidP="0037139F">
      <w:pPr>
        <w:pStyle w:val="Heading2"/>
      </w:pPr>
      <w:bookmarkStart w:id="17" w:name="_Toc522100124"/>
      <w:r w:rsidRPr="00515D3C">
        <w:lastRenderedPageBreak/>
        <w:t>Action 3.4 Monitoring and reporting on scholarship support</w:t>
      </w:r>
      <w:bookmarkEnd w:id="17"/>
    </w:p>
    <w:tbl>
      <w:tblPr>
        <w:tblStyle w:val="TableGrid"/>
        <w:tblW w:w="0" w:type="auto"/>
        <w:tblLook w:val="04A0" w:firstRow="1" w:lastRow="0" w:firstColumn="1" w:lastColumn="0" w:noHBand="0" w:noVBand="1"/>
      </w:tblPr>
      <w:tblGrid>
        <w:gridCol w:w="9016"/>
      </w:tblGrid>
      <w:tr w:rsidR="00EA0CEE" w:rsidRPr="00515D3C" w14:paraId="0FD36D1C" w14:textId="77777777" w:rsidTr="00EA0CEE">
        <w:tc>
          <w:tcPr>
            <w:tcW w:w="9016" w:type="dxa"/>
          </w:tcPr>
          <w:p w14:paraId="3B163C39" w14:textId="0C0563F2" w:rsidR="00EA0CEE" w:rsidRPr="00515D3C" w:rsidRDefault="00EA0CEE" w:rsidP="00D77C7D">
            <w:pPr>
              <w:spacing w:before="120" w:line="276" w:lineRule="auto"/>
            </w:pPr>
            <w:r w:rsidRPr="00515D3C">
              <w:t>DET to monitor changes in scholarship support and encourage improvements in access for Indigenous students and other equity groups:</w:t>
            </w:r>
          </w:p>
          <w:p w14:paraId="5F1124A2" w14:textId="77777777" w:rsidR="00EA0CEE" w:rsidRPr="00515D3C" w:rsidRDefault="00EA0CEE" w:rsidP="00D77C7D">
            <w:pPr>
              <w:numPr>
                <w:ilvl w:val="0"/>
                <w:numId w:val="5"/>
              </w:numPr>
              <w:spacing w:line="276" w:lineRule="auto"/>
            </w:pPr>
            <w:r w:rsidRPr="00515D3C">
              <w:t>universities will be asked to report on levels of stipend support for Indigenous students</w:t>
            </w:r>
          </w:p>
          <w:p w14:paraId="2FB73118" w14:textId="77777777" w:rsidR="00EA0CEE" w:rsidRPr="00515D3C" w:rsidRDefault="00EA0CEE" w:rsidP="00D77C7D">
            <w:pPr>
              <w:numPr>
                <w:ilvl w:val="0"/>
                <w:numId w:val="5"/>
              </w:numPr>
              <w:spacing w:line="276" w:lineRule="auto"/>
            </w:pPr>
            <w:r w:rsidRPr="00515D3C">
              <w:t>DET will monitor and analyse access to part-time scholarships for equity groups and related developments with the ATO Review of Advice on Scholarships</w:t>
            </w:r>
          </w:p>
          <w:p w14:paraId="21E3422F" w14:textId="78468205" w:rsidR="00EA0CEE" w:rsidRPr="00515D3C" w:rsidRDefault="00EA0CEE" w:rsidP="00D77C7D">
            <w:pPr>
              <w:numPr>
                <w:ilvl w:val="0"/>
                <w:numId w:val="5"/>
              </w:numPr>
              <w:spacing w:line="276" w:lineRule="auto"/>
            </w:pPr>
            <w:r w:rsidRPr="00515D3C">
              <w:t>DET will publish the outcomes on an annual basis.</w:t>
            </w:r>
          </w:p>
          <w:p w14:paraId="43F6F5F9" w14:textId="77777777" w:rsidR="00EA0CEE" w:rsidRPr="00515D3C" w:rsidRDefault="00EA0CEE" w:rsidP="00D77C7D">
            <w:pPr>
              <w:spacing w:line="276" w:lineRule="auto"/>
              <w:ind w:left="720"/>
            </w:pPr>
          </w:p>
          <w:p w14:paraId="511438CA" w14:textId="5C03E7C7" w:rsidR="00EA0CEE" w:rsidRPr="00515D3C" w:rsidRDefault="00971C30" w:rsidP="00D77C7D">
            <w:pPr>
              <w:spacing w:after="120" w:line="276" w:lineRule="auto"/>
            </w:pPr>
            <w:r>
              <w:t>Responsibility:</w:t>
            </w:r>
            <w:r w:rsidR="00EA0CEE" w:rsidRPr="00515D3C">
              <w:t xml:space="preserve"> DET and universities who choose to participate – by 2018 academic year</w:t>
            </w:r>
          </w:p>
        </w:tc>
      </w:tr>
    </w:tbl>
    <w:p w14:paraId="4A61440A" w14:textId="77777777" w:rsidR="00EA0CEE" w:rsidRPr="00515D3C" w:rsidRDefault="00EA0CEE" w:rsidP="00EA0CEE">
      <w:pPr>
        <w:spacing w:after="0"/>
      </w:pPr>
    </w:p>
    <w:p w14:paraId="5F0ACE87" w14:textId="77777777" w:rsidR="00225EBF" w:rsidRPr="00515D3C" w:rsidRDefault="00225EBF" w:rsidP="00225EBF">
      <w:pPr>
        <w:pStyle w:val="Heading3"/>
      </w:pPr>
      <w:r w:rsidRPr="00515D3C">
        <w:t>Status</w:t>
      </w:r>
    </w:p>
    <w:p w14:paraId="3CA20362" w14:textId="44B048B8" w:rsidR="00225EBF" w:rsidRPr="00515D3C" w:rsidRDefault="003C7D90" w:rsidP="00225EBF">
      <w:r w:rsidRPr="00515D3C">
        <w:t>In progress</w:t>
      </w:r>
    </w:p>
    <w:p w14:paraId="2E68A77C" w14:textId="77777777" w:rsidR="00225EBF" w:rsidRPr="00515D3C" w:rsidRDefault="00225EBF" w:rsidP="00225EBF">
      <w:pPr>
        <w:pStyle w:val="Heading3"/>
      </w:pPr>
      <w:r w:rsidRPr="00515D3C">
        <w:t>Progress to date</w:t>
      </w:r>
    </w:p>
    <w:p w14:paraId="64E935D1" w14:textId="24CEE8B5" w:rsidR="003C7D90" w:rsidRPr="00515D3C" w:rsidRDefault="006D1821" w:rsidP="001115F4">
      <w:r>
        <w:t>The department</w:t>
      </w:r>
      <w:r w:rsidR="003346BF">
        <w:t xml:space="preserve"> has developed a </w:t>
      </w:r>
      <w:r w:rsidR="006F53B8">
        <w:t xml:space="preserve">draft </w:t>
      </w:r>
      <w:r w:rsidR="001E1CD7">
        <w:t>survey</w:t>
      </w:r>
      <w:r w:rsidR="003C7D90" w:rsidRPr="00515D3C">
        <w:t xml:space="preserve"> to gather information about levels of stipend support for Indigenous HDR students from Table A and B higher education providers (HEPs).</w:t>
      </w:r>
      <w:r w:rsidR="001E1CD7">
        <w:t xml:space="preserve"> </w:t>
      </w:r>
      <w:r w:rsidR="00703AD2" w:rsidRPr="00703AD2">
        <w:t xml:space="preserve">The outcomes of the Review of ATO </w:t>
      </w:r>
      <w:r w:rsidR="00703AD2">
        <w:t xml:space="preserve">Advice on Scholarships </w:t>
      </w:r>
      <w:r w:rsidR="00703AD2" w:rsidRPr="00703AD2">
        <w:t>are still under consideration by the ATO</w:t>
      </w:r>
      <w:r w:rsidR="00703AD2">
        <w:t>.</w:t>
      </w:r>
    </w:p>
    <w:p w14:paraId="6B97D451" w14:textId="77777777" w:rsidR="00225EBF" w:rsidRPr="00515D3C" w:rsidRDefault="00225EBF" w:rsidP="00225EBF">
      <w:pPr>
        <w:pStyle w:val="Heading3"/>
      </w:pPr>
      <w:r w:rsidRPr="00515D3C">
        <w:t>Next steps</w:t>
      </w:r>
    </w:p>
    <w:p w14:paraId="7A5E2913" w14:textId="75DED5F2" w:rsidR="003C7D90" w:rsidRPr="00515D3C" w:rsidRDefault="001115F4" w:rsidP="003C7D90">
      <w:pPr>
        <w:spacing w:after="0"/>
        <w:rPr>
          <w:rFonts w:ascii="Calibri" w:hAnsi="Calibri" w:cs="Calibri"/>
        </w:rPr>
      </w:pPr>
      <w:r>
        <w:rPr>
          <w:rFonts w:ascii="Calibri" w:hAnsi="Calibri" w:cs="Calibri"/>
        </w:rPr>
        <w:t>The</w:t>
      </w:r>
      <w:r w:rsidR="003C7D90" w:rsidRPr="00515D3C">
        <w:rPr>
          <w:rFonts w:ascii="Calibri" w:hAnsi="Calibri" w:cs="Calibri"/>
        </w:rPr>
        <w:t xml:space="preserve"> </w:t>
      </w:r>
      <w:r w:rsidR="00EF6D47">
        <w:rPr>
          <w:rFonts w:ascii="Calibri" w:hAnsi="Calibri" w:cs="Calibri"/>
        </w:rPr>
        <w:t xml:space="preserve">Indigenous student </w:t>
      </w:r>
      <w:r w:rsidR="003C7D90" w:rsidRPr="00515D3C">
        <w:rPr>
          <w:rFonts w:ascii="Calibri" w:hAnsi="Calibri" w:cs="Calibri"/>
        </w:rPr>
        <w:t xml:space="preserve">survey template </w:t>
      </w:r>
      <w:r>
        <w:rPr>
          <w:rFonts w:ascii="Calibri" w:hAnsi="Calibri" w:cs="Calibri"/>
        </w:rPr>
        <w:t>will be finalised by July</w:t>
      </w:r>
      <w:r w:rsidR="00703AD2">
        <w:rPr>
          <w:rFonts w:ascii="Calibri" w:hAnsi="Calibri" w:cs="Calibri"/>
        </w:rPr>
        <w:t xml:space="preserve"> 2018, and t</w:t>
      </w:r>
      <w:r w:rsidR="003C7D90" w:rsidRPr="00515D3C">
        <w:rPr>
          <w:rFonts w:ascii="Calibri" w:hAnsi="Calibri" w:cs="Calibri"/>
        </w:rPr>
        <w:t>he 42 HEPs will be invited to provide completed surveys by September 2018. The departm</w:t>
      </w:r>
      <w:r w:rsidR="00EF6D47">
        <w:rPr>
          <w:rFonts w:ascii="Calibri" w:hAnsi="Calibri" w:cs="Calibri"/>
        </w:rPr>
        <w:t xml:space="preserve">ent will collate and analyse this </w:t>
      </w:r>
      <w:r w:rsidR="00E808AE">
        <w:rPr>
          <w:rFonts w:ascii="Calibri" w:hAnsi="Calibri" w:cs="Calibri"/>
        </w:rPr>
        <w:t xml:space="preserve">and other available </w:t>
      </w:r>
      <w:r w:rsidR="00EF6D47">
        <w:rPr>
          <w:rFonts w:ascii="Calibri" w:hAnsi="Calibri" w:cs="Calibri"/>
        </w:rPr>
        <w:t xml:space="preserve">data </w:t>
      </w:r>
      <w:r w:rsidR="003C7D90" w:rsidRPr="00515D3C">
        <w:rPr>
          <w:rFonts w:ascii="Calibri" w:hAnsi="Calibri" w:cs="Calibri"/>
        </w:rPr>
        <w:t xml:space="preserve">and prepare a summary report </w:t>
      </w:r>
      <w:r w:rsidR="00E808AE">
        <w:rPr>
          <w:rFonts w:ascii="Calibri" w:hAnsi="Calibri" w:cs="Calibri"/>
        </w:rPr>
        <w:t xml:space="preserve">on scholarship support </w:t>
      </w:r>
      <w:r w:rsidR="00386F18">
        <w:rPr>
          <w:rFonts w:ascii="Calibri" w:hAnsi="Calibri" w:cs="Calibri"/>
        </w:rPr>
        <w:t>by the end of 2018. The department will continue to monitor the tax treatment of scholarships, including any updates from the ATO.</w:t>
      </w:r>
    </w:p>
    <w:p w14:paraId="2B73F074" w14:textId="77777777" w:rsidR="00621112" w:rsidRPr="00515D3C" w:rsidRDefault="00621112">
      <w:pPr>
        <w:rPr>
          <w:rFonts w:ascii="Calibri" w:eastAsiaTheme="majorEastAsia" w:hAnsi="Calibri" w:cstheme="majorBidi"/>
          <w:b/>
          <w:bCs/>
          <w:color w:val="522761"/>
          <w:sz w:val="28"/>
          <w:szCs w:val="28"/>
        </w:rPr>
      </w:pPr>
      <w:r w:rsidRPr="00515D3C">
        <w:br w:type="page"/>
      </w:r>
    </w:p>
    <w:p w14:paraId="4CC12B71" w14:textId="0EB05D2E" w:rsidR="009942BD" w:rsidRPr="00515D3C" w:rsidRDefault="009942BD" w:rsidP="009942BD">
      <w:pPr>
        <w:pStyle w:val="Heading1"/>
      </w:pPr>
      <w:bookmarkStart w:id="18" w:name="_Toc522100125"/>
      <w:r w:rsidRPr="00515D3C">
        <w:lastRenderedPageBreak/>
        <w:t>Priority Issue 4: Quality of the HDR system</w:t>
      </w:r>
      <w:bookmarkEnd w:id="18"/>
    </w:p>
    <w:p w14:paraId="189CF437" w14:textId="07F7E963" w:rsidR="00816888" w:rsidRPr="00515D3C" w:rsidRDefault="00816888" w:rsidP="0037139F">
      <w:pPr>
        <w:pStyle w:val="Heading2"/>
      </w:pPr>
      <w:bookmarkStart w:id="19" w:name="_Toc522100126"/>
      <w:r w:rsidRPr="00515D3C">
        <w:t>Action 4.1 Revised Student Experience Survey</w:t>
      </w:r>
      <w:bookmarkEnd w:id="19"/>
    </w:p>
    <w:tbl>
      <w:tblPr>
        <w:tblStyle w:val="TableGrid"/>
        <w:tblW w:w="0" w:type="auto"/>
        <w:tblLook w:val="04A0" w:firstRow="1" w:lastRow="0" w:firstColumn="1" w:lastColumn="0" w:noHBand="0" w:noVBand="1"/>
      </w:tblPr>
      <w:tblGrid>
        <w:gridCol w:w="9016"/>
      </w:tblGrid>
      <w:tr w:rsidR="00EA0CEE" w:rsidRPr="00515D3C" w14:paraId="7E18E5C8" w14:textId="77777777" w:rsidTr="00EA0CEE">
        <w:tc>
          <w:tcPr>
            <w:tcW w:w="9016" w:type="dxa"/>
          </w:tcPr>
          <w:p w14:paraId="0F9B81FE" w14:textId="77777777" w:rsidR="00EA0CEE" w:rsidRPr="00515D3C" w:rsidRDefault="00EA0CEE" w:rsidP="00D77C7D">
            <w:pPr>
              <w:spacing w:before="120" w:line="276" w:lineRule="auto"/>
            </w:pPr>
            <w:r w:rsidRPr="00515D3C">
              <w:t>Subject to available resources, DET to explore opportunities to expand the current review of the Postgraduate Research Experience Questionnaire to include the establishment and funding of a survey of current postgraduate research students to support comparison with similar surveys used overseas, such as the United Kingdom’s Postgraduate Research Experience Survey for international benchmarking purposes.</w:t>
            </w:r>
          </w:p>
          <w:p w14:paraId="7FFDF9F4" w14:textId="77777777" w:rsidR="00EA0CEE" w:rsidRPr="00515D3C" w:rsidRDefault="00EA0CEE" w:rsidP="00D77C7D">
            <w:pPr>
              <w:spacing w:line="276" w:lineRule="auto"/>
            </w:pPr>
          </w:p>
          <w:p w14:paraId="442FF00C" w14:textId="017F89C1" w:rsidR="00EA0CEE" w:rsidRPr="00515D3C" w:rsidRDefault="00971C30" w:rsidP="00D77C7D">
            <w:pPr>
              <w:spacing w:after="120" w:line="276" w:lineRule="auto"/>
            </w:pPr>
            <w:r>
              <w:t>Responsibility:</w:t>
            </w:r>
            <w:r w:rsidR="00EA0CEE" w:rsidRPr="00515D3C">
              <w:t xml:space="preserve"> DET – by July 2018</w:t>
            </w:r>
          </w:p>
        </w:tc>
      </w:tr>
    </w:tbl>
    <w:p w14:paraId="6B160E6C" w14:textId="13B92140" w:rsidR="00EA0CEE" w:rsidRPr="00515D3C" w:rsidRDefault="00EA0CEE" w:rsidP="00EA0CEE">
      <w:pPr>
        <w:pStyle w:val="Heading3"/>
        <w:shd w:val="clear" w:color="auto" w:fill="auto"/>
        <w:rPr>
          <w:rFonts w:ascii="Calibri" w:eastAsiaTheme="majorEastAsia" w:hAnsi="Calibri" w:cstheme="majorBidi"/>
          <w:bCs/>
        </w:rPr>
      </w:pPr>
    </w:p>
    <w:p w14:paraId="72269624" w14:textId="77777777" w:rsidR="00225EBF" w:rsidRPr="00515D3C" w:rsidRDefault="00225EBF" w:rsidP="00225EBF">
      <w:pPr>
        <w:pStyle w:val="Heading3"/>
      </w:pPr>
      <w:r w:rsidRPr="00515D3C">
        <w:t>Status</w:t>
      </w:r>
    </w:p>
    <w:p w14:paraId="4D5AE66D" w14:textId="4D383A48" w:rsidR="00225EBF" w:rsidRPr="00515D3C" w:rsidRDefault="00A407D2" w:rsidP="00225EBF">
      <w:r>
        <w:t>In progress</w:t>
      </w:r>
    </w:p>
    <w:p w14:paraId="3346CD79" w14:textId="77777777" w:rsidR="00225EBF" w:rsidRPr="00515D3C" w:rsidRDefault="00225EBF" w:rsidP="00225EBF">
      <w:pPr>
        <w:pStyle w:val="Heading3"/>
      </w:pPr>
      <w:r w:rsidRPr="00515D3C">
        <w:t>Progress to date</w:t>
      </w:r>
    </w:p>
    <w:p w14:paraId="3E4567AF" w14:textId="6277118D" w:rsidR="00225EBF" w:rsidRDefault="008A7876" w:rsidP="00F3302F">
      <w:pPr>
        <w:spacing w:after="0"/>
      </w:pPr>
      <w:r>
        <w:t>The department</w:t>
      </w:r>
      <w:r w:rsidR="0037740A">
        <w:t xml:space="preserve"> is currently undertaking work to scope </w:t>
      </w:r>
      <w:r w:rsidR="00A87AF3">
        <w:t xml:space="preserve">potential survey options, having regard to existing survey methodologies in Australia and overseas, and technical advice previously received from the </w:t>
      </w:r>
      <w:r w:rsidR="00325B15">
        <w:t>Quality Indicators for Teaching and Learning (</w:t>
      </w:r>
      <w:r w:rsidR="00A87AF3">
        <w:t>QILT</w:t>
      </w:r>
      <w:r w:rsidR="00325B15">
        <w:t>)</w:t>
      </w:r>
      <w:r w:rsidR="00A87AF3">
        <w:t xml:space="preserve"> Working Group and ACGR</w:t>
      </w:r>
      <w:r w:rsidR="00FB2C89">
        <w:t>.</w:t>
      </w:r>
      <w:r w:rsidR="0037740A">
        <w:t xml:space="preserve"> At present, funding for a survey has not been identified.</w:t>
      </w:r>
    </w:p>
    <w:p w14:paraId="6BF9ACB2" w14:textId="77777777" w:rsidR="00F3302F" w:rsidRPr="00515D3C" w:rsidRDefault="00F3302F" w:rsidP="00F3302F">
      <w:pPr>
        <w:spacing w:after="0"/>
      </w:pPr>
    </w:p>
    <w:p w14:paraId="07A77E6B" w14:textId="77777777" w:rsidR="00225EBF" w:rsidRPr="00515D3C" w:rsidRDefault="00225EBF" w:rsidP="00225EBF">
      <w:pPr>
        <w:pStyle w:val="Heading3"/>
      </w:pPr>
      <w:r w:rsidRPr="00515D3C">
        <w:t>Next steps</w:t>
      </w:r>
    </w:p>
    <w:p w14:paraId="396D67CA" w14:textId="0D67FBB3" w:rsidR="00D632B0" w:rsidRPr="00515D3C" w:rsidRDefault="008B5198" w:rsidP="0037740A">
      <w:pPr>
        <w:spacing w:after="240"/>
      </w:pPr>
      <w:r>
        <w:t xml:space="preserve">Over the next reporting period the </w:t>
      </w:r>
      <w:r w:rsidR="002F0237">
        <w:t>department</w:t>
      </w:r>
      <w:r w:rsidR="0037740A">
        <w:t xml:space="preserve"> will liaise with universities </w:t>
      </w:r>
      <w:r w:rsidR="00643BCF">
        <w:t>about the internal surveys they presently use to benchmark the experience of current postgraduate students</w:t>
      </w:r>
      <w:r w:rsidR="0037740A">
        <w:t>.</w:t>
      </w:r>
      <w:r w:rsidR="00643BCF">
        <w:t xml:space="preserve"> Subject to the outcomes, the department will consider developing a business case for a wider survey of postgraduate research students.</w:t>
      </w:r>
    </w:p>
    <w:p w14:paraId="2F3BC235" w14:textId="627A1DD8" w:rsidR="00116C32" w:rsidRPr="00515D3C" w:rsidRDefault="00116C32" w:rsidP="0037139F">
      <w:pPr>
        <w:pStyle w:val="Heading2"/>
      </w:pPr>
      <w:bookmarkStart w:id="20" w:name="_Toc522100127"/>
      <w:r w:rsidRPr="00515D3C">
        <w:t>Action 4.2 National guidelines on the development, assessment and recognition of transferable skills</w:t>
      </w:r>
      <w:bookmarkEnd w:id="20"/>
    </w:p>
    <w:tbl>
      <w:tblPr>
        <w:tblStyle w:val="TableGrid"/>
        <w:tblW w:w="0" w:type="auto"/>
        <w:tblLook w:val="04A0" w:firstRow="1" w:lastRow="0" w:firstColumn="1" w:lastColumn="0" w:noHBand="0" w:noVBand="1"/>
      </w:tblPr>
      <w:tblGrid>
        <w:gridCol w:w="9016"/>
      </w:tblGrid>
      <w:tr w:rsidR="00EA0CEE" w:rsidRPr="00515D3C" w14:paraId="5C47AC12" w14:textId="77777777" w:rsidTr="00EA0CEE">
        <w:tc>
          <w:tcPr>
            <w:tcW w:w="9016" w:type="dxa"/>
          </w:tcPr>
          <w:p w14:paraId="1A1BAAA4" w14:textId="77777777" w:rsidR="00EA0CEE" w:rsidRPr="00515D3C" w:rsidRDefault="00EA0CEE" w:rsidP="00D77C7D">
            <w:pPr>
              <w:pStyle w:val="Heading3"/>
              <w:shd w:val="clear" w:color="auto" w:fill="auto"/>
              <w:spacing w:before="120" w:line="276" w:lineRule="auto"/>
              <w:outlineLvl w:val="2"/>
              <w:rPr>
                <w:b w:val="0"/>
              </w:rPr>
            </w:pPr>
            <w:r w:rsidRPr="00515D3C">
              <w:rPr>
                <w:b w:val="0"/>
              </w:rPr>
              <w:t>ACGR to develop a set of guidelines that define principles and the rationale of skills development, assessment and recognition, which are not too prescriptive.</w:t>
            </w:r>
          </w:p>
          <w:p w14:paraId="333A3D1F" w14:textId="1C64797B" w:rsidR="00EA0CEE" w:rsidRPr="00515D3C" w:rsidRDefault="00971C30" w:rsidP="00D77C7D">
            <w:pPr>
              <w:pStyle w:val="Heading3"/>
              <w:shd w:val="clear" w:color="auto" w:fill="auto"/>
              <w:spacing w:before="120" w:after="120" w:line="276" w:lineRule="auto"/>
              <w:outlineLvl w:val="2"/>
              <w:rPr>
                <w:rFonts w:ascii="Calibri" w:eastAsiaTheme="majorEastAsia" w:hAnsi="Calibri" w:cstheme="majorBidi"/>
                <w:b w:val="0"/>
                <w:bCs/>
              </w:rPr>
            </w:pPr>
            <w:r>
              <w:rPr>
                <w:b w:val="0"/>
              </w:rPr>
              <w:t>Responsibility:</w:t>
            </w:r>
            <w:r w:rsidR="00EA0CEE" w:rsidRPr="00515D3C">
              <w:rPr>
                <w:b w:val="0"/>
              </w:rPr>
              <w:t xml:space="preserve"> ACGR – by end 2018</w:t>
            </w:r>
          </w:p>
        </w:tc>
      </w:tr>
    </w:tbl>
    <w:p w14:paraId="627A9C9A" w14:textId="768A943B" w:rsidR="00EA0CEE" w:rsidRPr="00515D3C" w:rsidRDefault="00EA0CEE" w:rsidP="00EA0CEE">
      <w:pPr>
        <w:pStyle w:val="Heading3"/>
        <w:shd w:val="clear" w:color="auto" w:fill="auto"/>
        <w:rPr>
          <w:rFonts w:ascii="Calibri" w:eastAsiaTheme="majorEastAsia" w:hAnsi="Calibri" w:cstheme="majorBidi"/>
          <w:bCs/>
        </w:rPr>
      </w:pPr>
    </w:p>
    <w:p w14:paraId="00C2ACA3" w14:textId="77777777" w:rsidR="00225EBF" w:rsidRPr="00515D3C" w:rsidRDefault="00225EBF" w:rsidP="00225EBF">
      <w:pPr>
        <w:pStyle w:val="Heading3"/>
      </w:pPr>
      <w:r w:rsidRPr="00515D3C">
        <w:t>Status</w:t>
      </w:r>
    </w:p>
    <w:p w14:paraId="47658E61" w14:textId="13F8475F" w:rsidR="00225EBF" w:rsidRPr="00515D3C" w:rsidRDefault="00683221" w:rsidP="00225EBF">
      <w:r w:rsidRPr="00515D3C">
        <w:t>In progress</w:t>
      </w:r>
    </w:p>
    <w:p w14:paraId="1E13FCAD" w14:textId="77777777" w:rsidR="00225EBF" w:rsidRPr="00515D3C" w:rsidRDefault="00225EBF" w:rsidP="00225EBF">
      <w:pPr>
        <w:pStyle w:val="Heading3"/>
      </w:pPr>
      <w:r w:rsidRPr="00515D3C">
        <w:t>Progress to date</w:t>
      </w:r>
    </w:p>
    <w:p w14:paraId="324FB429" w14:textId="2027BC48" w:rsidR="00547980" w:rsidRDefault="00547980" w:rsidP="00241F62">
      <w:pPr>
        <w:spacing w:after="0"/>
      </w:pPr>
      <w:r w:rsidRPr="00515D3C">
        <w:t xml:space="preserve">Keynote presentations on transferable skills development and recognition were made at the ACGR International Meeting held in Vietnam in November 2017. At this meeting </w:t>
      </w:r>
      <w:r w:rsidR="008D0DB0" w:rsidRPr="00515D3C">
        <w:t>ACGR also</w:t>
      </w:r>
      <w:r w:rsidRPr="00515D3C">
        <w:t xml:space="preserve"> heard from international colleagues on their approaches to skills development within graduate research programs.</w:t>
      </w:r>
    </w:p>
    <w:p w14:paraId="47644EB2" w14:textId="706090B7" w:rsidR="00547980" w:rsidRPr="00515D3C" w:rsidRDefault="00515D86" w:rsidP="00202984">
      <w:pPr>
        <w:spacing w:before="120" w:after="120"/>
      </w:pPr>
      <w:r>
        <w:lastRenderedPageBreak/>
        <w:t>A</w:t>
      </w:r>
      <w:r w:rsidR="00547980" w:rsidRPr="00515D3C">
        <w:t xml:space="preserve">CGR members convened a focus session on this deliverable at the ACGR National Meeting on </w:t>
      </w:r>
      <w:r w:rsidR="00BD6D6A">
        <w:br/>
        <w:t>16 April 2018</w:t>
      </w:r>
      <w:r w:rsidR="00547980" w:rsidRPr="00515D3C">
        <w:t xml:space="preserve"> to scope the extent of these guidelines and determine an action plan for development. </w:t>
      </w:r>
      <w:r>
        <w:t>F</w:t>
      </w:r>
      <w:r w:rsidR="00547980" w:rsidRPr="00515D3C">
        <w:t>eedback was received t</w:t>
      </w:r>
      <w:r w:rsidR="00BD6D6A">
        <w:t>hat will form the basis of the guidelines</w:t>
      </w:r>
      <w:r w:rsidR="00547980" w:rsidRPr="00515D3C">
        <w:t>.</w:t>
      </w:r>
      <w:r>
        <w:t xml:space="preserve"> </w:t>
      </w:r>
      <w:r w:rsidR="00547980" w:rsidRPr="00515D3C">
        <w:t>A working group has been established and this task has been slated as a priority action for June – December 2018.</w:t>
      </w:r>
    </w:p>
    <w:p w14:paraId="1B3E888B" w14:textId="77777777" w:rsidR="00225EBF" w:rsidRPr="00515D3C" w:rsidRDefault="00225EBF" w:rsidP="00241F62">
      <w:pPr>
        <w:pStyle w:val="Heading3"/>
      </w:pPr>
      <w:r w:rsidRPr="00515D3C">
        <w:t>Next steps</w:t>
      </w:r>
    </w:p>
    <w:p w14:paraId="3D6595A4" w14:textId="5631AB65" w:rsidR="00225EBF" w:rsidRPr="0020543C" w:rsidRDefault="00547980" w:rsidP="00241F62">
      <w:pPr>
        <w:rPr>
          <w:color w:val="8193D1" w:themeColor="accent5" w:themeTint="99"/>
        </w:rPr>
      </w:pPr>
      <w:r w:rsidRPr="00515D3C">
        <w:t>New best practice guidelines will b</w:t>
      </w:r>
      <w:r w:rsidR="00241F62">
        <w:t xml:space="preserve">e drafted by the working group. </w:t>
      </w:r>
      <w:r w:rsidRPr="00515D3C">
        <w:t>These will then be debated at the next national meeting in Melbourne in November 2018 with the aim that they be finalised and approved by the end of December</w:t>
      </w:r>
      <w:r w:rsidR="00241F62">
        <w:t xml:space="preserve"> 2018</w:t>
      </w:r>
      <w:r w:rsidRPr="00515D3C">
        <w:t>.</w:t>
      </w:r>
    </w:p>
    <w:p w14:paraId="0BD35EFD" w14:textId="77777777" w:rsidR="0037139F" w:rsidRDefault="0037139F" w:rsidP="0037139F">
      <w:pPr>
        <w:pStyle w:val="Heading2"/>
      </w:pPr>
    </w:p>
    <w:p w14:paraId="49A6FE84" w14:textId="32B95A8B" w:rsidR="00906390" w:rsidRPr="00515D3C" w:rsidRDefault="00906390" w:rsidP="0037139F">
      <w:pPr>
        <w:pStyle w:val="Heading2"/>
      </w:pPr>
      <w:bookmarkStart w:id="21" w:name="_Toc522100128"/>
      <w:r w:rsidRPr="00515D3C">
        <w:t>Action 4.3 Refresh Good Practice Principles for Research Supervision</w:t>
      </w:r>
      <w:bookmarkEnd w:id="21"/>
    </w:p>
    <w:tbl>
      <w:tblPr>
        <w:tblStyle w:val="TableGrid"/>
        <w:tblW w:w="0" w:type="auto"/>
        <w:tblLook w:val="04A0" w:firstRow="1" w:lastRow="0" w:firstColumn="1" w:lastColumn="0" w:noHBand="0" w:noVBand="1"/>
      </w:tblPr>
      <w:tblGrid>
        <w:gridCol w:w="9016"/>
      </w:tblGrid>
      <w:tr w:rsidR="00EA0CEE" w:rsidRPr="00515D3C" w14:paraId="04230FFE" w14:textId="77777777" w:rsidTr="00EA0CEE">
        <w:tc>
          <w:tcPr>
            <w:tcW w:w="9016" w:type="dxa"/>
          </w:tcPr>
          <w:p w14:paraId="081D6721" w14:textId="77777777" w:rsidR="00EA0CEE" w:rsidRPr="00515D3C" w:rsidRDefault="00EA0CEE" w:rsidP="00D77C7D">
            <w:pPr>
              <w:pStyle w:val="Heading3"/>
              <w:shd w:val="clear" w:color="auto" w:fill="auto"/>
              <w:spacing w:before="120" w:after="120" w:line="276" w:lineRule="auto"/>
              <w:outlineLvl w:val="2"/>
              <w:rPr>
                <w:b w:val="0"/>
              </w:rPr>
            </w:pPr>
            <w:r w:rsidRPr="00515D3C">
              <w:rPr>
                <w:b w:val="0"/>
              </w:rPr>
              <w:t xml:space="preserve">ACGR to refresh the Good Practice Principles for Research Supervision to include increased focus on the development of students’ skills and attributes to reflect the aims of contemporary HDR training to equip students with employability skills and experience. (This action also relates to </w:t>
            </w:r>
            <w:r w:rsidRPr="00515D3C">
              <w:rPr>
                <w:b w:val="0"/>
                <w:i/>
              </w:rPr>
              <w:t>‘Section 3. Equity, including Indigenous participation’</w:t>
            </w:r>
            <w:r w:rsidRPr="00515D3C">
              <w:rPr>
                <w:b w:val="0"/>
              </w:rPr>
              <w:t>).</w:t>
            </w:r>
          </w:p>
          <w:p w14:paraId="2426EB71" w14:textId="3C27D8D9" w:rsidR="00EA0CEE" w:rsidRPr="00515D3C" w:rsidRDefault="00971C30" w:rsidP="00D77C7D">
            <w:pPr>
              <w:pStyle w:val="Heading3"/>
              <w:shd w:val="clear" w:color="auto" w:fill="auto"/>
              <w:spacing w:before="120" w:after="120" w:line="276" w:lineRule="auto"/>
              <w:outlineLvl w:val="2"/>
              <w:rPr>
                <w:rFonts w:ascii="Calibri" w:eastAsiaTheme="majorEastAsia" w:hAnsi="Calibri" w:cstheme="majorBidi"/>
                <w:b w:val="0"/>
                <w:bCs/>
              </w:rPr>
            </w:pPr>
            <w:r>
              <w:rPr>
                <w:b w:val="0"/>
              </w:rPr>
              <w:t xml:space="preserve">Responsibility: </w:t>
            </w:r>
            <w:r w:rsidR="00EA0CEE" w:rsidRPr="00515D3C">
              <w:rPr>
                <w:b w:val="0"/>
              </w:rPr>
              <w:t>ACGR – by March 2018</w:t>
            </w:r>
          </w:p>
        </w:tc>
      </w:tr>
    </w:tbl>
    <w:p w14:paraId="02D47BBB" w14:textId="66245B83" w:rsidR="00EA0CEE" w:rsidRPr="00515D3C" w:rsidRDefault="00EA0CEE" w:rsidP="00EA0CEE">
      <w:pPr>
        <w:pStyle w:val="Heading3"/>
        <w:shd w:val="clear" w:color="auto" w:fill="auto"/>
        <w:rPr>
          <w:rFonts w:ascii="Calibri" w:eastAsiaTheme="majorEastAsia" w:hAnsi="Calibri" w:cstheme="majorBidi"/>
          <w:bCs/>
        </w:rPr>
      </w:pPr>
    </w:p>
    <w:p w14:paraId="5B63816A" w14:textId="77777777" w:rsidR="00225EBF" w:rsidRPr="00515D3C" w:rsidRDefault="00225EBF" w:rsidP="00225EBF">
      <w:pPr>
        <w:pStyle w:val="Heading3"/>
      </w:pPr>
      <w:r w:rsidRPr="00515D3C">
        <w:t>Status</w:t>
      </w:r>
    </w:p>
    <w:p w14:paraId="1368A8C9" w14:textId="6DA1C14C" w:rsidR="00225EBF" w:rsidRPr="00515D3C" w:rsidRDefault="00225EBF" w:rsidP="00225EBF">
      <w:r w:rsidRPr="00515D3C">
        <w:t>Complete</w:t>
      </w:r>
    </w:p>
    <w:p w14:paraId="311FE25D" w14:textId="77777777" w:rsidR="00225EBF" w:rsidRPr="00515D3C" w:rsidRDefault="00225EBF" w:rsidP="00225EBF">
      <w:pPr>
        <w:pStyle w:val="Heading3"/>
      </w:pPr>
      <w:r w:rsidRPr="00515D3C">
        <w:t>Progress to date</w:t>
      </w:r>
    </w:p>
    <w:p w14:paraId="71B24D3B" w14:textId="77777777" w:rsidR="005B4394" w:rsidRDefault="005B4394" w:rsidP="0020543C">
      <w:r>
        <w:t>A draft revision to the Supervision section of the Good Practice Principles was prepared for endorsement by the Executive Committee. It was then presented to the membership for approval at the National ACGR meeting in November 2018 and fully endorsed.</w:t>
      </w:r>
    </w:p>
    <w:p w14:paraId="29EC3F14" w14:textId="65BF2E82" w:rsidR="00A5254D" w:rsidRDefault="0020543C" w:rsidP="0020543C">
      <w:r>
        <w:t xml:space="preserve">The </w:t>
      </w:r>
      <w:r w:rsidRPr="0020543C">
        <w:t xml:space="preserve">Good Practice Principles for </w:t>
      </w:r>
      <w:r w:rsidR="000A3253">
        <w:t>Graduate Research</w:t>
      </w:r>
      <w:r w:rsidR="00BD76E3">
        <w:t xml:space="preserve"> are available at</w:t>
      </w:r>
      <w:r w:rsidR="000A3253">
        <w:t xml:space="preserve"> </w:t>
      </w:r>
      <w:hyperlink r:id="rId24" w:history="1">
        <w:r w:rsidR="000A3253" w:rsidRPr="00E730FC">
          <w:rPr>
            <w:rStyle w:val="Hyperlink"/>
          </w:rPr>
          <w:t>https://www.ddogs.edu.au/good-practice-principles</w:t>
        </w:r>
      </w:hyperlink>
      <w:r w:rsidR="000A3253">
        <w:t>.</w:t>
      </w:r>
    </w:p>
    <w:p w14:paraId="26C94C1C" w14:textId="77777777" w:rsidR="00225EBF" w:rsidRPr="00515D3C" w:rsidRDefault="00225EBF" w:rsidP="00225EBF">
      <w:pPr>
        <w:pStyle w:val="Heading3"/>
      </w:pPr>
      <w:r w:rsidRPr="00515D3C">
        <w:t>Next steps</w:t>
      </w:r>
    </w:p>
    <w:p w14:paraId="1BD7A1BC" w14:textId="74FA0135" w:rsidR="00225EBF" w:rsidRDefault="002E614A" w:rsidP="00225EBF">
      <w:r>
        <w:t>This action is now complete.</w:t>
      </w:r>
    </w:p>
    <w:p w14:paraId="360D3475" w14:textId="77777777" w:rsidR="0037139F" w:rsidRDefault="0037139F" w:rsidP="00225EBF"/>
    <w:p w14:paraId="1AE5A39D" w14:textId="3D4C4410" w:rsidR="00621112" w:rsidRPr="00515D3C" w:rsidRDefault="00906390" w:rsidP="0037139F">
      <w:pPr>
        <w:pStyle w:val="Heading2"/>
      </w:pPr>
      <w:bookmarkStart w:id="22" w:name="_Toc522100129"/>
      <w:r w:rsidRPr="00515D3C">
        <w:t>Action 4.4 Better address HDR supervision responsibilities in academic performance expectations</w:t>
      </w:r>
      <w:bookmarkEnd w:id="22"/>
    </w:p>
    <w:tbl>
      <w:tblPr>
        <w:tblStyle w:val="TableGrid"/>
        <w:tblW w:w="0" w:type="auto"/>
        <w:tblLook w:val="04A0" w:firstRow="1" w:lastRow="0" w:firstColumn="1" w:lastColumn="0" w:noHBand="0" w:noVBand="1"/>
      </w:tblPr>
      <w:tblGrid>
        <w:gridCol w:w="9016"/>
      </w:tblGrid>
      <w:tr w:rsidR="00EA0CEE" w:rsidRPr="00515D3C" w14:paraId="61020181" w14:textId="77777777" w:rsidTr="00EA0CEE">
        <w:tc>
          <w:tcPr>
            <w:tcW w:w="9016" w:type="dxa"/>
          </w:tcPr>
          <w:p w14:paraId="5334C2F5" w14:textId="77777777" w:rsidR="00EA0CEE" w:rsidRPr="00515D3C" w:rsidRDefault="00EA0CEE" w:rsidP="00D77C7D">
            <w:pPr>
              <w:spacing w:before="120" w:line="276" w:lineRule="auto"/>
            </w:pPr>
            <w:r w:rsidRPr="00515D3C">
              <w:t>ACGR to develop guidelines to support universities to better manage and reward performance at the institutional level, including:</w:t>
            </w:r>
          </w:p>
          <w:p w14:paraId="2A28084C" w14:textId="77777777" w:rsidR="00EA0CEE" w:rsidRPr="00515D3C" w:rsidRDefault="00EA0CEE" w:rsidP="00D77C7D">
            <w:pPr>
              <w:numPr>
                <w:ilvl w:val="0"/>
                <w:numId w:val="5"/>
              </w:numPr>
              <w:spacing w:line="276" w:lineRule="auto"/>
            </w:pPr>
            <w:r w:rsidRPr="00515D3C">
              <w:t>formal inclusion of monitoring of research supervision performance in performance reviews</w:t>
            </w:r>
          </w:p>
          <w:p w14:paraId="5CD31689" w14:textId="77777777" w:rsidR="00EA0CEE" w:rsidRPr="00515D3C" w:rsidRDefault="00EA0CEE" w:rsidP="00D77C7D">
            <w:pPr>
              <w:numPr>
                <w:ilvl w:val="0"/>
                <w:numId w:val="5"/>
              </w:numPr>
              <w:spacing w:line="276" w:lineRule="auto"/>
            </w:pPr>
            <w:r w:rsidRPr="00515D3C">
              <w:t>the development of metrics to inform regular performance reviews and other processes such as academic promotion</w:t>
            </w:r>
          </w:p>
          <w:p w14:paraId="29147830" w14:textId="77777777" w:rsidR="00EA0CEE" w:rsidRPr="00515D3C" w:rsidRDefault="00EA0CEE" w:rsidP="00D77C7D">
            <w:pPr>
              <w:numPr>
                <w:ilvl w:val="0"/>
                <w:numId w:val="5"/>
              </w:numPr>
              <w:spacing w:line="276" w:lineRule="auto"/>
            </w:pPr>
            <w:r w:rsidRPr="00515D3C">
              <w:lastRenderedPageBreak/>
              <w:t>clear processes for de-registration of supervisors who consistently fail to meet performance expectations</w:t>
            </w:r>
          </w:p>
          <w:p w14:paraId="11538AEE" w14:textId="77777777" w:rsidR="00EA0CEE" w:rsidRPr="00515D3C" w:rsidRDefault="00EA0CEE" w:rsidP="00D77C7D">
            <w:pPr>
              <w:numPr>
                <w:ilvl w:val="0"/>
                <w:numId w:val="5"/>
              </w:numPr>
              <w:spacing w:line="276" w:lineRule="auto"/>
            </w:pPr>
            <w:proofErr w:type="gramStart"/>
            <w:r w:rsidRPr="00515D3C">
              <w:t>reviewing</w:t>
            </w:r>
            <w:proofErr w:type="gramEnd"/>
            <w:r w:rsidRPr="00515D3C">
              <w:t xml:space="preserve"> university career structures and academic promotion processes to appropriately recognise industry engagement as well as traditional scholarly outputs.</w:t>
            </w:r>
          </w:p>
          <w:p w14:paraId="77CFFEE2" w14:textId="77777777" w:rsidR="00EA0CEE" w:rsidRPr="00515D3C" w:rsidRDefault="00EA0CEE" w:rsidP="00D77C7D">
            <w:pPr>
              <w:numPr>
                <w:ilvl w:val="0"/>
                <w:numId w:val="5"/>
              </w:numPr>
              <w:spacing w:line="276" w:lineRule="auto"/>
            </w:pPr>
            <w:proofErr w:type="gramStart"/>
            <w:r w:rsidRPr="00515D3C">
              <w:t>reviewing</w:t>
            </w:r>
            <w:proofErr w:type="gramEnd"/>
            <w:r w:rsidRPr="00515D3C">
              <w:t xml:space="preserve"> supervision registration processes and levels to appropriately recognise industry engagement as well as traditional scholarly outputs by HDR candidates.</w:t>
            </w:r>
          </w:p>
          <w:p w14:paraId="60090BF4" w14:textId="77777777" w:rsidR="00EA0CEE" w:rsidRPr="00515D3C" w:rsidRDefault="00EA0CEE" w:rsidP="00D77C7D">
            <w:pPr>
              <w:spacing w:line="276" w:lineRule="auto"/>
              <w:ind w:left="720"/>
            </w:pPr>
          </w:p>
          <w:p w14:paraId="1AC3B4F6" w14:textId="699EE298" w:rsidR="00EA0CEE" w:rsidRPr="00515D3C" w:rsidRDefault="00971C30" w:rsidP="00D77C7D">
            <w:pPr>
              <w:spacing w:after="120" w:line="276" w:lineRule="auto"/>
            </w:pPr>
            <w:r>
              <w:t>Responsibility:</w:t>
            </w:r>
            <w:r w:rsidR="00EA0CEE" w:rsidRPr="00515D3C">
              <w:t xml:space="preserve"> ACGR – by July 2018</w:t>
            </w:r>
          </w:p>
        </w:tc>
      </w:tr>
    </w:tbl>
    <w:p w14:paraId="2B17CC67" w14:textId="77777777" w:rsidR="00225EBF" w:rsidRPr="00515D3C" w:rsidRDefault="00225EBF" w:rsidP="00CD152C">
      <w:pPr>
        <w:spacing w:after="120"/>
      </w:pPr>
    </w:p>
    <w:p w14:paraId="37F0FF27" w14:textId="77777777" w:rsidR="00225EBF" w:rsidRPr="00515D3C" w:rsidRDefault="00225EBF" w:rsidP="00225EBF">
      <w:pPr>
        <w:pStyle w:val="Heading3"/>
      </w:pPr>
      <w:r w:rsidRPr="00515D3C">
        <w:t>Status</w:t>
      </w:r>
    </w:p>
    <w:p w14:paraId="3379499E" w14:textId="282FF781" w:rsidR="00225EBF" w:rsidRPr="00515D3C" w:rsidRDefault="006047CE" w:rsidP="00225EBF">
      <w:r>
        <w:t>Complete</w:t>
      </w:r>
      <w:r w:rsidR="00225EBF" w:rsidRPr="00515D3C">
        <w:t xml:space="preserve"> </w:t>
      </w:r>
    </w:p>
    <w:p w14:paraId="4F0A130E" w14:textId="77777777" w:rsidR="00225EBF" w:rsidRPr="00515D3C" w:rsidRDefault="00225EBF" w:rsidP="00225EBF">
      <w:pPr>
        <w:pStyle w:val="Heading3"/>
      </w:pPr>
      <w:r w:rsidRPr="00515D3C">
        <w:t>Progress to date</w:t>
      </w:r>
    </w:p>
    <w:p w14:paraId="25B76FF2" w14:textId="066FF119" w:rsidR="00106B53" w:rsidRPr="00515D3C" w:rsidRDefault="00106B53" w:rsidP="007234FF">
      <w:pPr>
        <w:spacing w:after="0"/>
      </w:pPr>
      <w:r w:rsidRPr="00515D3C">
        <w:t xml:space="preserve">ACGR has convened two forums on this deliverable. The first included a panel discussion at </w:t>
      </w:r>
      <w:r w:rsidR="007234FF">
        <w:t xml:space="preserve">ACGR’s </w:t>
      </w:r>
      <w:r w:rsidRPr="00515D3C">
        <w:t>international meeting in Vietnam in November 2017</w:t>
      </w:r>
      <w:r w:rsidR="007234FF">
        <w:t>,</w:t>
      </w:r>
      <w:r w:rsidRPr="00515D3C">
        <w:t xml:space="preserve"> and this was foll</w:t>
      </w:r>
      <w:r w:rsidR="007234FF">
        <w:t>owed by a working session at its</w:t>
      </w:r>
      <w:r w:rsidRPr="00515D3C">
        <w:t xml:space="preserve"> national meeting in Adelaide in April 2018 to debate potential inclusions in the guidelines. </w:t>
      </w:r>
    </w:p>
    <w:p w14:paraId="6186DA90" w14:textId="77777777" w:rsidR="00133CA5" w:rsidRDefault="007234FF" w:rsidP="00133CA5">
      <w:pPr>
        <w:spacing w:after="240"/>
      </w:pPr>
      <w:r>
        <w:t>A</w:t>
      </w:r>
      <w:r w:rsidR="00106B53" w:rsidRPr="00515D3C">
        <w:t>CGR</w:t>
      </w:r>
      <w:r>
        <w:t xml:space="preserve"> has </w:t>
      </w:r>
      <w:r w:rsidR="00416189">
        <w:t xml:space="preserve">now </w:t>
      </w:r>
      <w:r w:rsidR="00106B53" w:rsidRPr="00515D3C">
        <w:t>drafted a set of Good Practice Guidelines on Supervisory Performance which are to be read in association with the Graduate Research Good Practice Principle 5 on Graduate Research Supervision</w:t>
      </w:r>
      <w:r>
        <w:t xml:space="preserve">. </w:t>
      </w:r>
      <w:r w:rsidR="00106B53" w:rsidRPr="00515D3C">
        <w:t>The draft was circulated for feedback from all me</w:t>
      </w:r>
      <w:r>
        <w:t>mbers and subsequently refined, and t</w:t>
      </w:r>
      <w:r w:rsidR="00106B53" w:rsidRPr="00515D3C">
        <w:t xml:space="preserve">he final draft of </w:t>
      </w:r>
      <w:r>
        <w:t xml:space="preserve">the </w:t>
      </w:r>
      <w:r w:rsidR="00106B53" w:rsidRPr="00515D3C">
        <w:t xml:space="preserve">Guidelines </w:t>
      </w:r>
      <w:r w:rsidR="00645EA6">
        <w:t>was</w:t>
      </w:r>
      <w:r w:rsidR="00106B53" w:rsidRPr="00515D3C">
        <w:t xml:space="preserve"> review</w:t>
      </w:r>
      <w:r w:rsidR="00645EA6">
        <w:t>ed and endorsed</w:t>
      </w:r>
      <w:r w:rsidR="00106B53" w:rsidRPr="00515D3C">
        <w:t xml:space="preserve"> by the Executive Committee</w:t>
      </w:r>
      <w:r w:rsidR="00645EA6">
        <w:t xml:space="preserve"> in June and has been published on the ACGR website</w:t>
      </w:r>
      <w:r w:rsidR="00106B53" w:rsidRPr="00515D3C">
        <w:t>.</w:t>
      </w:r>
    </w:p>
    <w:p w14:paraId="599B0451" w14:textId="71A81EE1" w:rsidR="00133CA5" w:rsidRDefault="00133CA5" w:rsidP="00133CA5">
      <w:r>
        <w:t xml:space="preserve">The Guidelines for Quality Graduate Research Supervision are available at </w:t>
      </w:r>
      <w:hyperlink r:id="rId25" w:history="1">
        <w:r w:rsidRPr="003F40A2">
          <w:rPr>
            <w:rStyle w:val="Hyperlink"/>
          </w:rPr>
          <w:t>https://www.ddogs.edu.au/copy-of-guidelines</w:t>
        </w:r>
      </w:hyperlink>
    </w:p>
    <w:p w14:paraId="554BD5D1" w14:textId="77777777" w:rsidR="00225EBF" w:rsidRPr="00515D3C" w:rsidRDefault="00225EBF" w:rsidP="00225EBF">
      <w:pPr>
        <w:pStyle w:val="Heading3"/>
      </w:pPr>
      <w:r w:rsidRPr="00515D3C">
        <w:t>Next steps</w:t>
      </w:r>
    </w:p>
    <w:p w14:paraId="74E09987" w14:textId="143B739F" w:rsidR="00106B53" w:rsidRPr="00515D3C" w:rsidRDefault="00645EA6" w:rsidP="007234FF">
      <w:r>
        <w:t>This action is now complete.</w:t>
      </w:r>
    </w:p>
    <w:p w14:paraId="67DC91B8" w14:textId="261FC00F" w:rsidR="005170DF" w:rsidRPr="00515D3C" w:rsidRDefault="005170DF">
      <w:pPr>
        <w:rPr>
          <w:rFonts w:ascii="Calibri" w:eastAsiaTheme="majorEastAsia" w:hAnsi="Calibri" w:cstheme="majorBidi"/>
          <w:b/>
          <w:bCs/>
          <w:color w:val="522761"/>
          <w:sz w:val="28"/>
          <w:szCs w:val="28"/>
        </w:rPr>
      </w:pPr>
      <w:r w:rsidRPr="00515D3C">
        <w:br w:type="page"/>
      </w:r>
    </w:p>
    <w:p w14:paraId="573C7485" w14:textId="31ADE93D" w:rsidR="009942BD" w:rsidRPr="00515D3C" w:rsidRDefault="009942BD" w:rsidP="009942BD">
      <w:pPr>
        <w:pStyle w:val="Heading1"/>
      </w:pPr>
      <w:bookmarkStart w:id="23" w:name="_Toc522100130"/>
      <w:r w:rsidRPr="00515D3C">
        <w:lastRenderedPageBreak/>
        <w:t>Priority Issue 5: Data and evidence to better monitor HDR system performance</w:t>
      </w:r>
      <w:bookmarkEnd w:id="23"/>
    </w:p>
    <w:p w14:paraId="7B693697" w14:textId="37551CBE" w:rsidR="00C6345E" w:rsidRPr="00515D3C" w:rsidRDefault="00C6345E" w:rsidP="0037139F">
      <w:pPr>
        <w:pStyle w:val="Heading2"/>
      </w:pPr>
      <w:bookmarkStart w:id="24" w:name="_Toc522100131"/>
      <w:r w:rsidRPr="00515D3C">
        <w:t>Action 5.1 Prospective cohort studies</w:t>
      </w:r>
      <w:bookmarkEnd w:id="24"/>
    </w:p>
    <w:tbl>
      <w:tblPr>
        <w:tblStyle w:val="TableGrid"/>
        <w:tblW w:w="0" w:type="auto"/>
        <w:tblLook w:val="04A0" w:firstRow="1" w:lastRow="0" w:firstColumn="1" w:lastColumn="0" w:noHBand="0" w:noVBand="1"/>
      </w:tblPr>
      <w:tblGrid>
        <w:gridCol w:w="9016"/>
      </w:tblGrid>
      <w:tr w:rsidR="00EA0CEE" w:rsidRPr="00515D3C" w14:paraId="10032DB3" w14:textId="77777777" w:rsidTr="00EA0CEE">
        <w:tc>
          <w:tcPr>
            <w:tcW w:w="9016" w:type="dxa"/>
          </w:tcPr>
          <w:p w14:paraId="0B87C57D" w14:textId="77777777" w:rsidR="00EA0CEE" w:rsidRPr="00515D3C" w:rsidRDefault="00EA0CEE" w:rsidP="00D77C7D">
            <w:pPr>
              <w:pStyle w:val="Heading3"/>
              <w:shd w:val="clear" w:color="auto" w:fill="auto"/>
              <w:spacing w:before="120" w:line="276" w:lineRule="auto"/>
              <w:outlineLvl w:val="2"/>
              <w:rPr>
                <w:b w:val="0"/>
              </w:rPr>
            </w:pPr>
            <w:r w:rsidRPr="00515D3C">
              <w:rPr>
                <w:b w:val="0"/>
              </w:rPr>
              <w:t>DET to develop a methodology to undertake cohort studies, subject to funding availability, drawing on consultation with relevant experts in the sector who have undertaken such studies.</w:t>
            </w:r>
          </w:p>
          <w:p w14:paraId="1EADE3A7" w14:textId="32B44314" w:rsidR="00EA0CEE" w:rsidRPr="00515D3C" w:rsidRDefault="00971C30" w:rsidP="00D77C7D">
            <w:pPr>
              <w:pStyle w:val="Heading3"/>
              <w:shd w:val="clear" w:color="auto" w:fill="auto"/>
              <w:spacing w:before="120" w:after="120" w:line="276" w:lineRule="auto"/>
              <w:outlineLvl w:val="2"/>
              <w:rPr>
                <w:rFonts w:ascii="Calibri" w:eastAsiaTheme="majorEastAsia" w:hAnsi="Calibri" w:cstheme="majorBidi"/>
                <w:b w:val="0"/>
                <w:bCs/>
              </w:rPr>
            </w:pPr>
            <w:r>
              <w:rPr>
                <w:b w:val="0"/>
              </w:rPr>
              <w:t>Responsibility:</w:t>
            </w:r>
            <w:r w:rsidR="00EA0CEE" w:rsidRPr="00515D3C">
              <w:rPr>
                <w:b w:val="0"/>
              </w:rPr>
              <w:t xml:space="preserve"> DET, in consultation with relevant sector experts – by April 2019</w:t>
            </w:r>
          </w:p>
        </w:tc>
      </w:tr>
    </w:tbl>
    <w:p w14:paraId="05B60DEE" w14:textId="65DBDAEB" w:rsidR="00C6345E" w:rsidRPr="00515D3C" w:rsidRDefault="00C6345E" w:rsidP="00EA0CEE">
      <w:pPr>
        <w:pStyle w:val="Heading3"/>
        <w:shd w:val="clear" w:color="auto" w:fill="auto"/>
        <w:rPr>
          <w:rFonts w:ascii="Calibri" w:eastAsiaTheme="majorEastAsia" w:hAnsi="Calibri" w:cstheme="majorBidi"/>
          <w:bCs/>
        </w:rPr>
      </w:pPr>
    </w:p>
    <w:p w14:paraId="288DA576" w14:textId="77777777" w:rsidR="008173C9" w:rsidRPr="00515D3C" w:rsidRDefault="008173C9" w:rsidP="008173C9">
      <w:pPr>
        <w:pStyle w:val="Heading3"/>
      </w:pPr>
      <w:r w:rsidRPr="00515D3C">
        <w:t>Status</w:t>
      </w:r>
    </w:p>
    <w:p w14:paraId="5D115EA8" w14:textId="4ED65BFB" w:rsidR="008173C9" w:rsidRPr="00515D3C" w:rsidRDefault="00D90BA6" w:rsidP="008173C9">
      <w:r w:rsidRPr="00515D3C">
        <w:t>In progress</w:t>
      </w:r>
    </w:p>
    <w:p w14:paraId="7E694C1D" w14:textId="77777777" w:rsidR="008173C9" w:rsidRPr="00515D3C" w:rsidRDefault="008173C9" w:rsidP="008173C9">
      <w:pPr>
        <w:pStyle w:val="Heading3"/>
      </w:pPr>
      <w:r w:rsidRPr="00515D3C">
        <w:t>Progress to date</w:t>
      </w:r>
    </w:p>
    <w:p w14:paraId="7FF6F080" w14:textId="5B9EF848" w:rsidR="00113627" w:rsidRPr="00515D3C" w:rsidRDefault="00322356" w:rsidP="00113627">
      <w:pPr>
        <w:rPr>
          <w:color w:val="000000" w:themeColor="text1"/>
        </w:rPr>
      </w:pPr>
      <w:r>
        <w:rPr>
          <w:color w:val="000000" w:themeColor="text1"/>
        </w:rPr>
        <w:t>The department</w:t>
      </w:r>
      <w:r w:rsidR="00113627" w:rsidRPr="00515D3C">
        <w:rPr>
          <w:color w:val="000000" w:themeColor="text1"/>
        </w:rPr>
        <w:t xml:space="preserve"> has an existing cohort analysis methodology used to undertake cohort analyses of domestic bachelor students. The cohort study methodology uses student data from the HEDC to provide an overview of student outcomes four, six and nine years after students commenced a course. More information on this cohort study and the methodology is available at </w:t>
      </w:r>
      <w:hyperlink r:id="rId26" w:history="1">
        <w:r w:rsidR="00113627" w:rsidRPr="00515D3C">
          <w:rPr>
            <w:rStyle w:val="Hyperlink"/>
          </w:rPr>
          <w:t>https://www.education.gov.au/completion-rates-cohort-analyses</w:t>
        </w:r>
      </w:hyperlink>
      <w:r w:rsidR="00113627" w:rsidRPr="00515D3C">
        <w:rPr>
          <w:color w:val="000000" w:themeColor="text1"/>
        </w:rPr>
        <w:t>.</w:t>
      </w:r>
    </w:p>
    <w:p w14:paraId="3F754A06" w14:textId="1F1B76B1" w:rsidR="00113627" w:rsidRPr="00515D3C" w:rsidRDefault="00E27A92" w:rsidP="00113627">
      <w:pPr>
        <w:rPr>
          <w:color w:val="000000" w:themeColor="text1"/>
        </w:rPr>
      </w:pPr>
      <w:r>
        <w:rPr>
          <w:color w:val="000000" w:themeColor="text1"/>
        </w:rPr>
        <w:t>The department</w:t>
      </w:r>
      <w:r w:rsidR="00113627" w:rsidRPr="00515D3C">
        <w:rPr>
          <w:color w:val="000000" w:themeColor="text1"/>
        </w:rPr>
        <w:t xml:space="preserve"> is </w:t>
      </w:r>
      <w:r w:rsidR="00157A82">
        <w:rPr>
          <w:color w:val="000000" w:themeColor="text1"/>
        </w:rPr>
        <w:t>exploring</w:t>
      </w:r>
      <w:r w:rsidR="00113627" w:rsidRPr="00515D3C">
        <w:rPr>
          <w:color w:val="000000" w:themeColor="text1"/>
        </w:rPr>
        <w:t xml:space="preserve"> the use of this methodology to undertake a cohort study o</w:t>
      </w:r>
      <w:r w:rsidR="00322356">
        <w:rPr>
          <w:color w:val="000000" w:themeColor="text1"/>
        </w:rPr>
        <w:t>f domestic HDR</w:t>
      </w:r>
      <w:r w:rsidR="00113627" w:rsidRPr="00515D3C">
        <w:rPr>
          <w:color w:val="000000" w:themeColor="text1"/>
        </w:rPr>
        <w:t xml:space="preserve"> students</w:t>
      </w:r>
      <w:r w:rsidR="00157A82">
        <w:rPr>
          <w:color w:val="000000" w:themeColor="text1"/>
        </w:rPr>
        <w:t>. Some minor modifications will</w:t>
      </w:r>
      <w:r w:rsidR="00113627" w:rsidRPr="00515D3C">
        <w:rPr>
          <w:color w:val="000000" w:themeColor="text1"/>
        </w:rPr>
        <w:t xml:space="preserve"> need to be made to the methodology to ensure that HDR students can be appropriately tracked using student and Commonwealth identification numbers, and to target specific areas of HDR training performance.</w:t>
      </w:r>
    </w:p>
    <w:p w14:paraId="11A594D6" w14:textId="0CDDFA0E" w:rsidR="00113627" w:rsidRPr="00515D3C" w:rsidRDefault="00AB5124" w:rsidP="00113627">
      <w:pPr>
        <w:rPr>
          <w:color w:val="000000" w:themeColor="text1"/>
        </w:rPr>
      </w:pPr>
      <w:r>
        <w:rPr>
          <w:color w:val="000000" w:themeColor="text1"/>
        </w:rPr>
        <w:t>The department</w:t>
      </w:r>
      <w:r w:rsidR="00113627" w:rsidRPr="00515D3C">
        <w:rPr>
          <w:color w:val="000000" w:themeColor="text1"/>
        </w:rPr>
        <w:t xml:space="preserve">’s cohort study methodology is limited to existing data sets for </w:t>
      </w:r>
      <w:r w:rsidR="008776EE">
        <w:rPr>
          <w:color w:val="000000" w:themeColor="text1"/>
        </w:rPr>
        <w:t>enrolled and completed students. Given the need to minimise the administrative burden for universities, in the first instance the department is exploring what can be achieved with existing data.</w:t>
      </w:r>
      <w:r w:rsidR="00D74468">
        <w:rPr>
          <w:color w:val="000000" w:themeColor="text1"/>
        </w:rPr>
        <w:t xml:space="preserve"> </w:t>
      </w:r>
    </w:p>
    <w:p w14:paraId="329CE772" w14:textId="77777777" w:rsidR="008173C9" w:rsidRPr="00515D3C" w:rsidRDefault="008173C9" w:rsidP="008173C9">
      <w:pPr>
        <w:pStyle w:val="Heading3"/>
      </w:pPr>
      <w:r w:rsidRPr="00515D3C">
        <w:t>Next steps</w:t>
      </w:r>
    </w:p>
    <w:p w14:paraId="2D47F18C" w14:textId="0767BDDD" w:rsidR="00113627" w:rsidRPr="00515D3C" w:rsidRDefault="00AB5124" w:rsidP="00113627">
      <w:pPr>
        <w:rPr>
          <w:color w:val="000000" w:themeColor="text1"/>
        </w:rPr>
      </w:pPr>
      <w:r>
        <w:rPr>
          <w:color w:val="000000" w:themeColor="text1"/>
        </w:rPr>
        <w:t>The department</w:t>
      </w:r>
      <w:r w:rsidR="00E27A92">
        <w:rPr>
          <w:color w:val="000000" w:themeColor="text1"/>
        </w:rPr>
        <w:t xml:space="preserve"> will</w:t>
      </w:r>
      <w:r w:rsidR="00113627" w:rsidRPr="00515D3C">
        <w:rPr>
          <w:color w:val="000000" w:themeColor="text1"/>
        </w:rPr>
        <w:t xml:space="preserve"> further investigate use of </w:t>
      </w:r>
      <w:r w:rsidR="00E27A92">
        <w:rPr>
          <w:color w:val="000000" w:themeColor="text1"/>
        </w:rPr>
        <w:t xml:space="preserve">the </w:t>
      </w:r>
      <w:r w:rsidR="00113627" w:rsidRPr="00515D3C">
        <w:rPr>
          <w:color w:val="000000" w:themeColor="text1"/>
        </w:rPr>
        <w:t>existing cohort analysis methodology, and subject to funding availability, undertake the first HDR cohort analysis by April 2019</w:t>
      </w:r>
      <w:r w:rsidR="004A691B">
        <w:rPr>
          <w:color w:val="000000" w:themeColor="text1"/>
        </w:rPr>
        <w:t xml:space="preserve"> in collaboration with sector experts</w:t>
      </w:r>
      <w:r w:rsidR="00113627" w:rsidRPr="00515D3C">
        <w:rPr>
          <w:color w:val="000000" w:themeColor="text1"/>
        </w:rPr>
        <w:t>.</w:t>
      </w:r>
      <w:r w:rsidR="00E27A92">
        <w:rPr>
          <w:color w:val="000000" w:themeColor="text1"/>
        </w:rPr>
        <w:t xml:space="preserve"> </w:t>
      </w:r>
      <w:r w:rsidR="00113627" w:rsidRPr="00515D3C">
        <w:rPr>
          <w:color w:val="000000" w:themeColor="text1"/>
        </w:rPr>
        <w:t xml:space="preserve"> </w:t>
      </w:r>
    </w:p>
    <w:p w14:paraId="5395A30C" w14:textId="04BF97DC" w:rsidR="00091533" w:rsidRPr="00515D3C" w:rsidRDefault="00091533" w:rsidP="0037139F">
      <w:pPr>
        <w:pStyle w:val="Heading2"/>
      </w:pPr>
      <w:bookmarkStart w:id="25" w:name="_Toc522100132"/>
      <w:r w:rsidRPr="00515D3C">
        <w:t>Action 5.2 Expanding CHESSN reporting</w:t>
      </w:r>
      <w:bookmarkEnd w:id="25"/>
    </w:p>
    <w:tbl>
      <w:tblPr>
        <w:tblStyle w:val="TableGrid"/>
        <w:tblW w:w="0" w:type="auto"/>
        <w:tblLook w:val="04A0" w:firstRow="1" w:lastRow="0" w:firstColumn="1" w:lastColumn="0" w:noHBand="0" w:noVBand="1"/>
      </w:tblPr>
      <w:tblGrid>
        <w:gridCol w:w="9016"/>
      </w:tblGrid>
      <w:tr w:rsidR="00EA0CEE" w:rsidRPr="00515D3C" w14:paraId="06987DBD" w14:textId="77777777" w:rsidTr="00EA0CEE">
        <w:tc>
          <w:tcPr>
            <w:tcW w:w="9016" w:type="dxa"/>
          </w:tcPr>
          <w:p w14:paraId="3BD2471D" w14:textId="77777777" w:rsidR="00EA0CEE" w:rsidRPr="00515D3C" w:rsidRDefault="00EA0CEE" w:rsidP="00EA0CEE">
            <w:pPr>
              <w:pStyle w:val="Heading3"/>
              <w:shd w:val="clear" w:color="auto" w:fill="auto"/>
              <w:spacing w:before="120"/>
              <w:outlineLvl w:val="2"/>
              <w:rPr>
                <w:b w:val="0"/>
              </w:rPr>
            </w:pPr>
            <w:r w:rsidRPr="00515D3C">
              <w:rPr>
                <w:b w:val="0"/>
              </w:rPr>
              <w:t>Subject to legislative and other implementation requirements, extend mandatory CHESSN reporting to international HDR students receiving support under the RTP, and encourage universities to also collect and report CHESSNs for all HDR students not supported through the RTP.</w:t>
            </w:r>
          </w:p>
          <w:p w14:paraId="00B04D77" w14:textId="1CEC4420" w:rsidR="00EA0CEE" w:rsidRPr="00515D3C" w:rsidRDefault="00EA0CEE" w:rsidP="00EA0CEE">
            <w:pPr>
              <w:pStyle w:val="Heading3"/>
              <w:shd w:val="clear" w:color="auto" w:fill="auto"/>
              <w:spacing w:before="120" w:after="120"/>
              <w:outlineLvl w:val="2"/>
              <w:rPr>
                <w:rFonts w:ascii="Calibri" w:eastAsiaTheme="majorEastAsia" w:hAnsi="Calibri" w:cstheme="majorBidi"/>
                <w:b w:val="0"/>
                <w:bCs/>
              </w:rPr>
            </w:pPr>
            <w:r w:rsidRPr="00515D3C">
              <w:rPr>
                <w:b w:val="0"/>
              </w:rPr>
              <w:t>Responsibili</w:t>
            </w:r>
            <w:r w:rsidR="00971C30">
              <w:rPr>
                <w:b w:val="0"/>
              </w:rPr>
              <w:t>ty:</w:t>
            </w:r>
            <w:r w:rsidRPr="00515D3C">
              <w:rPr>
                <w:b w:val="0"/>
              </w:rPr>
              <w:t xml:space="preserve"> DET – by end 2018</w:t>
            </w:r>
          </w:p>
        </w:tc>
      </w:tr>
    </w:tbl>
    <w:p w14:paraId="4043A878" w14:textId="4A2428F3" w:rsidR="00EA0CEE" w:rsidRPr="00515D3C" w:rsidRDefault="00EA0CEE" w:rsidP="00EA0CEE">
      <w:pPr>
        <w:pStyle w:val="Heading3"/>
        <w:shd w:val="clear" w:color="auto" w:fill="auto"/>
        <w:rPr>
          <w:rFonts w:ascii="Calibri" w:eastAsiaTheme="majorEastAsia" w:hAnsi="Calibri" w:cstheme="majorBidi"/>
          <w:bCs/>
        </w:rPr>
      </w:pPr>
    </w:p>
    <w:p w14:paraId="5BACAF41" w14:textId="77777777" w:rsidR="008173C9" w:rsidRPr="00515D3C" w:rsidRDefault="008173C9" w:rsidP="008173C9">
      <w:pPr>
        <w:pStyle w:val="Heading3"/>
      </w:pPr>
      <w:r w:rsidRPr="00515D3C">
        <w:t>Status</w:t>
      </w:r>
    </w:p>
    <w:p w14:paraId="0ACC45E2" w14:textId="664DE21E" w:rsidR="00A54363" w:rsidRDefault="00B22694" w:rsidP="008173C9">
      <w:r w:rsidRPr="00515D3C">
        <w:t>In progress</w:t>
      </w:r>
    </w:p>
    <w:p w14:paraId="59A19D7B" w14:textId="77777777" w:rsidR="008173C9" w:rsidRPr="00515D3C" w:rsidRDefault="008173C9" w:rsidP="008173C9">
      <w:pPr>
        <w:pStyle w:val="Heading3"/>
      </w:pPr>
      <w:r w:rsidRPr="00515D3C">
        <w:lastRenderedPageBreak/>
        <w:t>Progress to date</w:t>
      </w:r>
    </w:p>
    <w:p w14:paraId="788192E9" w14:textId="77777777" w:rsidR="00242A61" w:rsidRDefault="00242A61" w:rsidP="00242A61">
      <w:pPr>
        <w:rPr>
          <w:rFonts w:cstheme="minorHAnsi"/>
        </w:rPr>
      </w:pPr>
      <w:r>
        <w:rPr>
          <w:color w:val="000000" w:themeColor="text1"/>
        </w:rPr>
        <w:t>The department</w:t>
      </w:r>
      <w:r w:rsidRPr="00CA74A7">
        <w:rPr>
          <w:color w:val="000000" w:themeColor="text1"/>
        </w:rPr>
        <w:t xml:space="preserve"> </w:t>
      </w:r>
      <w:r w:rsidRPr="00CA74A7">
        <w:rPr>
          <w:rFonts w:cstheme="minorHAnsi"/>
        </w:rPr>
        <w:t xml:space="preserve">is </w:t>
      </w:r>
      <w:r>
        <w:rPr>
          <w:rFonts w:cstheme="minorHAnsi"/>
        </w:rPr>
        <w:t>working to introduce</w:t>
      </w:r>
      <w:r w:rsidRPr="00CA74A7">
        <w:rPr>
          <w:rFonts w:cstheme="minorHAnsi"/>
        </w:rPr>
        <w:t xml:space="preserve"> appropriate identifiers </w:t>
      </w:r>
      <w:r>
        <w:rPr>
          <w:rFonts w:cstheme="minorHAnsi"/>
        </w:rPr>
        <w:t>for</w:t>
      </w:r>
      <w:r w:rsidRPr="00CA74A7">
        <w:rPr>
          <w:rFonts w:cstheme="minorHAnsi"/>
        </w:rPr>
        <w:t xml:space="preserve"> monitor</w:t>
      </w:r>
      <w:r>
        <w:rPr>
          <w:rFonts w:cstheme="minorHAnsi"/>
        </w:rPr>
        <w:t>ing the progression of</w:t>
      </w:r>
      <w:r w:rsidRPr="00CA74A7">
        <w:rPr>
          <w:rFonts w:cstheme="minorHAnsi"/>
        </w:rPr>
        <w:t xml:space="preserve"> HDR students.</w:t>
      </w:r>
      <w:r>
        <w:rPr>
          <w:rFonts w:cstheme="minorHAnsi"/>
        </w:rPr>
        <w:t xml:space="preserve"> The department</w:t>
      </w:r>
      <w:r w:rsidRPr="00515D3C">
        <w:rPr>
          <w:rFonts w:cstheme="minorHAnsi"/>
        </w:rPr>
        <w:t xml:space="preserve"> is currently in the process of progressing a major overhaul of how information is collected from tertiary education providers. A system to replace the Higher Education Client Assistance Tool (HEPCAT) is scheduled for release on 1 January 2020.</w:t>
      </w:r>
    </w:p>
    <w:p w14:paraId="1DEDFA9E" w14:textId="77777777" w:rsidR="00242A61" w:rsidRPr="00515D3C" w:rsidRDefault="00242A61" w:rsidP="00242A61">
      <w:pPr>
        <w:rPr>
          <w:rFonts w:cstheme="minorHAnsi"/>
        </w:rPr>
      </w:pPr>
      <w:r w:rsidRPr="00CA74A7">
        <w:rPr>
          <w:rFonts w:cstheme="minorHAnsi"/>
        </w:rPr>
        <w:t>In early 20</w:t>
      </w:r>
      <w:r>
        <w:rPr>
          <w:rFonts w:cstheme="minorHAnsi"/>
        </w:rPr>
        <w:t>18, the department</w:t>
      </w:r>
      <w:r w:rsidRPr="00CA74A7">
        <w:rPr>
          <w:rFonts w:cstheme="minorHAnsi"/>
        </w:rPr>
        <w:t xml:space="preserve"> released a consultation paper, </w:t>
      </w:r>
      <w:r w:rsidRPr="00CA74A7">
        <w:rPr>
          <w:rFonts w:cstheme="minorHAnsi"/>
          <w:i/>
        </w:rPr>
        <w:t>Redevelopment and Audit of the Higher Education Data Collection.</w:t>
      </w:r>
      <w:r>
        <w:rPr>
          <w:rFonts w:cstheme="minorHAnsi"/>
          <w:i/>
        </w:rPr>
        <w:t xml:space="preserve"> </w:t>
      </w:r>
      <w:r w:rsidRPr="00515D3C">
        <w:rPr>
          <w:rFonts w:cstheme="minorHAnsi"/>
        </w:rPr>
        <w:t>This paper included details for the new Transformation of the Collection of Student Information (T</w:t>
      </w:r>
      <w:r>
        <w:rPr>
          <w:rFonts w:cstheme="minorHAnsi"/>
        </w:rPr>
        <w:t>CS</w:t>
      </w:r>
      <w:r w:rsidRPr="00515D3C">
        <w:rPr>
          <w:rFonts w:cstheme="minorHAnsi"/>
        </w:rPr>
        <w:t xml:space="preserve">I), including a proposal considering the introduction of a Unique Student Identifier </w:t>
      </w:r>
      <w:r>
        <w:rPr>
          <w:rFonts w:cstheme="minorHAnsi"/>
        </w:rPr>
        <w:t>(</w:t>
      </w:r>
      <w:r w:rsidRPr="00515D3C">
        <w:rPr>
          <w:rFonts w:cstheme="minorHAnsi"/>
        </w:rPr>
        <w:t>USI</w:t>
      </w:r>
      <w:r>
        <w:rPr>
          <w:rFonts w:cstheme="minorHAnsi"/>
        </w:rPr>
        <w:t>)</w:t>
      </w:r>
      <w:r w:rsidRPr="00515D3C">
        <w:rPr>
          <w:rFonts w:cstheme="minorHAnsi"/>
        </w:rPr>
        <w:t xml:space="preserve"> for all HDR students</w:t>
      </w:r>
      <w:r>
        <w:rPr>
          <w:rFonts w:cstheme="minorHAnsi"/>
        </w:rPr>
        <w:t xml:space="preserve"> receiving government support,</w:t>
      </w:r>
      <w:r w:rsidRPr="00515D3C">
        <w:rPr>
          <w:rFonts w:cstheme="minorHAnsi"/>
        </w:rPr>
        <w:t xml:space="preserve"> including international students.</w:t>
      </w:r>
    </w:p>
    <w:p w14:paraId="4DB4508C" w14:textId="77777777" w:rsidR="00242A61" w:rsidRPr="00515D3C" w:rsidRDefault="00242A61" w:rsidP="00242A61">
      <w:pPr>
        <w:pStyle w:val="Heading3"/>
      </w:pPr>
      <w:r w:rsidRPr="00515D3C">
        <w:t>Next steps</w:t>
      </w:r>
    </w:p>
    <w:p w14:paraId="705EC362" w14:textId="2CEEE76B" w:rsidR="00242A61" w:rsidRPr="00242A61" w:rsidRDefault="00242A61" w:rsidP="00242A61">
      <w:pPr>
        <w:rPr>
          <w:rFonts w:cstheme="minorHAnsi"/>
        </w:rPr>
      </w:pPr>
      <w:r w:rsidRPr="00CC01C7">
        <w:rPr>
          <w:rFonts w:cstheme="minorHAnsi"/>
        </w:rPr>
        <w:t xml:space="preserve">As part of </w:t>
      </w:r>
      <w:r>
        <w:rPr>
          <w:rFonts w:cstheme="minorHAnsi"/>
        </w:rPr>
        <w:t>the rollout of the new TCSI, the department</w:t>
      </w:r>
      <w:r w:rsidRPr="00CC01C7">
        <w:rPr>
          <w:rFonts w:cstheme="minorHAnsi"/>
        </w:rPr>
        <w:t xml:space="preserve"> will </w:t>
      </w:r>
      <w:r>
        <w:rPr>
          <w:rFonts w:cstheme="minorHAnsi"/>
        </w:rPr>
        <w:t xml:space="preserve">seek to progress regulatory changes to </w:t>
      </w:r>
      <w:r w:rsidRPr="00CC01C7">
        <w:rPr>
          <w:rFonts w:cstheme="minorHAnsi"/>
        </w:rPr>
        <w:t>require that unique identifiers be reported for overseas RTP students</w:t>
      </w:r>
      <w:r>
        <w:rPr>
          <w:rFonts w:cstheme="minorHAnsi"/>
        </w:rPr>
        <w:t xml:space="preserve"> who receive government support</w:t>
      </w:r>
      <w:r w:rsidRPr="00CC01C7">
        <w:rPr>
          <w:rFonts w:cstheme="minorHAnsi"/>
        </w:rPr>
        <w:t>.</w:t>
      </w:r>
      <w:r>
        <w:rPr>
          <w:rFonts w:cstheme="minorHAnsi"/>
        </w:rPr>
        <w:t xml:space="preserve"> These changes</w:t>
      </w:r>
      <w:r w:rsidRPr="00515D3C">
        <w:rPr>
          <w:rFonts w:cstheme="minorHAnsi"/>
        </w:rPr>
        <w:t xml:space="preserve"> will be implemented through the USI, if this proposal is progressed. If USIs are not assigned to HDR students, validation changes will be made which </w:t>
      </w:r>
      <w:r>
        <w:rPr>
          <w:rFonts w:cstheme="minorHAnsi"/>
        </w:rPr>
        <w:t>make</w:t>
      </w:r>
      <w:r w:rsidRPr="00515D3C">
        <w:rPr>
          <w:rFonts w:cstheme="minorHAnsi"/>
        </w:rPr>
        <w:t xml:space="preserve"> a CHESSN mandatory for all HDR students</w:t>
      </w:r>
      <w:r>
        <w:rPr>
          <w:rFonts w:cstheme="minorHAnsi"/>
        </w:rPr>
        <w:t xml:space="preserve"> receiving government support</w:t>
      </w:r>
      <w:r w:rsidRPr="00515D3C">
        <w:rPr>
          <w:rFonts w:cstheme="minorHAnsi"/>
        </w:rPr>
        <w:t>.</w:t>
      </w:r>
    </w:p>
    <w:p w14:paraId="523B590A" w14:textId="7AC19ADB" w:rsidR="00091533" w:rsidRPr="00515D3C" w:rsidRDefault="00091533" w:rsidP="0037139F">
      <w:pPr>
        <w:pStyle w:val="Heading2"/>
      </w:pPr>
      <w:bookmarkStart w:id="26" w:name="_Toc522100133"/>
      <w:r w:rsidRPr="00515D3C">
        <w:t>Action 5.3 Best practice guidelines on tracking HDR students</w:t>
      </w:r>
      <w:bookmarkEnd w:id="26"/>
    </w:p>
    <w:tbl>
      <w:tblPr>
        <w:tblStyle w:val="TableGrid"/>
        <w:tblW w:w="0" w:type="auto"/>
        <w:tblLook w:val="04A0" w:firstRow="1" w:lastRow="0" w:firstColumn="1" w:lastColumn="0" w:noHBand="0" w:noVBand="1"/>
      </w:tblPr>
      <w:tblGrid>
        <w:gridCol w:w="9016"/>
      </w:tblGrid>
      <w:tr w:rsidR="00EA0CEE" w:rsidRPr="00515D3C" w14:paraId="4AAED0AD" w14:textId="77777777" w:rsidTr="00EA0CEE">
        <w:tc>
          <w:tcPr>
            <w:tcW w:w="9016" w:type="dxa"/>
          </w:tcPr>
          <w:p w14:paraId="65395132" w14:textId="6A869225" w:rsidR="00EA0CEE" w:rsidRPr="00515D3C" w:rsidRDefault="00EA0CEE" w:rsidP="00D77C7D">
            <w:pPr>
              <w:spacing w:before="120" w:line="276" w:lineRule="auto"/>
            </w:pPr>
            <w:r w:rsidRPr="00515D3C">
              <w:t>ACGR to develop guidelines on best practice for universities in tracking HDR students through the system and after they graduate to support better data collection and information on student outcomes by institutions.</w:t>
            </w:r>
          </w:p>
          <w:p w14:paraId="20554E35" w14:textId="77777777" w:rsidR="00EA0CEE" w:rsidRPr="00515D3C" w:rsidRDefault="00EA0CEE" w:rsidP="00D77C7D">
            <w:pPr>
              <w:spacing w:line="276" w:lineRule="auto"/>
            </w:pPr>
          </w:p>
          <w:p w14:paraId="5C73346B" w14:textId="0123D8CE" w:rsidR="00EA0CEE" w:rsidRPr="00515D3C" w:rsidRDefault="00971C30" w:rsidP="00D77C7D">
            <w:pPr>
              <w:spacing w:after="120" w:line="276" w:lineRule="auto"/>
              <w:rPr>
                <w:rFonts w:ascii="Calibri" w:eastAsiaTheme="majorEastAsia" w:hAnsi="Calibri" w:cstheme="majorBidi"/>
                <w:bCs/>
              </w:rPr>
            </w:pPr>
            <w:r>
              <w:t>Responsibility:</w:t>
            </w:r>
            <w:r w:rsidR="00EA0CEE" w:rsidRPr="00515D3C">
              <w:t xml:space="preserve"> ACGR – by end 2018</w:t>
            </w:r>
          </w:p>
        </w:tc>
      </w:tr>
    </w:tbl>
    <w:p w14:paraId="7C2B14A5" w14:textId="12209536" w:rsidR="00091533" w:rsidRPr="00515D3C" w:rsidRDefault="00091533" w:rsidP="00EA0CEE">
      <w:pPr>
        <w:spacing w:after="0" w:line="240" w:lineRule="auto"/>
        <w:rPr>
          <w:rFonts w:ascii="Calibri" w:eastAsiaTheme="majorEastAsia" w:hAnsi="Calibri" w:cstheme="majorBidi"/>
          <w:bCs/>
        </w:rPr>
      </w:pPr>
    </w:p>
    <w:p w14:paraId="1C56B849" w14:textId="77777777" w:rsidR="008173C9" w:rsidRPr="00515D3C" w:rsidRDefault="008173C9" w:rsidP="008173C9">
      <w:pPr>
        <w:pStyle w:val="Heading3"/>
      </w:pPr>
      <w:r w:rsidRPr="00515D3C">
        <w:t>Status</w:t>
      </w:r>
    </w:p>
    <w:p w14:paraId="45E877B9" w14:textId="1C2635DE" w:rsidR="008173C9" w:rsidRPr="00515D3C" w:rsidRDefault="0022562A" w:rsidP="008173C9">
      <w:r w:rsidRPr="00515D3C">
        <w:t>In progress</w:t>
      </w:r>
    </w:p>
    <w:p w14:paraId="0245DEAF" w14:textId="77777777" w:rsidR="008173C9" w:rsidRPr="00515D3C" w:rsidRDefault="008173C9" w:rsidP="008173C9">
      <w:pPr>
        <w:pStyle w:val="Heading3"/>
      </w:pPr>
      <w:r w:rsidRPr="00515D3C">
        <w:t>Progress to date</w:t>
      </w:r>
    </w:p>
    <w:p w14:paraId="0843A2AE" w14:textId="2B7817F8" w:rsidR="006D1BEA" w:rsidRPr="00515D3C" w:rsidRDefault="0022562A" w:rsidP="00850754">
      <w:r w:rsidRPr="00515D3C">
        <w:t xml:space="preserve">ACGR members convened a focus session on this deliverable at the ACGR National Meeting on </w:t>
      </w:r>
      <w:r w:rsidR="004D1724">
        <w:br/>
        <w:t xml:space="preserve">16 April 2018 </w:t>
      </w:r>
      <w:r w:rsidRPr="00515D3C">
        <w:t>to scope the extent of these guidelines and determine an action plan f</w:t>
      </w:r>
      <w:r w:rsidR="004D1724">
        <w:t>or their development</w:t>
      </w:r>
      <w:r w:rsidRPr="00515D3C">
        <w:t>.</w:t>
      </w:r>
      <w:r w:rsidR="006D1BEA" w:rsidRPr="00515D3C">
        <w:t xml:space="preserve"> A working group has been established and this task has been slated as a priority action for June – December 2018.</w:t>
      </w:r>
    </w:p>
    <w:p w14:paraId="3FC60407" w14:textId="77777777" w:rsidR="008173C9" w:rsidRPr="00515D3C" w:rsidRDefault="008173C9" w:rsidP="008B18B9">
      <w:pPr>
        <w:pStyle w:val="Heading3"/>
      </w:pPr>
      <w:r w:rsidRPr="00515D3C">
        <w:t>Next steps</w:t>
      </w:r>
    </w:p>
    <w:p w14:paraId="0708E8A6" w14:textId="4DE4F39E" w:rsidR="008173C9" w:rsidRPr="00515D3C" w:rsidRDefault="0022562A" w:rsidP="008B18B9">
      <w:pPr>
        <w:rPr>
          <w:rFonts w:ascii="Calibri" w:eastAsiaTheme="majorEastAsia" w:hAnsi="Calibri" w:cstheme="majorBidi"/>
          <w:bCs/>
        </w:rPr>
      </w:pPr>
      <w:r w:rsidRPr="00515D3C">
        <w:t>A discussion paper will be circulated to members for comment in the next month</w:t>
      </w:r>
      <w:r w:rsidR="005A1AB6">
        <w:t>,</w:t>
      </w:r>
      <w:r w:rsidRPr="00515D3C">
        <w:t xml:space="preserve"> </w:t>
      </w:r>
      <w:r w:rsidR="00A36211">
        <w:t>and</w:t>
      </w:r>
      <w:r w:rsidRPr="00515D3C">
        <w:t xml:space="preserve"> new best practice guidelines will be drafted. These will be debated at the next national meeting in Melbourne in November 2018 with the aim that they be finalised and approved by the end of December</w:t>
      </w:r>
      <w:r w:rsidR="005A1AB6">
        <w:t xml:space="preserve"> 2018</w:t>
      </w:r>
      <w:r w:rsidRPr="00515D3C">
        <w:t>.</w:t>
      </w:r>
    </w:p>
    <w:sectPr w:rsidR="008173C9" w:rsidRPr="00515D3C" w:rsidSect="002A27A3">
      <w:pgSz w:w="11906" w:h="16838" w:code="9"/>
      <w:pgMar w:top="1440" w:right="1440" w:bottom="1440" w:left="1440" w:header="567" w:footer="10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9849F" w14:textId="77777777" w:rsidR="003346BF" w:rsidRDefault="003346BF" w:rsidP="00130923">
      <w:pPr>
        <w:spacing w:after="0" w:line="240" w:lineRule="auto"/>
      </w:pPr>
      <w:r>
        <w:separator/>
      </w:r>
    </w:p>
    <w:p w14:paraId="5D31BC33" w14:textId="77777777" w:rsidR="003346BF" w:rsidRDefault="003346BF"/>
  </w:endnote>
  <w:endnote w:type="continuationSeparator" w:id="0">
    <w:p w14:paraId="25A5F7FA" w14:textId="77777777" w:rsidR="003346BF" w:rsidRDefault="003346BF" w:rsidP="00130923">
      <w:pPr>
        <w:spacing w:after="0" w:line="240" w:lineRule="auto"/>
      </w:pPr>
      <w:r>
        <w:continuationSeparator/>
      </w:r>
    </w:p>
    <w:p w14:paraId="6B26EB96" w14:textId="77777777" w:rsidR="003346BF" w:rsidRDefault="00334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69DA6" w14:textId="77777777" w:rsidR="00F2374F" w:rsidRDefault="00F23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A94AC" w14:textId="77777777" w:rsidR="003346BF" w:rsidRDefault="003346BF" w:rsidP="003242B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25142" w14:textId="77777777" w:rsidR="00F2374F" w:rsidRDefault="00F237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35C10" w14:textId="7FDEA18C" w:rsidR="00C46CF9" w:rsidRDefault="00C46CF9">
    <w:pPr>
      <w:pStyle w:val="Footer"/>
      <w:jc w:val="right"/>
    </w:pPr>
  </w:p>
  <w:p w14:paraId="00813E57" w14:textId="77777777" w:rsidR="003346BF" w:rsidRDefault="003346BF"/>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1101679"/>
      <w:docPartObj>
        <w:docPartGallery w:val="Page Numbers (Bottom of Page)"/>
        <w:docPartUnique/>
      </w:docPartObj>
    </w:sdtPr>
    <w:sdtEndPr>
      <w:rPr>
        <w:noProof/>
      </w:rPr>
    </w:sdtEndPr>
    <w:sdtContent>
      <w:p w14:paraId="0C738E23" w14:textId="1E2F0F65" w:rsidR="00C46CF9" w:rsidRDefault="00C46CF9">
        <w:pPr>
          <w:pStyle w:val="Footer"/>
          <w:jc w:val="right"/>
        </w:pPr>
        <w:r>
          <w:fldChar w:fldCharType="begin"/>
        </w:r>
        <w:r>
          <w:instrText xml:space="preserve"> PAGE   \* MERGEFORMAT </w:instrText>
        </w:r>
        <w:r>
          <w:fldChar w:fldCharType="separate"/>
        </w:r>
        <w:r w:rsidR="00761A02">
          <w:rPr>
            <w:noProof/>
          </w:rPr>
          <w:t>10</w:t>
        </w:r>
        <w:r>
          <w:rPr>
            <w:noProof/>
          </w:rPr>
          <w:fldChar w:fldCharType="end"/>
        </w:r>
      </w:p>
    </w:sdtContent>
  </w:sdt>
  <w:p w14:paraId="482085CB" w14:textId="77777777" w:rsidR="00C46CF9" w:rsidRDefault="00C46CF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EF31C" w14:textId="77777777" w:rsidR="003346BF" w:rsidRDefault="003346BF" w:rsidP="00130923">
      <w:pPr>
        <w:spacing w:after="0" w:line="240" w:lineRule="auto"/>
      </w:pPr>
      <w:r>
        <w:separator/>
      </w:r>
    </w:p>
    <w:p w14:paraId="16313FD5" w14:textId="77777777" w:rsidR="003346BF" w:rsidRDefault="003346BF"/>
  </w:footnote>
  <w:footnote w:type="continuationSeparator" w:id="0">
    <w:p w14:paraId="64AB0D38" w14:textId="77777777" w:rsidR="003346BF" w:rsidRDefault="003346BF" w:rsidP="00130923">
      <w:pPr>
        <w:spacing w:after="0" w:line="240" w:lineRule="auto"/>
      </w:pPr>
      <w:r>
        <w:continuationSeparator/>
      </w:r>
    </w:p>
    <w:p w14:paraId="1126FED4" w14:textId="77777777" w:rsidR="003346BF" w:rsidRDefault="003346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AB91E" w14:textId="77777777" w:rsidR="00F2374F" w:rsidRDefault="00F23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67082" w14:textId="77777777" w:rsidR="003346BF" w:rsidRDefault="003346BF" w:rsidP="00560CA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A49D7" w14:textId="77777777" w:rsidR="00F2374F" w:rsidRDefault="00F237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3BE4B" w14:textId="1817C794" w:rsidR="003346BF" w:rsidRDefault="003346BF" w:rsidP="008A01E0">
    <w:pPr>
      <w:pStyle w:val="Header"/>
      <w:jc w:val="right"/>
    </w:pPr>
    <w:r>
      <w:t>Research Training Implementation Plan – Progress Report – July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723A1"/>
    <w:multiLevelType w:val="hybridMultilevel"/>
    <w:tmpl w:val="3EBAD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 w15:restartNumberingAfterBreak="0">
    <w:nsid w:val="18681434"/>
    <w:multiLevelType w:val="hybridMultilevel"/>
    <w:tmpl w:val="95960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
      <w:lvlText w:val="%1.%2"/>
      <w:lvlJc w:val="left"/>
      <w:pPr>
        <w:ind w:left="851" w:hanging="491"/>
      </w:pPr>
      <w:rPr>
        <w:rFonts w:hint="default"/>
      </w:rPr>
    </w:lvl>
    <w:lvl w:ilvl="2">
      <w:start w:val="1"/>
      <w:numFmt w:val="decimal"/>
      <w:lvlText w:val="%1.%2.%3"/>
      <w:lvlJc w:val="left"/>
      <w:pPr>
        <w:ind w:left="1474" w:hanging="623"/>
      </w:pPr>
      <w:rPr>
        <w:rFonts w:hint="default"/>
      </w:rPr>
    </w:lvl>
    <w:lvl w:ilvl="3">
      <w:start w:val="1"/>
      <w:numFmt w:val="decimal"/>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21642146"/>
    <w:multiLevelType w:val="hybridMultilevel"/>
    <w:tmpl w:val="69401E8C"/>
    <w:lvl w:ilvl="0" w:tplc="945AD148">
      <w:start w:val="1"/>
      <w:numFmt w:val="bullet"/>
      <w:pStyle w:val="BulletPoint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933706"/>
    <w:multiLevelType w:val="hybridMultilevel"/>
    <w:tmpl w:val="64E8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8B2C76"/>
    <w:multiLevelType w:val="hybridMultilevel"/>
    <w:tmpl w:val="C31A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F200F8"/>
    <w:multiLevelType w:val="hybridMultilevel"/>
    <w:tmpl w:val="C9CA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4260698"/>
    <w:multiLevelType w:val="hybridMultilevel"/>
    <w:tmpl w:val="9B360F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5B8A7BAE"/>
    <w:multiLevelType w:val="hybridMultilevel"/>
    <w:tmpl w:val="0A34C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A4219C"/>
    <w:multiLevelType w:val="hybridMultilevel"/>
    <w:tmpl w:val="2AB6FDF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D4441B"/>
    <w:multiLevelType w:val="hybridMultilevel"/>
    <w:tmpl w:val="E89C34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876082B"/>
    <w:multiLevelType w:val="hybridMultilevel"/>
    <w:tmpl w:val="32AAF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2"/>
  </w:num>
  <w:num w:numId="7">
    <w:abstractNumId w:val="13"/>
  </w:num>
  <w:num w:numId="8">
    <w:abstractNumId w:val="10"/>
  </w:num>
  <w:num w:numId="9">
    <w:abstractNumId w:val="0"/>
  </w:num>
  <w:num w:numId="10">
    <w:abstractNumId w:val="5"/>
  </w:num>
  <w:num w:numId="11">
    <w:abstractNumId w:val="6"/>
  </w:num>
  <w:num w:numId="12">
    <w:abstractNumId w:val="7"/>
  </w:num>
  <w:num w:numId="13">
    <w:abstractNumId w:val="9"/>
  </w:num>
  <w:num w:numId="1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39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5864A8"/>
    <w:rsid w:val="000003B3"/>
    <w:rsid w:val="00002721"/>
    <w:rsid w:val="00007943"/>
    <w:rsid w:val="00007E0C"/>
    <w:rsid w:val="00010899"/>
    <w:rsid w:val="00011DDD"/>
    <w:rsid w:val="00017472"/>
    <w:rsid w:val="00022358"/>
    <w:rsid w:val="00023810"/>
    <w:rsid w:val="00024E24"/>
    <w:rsid w:val="00026804"/>
    <w:rsid w:val="000272E8"/>
    <w:rsid w:val="00034EAA"/>
    <w:rsid w:val="00035CB9"/>
    <w:rsid w:val="00035FA1"/>
    <w:rsid w:val="00036A3B"/>
    <w:rsid w:val="00042B81"/>
    <w:rsid w:val="00046FE1"/>
    <w:rsid w:val="0005054F"/>
    <w:rsid w:val="00054FDE"/>
    <w:rsid w:val="00062A86"/>
    <w:rsid w:val="00066708"/>
    <w:rsid w:val="0006679B"/>
    <w:rsid w:val="00066811"/>
    <w:rsid w:val="00082755"/>
    <w:rsid w:val="000861A6"/>
    <w:rsid w:val="00087AC2"/>
    <w:rsid w:val="00087BE8"/>
    <w:rsid w:val="00091533"/>
    <w:rsid w:val="000A1A17"/>
    <w:rsid w:val="000A3253"/>
    <w:rsid w:val="000B23DE"/>
    <w:rsid w:val="000B6A0A"/>
    <w:rsid w:val="000C130E"/>
    <w:rsid w:val="000C1766"/>
    <w:rsid w:val="000C3EFB"/>
    <w:rsid w:val="000C7B92"/>
    <w:rsid w:val="000D5B74"/>
    <w:rsid w:val="000D7FD3"/>
    <w:rsid w:val="000E3803"/>
    <w:rsid w:val="000E6EF4"/>
    <w:rsid w:val="000E7E7B"/>
    <w:rsid w:val="000F2ED3"/>
    <w:rsid w:val="000F3BA2"/>
    <w:rsid w:val="0010209F"/>
    <w:rsid w:val="00102D31"/>
    <w:rsid w:val="001055FE"/>
    <w:rsid w:val="00106B53"/>
    <w:rsid w:val="00106FF0"/>
    <w:rsid w:val="001115F4"/>
    <w:rsid w:val="00113627"/>
    <w:rsid w:val="00116C32"/>
    <w:rsid w:val="001175BF"/>
    <w:rsid w:val="00121E21"/>
    <w:rsid w:val="00124CBB"/>
    <w:rsid w:val="001278F2"/>
    <w:rsid w:val="00130923"/>
    <w:rsid w:val="00132B29"/>
    <w:rsid w:val="00133CA5"/>
    <w:rsid w:val="001414F3"/>
    <w:rsid w:val="00143023"/>
    <w:rsid w:val="0014328F"/>
    <w:rsid w:val="00143D9A"/>
    <w:rsid w:val="00143FCD"/>
    <w:rsid w:val="00157A82"/>
    <w:rsid w:val="001607AE"/>
    <w:rsid w:val="00166437"/>
    <w:rsid w:val="00171B0E"/>
    <w:rsid w:val="00172001"/>
    <w:rsid w:val="0017590C"/>
    <w:rsid w:val="0017638D"/>
    <w:rsid w:val="00181D49"/>
    <w:rsid w:val="001845BD"/>
    <w:rsid w:val="0018667A"/>
    <w:rsid w:val="00193D49"/>
    <w:rsid w:val="00197279"/>
    <w:rsid w:val="001975C1"/>
    <w:rsid w:val="001A114F"/>
    <w:rsid w:val="001A6329"/>
    <w:rsid w:val="001A6CDA"/>
    <w:rsid w:val="001B0591"/>
    <w:rsid w:val="001B12BC"/>
    <w:rsid w:val="001B36BF"/>
    <w:rsid w:val="001B3A09"/>
    <w:rsid w:val="001B6467"/>
    <w:rsid w:val="001C2494"/>
    <w:rsid w:val="001D5EC9"/>
    <w:rsid w:val="001D7031"/>
    <w:rsid w:val="001E0497"/>
    <w:rsid w:val="001E0B69"/>
    <w:rsid w:val="001E1CD7"/>
    <w:rsid w:val="001E2427"/>
    <w:rsid w:val="001E2B3D"/>
    <w:rsid w:val="001E7585"/>
    <w:rsid w:val="001E75C3"/>
    <w:rsid w:val="001F52B7"/>
    <w:rsid w:val="00202984"/>
    <w:rsid w:val="0020543C"/>
    <w:rsid w:val="00213107"/>
    <w:rsid w:val="00222B29"/>
    <w:rsid w:val="002234D8"/>
    <w:rsid w:val="00223EB1"/>
    <w:rsid w:val="0022562A"/>
    <w:rsid w:val="00225EBF"/>
    <w:rsid w:val="0022617D"/>
    <w:rsid w:val="00231627"/>
    <w:rsid w:val="002360E4"/>
    <w:rsid w:val="002367C0"/>
    <w:rsid w:val="00236917"/>
    <w:rsid w:val="0023738D"/>
    <w:rsid w:val="00240435"/>
    <w:rsid w:val="00241F62"/>
    <w:rsid w:val="00242A61"/>
    <w:rsid w:val="00243D6B"/>
    <w:rsid w:val="0024517F"/>
    <w:rsid w:val="00246773"/>
    <w:rsid w:val="0025500F"/>
    <w:rsid w:val="00255F30"/>
    <w:rsid w:val="0025741E"/>
    <w:rsid w:val="002633E7"/>
    <w:rsid w:val="002648FC"/>
    <w:rsid w:val="00266DB1"/>
    <w:rsid w:val="00272AF2"/>
    <w:rsid w:val="00274E32"/>
    <w:rsid w:val="002870EC"/>
    <w:rsid w:val="00291A3B"/>
    <w:rsid w:val="0029613B"/>
    <w:rsid w:val="002A1F57"/>
    <w:rsid w:val="002A267B"/>
    <w:rsid w:val="002A27A3"/>
    <w:rsid w:val="002A426E"/>
    <w:rsid w:val="002A4530"/>
    <w:rsid w:val="002B06E6"/>
    <w:rsid w:val="002B72BE"/>
    <w:rsid w:val="002B7A25"/>
    <w:rsid w:val="002C3AA1"/>
    <w:rsid w:val="002D271F"/>
    <w:rsid w:val="002D6386"/>
    <w:rsid w:val="002E38FA"/>
    <w:rsid w:val="002E56A4"/>
    <w:rsid w:val="002E614A"/>
    <w:rsid w:val="002F0237"/>
    <w:rsid w:val="002F1999"/>
    <w:rsid w:val="002F1E59"/>
    <w:rsid w:val="002F2A4F"/>
    <w:rsid w:val="00301A78"/>
    <w:rsid w:val="00304185"/>
    <w:rsid w:val="00305B35"/>
    <w:rsid w:val="00307C14"/>
    <w:rsid w:val="00310A76"/>
    <w:rsid w:val="0031110C"/>
    <w:rsid w:val="0031443B"/>
    <w:rsid w:val="003155A7"/>
    <w:rsid w:val="00315ADF"/>
    <w:rsid w:val="00316531"/>
    <w:rsid w:val="003166C5"/>
    <w:rsid w:val="00322356"/>
    <w:rsid w:val="003242B9"/>
    <w:rsid w:val="00325B15"/>
    <w:rsid w:val="00326663"/>
    <w:rsid w:val="00330024"/>
    <w:rsid w:val="0033310C"/>
    <w:rsid w:val="003346BF"/>
    <w:rsid w:val="00336377"/>
    <w:rsid w:val="0035113D"/>
    <w:rsid w:val="00351735"/>
    <w:rsid w:val="00356516"/>
    <w:rsid w:val="003611BD"/>
    <w:rsid w:val="00364420"/>
    <w:rsid w:val="0037139F"/>
    <w:rsid w:val="0037740A"/>
    <w:rsid w:val="003806A8"/>
    <w:rsid w:val="00386F18"/>
    <w:rsid w:val="00392334"/>
    <w:rsid w:val="0039427B"/>
    <w:rsid w:val="00394B4A"/>
    <w:rsid w:val="00395538"/>
    <w:rsid w:val="003979FC"/>
    <w:rsid w:val="003A11EA"/>
    <w:rsid w:val="003B6E1D"/>
    <w:rsid w:val="003C3030"/>
    <w:rsid w:val="003C5104"/>
    <w:rsid w:val="003C5811"/>
    <w:rsid w:val="003C7D90"/>
    <w:rsid w:val="003D251F"/>
    <w:rsid w:val="003D67FC"/>
    <w:rsid w:val="003D7CCD"/>
    <w:rsid w:val="003E273C"/>
    <w:rsid w:val="003E41A6"/>
    <w:rsid w:val="003E72A6"/>
    <w:rsid w:val="003F4A27"/>
    <w:rsid w:val="00400D87"/>
    <w:rsid w:val="00402760"/>
    <w:rsid w:val="00406E5A"/>
    <w:rsid w:val="0040798C"/>
    <w:rsid w:val="00413DC4"/>
    <w:rsid w:val="00416189"/>
    <w:rsid w:val="0042259D"/>
    <w:rsid w:val="00423531"/>
    <w:rsid w:val="0042738B"/>
    <w:rsid w:val="00430069"/>
    <w:rsid w:val="004367C4"/>
    <w:rsid w:val="004368B7"/>
    <w:rsid w:val="00437804"/>
    <w:rsid w:val="004437C3"/>
    <w:rsid w:val="00443998"/>
    <w:rsid w:val="00445095"/>
    <w:rsid w:val="00455B34"/>
    <w:rsid w:val="00455CDF"/>
    <w:rsid w:val="004634A9"/>
    <w:rsid w:val="004643F3"/>
    <w:rsid w:val="004702F8"/>
    <w:rsid w:val="00472852"/>
    <w:rsid w:val="004754DD"/>
    <w:rsid w:val="0047551F"/>
    <w:rsid w:val="00476C8E"/>
    <w:rsid w:val="00481F02"/>
    <w:rsid w:val="0048232C"/>
    <w:rsid w:val="00483D63"/>
    <w:rsid w:val="00485ECD"/>
    <w:rsid w:val="00486A3B"/>
    <w:rsid w:val="0048762C"/>
    <w:rsid w:val="00493CDB"/>
    <w:rsid w:val="004944BD"/>
    <w:rsid w:val="004A2138"/>
    <w:rsid w:val="004A2629"/>
    <w:rsid w:val="004A414C"/>
    <w:rsid w:val="004A4C18"/>
    <w:rsid w:val="004A4D0D"/>
    <w:rsid w:val="004A691B"/>
    <w:rsid w:val="004B256F"/>
    <w:rsid w:val="004B56F3"/>
    <w:rsid w:val="004C535C"/>
    <w:rsid w:val="004D1724"/>
    <w:rsid w:val="004D1764"/>
    <w:rsid w:val="004D1C77"/>
    <w:rsid w:val="004E0FBE"/>
    <w:rsid w:val="0050523E"/>
    <w:rsid w:val="00505A68"/>
    <w:rsid w:val="005103C5"/>
    <w:rsid w:val="005113B6"/>
    <w:rsid w:val="00515D3C"/>
    <w:rsid w:val="00515D86"/>
    <w:rsid w:val="005170DF"/>
    <w:rsid w:val="005258B1"/>
    <w:rsid w:val="00526FB7"/>
    <w:rsid w:val="00527F6D"/>
    <w:rsid w:val="00531817"/>
    <w:rsid w:val="00540639"/>
    <w:rsid w:val="00541DC1"/>
    <w:rsid w:val="00543551"/>
    <w:rsid w:val="00547980"/>
    <w:rsid w:val="00556474"/>
    <w:rsid w:val="00560CA0"/>
    <w:rsid w:val="005624F3"/>
    <w:rsid w:val="005675DB"/>
    <w:rsid w:val="005711BC"/>
    <w:rsid w:val="00572C0A"/>
    <w:rsid w:val="005738E4"/>
    <w:rsid w:val="00575AE8"/>
    <w:rsid w:val="005811EF"/>
    <w:rsid w:val="005864A8"/>
    <w:rsid w:val="0059039E"/>
    <w:rsid w:val="005910B5"/>
    <w:rsid w:val="00592457"/>
    <w:rsid w:val="00595212"/>
    <w:rsid w:val="0059547B"/>
    <w:rsid w:val="005959EC"/>
    <w:rsid w:val="005A1AB6"/>
    <w:rsid w:val="005A2C49"/>
    <w:rsid w:val="005B0878"/>
    <w:rsid w:val="005B4394"/>
    <w:rsid w:val="005B6930"/>
    <w:rsid w:val="005B70D9"/>
    <w:rsid w:val="005C15C0"/>
    <w:rsid w:val="005C2765"/>
    <w:rsid w:val="005C3251"/>
    <w:rsid w:val="005C7843"/>
    <w:rsid w:val="005E1CF7"/>
    <w:rsid w:val="005E29AB"/>
    <w:rsid w:val="005E5021"/>
    <w:rsid w:val="005E5C70"/>
    <w:rsid w:val="005F403D"/>
    <w:rsid w:val="005F4C04"/>
    <w:rsid w:val="005F598D"/>
    <w:rsid w:val="006047CE"/>
    <w:rsid w:val="00605A90"/>
    <w:rsid w:val="00607EC0"/>
    <w:rsid w:val="00610654"/>
    <w:rsid w:val="00613C67"/>
    <w:rsid w:val="00615674"/>
    <w:rsid w:val="00620C95"/>
    <w:rsid w:val="00621112"/>
    <w:rsid w:val="006261C2"/>
    <w:rsid w:val="006318B9"/>
    <w:rsid w:val="0064112A"/>
    <w:rsid w:val="0064340A"/>
    <w:rsid w:val="00643BCF"/>
    <w:rsid w:val="00645EA6"/>
    <w:rsid w:val="00647DC6"/>
    <w:rsid w:val="00653308"/>
    <w:rsid w:val="006554D1"/>
    <w:rsid w:val="00657D15"/>
    <w:rsid w:val="00665A5D"/>
    <w:rsid w:val="0067026C"/>
    <w:rsid w:val="0067519D"/>
    <w:rsid w:val="00680419"/>
    <w:rsid w:val="00680A81"/>
    <w:rsid w:val="00683221"/>
    <w:rsid w:val="006861BE"/>
    <w:rsid w:val="00690ADD"/>
    <w:rsid w:val="00694ABF"/>
    <w:rsid w:val="00695FE5"/>
    <w:rsid w:val="006A0807"/>
    <w:rsid w:val="006A25D4"/>
    <w:rsid w:val="006A3BD2"/>
    <w:rsid w:val="006A58E4"/>
    <w:rsid w:val="006A7140"/>
    <w:rsid w:val="006B11ED"/>
    <w:rsid w:val="006C13F5"/>
    <w:rsid w:val="006C6373"/>
    <w:rsid w:val="006C6464"/>
    <w:rsid w:val="006C72D1"/>
    <w:rsid w:val="006D125A"/>
    <w:rsid w:val="006D1821"/>
    <w:rsid w:val="006D1BEA"/>
    <w:rsid w:val="006D2C4C"/>
    <w:rsid w:val="006D698E"/>
    <w:rsid w:val="006D791E"/>
    <w:rsid w:val="006E2D49"/>
    <w:rsid w:val="006E42AC"/>
    <w:rsid w:val="006E5389"/>
    <w:rsid w:val="006E62CF"/>
    <w:rsid w:val="006F4379"/>
    <w:rsid w:val="006F53B8"/>
    <w:rsid w:val="006F5C42"/>
    <w:rsid w:val="0070184A"/>
    <w:rsid w:val="00703AD2"/>
    <w:rsid w:val="007064C5"/>
    <w:rsid w:val="00721FE9"/>
    <w:rsid w:val="007234FF"/>
    <w:rsid w:val="00725E93"/>
    <w:rsid w:val="00726950"/>
    <w:rsid w:val="00727F27"/>
    <w:rsid w:val="00737BFD"/>
    <w:rsid w:val="0074036D"/>
    <w:rsid w:val="007468FC"/>
    <w:rsid w:val="00746F85"/>
    <w:rsid w:val="00753A4D"/>
    <w:rsid w:val="00760420"/>
    <w:rsid w:val="00760F8F"/>
    <w:rsid w:val="00760FAA"/>
    <w:rsid w:val="00761A02"/>
    <w:rsid w:val="00766C7E"/>
    <w:rsid w:val="00775C11"/>
    <w:rsid w:val="00792BA9"/>
    <w:rsid w:val="00792CA3"/>
    <w:rsid w:val="00795FBB"/>
    <w:rsid w:val="007A6B81"/>
    <w:rsid w:val="007B2FDD"/>
    <w:rsid w:val="007B30F2"/>
    <w:rsid w:val="007C065D"/>
    <w:rsid w:val="007C2258"/>
    <w:rsid w:val="007C3409"/>
    <w:rsid w:val="007C3FA7"/>
    <w:rsid w:val="007C49AB"/>
    <w:rsid w:val="007D4DE9"/>
    <w:rsid w:val="007D58FB"/>
    <w:rsid w:val="007D5947"/>
    <w:rsid w:val="007E46CA"/>
    <w:rsid w:val="007E5FA2"/>
    <w:rsid w:val="007F729F"/>
    <w:rsid w:val="007F77FB"/>
    <w:rsid w:val="00800030"/>
    <w:rsid w:val="00800685"/>
    <w:rsid w:val="00806AD4"/>
    <w:rsid w:val="008128F7"/>
    <w:rsid w:val="00813CA0"/>
    <w:rsid w:val="00813E5D"/>
    <w:rsid w:val="00816888"/>
    <w:rsid w:val="008173C9"/>
    <w:rsid w:val="008210A7"/>
    <w:rsid w:val="00825BE1"/>
    <w:rsid w:val="008268F2"/>
    <w:rsid w:val="00830145"/>
    <w:rsid w:val="0083468A"/>
    <w:rsid w:val="00842D43"/>
    <w:rsid w:val="00850754"/>
    <w:rsid w:val="00854D15"/>
    <w:rsid w:val="00856D1C"/>
    <w:rsid w:val="00864B16"/>
    <w:rsid w:val="00865222"/>
    <w:rsid w:val="00876AC0"/>
    <w:rsid w:val="00877193"/>
    <w:rsid w:val="008776EE"/>
    <w:rsid w:val="008802D7"/>
    <w:rsid w:val="008804EA"/>
    <w:rsid w:val="00881686"/>
    <w:rsid w:val="00883EAE"/>
    <w:rsid w:val="0088423B"/>
    <w:rsid w:val="008846D9"/>
    <w:rsid w:val="00886C6F"/>
    <w:rsid w:val="00887C9C"/>
    <w:rsid w:val="00894DAB"/>
    <w:rsid w:val="008965AF"/>
    <w:rsid w:val="008976D9"/>
    <w:rsid w:val="008A01E0"/>
    <w:rsid w:val="008A7876"/>
    <w:rsid w:val="008B18B9"/>
    <w:rsid w:val="008B3A5A"/>
    <w:rsid w:val="008B3C0F"/>
    <w:rsid w:val="008B5198"/>
    <w:rsid w:val="008B5358"/>
    <w:rsid w:val="008B5372"/>
    <w:rsid w:val="008C4FAF"/>
    <w:rsid w:val="008D0DB0"/>
    <w:rsid w:val="008E0EA1"/>
    <w:rsid w:val="008E1A2F"/>
    <w:rsid w:val="008E6D67"/>
    <w:rsid w:val="008F20F1"/>
    <w:rsid w:val="008F3C41"/>
    <w:rsid w:val="00903408"/>
    <w:rsid w:val="00904B8F"/>
    <w:rsid w:val="0090580F"/>
    <w:rsid w:val="00906390"/>
    <w:rsid w:val="00910B25"/>
    <w:rsid w:val="009116EA"/>
    <w:rsid w:val="00912878"/>
    <w:rsid w:val="009178C0"/>
    <w:rsid w:val="0092047F"/>
    <w:rsid w:val="00922849"/>
    <w:rsid w:val="00933199"/>
    <w:rsid w:val="00933671"/>
    <w:rsid w:val="0093459E"/>
    <w:rsid w:val="00935BBF"/>
    <w:rsid w:val="00935D44"/>
    <w:rsid w:val="00935E02"/>
    <w:rsid w:val="00971C30"/>
    <w:rsid w:val="00972287"/>
    <w:rsid w:val="0097230C"/>
    <w:rsid w:val="00972BF7"/>
    <w:rsid w:val="00972DD5"/>
    <w:rsid w:val="009737A8"/>
    <w:rsid w:val="009753ED"/>
    <w:rsid w:val="009839BE"/>
    <w:rsid w:val="00984879"/>
    <w:rsid w:val="00985632"/>
    <w:rsid w:val="00986853"/>
    <w:rsid w:val="00990FDB"/>
    <w:rsid w:val="00991B63"/>
    <w:rsid w:val="009942BD"/>
    <w:rsid w:val="00997143"/>
    <w:rsid w:val="009A12F2"/>
    <w:rsid w:val="009A13B0"/>
    <w:rsid w:val="009A17DA"/>
    <w:rsid w:val="009B016B"/>
    <w:rsid w:val="009B2428"/>
    <w:rsid w:val="009B5CB7"/>
    <w:rsid w:val="009C0EC5"/>
    <w:rsid w:val="009C4832"/>
    <w:rsid w:val="009D29B0"/>
    <w:rsid w:val="009D37D0"/>
    <w:rsid w:val="009D4E12"/>
    <w:rsid w:val="009D5C36"/>
    <w:rsid w:val="009E152D"/>
    <w:rsid w:val="009E27F0"/>
    <w:rsid w:val="009F1373"/>
    <w:rsid w:val="009F2D6D"/>
    <w:rsid w:val="009F5D6B"/>
    <w:rsid w:val="00A03B3F"/>
    <w:rsid w:val="00A10D4D"/>
    <w:rsid w:val="00A123AF"/>
    <w:rsid w:val="00A12B6B"/>
    <w:rsid w:val="00A136D3"/>
    <w:rsid w:val="00A15B73"/>
    <w:rsid w:val="00A16073"/>
    <w:rsid w:val="00A174F3"/>
    <w:rsid w:val="00A31242"/>
    <w:rsid w:val="00A3364A"/>
    <w:rsid w:val="00A35334"/>
    <w:rsid w:val="00A36211"/>
    <w:rsid w:val="00A407D2"/>
    <w:rsid w:val="00A416D7"/>
    <w:rsid w:val="00A42388"/>
    <w:rsid w:val="00A4561C"/>
    <w:rsid w:val="00A475CB"/>
    <w:rsid w:val="00A515F2"/>
    <w:rsid w:val="00A52530"/>
    <w:rsid w:val="00A5254D"/>
    <w:rsid w:val="00A53D74"/>
    <w:rsid w:val="00A54363"/>
    <w:rsid w:val="00A551BF"/>
    <w:rsid w:val="00A64751"/>
    <w:rsid w:val="00A70524"/>
    <w:rsid w:val="00A70FEF"/>
    <w:rsid w:val="00A73406"/>
    <w:rsid w:val="00A763DE"/>
    <w:rsid w:val="00A83896"/>
    <w:rsid w:val="00A87AF3"/>
    <w:rsid w:val="00A87EC5"/>
    <w:rsid w:val="00A91C28"/>
    <w:rsid w:val="00A94AF5"/>
    <w:rsid w:val="00A9645D"/>
    <w:rsid w:val="00AA0579"/>
    <w:rsid w:val="00AA06AC"/>
    <w:rsid w:val="00AA29B8"/>
    <w:rsid w:val="00AA2C3E"/>
    <w:rsid w:val="00AB2B68"/>
    <w:rsid w:val="00AB2F93"/>
    <w:rsid w:val="00AB5124"/>
    <w:rsid w:val="00AB727E"/>
    <w:rsid w:val="00AC1F3D"/>
    <w:rsid w:val="00AC5281"/>
    <w:rsid w:val="00AC65DA"/>
    <w:rsid w:val="00AC799F"/>
    <w:rsid w:val="00AD09E4"/>
    <w:rsid w:val="00AD1EA5"/>
    <w:rsid w:val="00AD3D71"/>
    <w:rsid w:val="00AE5C81"/>
    <w:rsid w:val="00AF1737"/>
    <w:rsid w:val="00AF5AB9"/>
    <w:rsid w:val="00B05B6B"/>
    <w:rsid w:val="00B20571"/>
    <w:rsid w:val="00B211AE"/>
    <w:rsid w:val="00B22694"/>
    <w:rsid w:val="00B2722A"/>
    <w:rsid w:val="00B32DC9"/>
    <w:rsid w:val="00B40B3B"/>
    <w:rsid w:val="00B45656"/>
    <w:rsid w:val="00B5528D"/>
    <w:rsid w:val="00B56B4A"/>
    <w:rsid w:val="00B618BA"/>
    <w:rsid w:val="00B636CD"/>
    <w:rsid w:val="00B71565"/>
    <w:rsid w:val="00B75CB4"/>
    <w:rsid w:val="00B7666A"/>
    <w:rsid w:val="00B776F1"/>
    <w:rsid w:val="00B77E85"/>
    <w:rsid w:val="00B82238"/>
    <w:rsid w:val="00B84775"/>
    <w:rsid w:val="00B855D1"/>
    <w:rsid w:val="00B90CE6"/>
    <w:rsid w:val="00B937B9"/>
    <w:rsid w:val="00BA005C"/>
    <w:rsid w:val="00BA1B68"/>
    <w:rsid w:val="00BA282D"/>
    <w:rsid w:val="00BA3C3C"/>
    <w:rsid w:val="00BA4D57"/>
    <w:rsid w:val="00BB1373"/>
    <w:rsid w:val="00BB4322"/>
    <w:rsid w:val="00BB6260"/>
    <w:rsid w:val="00BC6637"/>
    <w:rsid w:val="00BD030A"/>
    <w:rsid w:val="00BD0749"/>
    <w:rsid w:val="00BD2630"/>
    <w:rsid w:val="00BD403D"/>
    <w:rsid w:val="00BD67BD"/>
    <w:rsid w:val="00BD6D6A"/>
    <w:rsid w:val="00BD76E3"/>
    <w:rsid w:val="00BE13EF"/>
    <w:rsid w:val="00BE1741"/>
    <w:rsid w:val="00BE59D0"/>
    <w:rsid w:val="00BE791E"/>
    <w:rsid w:val="00BF2193"/>
    <w:rsid w:val="00BF3591"/>
    <w:rsid w:val="00BF3B6E"/>
    <w:rsid w:val="00BF66C9"/>
    <w:rsid w:val="00BF6855"/>
    <w:rsid w:val="00C05BB5"/>
    <w:rsid w:val="00C05E74"/>
    <w:rsid w:val="00C0720C"/>
    <w:rsid w:val="00C10C19"/>
    <w:rsid w:val="00C133F9"/>
    <w:rsid w:val="00C143B8"/>
    <w:rsid w:val="00C17827"/>
    <w:rsid w:val="00C17D02"/>
    <w:rsid w:val="00C32648"/>
    <w:rsid w:val="00C32C3B"/>
    <w:rsid w:val="00C34AB2"/>
    <w:rsid w:val="00C357CB"/>
    <w:rsid w:val="00C36EA3"/>
    <w:rsid w:val="00C40EB6"/>
    <w:rsid w:val="00C447A3"/>
    <w:rsid w:val="00C44AF8"/>
    <w:rsid w:val="00C46CF9"/>
    <w:rsid w:val="00C5038C"/>
    <w:rsid w:val="00C54B6F"/>
    <w:rsid w:val="00C5649C"/>
    <w:rsid w:val="00C6345E"/>
    <w:rsid w:val="00C63AD2"/>
    <w:rsid w:val="00C67941"/>
    <w:rsid w:val="00C74871"/>
    <w:rsid w:val="00C74FB3"/>
    <w:rsid w:val="00C75486"/>
    <w:rsid w:val="00C8202C"/>
    <w:rsid w:val="00C84E0C"/>
    <w:rsid w:val="00C87C5C"/>
    <w:rsid w:val="00C9079C"/>
    <w:rsid w:val="00C92A5B"/>
    <w:rsid w:val="00CA069D"/>
    <w:rsid w:val="00CA3894"/>
    <w:rsid w:val="00CA46EC"/>
    <w:rsid w:val="00CA74A7"/>
    <w:rsid w:val="00CB3BC7"/>
    <w:rsid w:val="00CB4BED"/>
    <w:rsid w:val="00CB4E83"/>
    <w:rsid w:val="00CB6B11"/>
    <w:rsid w:val="00CC01C7"/>
    <w:rsid w:val="00CD152C"/>
    <w:rsid w:val="00CD4384"/>
    <w:rsid w:val="00CE0DBA"/>
    <w:rsid w:val="00CE6E35"/>
    <w:rsid w:val="00CF2B3B"/>
    <w:rsid w:val="00CF4090"/>
    <w:rsid w:val="00CF484E"/>
    <w:rsid w:val="00D0378A"/>
    <w:rsid w:val="00D03A86"/>
    <w:rsid w:val="00D05B29"/>
    <w:rsid w:val="00D07E94"/>
    <w:rsid w:val="00D1094C"/>
    <w:rsid w:val="00D12954"/>
    <w:rsid w:val="00D1394D"/>
    <w:rsid w:val="00D14BB8"/>
    <w:rsid w:val="00D24AFD"/>
    <w:rsid w:val="00D25A00"/>
    <w:rsid w:val="00D317F8"/>
    <w:rsid w:val="00D3490C"/>
    <w:rsid w:val="00D36A79"/>
    <w:rsid w:val="00D405D5"/>
    <w:rsid w:val="00D47740"/>
    <w:rsid w:val="00D508BE"/>
    <w:rsid w:val="00D5649C"/>
    <w:rsid w:val="00D607BC"/>
    <w:rsid w:val="00D632B0"/>
    <w:rsid w:val="00D6473A"/>
    <w:rsid w:val="00D65B14"/>
    <w:rsid w:val="00D73E95"/>
    <w:rsid w:val="00D74468"/>
    <w:rsid w:val="00D74C50"/>
    <w:rsid w:val="00D77C7D"/>
    <w:rsid w:val="00D812B9"/>
    <w:rsid w:val="00D82775"/>
    <w:rsid w:val="00D87F72"/>
    <w:rsid w:val="00D903FD"/>
    <w:rsid w:val="00D90BA6"/>
    <w:rsid w:val="00D92D84"/>
    <w:rsid w:val="00D936D3"/>
    <w:rsid w:val="00D94BC5"/>
    <w:rsid w:val="00D96C08"/>
    <w:rsid w:val="00DA1DC2"/>
    <w:rsid w:val="00DA33D7"/>
    <w:rsid w:val="00DC3052"/>
    <w:rsid w:val="00DD0089"/>
    <w:rsid w:val="00DD15A1"/>
    <w:rsid w:val="00DD6B90"/>
    <w:rsid w:val="00DE17AF"/>
    <w:rsid w:val="00DE5C7C"/>
    <w:rsid w:val="00DF445C"/>
    <w:rsid w:val="00DF46C4"/>
    <w:rsid w:val="00DF4CA3"/>
    <w:rsid w:val="00DF702A"/>
    <w:rsid w:val="00DF7828"/>
    <w:rsid w:val="00E07B72"/>
    <w:rsid w:val="00E16311"/>
    <w:rsid w:val="00E22635"/>
    <w:rsid w:val="00E2466E"/>
    <w:rsid w:val="00E2521B"/>
    <w:rsid w:val="00E26B80"/>
    <w:rsid w:val="00E27A92"/>
    <w:rsid w:val="00E27E40"/>
    <w:rsid w:val="00E30EBA"/>
    <w:rsid w:val="00E333D4"/>
    <w:rsid w:val="00E34B9C"/>
    <w:rsid w:val="00E376D2"/>
    <w:rsid w:val="00E43889"/>
    <w:rsid w:val="00E439F1"/>
    <w:rsid w:val="00E472C0"/>
    <w:rsid w:val="00E47352"/>
    <w:rsid w:val="00E4775E"/>
    <w:rsid w:val="00E65DD3"/>
    <w:rsid w:val="00E7118A"/>
    <w:rsid w:val="00E77F74"/>
    <w:rsid w:val="00E808AE"/>
    <w:rsid w:val="00E810F2"/>
    <w:rsid w:val="00E90CF3"/>
    <w:rsid w:val="00E93841"/>
    <w:rsid w:val="00E946A8"/>
    <w:rsid w:val="00EA0CEE"/>
    <w:rsid w:val="00EA0E81"/>
    <w:rsid w:val="00EA43E8"/>
    <w:rsid w:val="00EB02E9"/>
    <w:rsid w:val="00EC1469"/>
    <w:rsid w:val="00EC39F6"/>
    <w:rsid w:val="00EC78E7"/>
    <w:rsid w:val="00ED296E"/>
    <w:rsid w:val="00ED43D2"/>
    <w:rsid w:val="00EE3B8C"/>
    <w:rsid w:val="00EF1B87"/>
    <w:rsid w:val="00EF29D6"/>
    <w:rsid w:val="00EF4A38"/>
    <w:rsid w:val="00EF5845"/>
    <w:rsid w:val="00EF6D47"/>
    <w:rsid w:val="00F10104"/>
    <w:rsid w:val="00F11B8F"/>
    <w:rsid w:val="00F2374F"/>
    <w:rsid w:val="00F23B57"/>
    <w:rsid w:val="00F3302F"/>
    <w:rsid w:val="00F34072"/>
    <w:rsid w:val="00F37F62"/>
    <w:rsid w:val="00F43FD0"/>
    <w:rsid w:val="00F445CC"/>
    <w:rsid w:val="00F46F8E"/>
    <w:rsid w:val="00F47193"/>
    <w:rsid w:val="00F55A2A"/>
    <w:rsid w:val="00F66F7C"/>
    <w:rsid w:val="00F71657"/>
    <w:rsid w:val="00F74011"/>
    <w:rsid w:val="00F80CFC"/>
    <w:rsid w:val="00F82A0C"/>
    <w:rsid w:val="00F86C8F"/>
    <w:rsid w:val="00F91847"/>
    <w:rsid w:val="00F94A72"/>
    <w:rsid w:val="00FA040B"/>
    <w:rsid w:val="00FB10CB"/>
    <w:rsid w:val="00FB2C89"/>
    <w:rsid w:val="00FC0B84"/>
    <w:rsid w:val="00FC33F4"/>
    <w:rsid w:val="00FC6D9A"/>
    <w:rsid w:val="00FC7F3D"/>
    <w:rsid w:val="00FD48C8"/>
    <w:rsid w:val="00FE0C1B"/>
    <w:rsid w:val="00FE3DA2"/>
    <w:rsid w:val="00FE7671"/>
    <w:rsid w:val="00FF1EF0"/>
    <w:rsid w:val="00FF2556"/>
    <w:rsid w:val="00FF7B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2FB8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FDB"/>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Heading1"/>
    <w:next w:val="Normal"/>
    <w:link w:val="Heading2Char"/>
    <w:autoRedefine/>
    <w:uiPriority w:val="9"/>
    <w:unhideWhenUsed/>
    <w:qFormat/>
    <w:rsid w:val="0037139F"/>
    <w:pPr>
      <w:spacing w:after="120"/>
      <w:contextualSpacing w:val="0"/>
      <w:outlineLvl w:val="1"/>
    </w:pPr>
    <w:rPr>
      <w:sz w:val="28"/>
    </w:rPr>
  </w:style>
  <w:style w:type="paragraph" w:styleId="Heading3">
    <w:name w:val="heading 3"/>
    <w:basedOn w:val="Normal"/>
    <w:next w:val="Normal"/>
    <w:link w:val="Heading3Char"/>
    <w:uiPriority w:val="9"/>
    <w:unhideWhenUsed/>
    <w:qFormat/>
    <w:rsid w:val="00737BFD"/>
    <w:pPr>
      <w:shd w:val="clear" w:color="auto" w:fill="DBDDE0" w:themeFill="accent6" w:themeFillTint="33"/>
      <w:spacing w:after="0"/>
      <w:outlineLvl w:val="2"/>
    </w:pPr>
    <w:rPr>
      <w:b/>
    </w:rPr>
  </w:style>
  <w:style w:type="paragraph" w:styleId="Heading4">
    <w:name w:val="heading 4"/>
    <w:basedOn w:val="Heading2"/>
    <w:next w:val="Normal"/>
    <w:link w:val="Heading4Char"/>
    <w:uiPriority w:val="9"/>
    <w:unhideWhenUsed/>
    <w:qFormat/>
    <w:rsid w:val="002B72BE"/>
    <w:pPr>
      <w:outlineLvl w:val="3"/>
    </w:p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37139F"/>
    <w:rPr>
      <w:rFonts w:ascii="Calibri" w:eastAsiaTheme="majorEastAsia" w:hAnsi="Calibri" w:cstheme="majorBidi"/>
      <w:b/>
      <w:bCs/>
      <w:color w:val="522761"/>
      <w:sz w:val="28"/>
      <w:szCs w:val="28"/>
    </w:rPr>
  </w:style>
  <w:style w:type="character" w:customStyle="1" w:styleId="Heading3Char">
    <w:name w:val="Heading 3 Char"/>
    <w:basedOn w:val="DefaultParagraphFont"/>
    <w:link w:val="Heading3"/>
    <w:uiPriority w:val="9"/>
    <w:rsid w:val="00737BFD"/>
    <w:rPr>
      <w:b/>
      <w:shd w:val="clear" w:color="auto" w:fill="DBDDE0" w:themeFill="accent6" w:themeFillTint="33"/>
    </w:rPr>
  </w:style>
  <w:style w:type="character" w:customStyle="1" w:styleId="Heading4Char">
    <w:name w:val="Heading 4 Char"/>
    <w:basedOn w:val="DefaultParagraphFont"/>
    <w:link w:val="Heading4"/>
    <w:uiPriority w:val="9"/>
    <w:rsid w:val="002B72BE"/>
    <w:rPr>
      <w:rFonts w:ascii="Calibri" w:eastAsiaTheme="majorEastAsia" w:hAnsi="Calibri" w:cstheme="majorBidi"/>
      <w:b/>
      <w:bCs/>
      <w:sz w:val="28"/>
      <w:szCs w:val="26"/>
      <w:shd w:val="clear" w:color="auto" w:fill="E9A913" w:themeFill="background2"/>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character" w:styleId="Strong">
    <w:name w:val="Strong"/>
    <w:uiPriority w:val="22"/>
    <w:qFormat/>
    <w:rsid w:val="00AC65DA"/>
    <w:rPr>
      <w:b/>
      <w:bCs/>
    </w:rPr>
  </w:style>
  <w:style w:type="character" w:styleId="Emphasis">
    <w:name w:val="Emphasis"/>
    <w:uiPriority w:val="20"/>
    <w:qFormat/>
    <w:rsid w:val="000C1766"/>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E376D2"/>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paragraph" w:styleId="Title">
    <w:name w:val="Title"/>
    <w:basedOn w:val="Normal"/>
    <w:next w:val="Normal"/>
    <w:link w:val="TitleChar"/>
    <w:uiPriority w:val="10"/>
    <w:qFormat/>
    <w:rsid w:val="00BA4D57"/>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BA4D57"/>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character" w:customStyle="1" w:styleId="NoSpacingChar">
    <w:name w:val="No Spacing Char"/>
    <w:basedOn w:val="DefaultParagraphFont"/>
    <w:link w:val="NoSpacing"/>
    <w:uiPriority w:val="1"/>
    <w:rsid w:val="00130923"/>
  </w:style>
  <w:style w:type="paragraph" w:styleId="ListParagraph">
    <w:name w:val="List Paragraph"/>
    <w:basedOn w:val="Normal"/>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semiHidden/>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semiHidden/>
    <w:qFormat/>
    <w:rsid w:val="00AC65DA"/>
    <w:rPr>
      <w:smallCaps/>
    </w:rPr>
  </w:style>
  <w:style w:type="character" w:styleId="IntenseReference">
    <w:name w:val="Intense Reference"/>
    <w:uiPriority w:val="32"/>
    <w:semiHidden/>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
      </w:numPr>
      <w:spacing w:after="120"/>
      <w:ind w:left="369" w:hanging="369"/>
      <w:contextualSpacing/>
    </w:pPr>
  </w:style>
  <w:style w:type="paragraph" w:styleId="ListNumber2">
    <w:name w:val="List Number 2"/>
    <w:basedOn w:val="Normal"/>
    <w:uiPriority w:val="99"/>
    <w:unhideWhenUsed/>
    <w:rsid w:val="00985632"/>
    <w:pPr>
      <w:tabs>
        <w:tab w:val="left" w:pos="1134"/>
      </w:tabs>
      <w:spacing w:after="120"/>
      <w:ind w:left="936" w:hanging="567"/>
      <w:contextualSpacing/>
    </w:pPr>
  </w:style>
  <w:style w:type="paragraph" w:styleId="ListNumber3">
    <w:name w:val="List Number 3"/>
    <w:basedOn w:val="Normal"/>
    <w:uiPriority w:val="99"/>
    <w:unhideWhenUsed/>
    <w:rsid w:val="00985632"/>
    <w:pPr>
      <w:spacing w:after="120"/>
      <w:ind w:left="1701" w:hanging="765"/>
      <w:contextualSpacing/>
    </w:pPr>
  </w:style>
  <w:style w:type="paragraph" w:styleId="ListNumber4">
    <w:name w:val="List Number 4"/>
    <w:basedOn w:val="Normal"/>
    <w:uiPriority w:val="99"/>
    <w:unhideWhenUsed/>
    <w:rsid w:val="00406E5A"/>
    <w:pPr>
      <w:spacing w:after="120"/>
      <w:ind w:left="2637" w:hanging="936"/>
      <w:contextualSpacing/>
    </w:pPr>
  </w:style>
  <w:style w:type="paragraph" w:styleId="ListBullet">
    <w:name w:val="List Bullet"/>
    <w:basedOn w:val="Normal"/>
    <w:uiPriority w:val="99"/>
    <w:unhideWhenUsed/>
    <w:rsid w:val="00CA46EC"/>
    <w:pPr>
      <w:numPr>
        <w:numId w:val="2"/>
      </w:numPr>
      <w:spacing w:after="120"/>
      <w:ind w:left="369" w:hanging="369"/>
      <w:contextualSpacing/>
    </w:pPr>
  </w:style>
  <w:style w:type="paragraph" w:styleId="ListBullet2">
    <w:name w:val="List Bullet 2"/>
    <w:basedOn w:val="Normal"/>
    <w:uiPriority w:val="99"/>
    <w:unhideWhenUsed/>
    <w:rsid w:val="00CA46EC"/>
    <w:pPr>
      <w:spacing w:after="120"/>
      <w:ind w:left="766" w:hanging="369"/>
      <w:contextualSpacing/>
    </w:pPr>
  </w:style>
  <w:style w:type="paragraph" w:styleId="ListBullet3">
    <w:name w:val="List Bullet 3"/>
    <w:basedOn w:val="Normal"/>
    <w:uiPriority w:val="99"/>
    <w:unhideWhenUsed/>
    <w:rsid w:val="00CA46EC"/>
    <w:pPr>
      <w:spacing w:after="120"/>
      <w:ind w:left="1163" w:hanging="369"/>
      <w:contextualSpacing/>
    </w:pPr>
  </w:style>
  <w:style w:type="paragraph" w:styleId="ListBullet4">
    <w:name w:val="List Bullet 4"/>
    <w:basedOn w:val="Normal"/>
    <w:uiPriority w:val="99"/>
    <w:unhideWhenUsed/>
    <w:rsid w:val="00CA46EC"/>
    <w:p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3E273C"/>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3"/>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124CBB"/>
    <w:pPr>
      <w:tabs>
        <w:tab w:val="right" w:leader="dot" w:pos="9016"/>
      </w:tabs>
      <w:spacing w:after="100"/>
      <w:ind w:left="442"/>
    </w:pPr>
  </w:style>
  <w:style w:type="paragraph" w:styleId="Caption">
    <w:name w:val="caption"/>
    <w:basedOn w:val="Heading4"/>
    <w:next w:val="Normal"/>
    <w:uiPriority w:val="35"/>
    <w:unhideWhenUsed/>
    <w:rsid w:val="00B2722A"/>
    <w:rPr>
      <w:i/>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E376D2"/>
    <w:rPr>
      <w:color w:val="522761" w:themeColor="accent4"/>
    </w:rPr>
  </w:style>
  <w:style w:type="table" w:styleId="ColorfulGrid-Accent1">
    <w:name w:val="Colorful Grid Accent 1"/>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EF" w:themeFill="accent1" w:themeFillTint="33"/>
    </w:tcPr>
    <w:tblStylePr w:type="firstRow">
      <w:rPr>
        <w:b/>
        <w:bCs/>
      </w:rPr>
      <w:tblPr/>
      <w:tcPr>
        <w:shd w:val="clear" w:color="auto" w:fill="ABB7E0" w:themeFill="accent1" w:themeFillTint="66"/>
      </w:tcPr>
    </w:tblStylePr>
    <w:tblStylePr w:type="lastRow">
      <w:rPr>
        <w:b/>
        <w:bCs/>
        <w:color w:val="000000" w:themeColor="text1"/>
      </w:rPr>
      <w:tblPr/>
      <w:tcPr>
        <w:shd w:val="clear" w:color="auto" w:fill="ABB7E0" w:themeFill="accent1" w:themeFillTint="66"/>
      </w:tcPr>
    </w:tblStylePr>
    <w:tblStylePr w:type="firstCol">
      <w:rPr>
        <w:color w:val="FFFFFF" w:themeColor="background1"/>
      </w:rPr>
      <w:tblPr/>
      <w:tcPr>
        <w:shd w:val="clear" w:color="auto" w:fill="2D3E7B" w:themeFill="accent1" w:themeFillShade="BF"/>
      </w:tcPr>
    </w:tblStylePr>
    <w:tblStylePr w:type="lastCol">
      <w:rPr>
        <w:color w:val="FFFFFF" w:themeColor="background1"/>
      </w:rPr>
      <w:tblPr/>
      <w:tcPr>
        <w:shd w:val="clear" w:color="auto" w:fill="2D3E7B" w:themeFill="accent1" w:themeFillShade="BF"/>
      </w:tcPr>
    </w:tblStylePr>
    <w:tblStylePr w:type="band1Vert">
      <w:tblPr/>
      <w:tcPr>
        <w:shd w:val="clear" w:color="auto" w:fill="96A5D9" w:themeFill="accent1" w:themeFillTint="7F"/>
      </w:tcPr>
    </w:tblStylePr>
    <w:tblStylePr w:type="band1Horz">
      <w:tblPr/>
      <w:tcPr>
        <w:shd w:val="clear" w:color="auto" w:fill="96A5D9" w:themeFill="accent1" w:themeFillTint="7F"/>
      </w:tcPr>
    </w:tblStylePr>
  </w:style>
  <w:style w:type="table" w:styleId="ColorfulGrid-Accent2">
    <w:name w:val="Colorful Grid Accent 2"/>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DE0" w:themeFill="accent2" w:themeFillTint="33"/>
    </w:tcPr>
    <w:tblStylePr w:type="firstRow">
      <w:rPr>
        <w:b/>
        <w:bCs/>
      </w:rPr>
      <w:tblPr/>
      <w:tcPr>
        <w:shd w:val="clear" w:color="auto" w:fill="B8BBC2" w:themeFill="accent2" w:themeFillTint="66"/>
      </w:tcPr>
    </w:tblStylePr>
    <w:tblStylePr w:type="lastRow">
      <w:rPr>
        <w:b/>
        <w:bCs/>
        <w:color w:val="000000" w:themeColor="text1"/>
      </w:rPr>
      <w:tblPr/>
      <w:tcPr>
        <w:shd w:val="clear" w:color="auto" w:fill="B8BBC2" w:themeFill="accent2" w:themeFillTint="66"/>
      </w:tcPr>
    </w:tblStylePr>
    <w:tblStylePr w:type="firstCol">
      <w:rPr>
        <w:color w:val="FFFFFF" w:themeColor="background1"/>
      </w:rPr>
      <w:tblPr/>
      <w:tcPr>
        <w:shd w:val="clear" w:color="auto" w:fill="3F4148" w:themeFill="accent2" w:themeFillShade="BF"/>
      </w:tcPr>
    </w:tblStylePr>
    <w:tblStylePr w:type="lastCol">
      <w:rPr>
        <w:color w:val="FFFFFF" w:themeColor="background1"/>
      </w:rPr>
      <w:tblPr/>
      <w:tcPr>
        <w:shd w:val="clear" w:color="auto" w:fill="3F4148" w:themeFill="accent2" w:themeFillShade="BF"/>
      </w:tcPr>
    </w:tblStylePr>
    <w:tblStylePr w:type="band1Vert">
      <w:tblPr/>
      <w:tcPr>
        <w:shd w:val="clear" w:color="auto" w:fill="A7AAB3" w:themeFill="accent2" w:themeFillTint="7F"/>
      </w:tcPr>
    </w:tblStylePr>
    <w:tblStylePr w:type="band1Horz">
      <w:tblPr/>
      <w:tcPr>
        <w:shd w:val="clear" w:color="auto" w:fill="A7AAB3" w:themeFill="accent2" w:themeFillTint="7F"/>
      </w:tcPr>
    </w:tblStylePr>
  </w:style>
  <w:style w:type="table" w:styleId="ColorfulGrid-Accent3">
    <w:name w:val="Colorful Grid Accent 3"/>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DCF" w:themeFill="accent3" w:themeFillTint="33"/>
    </w:tcPr>
    <w:tblStylePr w:type="firstRow">
      <w:rPr>
        <w:b/>
        <w:bCs/>
      </w:rPr>
      <w:tblPr/>
      <w:tcPr>
        <w:shd w:val="clear" w:color="auto" w:fill="F7DC9F" w:themeFill="accent3" w:themeFillTint="66"/>
      </w:tcPr>
    </w:tblStylePr>
    <w:tblStylePr w:type="lastRow">
      <w:rPr>
        <w:b/>
        <w:bCs/>
        <w:color w:val="000000" w:themeColor="text1"/>
      </w:rPr>
      <w:tblPr/>
      <w:tcPr>
        <w:shd w:val="clear" w:color="auto" w:fill="F7DC9F" w:themeFill="accent3" w:themeFillTint="66"/>
      </w:tcPr>
    </w:tblStylePr>
    <w:tblStylePr w:type="firstCol">
      <w:rPr>
        <w:color w:val="FFFFFF" w:themeColor="background1"/>
      </w:rPr>
      <w:tblPr/>
      <w:tcPr>
        <w:shd w:val="clear" w:color="auto" w:fill="AE7E0E" w:themeFill="accent3" w:themeFillShade="BF"/>
      </w:tcPr>
    </w:tblStylePr>
    <w:tblStylePr w:type="lastCol">
      <w:rPr>
        <w:color w:val="FFFFFF" w:themeColor="background1"/>
      </w:rPr>
      <w:tblPr/>
      <w:tcPr>
        <w:shd w:val="clear" w:color="auto" w:fill="AE7E0E" w:themeFill="accent3" w:themeFillShade="BF"/>
      </w:tcPr>
    </w:tblStylePr>
    <w:tblStylePr w:type="band1Vert">
      <w:tblPr/>
      <w:tcPr>
        <w:shd w:val="clear" w:color="auto" w:fill="F5D488" w:themeFill="accent3" w:themeFillTint="7F"/>
      </w:tcPr>
    </w:tblStylePr>
    <w:tblStylePr w:type="band1Horz">
      <w:tblPr/>
      <w:tcPr>
        <w:shd w:val="clear" w:color="auto" w:fill="F5D488" w:themeFill="accent3" w:themeFillTint="7F"/>
      </w:tcPr>
    </w:tblStylePr>
  </w:style>
  <w:style w:type="table" w:styleId="ColorfulGrid-Accent4">
    <w:name w:val="Colorful Grid Accent 4"/>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C9E9" w:themeFill="accent4" w:themeFillTint="33"/>
    </w:tcPr>
    <w:tblStylePr w:type="firstRow">
      <w:rPr>
        <w:b/>
        <w:bCs/>
      </w:rPr>
      <w:tblPr/>
      <w:tcPr>
        <w:shd w:val="clear" w:color="auto" w:fill="C394D4" w:themeFill="accent4" w:themeFillTint="66"/>
      </w:tcPr>
    </w:tblStylePr>
    <w:tblStylePr w:type="lastRow">
      <w:rPr>
        <w:b/>
        <w:bCs/>
        <w:color w:val="000000" w:themeColor="text1"/>
      </w:rPr>
      <w:tblPr/>
      <w:tcPr>
        <w:shd w:val="clear" w:color="auto" w:fill="C394D4" w:themeFill="accent4" w:themeFillTint="66"/>
      </w:tcPr>
    </w:tblStylePr>
    <w:tblStylePr w:type="firstCol">
      <w:rPr>
        <w:color w:val="FFFFFF" w:themeColor="background1"/>
      </w:rPr>
      <w:tblPr/>
      <w:tcPr>
        <w:shd w:val="clear" w:color="auto" w:fill="3D1D48" w:themeFill="accent4" w:themeFillShade="BF"/>
      </w:tcPr>
    </w:tblStylePr>
    <w:tblStylePr w:type="lastCol">
      <w:rPr>
        <w:color w:val="FFFFFF" w:themeColor="background1"/>
      </w:rPr>
      <w:tblPr/>
      <w:tcPr>
        <w:shd w:val="clear" w:color="auto" w:fill="3D1D48" w:themeFill="accent4" w:themeFillShade="BF"/>
      </w:tcPr>
    </w:tblStylePr>
    <w:tblStylePr w:type="band1Vert">
      <w:tblPr/>
      <w:tcPr>
        <w:shd w:val="clear" w:color="auto" w:fill="B57AC9" w:themeFill="accent4" w:themeFillTint="7F"/>
      </w:tcPr>
    </w:tblStylePr>
    <w:tblStylePr w:type="band1Horz">
      <w:tblPr/>
      <w:tcPr>
        <w:shd w:val="clear" w:color="auto" w:fill="B57AC9" w:themeFill="accent4" w:themeFillTint="7F"/>
      </w:tcPr>
    </w:tblStylePr>
  </w:style>
  <w:style w:type="table" w:styleId="ColorfulGrid-Accent5">
    <w:name w:val="Colorful Grid Accent 5"/>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EF" w:themeFill="accent5" w:themeFillTint="33"/>
    </w:tcPr>
    <w:tblStylePr w:type="firstRow">
      <w:rPr>
        <w:b/>
        <w:bCs/>
      </w:rPr>
      <w:tblPr/>
      <w:tcPr>
        <w:shd w:val="clear" w:color="auto" w:fill="ABB7E0" w:themeFill="accent5" w:themeFillTint="66"/>
      </w:tcPr>
    </w:tblStylePr>
    <w:tblStylePr w:type="lastRow">
      <w:rPr>
        <w:b/>
        <w:bCs/>
        <w:color w:val="000000" w:themeColor="text1"/>
      </w:rPr>
      <w:tblPr/>
      <w:tcPr>
        <w:shd w:val="clear" w:color="auto" w:fill="ABB7E0" w:themeFill="accent5" w:themeFillTint="66"/>
      </w:tcPr>
    </w:tblStylePr>
    <w:tblStylePr w:type="firstCol">
      <w:rPr>
        <w:color w:val="FFFFFF" w:themeColor="background1"/>
      </w:rPr>
      <w:tblPr/>
      <w:tcPr>
        <w:shd w:val="clear" w:color="auto" w:fill="2D3E7B" w:themeFill="accent5" w:themeFillShade="BF"/>
      </w:tcPr>
    </w:tblStylePr>
    <w:tblStylePr w:type="lastCol">
      <w:rPr>
        <w:color w:val="FFFFFF" w:themeColor="background1"/>
      </w:rPr>
      <w:tblPr/>
      <w:tcPr>
        <w:shd w:val="clear" w:color="auto" w:fill="2D3E7B" w:themeFill="accent5" w:themeFillShade="BF"/>
      </w:tcPr>
    </w:tblStylePr>
    <w:tblStylePr w:type="band1Vert">
      <w:tblPr/>
      <w:tcPr>
        <w:shd w:val="clear" w:color="auto" w:fill="96A5D9" w:themeFill="accent5" w:themeFillTint="7F"/>
      </w:tcPr>
    </w:tblStylePr>
    <w:tblStylePr w:type="band1Horz">
      <w:tblPr/>
      <w:tcPr>
        <w:shd w:val="clear" w:color="auto" w:fill="96A5D9" w:themeFill="accent5" w:themeFillTint="7F"/>
      </w:tcPr>
    </w:tblStylePr>
  </w:style>
  <w:style w:type="table" w:styleId="ColorfulGrid-Accent6">
    <w:name w:val="Colorful Grid Accent 6"/>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DE0" w:themeFill="accent6" w:themeFillTint="33"/>
    </w:tcPr>
    <w:tblStylePr w:type="firstRow">
      <w:rPr>
        <w:b/>
        <w:bCs/>
      </w:rPr>
      <w:tblPr/>
      <w:tcPr>
        <w:shd w:val="clear" w:color="auto" w:fill="B8BBC2" w:themeFill="accent6" w:themeFillTint="66"/>
      </w:tcPr>
    </w:tblStylePr>
    <w:tblStylePr w:type="lastRow">
      <w:rPr>
        <w:b/>
        <w:bCs/>
        <w:color w:val="000000" w:themeColor="text1"/>
      </w:rPr>
      <w:tblPr/>
      <w:tcPr>
        <w:shd w:val="clear" w:color="auto" w:fill="B8BBC2" w:themeFill="accent6" w:themeFillTint="66"/>
      </w:tcPr>
    </w:tblStylePr>
    <w:tblStylePr w:type="firstCol">
      <w:rPr>
        <w:color w:val="FFFFFF" w:themeColor="background1"/>
      </w:rPr>
      <w:tblPr/>
      <w:tcPr>
        <w:shd w:val="clear" w:color="auto" w:fill="3F4148" w:themeFill="accent6" w:themeFillShade="BF"/>
      </w:tcPr>
    </w:tblStylePr>
    <w:tblStylePr w:type="lastCol">
      <w:rPr>
        <w:color w:val="FFFFFF" w:themeColor="background1"/>
      </w:rPr>
      <w:tblPr/>
      <w:tcPr>
        <w:shd w:val="clear" w:color="auto" w:fill="3F4148" w:themeFill="accent6" w:themeFillShade="BF"/>
      </w:tcPr>
    </w:tblStylePr>
    <w:tblStylePr w:type="band1Vert">
      <w:tblPr/>
      <w:tcPr>
        <w:shd w:val="clear" w:color="auto" w:fill="A7AAB3" w:themeFill="accent6" w:themeFillTint="7F"/>
      </w:tcPr>
    </w:tblStylePr>
    <w:tblStylePr w:type="band1Horz">
      <w:tblPr/>
      <w:tcPr>
        <w:shd w:val="clear" w:color="auto" w:fill="A7AAB3" w:themeFill="accent6" w:themeFillTint="7F"/>
      </w:tcPr>
    </w:tblStylePr>
  </w:style>
  <w:style w:type="table" w:styleId="ColorfulList">
    <w:name w:val="Colorful List"/>
    <w:basedOn w:val="TableNormal"/>
    <w:uiPriority w:val="72"/>
    <w:semiHidden/>
    <w:rsid w:val="003E273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E273C"/>
    <w:pPr>
      <w:spacing w:after="0" w:line="240" w:lineRule="auto"/>
    </w:pPr>
    <w:rPr>
      <w:color w:val="000000" w:themeColor="text1"/>
    </w:rPr>
    <w:tblPr>
      <w:tblStyleRowBandSize w:val="1"/>
      <w:tblStyleColBandSize w:val="1"/>
    </w:tblPr>
    <w:tcPr>
      <w:shd w:val="clear" w:color="auto" w:fill="EAEDF7" w:themeFill="accent1"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EC" w:themeFill="accent1" w:themeFillTint="3F"/>
      </w:tcPr>
    </w:tblStylePr>
    <w:tblStylePr w:type="band1Horz">
      <w:tblPr/>
      <w:tcPr>
        <w:shd w:val="clear" w:color="auto" w:fill="D5DBEF" w:themeFill="accent1" w:themeFillTint="33"/>
      </w:tcPr>
    </w:tblStylePr>
  </w:style>
  <w:style w:type="table" w:styleId="ColorfulList-Accent2">
    <w:name w:val="Colorful List Accent 2"/>
    <w:basedOn w:val="TableNormal"/>
    <w:uiPriority w:val="72"/>
    <w:semiHidden/>
    <w:rsid w:val="003E273C"/>
    <w:pPr>
      <w:spacing w:after="0" w:line="240" w:lineRule="auto"/>
    </w:pPr>
    <w:rPr>
      <w:color w:val="000000" w:themeColor="text1"/>
    </w:rPr>
    <w:tblPr>
      <w:tblStyleRowBandSize w:val="1"/>
      <w:tblStyleColBandSize w:val="1"/>
    </w:tblPr>
    <w:tcPr>
      <w:shd w:val="clear" w:color="auto" w:fill="EDEEF0" w:themeFill="accent2"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9" w:themeFill="accent2" w:themeFillTint="3F"/>
      </w:tcPr>
    </w:tblStylePr>
    <w:tblStylePr w:type="band1Horz">
      <w:tblPr/>
      <w:tcPr>
        <w:shd w:val="clear" w:color="auto" w:fill="DBDDE0" w:themeFill="accent2" w:themeFillTint="33"/>
      </w:tcPr>
    </w:tblStylePr>
  </w:style>
  <w:style w:type="table" w:styleId="ColorfulList-Accent3">
    <w:name w:val="Colorful List Accent 3"/>
    <w:basedOn w:val="TableNormal"/>
    <w:uiPriority w:val="72"/>
    <w:semiHidden/>
    <w:rsid w:val="003E273C"/>
    <w:pPr>
      <w:spacing w:after="0" w:line="240" w:lineRule="auto"/>
    </w:pPr>
    <w:rPr>
      <w:color w:val="000000" w:themeColor="text1"/>
    </w:rPr>
    <w:tblPr>
      <w:tblStyleRowBandSize w:val="1"/>
      <w:tblStyleColBandSize w:val="1"/>
    </w:tblPr>
    <w:tcPr>
      <w:shd w:val="clear" w:color="auto" w:fill="FDF6E7" w:themeFill="accent3" w:themeFillTint="19"/>
    </w:tcPr>
    <w:tblStylePr w:type="firstRow">
      <w:rPr>
        <w:b/>
        <w:bCs/>
        <w:color w:val="FFFFFF" w:themeColor="background1"/>
      </w:rPr>
      <w:tblPr/>
      <w:tcPr>
        <w:tcBorders>
          <w:bottom w:val="single" w:sz="12" w:space="0" w:color="FFFFFF" w:themeColor="background1"/>
        </w:tcBorders>
        <w:shd w:val="clear" w:color="auto" w:fill="411F4D" w:themeFill="accent4" w:themeFillShade="CC"/>
      </w:tcPr>
    </w:tblStylePr>
    <w:tblStylePr w:type="lastRow">
      <w:rPr>
        <w:b/>
        <w:bCs/>
        <w:color w:val="411F4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9C3" w:themeFill="accent3" w:themeFillTint="3F"/>
      </w:tcPr>
    </w:tblStylePr>
    <w:tblStylePr w:type="band1Horz">
      <w:tblPr/>
      <w:tcPr>
        <w:shd w:val="clear" w:color="auto" w:fill="FBEDCF" w:themeFill="accent3" w:themeFillTint="33"/>
      </w:tcPr>
    </w:tblStylePr>
  </w:style>
  <w:style w:type="table" w:styleId="ColorfulList-Accent4">
    <w:name w:val="Colorful List Accent 4"/>
    <w:basedOn w:val="TableNormal"/>
    <w:uiPriority w:val="72"/>
    <w:semiHidden/>
    <w:rsid w:val="003E273C"/>
    <w:pPr>
      <w:spacing w:after="0" w:line="240" w:lineRule="auto"/>
    </w:pPr>
    <w:rPr>
      <w:color w:val="000000" w:themeColor="text1"/>
    </w:rPr>
    <w:tblPr>
      <w:tblStyleRowBandSize w:val="1"/>
      <w:tblStyleColBandSize w:val="1"/>
    </w:tblPr>
    <w:tcPr>
      <w:shd w:val="clear" w:color="auto" w:fill="F0E4F4" w:themeFill="accent4" w:themeFillTint="19"/>
    </w:tcPr>
    <w:tblStylePr w:type="firstRow">
      <w:rPr>
        <w:b/>
        <w:bCs/>
        <w:color w:val="FFFFFF" w:themeColor="background1"/>
      </w:rPr>
      <w:tblPr/>
      <w:tcPr>
        <w:tcBorders>
          <w:bottom w:val="single" w:sz="12" w:space="0" w:color="FFFFFF" w:themeColor="background1"/>
        </w:tcBorders>
        <w:shd w:val="clear" w:color="auto" w:fill="BA860F" w:themeFill="accent3" w:themeFillShade="CC"/>
      </w:tcPr>
    </w:tblStylePr>
    <w:tblStylePr w:type="lastRow">
      <w:rPr>
        <w:b/>
        <w:bCs/>
        <w:color w:val="BA860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BCE4" w:themeFill="accent4" w:themeFillTint="3F"/>
      </w:tcPr>
    </w:tblStylePr>
    <w:tblStylePr w:type="band1Horz">
      <w:tblPr/>
      <w:tcPr>
        <w:shd w:val="clear" w:color="auto" w:fill="E1C9E9" w:themeFill="accent4" w:themeFillTint="33"/>
      </w:tcPr>
    </w:tblStylePr>
  </w:style>
  <w:style w:type="table" w:styleId="ColorfulList-Accent5">
    <w:name w:val="Colorful List Accent 5"/>
    <w:basedOn w:val="TableNormal"/>
    <w:uiPriority w:val="72"/>
    <w:semiHidden/>
    <w:rsid w:val="003E273C"/>
    <w:pPr>
      <w:spacing w:after="0" w:line="240" w:lineRule="auto"/>
    </w:pPr>
    <w:rPr>
      <w:color w:val="000000" w:themeColor="text1"/>
    </w:rPr>
    <w:tblPr>
      <w:tblStyleRowBandSize w:val="1"/>
      <w:tblStyleColBandSize w:val="1"/>
    </w:tblPr>
    <w:tcPr>
      <w:shd w:val="clear" w:color="auto" w:fill="EAEDF7" w:themeFill="accent5" w:themeFillTint="19"/>
    </w:tcPr>
    <w:tblStylePr w:type="firstRow">
      <w:rPr>
        <w:b/>
        <w:bCs/>
        <w:color w:val="FFFFFF" w:themeColor="background1"/>
      </w:rPr>
      <w:tblPr/>
      <w:tcPr>
        <w:tcBorders>
          <w:bottom w:val="single" w:sz="12" w:space="0" w:color="FFFFFF" w:themeColor="background1"/>
        </w:tcBorders>
        <w:shd w:val="clear" w:color="auto" w:fill="43464D" w:themeFill="accent6" w:themeFillShade="CC"/>
      </w:tcPr>
    </w:tblStylePr>
    <w:tblStylePr w:type="lastRow">
      <w:rPr>
        <w:b/>
        <w:bCs/>
        <w:color w:val="43464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EC" w:themeFill="accent5" w:themeFillTint="3F"/>
      </w:tcPr>
    </w:tblStylePr>
    <w:tblStylePr w:type="band1Horz">
      <w:tblPr/>
      <w:tcPr>
        <w:shd w:val="clear" w:color="auto" w:fill="D5DBEF" w:themeFill="accent5" w:themeFillTint="33"/>
      </w:tcPr>
    </w:tblStylePr>
  </w:style>
  <w:style w:type="table" w:styleId="ColorfulList-Accent6">
    <w:name w:val="Colorful List Accent 6"/>
    <w:basedOn w:val="TableNormal"/>
    <w:uiPriority w:val="72"/>
    <w:semiHidden/>
    <w:rsid w:val="003E273C"/>
    <w:pPr>
      <w:spacing w:after="0" w:line="240" w:lineRule="auto"/>
    </w:pPr>
    <w:rPr>
      <w:color w:val="000000" w:themeColor="text1"/>
    </w:rPr>
    <w:tblPr>
      <w:tblStyleRowBandSize w:val="1"/>
      <w:tblStyleColBandSize w:val="1"/>
    </w:tblPr>
    <w:tcPr>
      <w:shd w:val="clear" w:color="auto" w:fill="EDEEF0" w:themeFill="accent6" w:themeFillTint="19"/>
    </w:tcPr>
    <w:tblStylePr w:type="firstRow">
      <w:rPr>
        <w:b/>
        <w:bCs/>
        <w:color w:val="FFFFFF" w:themeColor="background1"/>
      </w:rPr>
      <w:tblPr/>
      <w:tcPr>
        <w:tcBorders>
          <w:bottom w:val="single" w:sz="12" w:space="0" w:color="FFFFFF" w:themeColor="background1"/>
        </w:tcBorders>
        <w:shd w:val="clear" w:color="auto" w:fill="304384" w:themeFill="accent5" w:themeFillShade="CC"/>
      </w:tcPr>
    </w:tblStylePr>
    <w:tblStylePr w:type="lastRow">
      <w:rPr>
        <w:b/>
        <w:bCs/>
        <w:color w:val="30438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9" w:themeFill="accent6" w:themeFillTint="3F"/>
      </w:tcPr>
    </w:tblStylePr>
    <w:tblStylePr w:type="band1Horz">
      <w:tblPr/>
      <w:tcPr>
        <w:shd w:val="clear" w:color="auto" w:fill="DBDDE0" w:themeFill="accent6" w:themeFillTint="33"/>
      </w:tcPr>
    </w:tblStylePr>
  </w:style>
  <w:style w:type="table" w:styleId="ColorfulShading">
    <w:name w:val="Colorful Shading"/>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3C54A5" w:themeColor="accent1"/>
        <w:bottom w:val="single" w:sz="4" w:space="0" w:color="3C54A5" w:themeColor="accent1"/>
        <w:right w:val="single" w:sz="4" w:space="0" w:color="3C54A5" w:themeColor="accent1"/>
        <w:insideH w:val="single" w:sz="4" w:space="0" w:color="FFFFFF" w:themeColor="background1"/>
        <w:insideV w:val="single" w:sz="4" w:space="0" w:color="FFFFFF" w:themeColor="background1"/>
      </w:tblBorders>
    </w:tblPr>
    <w:tcPr>
      <w:shd w:val="clear" w:color="auto" w:fill="EAEDF7" w:themeFill="accent1"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263" w:themeFill="accent1" w:themeFillShade="99"/>
      </w:tcPr>
    </w:tblStylePr>
    <w:tblStylePr w:type="firstCol">
      <w:rPr>
        <w:color w:val="FFFFFF" w:themeColor="background1"/>
      </w:rPr>
      <w:tblPr/>
      <w:tcPr>
        <w:tcBorders>
          <w:top w:val="nil"/>
          <w:left w:val="nil"/>
          <w:bottom w:val="nil"/>
          <w:right w:val="nil"/>
          <w:insideH w:val="single" w:sz="4" w:space="0" w:color="243263" w:themeColor="accent1" w:themeShade="99"/>
          <w:insideV w:val="nil"/>
        </w:tcBorders>
        <w:shd w:val="clear" w:color="auto" w:fill="2432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43263" w:themeFill="accent1" w:themeFillShade="99"/>
      </w:tcPr>
    </w:tblStylePr>
    <w:tblStylePr w:type="band1Vert">
      <w:tblPr/>
      <w:tcPr>
        <w:shd w:val="clear" w:color="auto" w:fill="ABB7E0" w:themeFill="accent1" w:themeFillTint="66"/>
      </w:tcPr>
    </w:tblStylePr>
    <w:tblStylePr w:type="band1Horz">
      <w:tblPr/>
      <w:tcPr>
        <w:shd w:val="clear" w:color="auto" w:fill="96A5D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545861" w:themeColor="accent2"/>
        <w:bottom w:val="single" w:sz="4" w:space="0" w:color="545861" w:themeColor="accent2"/>
        <w:right w:val="single" w:sz="4" w:space="0" w:color="545861" w:themeColor="accent2"/>
        <w:insideH w:val="single" w:sz="4" w:space="0" w:color="FFFFFF" w:themeColor="background1"/>
        <w:insideV w:val="single" w:sz="4" w:space="0" w:color="FFFFFF" w:themeColor="background1"/>
      </w:tblBorders>
    </w:tblPr>
    <w:tcPr>
      <w:shd w:val="clear" w:color="auto" w:fill="EDEEF0" w:themeFill="accent2"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43A" w:themeFill="accent2" w:themeFillShade="99"/>
      </w:tcPr>
    </w:tblStylePr>
    <w:tblStylePr w:type="firstCol">
      <w:rPr>
        <w:color w:val="FFFFFF" w:themeColor="background1"/>
      </w:rPr>
      <w:tblPr/>
      <w:tcPr>
        <w:tcBorders>
          <w:top w:val="nil"/>
          <w:left w:val="nil"/>
          <w:bottom w:val="nil"/>
          <w:right w:val="nil"/>
          <w:insideH w:val="single" w:sz="4" w:space="0" w:color="32343A" w:themeColor="accent2" w:themeShade="99"/>
          <w:insideV w:val="nil"/>
        </w:tcBorders>
        <w:shd w:val="clear" w:color="auto" w:fill="3234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2343A" w:themeFill="accent2" w:themeFillShade="99"/>
      </w:tcPr>
    </w:tblStylePr>
    <w:tblStylePr w:type="band1Vert">
      <w:tblPr/>
      <w:tcPr>
        <w:shd w:val="clear" w:color="auto" w:fill="B8BBC2" w:themeFill="accent2" w:themeFillTint="66"/>
      </w:tcPr>
    </w:tblStylePr>
    <w:tblStylePr w:type="band1Horz">
      <w:tblPr/>
      <w:tcPr>
        <w:shd w:val="clear" w:color="auto" w:fill="A7AAB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22761" w:themeColor="accent4"/>
        <w:left w:val="single" w:sz="4" w:space="0" w:color="E9A913" w:themeColor="accent3"/>
        <w:bottom w:val="single" w:sz="4" w:space="0" w:color="E9A913" w:themeColor="accent3"/>
        <w:right w:val="single" w:sz="4" w:space="0" w:color="E9A913" w:themeColor="accent3"/>
        <w:insideH w:val="single" w:sz="4" w:space="0" w:color="FFFFFF" w:themeColor="background1"/>
        <w:insideV w:val="single" w:sz="4" w:space="0" w:color="FFFFFF" w:themeColor="background1"/>
      </w:tblBorders>
    </w:tblPr>
    <w:tcPr>
      <w:shd w:val="clear" w:color="auto" w:fill="FDF6E7" w:themeFill="accent3" w:themeFillTint="19"/>
    </w:tcPr>
    <w:tblStylePr w:type="firstRow">
      <w:rPr>
        <w:b/>
        <w:bCs/>
      </w:rPr>
      <w:tblPr/>
      <w:tcPr>
        <w:tcBorders>
          <w:top w:val="nil"/>
          <w:left w:val="nil"/>
          <w:bottom w:val="single" w:sz="24" w:space="0" w:color="52276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640B" w:themeFill="accent3" w:themeFillShade="99"/>
      </w:tcPr>
    </w:tblStylePr>
    <w:tblStylePr w:type="firstCol">
      <w:rPr>
        <w:color w:val="FFFFFF" w:themeColor="background1"/>
      </w:rPr>
      <w:tblPr/>
      <w:tcPr>
        <w:tcBorders>
          <w:top w:val="nil"/>
          <w:left w:val="nil"/>
          <w:bottom w:val="nil"/>
          <w:right w:val="nil"/>
          <w:insideH w:val="single" w:sz="4" w:space="0" w:color="8B640B" w:themeColor="accent3" w:themeShade="99"/>
          <w:insideV w:val="nil"/>
        </w:tcBorders>
        <w:shd w:val="clear" w:color="auto" w:fill="8B6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640B" w:themeFill="accent3" w:themeFillShade="99"/>
      </w:tcPr>
    </w:tblStylePr>
    <w:tblStylePr w:type="band1Vert">
      <w:tblPr/>
      <w:tcPr>
        <w:shd w:val="clear" w:color="auto" w:fill="F7DC9F" w:themeFill="accent3" w:themeFillTint="66"/>
      </w:tcPr>
    </w:tblStylePr>
    <w:tblStylePr w:type="band1Horz">
      <w:tblPr/>
      <w:tcPr>
        <w:shd w:val="clear" w:color="auto" w:fill="F5D488" w:themeFill="accent3" w:themeFillTint="7F"/>
      </w:tcPr>
    </w:tblStylePr>
  </w:style>
  <w:style w:type="table" w:styleId="ColorfulShading-Accent4">
    <w:name w:val="Colorful Shading Accent 4"/>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E9A913" w:themeColor="accent3"/>
        <w:left w:val="single" w:sz="4" w:space="0" w:color="522761" w:themeColor="accent4"/>
        <w:bottom w:val="single" w:sz="4" w:space="0" w:color="522761" w:themeColor="accent4"/>
        <w:right w:val="single" w:sz="4" w:space="0" w:color="522761" w:themeColor="accent4"/>
        <w:insideH w:val="single" w:sz="4" w:space="0" w:color="FFFFFF" w:themeColor="background1"/>
        <w:insideV w:val="single" w:sz="4" w:space="0" w:color="FFFFFF" w:themeColor="background1"/>
      </w:tblBorders>
    </w:tblPr>
    <w:tcPr>
      <w:shd w:val="clear" w:color="auto" w:fill="F0E4F4" w:themeFill="accent4" w:themeFillTint="19"/>
    </w:tcPr>
    <w:tblStylePr w:type="firstRow">
      <w:rPr>
        <w:b/>
        <w:bCs/>
      </w:rPr>
      <w:tblPr/>
      <w:tcPr>
        <w:tcBorders>
          <w:top w:val="nil"/>
          <w:left w:val="nil"/>
          <w:bottom w:val="single" w:sz="24" w:space="0" w:color="E9A91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739" w:themeFill="accent4" w:themeFillShade="99"/>
      </w:tcPr>
    </w:tblStylePr>
    <w:tblStylePr w:type="firstCol">
      <w:rPr>
        <w:color w:val="FFFFFF" w:themeColor="background1"/>
      </w:rPr>
      <w:tblPr/>
      <w:tcPr>
        <w:tcBorders>
          <w:top w:val="nil"/>
          <w:left w:val="nil"/>
          <w:bottom w:val="nil"/>
          <w:right w:val="nil"/>
          <w:insideH w:val="single" w:sz="4" w:space="0" w:color="301739" w:themeColor="accent4" w:themeShade="99"/>
          <w:insideV w:val="nil"/>
        </w:tcBorders>
        <w:shd w:val="clear" w:color="auto" w:fill="30173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01739" w:themeFill="accent4" w:themeFillShade="99"/>
      </w:tcPr>
    </w:tblStylePr>
    <w:tblStylePr w:type="band1Vert">
      <w:tblPr/>
      <w:tcPr>
        <w:shd w:val="clear" w:color="auto" w:fill="C394D4" w:themeFill="accent4" w:themeFillTint="66"/>
      </w:tcPr>
    </w:tblStylePr>
    <w:tblStylePr w:type="band1Horz">
      <w:tblPr/>
      <w:tcPr>
        <w:shd w:val="clear" w:color="auto" w:fill="B57AC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6"/>
        <w:left w:val="single" w:sz="4" w:space="0" w:color="3C54A5" w:themeColor="accent5"/>
        <w:bottom w:val="single" w:sz="4" w:space="0" w:color="3C54A5" w:themeColor="accent5"/>
        <w:right w:val="single" w:sz="4" w:space="0" w:color="3C54A5" w:themeColor="accent5"/>
        <w:insideH w:val="single" w:sz="4" w:space="0" w:color="FFFFFF" w:themeColor="background1"/>
        <w:insideV w:val="single" w:sz="4" w:space="0" w:color="FFFFFF" w:themeColor="background1"/>
      </w:tblBorders>
    </w:tblPr>
    <w:tcPr>
      <w:shd w:val="clear" w:color="auto" w:fill="EAEDF7" w:themeFill="accent5" w:themeFillTint="19"/>
    </w:tcPr>
    <w:tblStylePr w:type="firstRow">
      <w:rPr>
        <w:b/>
        <w:bCs/>
      </w:rPr>
      <w:tblPr/>
      <w:tcPr>
        <w:tcBorders>
          <w:top w:val="nil"/>
          <w:left w:val="nil"/>
          <w:bottom w:val="single" w:sz="24" w:space="0" w:color="54586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263" w:themeFill="accent5" w:themeFillShade="99"/>
      </w:tcPr>
    </w:tblStylePr>
    <w:tblStylePr w:type="firstCol">
      <w:rPr>
        <w:color w:val="FFFFFF" w:themeColor="background1"/>
      </w:rPr>
      <w:tblPr/>
      <w:tcPr>
        <w:tcBorders>
          <w:top w:val="nil"/>
          <w:left w:val="nil"/>
          <w:bottom w:val="nil"/>
          <w:right w:val="nil"/>
          <w:insideH w:val="single" w:sz="4" w:space="0" w:color="243263" w:themeColor="accent5" w:themeShade="99"/>
          <w:insideV w:val="nil"/>
        </w:tcBorders>
        <w:shd w:val="clear" w:color="auto" w:fill="24326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43263" w:themeFill="accent5" w:themeFillShade="99"/>
      </w:tcPr>
    </w:tblStylePr>
    <w:tblStylePr w:type="band1Vert">
      <w:tblPr/>
      <w:tcPr>
        <w:shd w:val="clear" w:color="auto" w:fill="ABB7E0" w:themeFill="accent5" w:themeFillTint="66"/>
      </w:tcPr>
    </w:tblStylePr>
    <w:tblStylePr w:type="band1Horz">
      <w:tblPr/>
      <w:tcPr>
        <w:shd w:val="clear" w:color="auto" w:fill="96A5D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3C54A5" w:themeColor="accent5"/>
        <w:left w:val="single" w:sz="4" w:space="0" w:color="545861" w:themeColor="accent6"/>
        <w:bottom w:val="single" w:sz="4" w:space="0" w:color="545861" w:themeColor="accent6"/>
        <w:right w:val="single" w:sz="4" w:space="0" w:color="545861" w:themeColor="accent6"/>
        <w:insideH w:val="single" w:sz="4" w:space="0" w:color="FFFFFF" w:themeColor="background1"/>
        <w:insideV w:val="single" w:sz="4" w:space="0" w:color="FFFFFF" w:themeColor="background1"/>
      </w:tblBorders>
    </w:tblPr>
    <w:tcPr>
      <w:shd w:val="clear" w:color="auto" w:fill="EDEEF0" w:themeFill="accent6" w:themeFillTint="19"/>
    </w:tcPr>
    <w:tblStylePr w:type="firstRow">
      <w:rPr>
        <w:b/>
        <w:bCs/>
      </w:rPr>
      <w:tblPr/>
      <w:tcPr>
        <w:tcBorders>
          <w:top w:val="nil"/>
          <w:left w:val="nil"/>
          <w:bottom w:val="single" w:sz="24" w:space="0" w:color="3C54A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43A" w:themeFill="accent6" w:themeFillShade="99"/>
      </w:tcPr>
    </w:tblStylePr>
    <w:tblStylePr w:type="firstCol">
      <w:rPr>
        <w:color w:val="FFFFFF" w:themeColor="background1"/>
      </w:rPr>
      <w:tblPr/>
      <w:tcPr>
        <w:tcBorders>
          <w:top w:val="nil"/>
          <w:left w:val="nil"/>
          <w:bottom w:val="nil"/>
          <w:right w:val="nil"/>
          <w:insideH w:val="single" w:sz="4" w:space="0" w:color="32343A" w:themeColor="accent6" w:themeShade="99"/>
          <w:insideV w:val="nil"/>
        </w:tcBorders>
        <w:shd w:val="clear" w:color="auto" w:fill="32343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343A" w:themeFill="accent6" w:themeFillShade="99"/>
      </w:tcPr>
    </w:tblStylePr>
    <w:tblStylePr w:type="band1Vert">
      <w:tblPr/>
      <w:tcPr>
        <w:shd w:val="clear" w:color="auto" w:fill="B8BBC2" w:themeFill="accent6" w:themeFillTint="66"/>
      </w:tcPr>
    </w:tblStylePr>
    <w:tblStylePr w:type="band1Horz">
      <w:tblPr/>
      <w:tcPr>
        <w:shd w:val="clear" w:color="auto" w:fill="A7AAB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3C54A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9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D3E7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D3E7B" w:themeFill="accent1" w:themeFillShade="BF"/>
      </w:tcPr>
    </w:tblStylePr>
    <w:tblStylePr w:type="band1Vert">
      <w:tblPr/>
      <w:tcPr>
        <w:tcBorders>
          <w:top w:val="nil"/>
          <w:left w:val="nil"/>
          <w:bottom w:val="nil"/>
          <w:right w:val="nil"/>
          <w:insideH w:val="nil"/>
          <w:insideV w:val="nil"/>
        </w:tcBorders>
        <w:shd w:val="clear" w:color="auto" w:fill="2D3E7B" w:themeFill="accent1" w:themeFillShade="BF"/>
      </w:tcPr>
    </w:tblStylePr>
    <w:tblStylePr w:type="band1Horz">
      <w:tblPr/>
      <w:tcPr>
        <w:tcBorders>
          <w:top w:val="nil"/>
          <w:left w:val="nil"/>
          <w:bottom w:val="nil"/>
          <w:right w:val="nil"/>
          <w:insideH w:val="nil"/>
          <w:insideV w:val="nil"/>
        </w:tcBorders>
        <w:shd w:val="clear" w:color="auto" w:fill="2D3E7B" w:themeFill="accent1" w:themeFillShade="BF"/>
      </w:tcPr>
    </w:tblStylePr>
  </w:style>
  <w:style w:type="table" w:styleId="DarkList-Accent2">
    <w:name w:val="Dark List Accent 2"/>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4586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B3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F414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F4148" w:themeFill="accent2" w:themeFillShade="BF"/>
      </w:tcPr>
    </w:tblStylePr>
    <w:tblStylePr w:type="band1Vert">
      <w:tblPr/>
      <w:tcPr>
        <w:tcBorders>
          <w:top w:val="nil"/>
          <w:left w:val="nil"/>
          <w:bottom w:val="nil"/>
          <w:right w:val="nil"/>
          <w:insideH w:val="nil"/>
          <w:insideV w:val="nil"/>
        </w:tcBorders>
        <w:shd w:val="clear" w:color="auto" w:fill="3F4148" w:themeFill="accent2" w:themeFillShade="BF"/>
      </w:tcPr>
    </w:tblStylePr>
    <w:tblStylePr w:type="band1Horz">
      <w:tblPr/>
      <w:tcPr>
        <w:tcBorders>
          <w:top w:val="nil"/>
          <w:left w:val="nil"/>
          <w:bottom w:val="nil"/>
          <w:right w:val="nil"/>
          <w:insideH w:val="nil"/>
          <w:insideV w:val="nil"/>
        </w:tcBorders>
        <w:shd w:val="clear" w:color="auto" w:fill="3F4148" w:themeFill="accent2" w:themeFillShade="BF"/>
      </w:tcPr>
    </w:tblStylePr>
  </w:style>
  <w:style w:type="table" w:styleId="DarkList-Accent3">
    <w:name w:val="Dark List Accent 3"/>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E9A91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53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7E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7E0E" w:themeFill="accent3" w:themeFillShade="BF"/>
      </w:tcPr>
    </w:tblStylePr>
    <w:tblStylePr w:type="band1Vert">
      <w:tblPr/>
      <w:tcPr>
        <w:tcBorders>
          <w:top w:val="nil"/>
          <w:left w:val="nil"/>
          <w:bottom w:val="nil"/>
          <w:right w:val="nil"/>
          <w:insideH w:val="nil"/>
          <w:insideV w:val="nil"/>
        </w:tcBorders>
        <w:shd w:val="clear" w:color="auto" w:fill="AE7E0E" w:themeFill="accent3" w:themeFillShade="BF"/>
      </w:tcPr>
    </w:tblStylePr>
    <w:tblStylePr w:type="band1Horz">
      <w:tblPr/>
      <w:tcPr>
        <w:tcBorders>
          <w:top w:val="nil"/>
          <w:left w:val="nil"/>
          <w:bottom w:val="nil"/>
          <w:right w:val="nil"/>
          <w:insideH w:val="nil"/>
          <w:insideV w:val="nil"/>
        </w:tcBorders>
        <w:shd w:val="clear" w:color="auto" w:fill="AE7E0E" w:themeFill="accent3" w:themeFillShade="BF"/>
      </w:tcPr>
    </w:tblStylePr>
  </w:style>
  <w:style w:type="table" w:styleId="DarkList-Accent4">
    <w:name w:val="Dark List Accent 4"/>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2276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3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D1D4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D1D48" w:themeFill="accent4" w:themeFillShade="BF"/>
      </w:tcPr>
    </w:tblStylePr>
    <w:tblStylePr w:type="band1Vert">
      <w:tblPr/>
      <w:tcPr>
        <w:tcBorders>
          <w:top w:val="nil"/>
          <w:left w:val="nil"/>
          <w:bottom w:val="nil"/>
          <w:right w:val="nil"/>
          <w:insideH w:val="nil"/>
          <w:insideV w:val="nil"/>
        </w:tcBorders>
        <w:shd w:val="clear" w:color="auto" w:fill="3D1D48" w:themeFill="accent4" w:themeFillShade="BF"/>
      </w:tcPr>
    </w:tblStylePr>
    <w:tblStylePr w:type="band1Horz">
      <w:tblPr/>
      <w:tcPr>
        <w:tcBorders>
          <w:top w:val="nil"/>
          <w:left w:val="nil"/>
          <w:bottom w:val="nil"/>
          <w:right w:val="nil"/>
          <w:insideH w:val="nil"/>
          <w:insideV w:val="nil"/>
        </w:tcBorders>
        <w:shd w:val="clear" w:color="auto" w:fill="3D1D48" w:themeFill="accent4" w:themeFillShade="BF"/>
      </w:tcPr>
    </w:tblStylePr>
  </w:style>
  <w:style w:type="table" w:styleId="DarkList-Accent5">
    <w:name w:val="Dark List Accent 5"/>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3C54A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9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D3E7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D3E7B" w:themeFill="accent5" w:themeFillShade="BF"/>
      </w:tcPr>
    </w:tblStylePr>
    <w:tblStylePr w:type="band1Vert">
      <w:tblPr/>
      <w:tcPr>
        <w:tcBorders>
          <w:top w:val="nil"/>
          <w:left w:val="nil"/>
          <w:bottom w:val="nil"/>
          <w:right w:val="nil"/>
          <w:insideH w:val="nil"/>
          <w:insideV w:val="nil"/>
        </w:tcBorders>
        <w:shd w:val="clear" w:color="auto" w:fill="2D3E7B" w:themeFill="accent5" w:themeFillShade="BF"/>
      </w:tcPr>
    </w:tblStylePr>
    <w:tblStylePr w:type="band1Horz">
      <w:tblPr/>
      <w:tcPr>
        <w:tcBorders>
          <w:top w:val="nil"/>
          <w:left w:val="nil"/>
          <w:bottom w:val="nil"/>
          <w:right w:val="nil"/>
          <w:insideH w:val="nil"/>
          <w:insideV w:val="nil"/>
        </w:tcBorders>
        <w:shd w:val="clear" w:color="auto" w:fill="2D3E7B" w:themeFill="accent5" w:themeFillShade="BF"/>
      </w:tcPr>
    </w:tblStylePr>
  </w:style>
  <w:style w:type="table" w:styleId="DarkList-Accent6">
    <w:name w:val="Dark List Accent 6"/>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4586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B3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F414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F4148" w:themeFill="accent6" w:themeFillShade="BF"/>
      </w:tcPr>
    </w:tblStylePr>
    <w:tblStylePr w:type="band1Vert">
      <w:tblPr/>
      <w:tcPr>
        <w:tcBorders>
          <w:top w:val="nil"/>
          <w:left w:val="nil"/>
          <w:bottom w:val="nil"/>
          <w:right w:val="nil"/>
          <w:insideH w:val="nil"/>
          <w:insideV w:val="nil"/>
        </w:tcBorders>
        <w:shd w:val="clear" w:color="auto" w:fill="3F4148" w:themeFill="accent6" w:themeFillShade="BF"/>
      </w:tcPr>
    </w:tblStylePr>
    <w:tblStylePr w:type="band1Horz">
      <w:tblPr/>
      <w:tcPr>
        <w:tcBorders>
          <w:top w:val="nil"/>
          <w:left w:val="nil"/>
          <w:bottom w:val="nil"/>
          <w:right w:val="nil"/>
          <w:insideH w:val="nil"/>
          <w:insideV w:val="nil"/>
        </w:tcBorders>
        <w:shd w:val="clear" w:color="auto" w:fill="3F4148" w:themeFill="accent6" w:themeFillShade="BF"/>
      </w:tcPr>
    </w:tblStylePr>
  </w:style>
  <w:style w:type="table" w:styleId="LightGrid">
    <w:name w:val="Light Grid"/>
    <w:basedOn w:val="TableNormal"/>
    <w:uiPriority w:val="62"/>
    <w:semiHidden/>
    <w:rsid w:val="003E27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E273C"/>
    <w:pPr>
      <w:spacing w:after="0" w:line="240" w:lineRule="auto"/>
    </w:p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insideH w:val="single" w:sz="8" w:space="0" w:color="3C54A5" w:themeColor="accent1"/>
        <w:insideV w:val="single" w:sz="8" w:space="0" w:color="3C54A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54A5" w:themeColor="accent1"/>
          <w:left w:val="single" w:sz="8" w:space="0" w:color="3C54A5" w:themeColor="accent1"/>
          <w:bottom w:val="single" w:sz="18" w:space="0" w:color="3C54A5" w:themeColor="accent1"/>
          <w:right w:val="single" w:sz="8" w:space="0" w:color="3C54A5" w:themeColor="accent1"/>
          <w:insideH w:val="nil"/>
          <w:insideV w:val="single" w:sz="8" w:space="0" w:color="3C54A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54A5" w:themeColor="accent1"/>
          <w:left w:val="single" w:sz="8" w:space="0" w:color="3C54A5" w:themeColor="accent1"/>
          <w:bottom w:val="single" w:sz="8" w:space="0" w:color="3C54A5" w:themeColor="accent1"/>
          <w:right w:val="single" w:sz="8" w:space="0" w:color="3C54A5" w:themeColor="accent1"/>
          <w:insideH w:val="nil"/>
          <w:insideV w:val="single" w:sz="8" w:space="0" w:color="3C54A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tblStylePr w:type="band1Vert">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shd w:val="clear" w:color="auto" w:fill="CBD2EC" w:themeFill="accent1" w:themeFillTint="3F"/>
      </w:tcPr>
    </w:tblStylePr>
    <w:tblStylePr w:type="band1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insideV w:val="single" w:sz="8" w:space="0" w:color="3C54A5" w:themeColor="accent1"/>
        </w:tcBorders>
        <w:shd w:val="clear" w:color="auto" w:fill="CBD2EC" w:themeFill="accent1" w:themeFillTint="3F"/>
      </w:tcPr>
    </w:tblStylePr>
    <w:tblStylePr w:type="band2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insideV w:val="single" w:sz="8" w:space="0" w:color="3C54A5" w:themeColor="accent1"/>
        </w:tcBorders>
      </w:tcPr>
    </w:tblStylePr>
  </w:style>
  <w:style w:type="table" w:styleId="LightGrid-Accent2">
    <w:name w:val="Light Grid Accent 2"/>
    <w:basedOn w:val="TableNormal"/>
    <w:uiPriority w:val="62"/>
    <w:semiHidden/>
    <w:rsid w:val="003E273C"/>
    <w:pPr>
      <w:spacing w:after="0" w:line="240" w:lineRule="auto"/>
    </w:p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insideH w:val="single" w:sz="8" w:space="0" w:color="545861" w:themeColor="accent2"/>
        <w:insideV w:val="single" w:sz="8" w:space="0" w:color="5458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861" w:themeColor="accent2"/>
          <w:left w:val="single" w:sz="8" w:space="0" w:color="545861" w:themeColor="accent2"/>
          <w:bottom w:val="single" w:sz="18" w:space="0" w:color="545861" w:themeColor="accent2"/>
          <w:right w:val="single" w:sz="8" w:space="0" w:color="545861" w:themeColor="accent2"/>
          <w:insideH w:val="nil"/>
          <w:insideV w:val="single" w:sz="8" w:space="0" w:color="5458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861" w:themeColor="accent2"/>
          <w:left w:val="single" w:sz="8" w:space="0" w:color="545861" w:themeColor="accent2"/>
          <w:bottom w:val="single" w:sz="8" w:space="0" w:color="545861" w:themeColor="accent2"/>
          <w:right w:val="single" w:sz="8" w:space="0" w:color="545861" w:themeColor="accent2"/>
          <w:insideH w:val="nil"/>
          <w:insideV w:val="single" w:sz="8" w:space="0" w:color="5458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tblStylePr w:type="band1Vert">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shd w:val="clear" w:color="auto" w:fill="D3D5D9" w:themeFill="accent2" w:themeFillTint="3F"/>
      </w:tcPr>
    </w:tblStylePr>
    <w:tblStylePr w:type="band1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insideV w:val="single" w:sz="8" w:space="0" w:color="545861" w:themeColor="accent2"/>
        </w:tcBorders>
        <w:shd w:val="clear" w:color="auto" w:fill="D3D5D9" w:themeFill="accent2" w:themeFillTint="3F"/>
      </w:tcPr>
    </w:tblStylePr>
    <w:tblStylePr w:type="band2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insideV w:val="single" w:sz="8" w:space="0" w:color="545861" w:themeColor="accent2"/>
        </w:tcBorders>
      </w:tcPr>
    </w:tblStylePr>
  </w:style>
  <w:style w:type="table" w:styleId="LightGrid-Accent3">
    <w:name w:val="Light Grid Accent 3"/>
    <w:basedOn w:val="TableNormal"/>
    <w:uiPriority w:val="62"/>
    <w:semiHidden/>
    <w:rsid w:val="003E273C"/>
    <w:pPr>
      <w:spacing w:after="0" w:line="240" w:lineRule="auto"/>
    </w:p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insideH w:val="single" w:sz="8" w:space="0" w:color="E9A913" w:themeColor="accent3"/>
        <w:insideV w:val="single" w:sz="8" w:space="0" w:color="E9A91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A913" w:themeColor="accent3"/>
          <w:left w:val="single" w:sz="8" w:space="0" w:color="E9A913" w:themeColor="accent3"/>
          <w:bottom w:val="single" w:sz="18" w:space="0" w:color="E9A913" w:themeColor="accent3"/>
          <w:right w:val="single" w:sz="8" w:space="0" w:color="E9A913" w:themeColor="accent3"/>
          <w:insideH w:val="nil"/>
          <w:insideV w:val="single" w:sz="8" w:space="0" w:color="E9A91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A913" w:themeColor="accent3"/>
          <w:left w:val="single" w:sz="8" w:space="0" w:color="E9A913" w:themeColor="accent3"/>
          <w:bottom w:val="single" w:sz="8" w:space="0" w:color="E9A913" w:themeColor="accent3"/>
          <w:right w:val="single" w:sz="8" w:space="0" w:color="E9A913" w:themeColor="accent3"/>
          <w:insideH w:val="nil"/>
          <w:insideV w:val="single" w:sz="8" w:space="0" w:color="E9A91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tblStylePr w:type="band1Vert">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shd w:val="clear" w:color="auto" w:fill="FAE9C3" w:themeFill="accent3" w:themeFillTint="3F"/>
      </w:tcPr>
    </w:tblStylePr>
    <w:tblStylePr w:type="band1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insideV w:val="single" w:sz="8" w:space="0" w:color="E9A913" w:themeColor="accent3"/>
        </w:tcBorders>
        <w:shd w:val="clear" w:color="auto" w:fill="FAE9C3" w:themeFill="accent3" w:themeFillTint="3F"/>
      </w:tcPr>
    </w:tblStylePr>
    <w:tblStylePr w:type="band2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insideV w:val="single" w:sz="8" w:space="0" w:color="E9A913" w:themeColor="accent3"/>
        </w:tcBorders>
      </w:tcPr>
    </w:tblStylePr>
  </w:style>
  <w:style w:type="table" w:styleId="LightGrid-Accent4">
    <w:name w:val="Light Grid Accent 4"/>
    <w:basedOn w:val="TableNormal"/>
    <w:uiPriority w:val="62"/>
    <w:semiHidden/>
    <w:rsid w:val="003E273C"/>
    <w:pPr>
      <w:spacing w:after="0" w:line="240" w:lineRule="auto"/>
    </w:p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insideH w:val="single" w:sz="8" w:space="0" w:color="522761" w:themeColor="accent4"/>
        <w:insideV w:val="single" w:sz="8" w:space="0" w:color="52276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22761" w:themeColor="accent4"/>
          <w:left w:val="single" w:sz="8" w:space="0" w:color="522761" w:themeColor="accent4"/>
          <w:bottom w:val="single" w:sz="18" w:space="0" w:color="522761" w:themeColor="accent4"/>
          <w:right w:val="single" w:sz="8" w:space="0" w:color="522761" w:themeColor="accent4"/>
          <w:insideH w:val="nil"/>
          <w:insideV w:val="single" w:sz="8" w:space="0" w:color="52276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22761" w:themeColor="accent4"/>
          <w:left w:val="single" w:sz="8" w:space="0" w:color="522761" w:themeColor="accent4"/>
          <w:bottom w:val="single" w:sz="8" w:space="0" w:color="522761" w:themeColor="accent4"/>
          <w:right w:val="single" w:sz="8" w:space="0" w:color="522761" w:themeColor="accent4"/>
          <w:insideH w:val="nil"/>
          <w:insideV w:val="single" w:sz="8" w:space="0" w:color="52276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tblStylePr w:type="band1Vert">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shd w:val="clear" w:color="auto" w:fill="DABCE4" w:themeFill="accent4" w:themeFillTint="3F"/>
      </w:tcPr>
    </w:tblStylePr>
    <w:tblStylePr w:type="band1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insideV w:val="single" w:sz="8" w:space="0" w:color="522761" w:themeColor="accent4"/>
        </w:tcBorders>
        <w:shd w:val="clear" w:color="auto" w:fill="DABCE4" w:themeFill="accent4" w:themeFillTint="3F"/>
      </w:tcPr>
    </w:tblStylePr>
    <w:tblStylePr w:type="band2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insideV w:val="single" w:sz="8" w:space="0" w:color="522761" w:themeColor="accent4"/>
        </w:tcBorders>
      </w:tcPr>
    </w:tblStylePr>
  </w:style>
  <w:style w:type="table" w:styleId="LightGrid-Accent5">
    <w:name w:val="Light Grid Accent 5"/>
    <w:basedOn w:val="TableNormal"/>
    <w:uiPriority w:val="62"/>
    <w:semiHidden/>
    <w:rsid w:val="003E273C"/>
    <w:pPr>
      <w:spacing w:after="0" w:line="240" w:lineRule="auto"/>
    </w:p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insideH w:val="single" w:sz="8" w:space="0" w:color="3C54A5" w:themeColor="accent5"/>
        <w:insideV w:val="single" w:sz="8" w:space="0" w:color="3C54A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54A5" w:themeColor="accent5"/>
          <w:left w:val="single" w:sz="8" w:space="0" w:color="3C54A5" w:themeColor="accent5"/>
          <w:bottom w:val="single" w:sz="18" w:space="0" w:color="3C54A5" w:themeColor="accent5"/>
          <w:right w:val="single" w:sz="8" w:space="0" w:color="3C54A5" w:themeColor="accent5"/>
          <w:insideH w:val="nil"/>
          <w:insideV w:val="single" w:sz="8" w:space="0" w:color="3C54A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54A5" w:themeColor="accent5"/>
          <w:left w:val="single" w:sz="8" w:space="0" w:color="3C54A5" w:themeColor="accent5"/>
          <w:bottom w:val="single" w:sz="8" w:space="0" w:color="3C54A5" w:themeColor="accent5"/>
          <w:right w:val="single" w:sz="8" w:space="0" w:color="3C54A5" w:themeColor="accent5"/>
          <w:insideH w:val="nil"/>
          <w:insideV w:val="single" w:sz="8" w:space="0" w:color="3C54A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tblStylePr w:type="band1Vert">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shd w:val="clear" w:color="auto" w:fill="CBD2EC" w:themeFill="accent5" w:themeFillTint="3F"/>
      </w:tcPr>
    </w:tblStylePr>
    <w:tblStylePr w:type="band1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insideV w:val="single" w:sz="8" w:space="0" w:color="3C54A5" w:themeColor="accent5"/>
        </w:tcBorders>
        <w:shd w:val="clear" w:color="auto" w:fill="CBD2EC" w:themeFill="accent5" w:themeFillTint="3F"/>
      </w:tcPr>
    </w:tblStylePr>
    <w:tblStylePr w:type="band2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insideV w:val="single" w:sz="8" w:space="0" w:color="3C54A5" w:themeColor="accent5"/>
        </w:tcBorders>
      </w:tcPr>
    </w:tblStylePr>
  </w:style>
  <w:style w:type="table" w:styleId="LightGrid-Accent6">
    <w:name w:val="Light Grid Accent 6"/>
    <w:basedOn w:val="TableNormal"/>
    <w:uiPriority w:val="62"/>
    <w:semiHidden/>
    <w:rsid w:val="003E273C"/>
    <w:pPr>
      <w:spacing w:after="0" w:line="240" w:lineRule="auto"/>
    </w:p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insideH w:val="single" w:sz="8" w:space="0" w:color="545861" w:themeColor="accent6"/>
        <w:insideV w:val="single" w:sz="8" w:space="0" w:color="54586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861" w:themeColor="accent6"/>
          <w:left w:val="single" w:sz="8" w:space="0" w:color="545861" w:themeColor="accent6"/>
          <w:bottom w:val="single" w:sz="18" w:space="0" w:color="545861" w:themeColor="accent6"/>
          <w:right w:val="single" w:sz="8" w:space="0" w:color="545861" w:themeColor="accent6"/>
          <w:insideH w:val="nil"/>
          <w:insideV w:val="single" w:sz="8" w:space="0" w:color="54586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861" w:themeColor="accent6"/>
          <w:left w:val="single" w:sz="8" w:space="0" w:color="545861" w:themeColor="accent6"/>
          <w:bottom w:val="single" w:sz="8" w:space="0" w:color="545861" w:themeColor="accent6"/>
          <w:right w:val="single" w:sz="8" w:space="0" w:color="545861" w:themeColor="accent6"/>
          <w:insideH w:val="nil"/>
          <w:insideV w:val="single" w:sz="8" w:space="0" w:color="54586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tblStylePr w:type="band1Vert">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shd w:val="clear" w:color="auto" w:fill="D3D5D9" w:themeFill="accent6" w:themeFillTint="3F"/>
      </w:tcPr>
    </w:tblStylePr>
    <w:tblStylePr w:type="band1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insideV w:val="single" w:sz="8" w:space="0" w:color="545861" w:themeColor="accent6"/>
        </w:tcBorders>
        <w:shd w:val="clear" w:color="auto" w:fill="D3D5D9" w:themeFill="accent6" w:themeFillTint="3F"/>
      </w:tcPr>
    </w:tblStylePr>
    <w:tblStylePr w:type="band2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insideV w:val="single" w:sz="8" w:space="0" w:color="545861" w:themeColor="accent6"/>
        </w:tcBorders>
      </w:tcPr>
    </w:tblStylePr>
  </w:style>
  <w:style w:type="table" w:styleId="LightList">
    <w:name w:val="Light List"/>
    <w:basedOn w:val="TableNormal"/>
    <w:uiPriority w:val="61"/>
    <w:semiHidden/>
    <w:rsid w:val="003E27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E273C"/>
    <w:pPr>
      <w:spacing w:after="0" w:line="240" w:lineRule="auto"/>
    </w:p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tblBorders>
    </w:tblPr>
    <w:tblStylePr w:type="firstRow">
      <w:pPr>
        <w:spacing w:before="0" w:after="0" w:line="240" w:lineRule="auto"/>
      </w:pPr>
      <w:rPr>
        <w:b/>
        <w:bCs/>
        <w:color w:val="FFFFFF" w:themeColor="background1"/>
      </w:rPr>
      <w:tblPr/>
      <w:tcPr>
        <w:shd w:val="clear" w:color="auto" w:fill="3C54A5" w:themeFill="accent1"/>
      </w:tcPr>
    </w:tblStylePr>
    <w:tblStylePr w:type="lastRow">
      <w:pPr>
        <w:spacing w:before="0" w:after="0" w:line="240" w:lineRule="auto"/>
      </w:pPr>
      <w:rPr>
        <w:b/>
        <w:bCs/>
      </w:rPr>
      <w:tblPr/>
      <w:tcPr>
        <w:tcBorders>
          <w:top w:val="double" w:sz="6" w:space="0" w:color="3C54A5" w:themeColor="accent1"/>
          <w:left w:val="single" w:sz="8" w:space="0" w:color="3C54A5" w:themeColor="accent1"/>
          <w:bottom w:val="single" w:sz="8" w:space="0" w:color="3C54A5" w:themeColor="accent1"/>
          <w:right w:val="single" w:sz="8" w:space="0" w:color="3C54A5" w:themeColor="accent1"/>
        </w:tcBorders>
      </w:tcPr>
    </w:tblStylePr>
    <w:tblStylePr w:type="firstCol">
      <w:rPr>
        <w:b/>
        <w:bCs/>
      </w:rPr>
    </w:tblStylePr>
    <w:tblStylePr w:type="lastCol">
      <w:rPr>
        <w:b/>
        <w:bCs/>
      </w:rPr>
    </w:tblStylePr>
    <w:tblStylePr w:type="band1Vert">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tblStylePr w:type="band1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style>
  <w:style w:type="table" w:styleId="LightList-Accent2">
    <w:name w:val="Light List Accent 2"/>
    <w:basedOn w:val="TableNormal"/>
    <w:uiPriority w:val="61"/>
    <w:semiHidden/>
    <w:rsid w:val="003E273C"/>
    <w:pPr>
      <w:spacing w:after="0" w:line="240" w:lineRule="auto"/>
    </w:p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tblBorders>
    </w:tblPr>
    <w:tblStylePr w:type="firstRow">
      <w:pPr>
        <w:spacing w:before="0" w:after="0" w:line="240" w:lineRule="auto"/>
      </w:pPr>
      <w:rPr>
        <w:b/>
        <w:bCs/>
        <w:color w:val="FFFFFF" w:themeColor="background1"/>
      </w:rPr>
      <w:tblPr/>
      <w:tcPr>
        <w:shd w:val="clear" w:color="auto" w:fill="545861" w:themeFill="accent2"/>
      </w:tcPr>
    </w:tblStylePr>
    <w:tblStylePr w:type="lastRow">
      <w:pPr>
        <w:spacing w:before="0" w:after="0" w:line="240" w:lineRule="auto"/>
      </w:pPr>
      <w:rPr>
        <w:b/>
        <w:bCs/>
      </w:rPr>
      <w:tblPr/>
      <w:tcPr>
        <w:tcBorders>
          <w:top w:val="double" w:sz="6" w:space="0" w:color="545861" w:themeColor="accent2"/>
          <w:left w:val="single" w:sz="8" w:space="0" w:color="545861" w:themeColor="accent2"/>
          <w:bottom w:val="single" w:sz="8" w:space="0" w:color="545861" w:themeColor="accent2"/>
          <w:right w:val="single" w:sz="8" w:space="0" w:color="545861" w:themeColor="accent2"/>
        </w:tcBorders>
      </w:tcPr>
    </w:tblStylePr>
    <w:tblStylePr w:type="firstCol">
      <w:rPr>
        <w:b/>
        <w:bCs/>
      </w:rPr>
    </w:tblStylePr>
    <w:tblStylePr w:type="lastCol">
      <w:rPr>
        <w:b/>
        <w:bCs/>
      </w:rPr>
    </w:tblStylePr>
    <w:tblStylePr w:type="band1Vert">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tblStylePr w:type="band1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style>
  <w:style w:type="table" w:styleId="LightList-Accent3">
    <w:name w:val="Light List Accent 3"/>
    <w:basedOn w:val="TableNormal"/>
    <w:uiPriority w:val="61"/>
    <w:semiHidden/>
    <w:rsid w:val="003E273C"/>
    <w:pPr>
      <w:spacing w:after="0" w:line="240" w:lineRule="auto"/>
    </w:p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tblBorders>
    </w:tblPr>
    <w:tblStylePr w:type="firstRow">
      <w:pPr>
        <w:spacing w:before="0" w:after="0" w:line="240" w:lineRule="auto"/>
      </w:pPr>
      <w:rPr>
        <w:b/>
        <w:bCs/>
        <w:color w:val="FFFFFF" w:themeColor="background1"/>
      </w:rPr>
      <w:tblPr/>
      <w:tcPr>
        <w:shd w:val="clear" w:color="auto" w:fill="E9A913" w:themeFill="accent3"/>
      </w:tcPr>
    </w:tblStylePr>
    <w:tblStylePr w:type="lastRow">
      <w:pPr>
        <w:spacing w:before="0" w:after="0" w:line="240" w:lineRule="auto"/>
      </w:pPr>
      <w:rPr>
        <w:b/>
        <w:bCs/>
      </w:rPr>
      <w:tblPr/>
      <w:tcPr>
        <w:tcBorders>
          <w:top w:val="double" w:sz="6" w:space="0" w:color="E9A913" w:themeColor="accent3"/>
          <w:left w:val="single" w:sz="8" w:space="0" w:color="E9A913" w:themeColor="accent3"/>
          <w:bottom w:val="single" w:sz="8" w:space="0" w:color="E9A913" w:themeColor="accent3"/>
          <w:right w:val="single" w:sz="8" w:space="0" w:color="E9A913" w:themeColor="accent3"/>
        </w:tcBorders>
      </w:tcPr>
    </w:tblStylePr>
    <w:tblStylePr w:type="firstCol">
      <w:rPr>
        <w:b/>
        <w:bCs/>
      </w:rPr>
    </w:tblStylePr>
    <w:tblStylePr w:type="lastCol">
      <w:rPr>
        <w:b/>
        <w:bCs/>
      </w:rPr>
    </w:tblStylePr>
    <w:tblStylePr w:type="band1Vert">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tblStylePr w:type="band1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style>
  <w:style w:type="table" w:styleId="LightList-Accent4">
    <w:name w:val="Light List Accent 4"/>
    <w:basedOn w:val="TableNormal"/>
    <w:uiPriority w:val="61"/>
    <w:semiHidden/>
    <w:rsid w:val="003E273C"/>
    <w:pPr>
      <w:spacing w:after="0" w:line="240" w:lineRule="auto"/>
    </w:p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tblBorders>
    </w:tblPr>
    <w:tblStylePr w:type="firstRow">
      <w:pPr>
        <w:spacing w:before="0" w:after="0" w:line="240" w:lineRule="auto"/>
      </w:pPr>
      <w:rPr>
        <w:b/>
        <w:bCs/>
        <w:color w:val="FFFFFF" w:themeColor="background1"/>
      </w:rPr>
      <w:tblPr/>
      <w:tcPr>
        <w:shd w:val="clear" w:color="auto" w:fill="522761" w:themeFill="accent4"/>
      </w:tcPr>
    </w:tblStylePr>
    <w:tblStylePr w:type="lastRow">
      <w:pPr>
        <w:spacing w:before="0" w:after="0" w:line="240" w:lineRule="auto"/>
      </w:pPr>
      <w:rPr>
        <w:b/>
        <w:bCs/>
      </w:rPr>
      <w:tblPr/>
      <w:tcPr>
        <w:tcBorders>
          <w:top w:val="double" w:sz="6" w:space="0" w:color="522761" w:themeColor="accent4"/>
          <w:left w:val="single" w:sz="8" w:space="0" w:color="522761" w:themeColor="accent4"/>
          <w:bottom w:val="single" w:sz="8" w:space="0" w:color="522761" w:themeColor="accent4"/>
          <w:right w:val="single" w:sz="8" w:space="0" w:color="522761" w:themeColor="accent4"/>
        </w:tcBorders>
      </w:tcPr>
    </w:tblStylePr>
    <w:tblStylePr w:type="firstCol">
      <w:rPr>
        <w:b/>
        <w:bCs/>
      </w:rPr>
    </w:tblStylePr>
    <w:tblStylePr w:type="lastCol">
      <w:rPr>
        <w:b/>
        <w:bCs/>
      </w:rPr>
    </w:tblStylePr>
    <w:tblStylePr w:type="band1Vert">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tblStylePr w:type="band1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style>
  <w:style w:type="table" w:styleId="LightList-Accent5">
    <w:name w:val="Light List Accent 5"/>
    <w:basedOn w:val="TableNormal"/>
    <w:uiPriority w:val="61"/>
    <w:semiHidden/>
    <w:rsid w:val="003E273C"/>
    <w:pPr>
      <w:spacing w:after="0" w:line="240" w:lineRule="auto"/>
    </w:p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tblBorders>
    </w:tblPr>
    <w:tblStylePr w:type="firstRow">
      <w:pPr>
        <w:spacing w:before="0" w:after="0" w:line="240" w:lineRule="auto"/>
      </w:pPr>
      <w:rPr>
        <w:b/>
        <w:bCs/>
        <w:color w:val="FFFFFF" w:themeColor="background1"/>
      </w:rPr>
      <w:tblPr/>
      <w:tcPr>
        <w:shd w:val="clear" w:color="auto" w:fill="3C54A5" w:themeFill="accent5"/>
      </w:tcPr>
    </w:tblStylePr>
    <w:tblStylePr w:type="lastRow">
      <w:pPr>
        <w:spacing w:before="0" w:after="0" w:line="240" w:lineRule="auto"/>
      </w:pPr>
      <w:rPr>
        <w:b/>
        <w:bCs/>
      </w:rPr>
      <w:tblPr/>
      <w:tcPr>
        <w:tcBorders>
          <w:top w:val="double" w:sz="6" w:space="0" w:color="3C54A5" w:themeColor="accent5"/>
          <w:left w:val="single" w:sz="8" w:space="0" w:color="3C54A5" w:themeColor="accent5"/>
          <w:bottom w:val="single" w:sz="8" w:space="0" w:color="3C54A5" w:themeColor="accent5"/>
          <w:right w:val="single" w:sz="8" w:space="0" w:color="3C54A5" w:themeColor="accent5"/>
        </w:tcBorders>
      </w:tcPr>
    </w:tblStylePr>
    <w:tblStylePr w:type="firstCol">
      <w:rPr>
        <w:b/>
        <w:bCs/>
      </w:rPr>
    </w:tblStylePr>
    <w:tblStylePr w:type="lastCol">
      <w:rPr>
        <w:b/>
        <w:bCs/>
      </w:rPr>
    </w:tblStylePr>
    <w:tblStylePr w:type="band1Vert">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tblStylePr w:type="band1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style>
  <w:style w:type="table" w:styleId="LightList-Accent6">
    <w:name w:val="Light List Accent 6"/>
    <w:basedOn w:val="TableNormal"/>
    <w:uiPriority w:val="61"/>
    <w:semiHidden/>
    <w:rsid w:val="003E273C"/>
    <w:pPr>
      <w:spacing w:after="0" w:line="240" w:lineRule="auto"/>
    </w:p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tblBorders>
    </w:tblPr>
    <w:tblStylePr w:type="firstRow">
      <w:pPr>
        <w:spacing w:before="0" w:after="0" w:line="240" w:lineRule="auto"/>
      </w:pPr>
      <w:rPr>
        <w:b/>
        <w:bCs/>
        <w:color w:val="FFFFFF" w:themeColor="background1"/>
      </w:rPr>
      <w:tblPr/>
      <w:tcPr>
        <w:shd w:val="clear" w:color="auto" w:fill="545861" w:themeFill="accent6"/>
      </w:tcPr>
    </w:tblStylePr>
    <w:tblStylePr w:type="lastRow">
      <w:pPr>
        <w:spacing w:before="0" w:after="0" w:line="240" w:lineRule="auto"/>
      </w:pPr>
      <w:rPr>
        <w:b/>
        <w:bCs/>
      </w:rPr>
      <w:tblPr/>
      <w:tcPr>
        <w:tcBorders>
          <w:top w:val="double" w:sz="6" w:space="0" w:color="545861" w:themeColor="accent6"/>
          <w:left w:val="single" w:sz="8" w:space="0" w:color="545861" w:themeColor="accent6"/>
          <w:bottom w:val="single" w:sz="8" w:space="0" w:color="545861" w:themeColor="accent6"/>
          <w:right w:val="single" w:sz="8" w:space="0" w:color="545861" w:themeColor="accent6"/>
        </w:tcBorders>
      </w:tcPr>
    </w:tblStylePr>
    <w:tblStylePr w:type="firstCol">
      <w:rPr>
        <w:b/>
        <w:bCs/>
      </w:rPr>
    </w:tblStylePr>
    <w:tblStylePr w:type="lastCol">
      <w:rPr>
        <w:b/>
        <w:bCs/>
      </w:rPr>
    </w:tblStylePr>
    <w:tblStylePr w:type="band1Vert">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tblStylePr w:type="band1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style>
  <w:style w:type="table" w:styleId="LightShading">
    <w:name w:val="Light Shading"/>
    <w:basedOn w:val="TableNormal"/>
    <w:uiPriority w:val="60"/>
    <w:semiHidden/>
    <w:rsid w:val="003E27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E273C"/>
    <w:pPr>
      <w:spacing w:after="0" w:line="240" w:lineRule="auto"/>
    </w:pPr>
    <w:rPr>
      <w:color w:val="2D3E7B" w:themeColor="accent1" w:themeShade="BF"/>
    </w:rPr>
    <w:tblPr>
      <w:tblStyleRowBandSize w:val="1"/>
      <w:tblStyleColBandSize w:val="1"/>
      <w:tblBorders>
        <w:top w:val="single" w:sz="8" w:space="0" w:color="3C54A5" w:themeColor="accent1"/>
        <w:bottom w:val="single" w:sz="8" w:space="0" w:color="3C54A5" w:themeColor="accent1"/>
      </w:tblBorders>
    </w:tblPr>
    <w:tblStylePr w:type="firstRow">
      <w:pPr>
        <w:spacing w:before="0" w:after="0" w:line="240" w:lineRule="auto"/>
      </w:pPr>
      <w:rPr>
        <w:b/>
        <w:bCs/>
      </w:rPr>
      <w:tblPr/>
      <w:tcPr>
        <w:tcBorders>
          <w:top w:val="single" w:sz="8" w:space="0" w:color="3C54A5" w:themeColor="accent1"/>
          <w:left w:val="nil"/>
          <w:bottom w:val="single" w:sz="8" w:space="0" w:color="3C54A5" w:themeColor="accent1"/>
          <w:right w:val="nil"/>
          <w:insideH w:val="nil"/>
          <w:insideV w:val="nil"/>
        </w:tcBorders>
      </w:tcPr>
    </w:tblStylePr>
    <w:tblStylePr w:type="lastRow">
      <w:pPr>
        <w:spacing w:before="0" w:after="0" w:line="240" w:lineRule="auto"/>
      </w:pPr>
      <w:rPr>
        <w:b/>
        <w:bCs/>
      </w:rPr>
      <w:tblPr/>
      <w:tcPr>
        <w:tcBorders>
          <w:top w:val="single" w:sz="8" w:space="0" w:color="3C54A5" w:themeColor="accent1"/>
          <w:left w:val="nil"/>
          <w:bottom w:val="single" w:sz="8" w:space="0" w:color="3C54A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2EC" w:themeFill="accent1" w:themeFillTint="3F"/>
      </w:tcPr>
    </w:tblStylePr>
    <w:tblStylePr w:type="band1Horz">
      <w:tblPr/>
      <w:tcPr>
        <w:tcBorders>
          <w:left w:val="nil"/>
          <w:right w:val="nil"/>
          <w:insideH w:val="nil"/>
          <w:insideV w:val="nil"/>
        </w:tcBorders>
        <w:shd w:val="clear" w:color="auto" w:fill="CBD2EC" w:themeFill="accent1" w:themeFillTint="3F"/>
      </w:tcPr>
    </w:tblStylePr>
  </w:style>
  <w:style w:type="table" w:styleId="LightShading-Accent2">
    <w:name w:val="Light Shading Accent 2"/>
    <w:basedOn w:val="TableNormal"/>
    <w:uiPriority w:val="60"/>
    <w:semiHidden/>
    <w:rsid w:val="003E273C"/>
    <w:pPr>
      <w:spacing w:after="0" w:line="240" w:lineRule="auto"/>
    </w:pPr>
    <w:rPr>
      <w:color w:val="3F4148" w:themeColor="accent2" w:themeShade="BF"/>
    </w:rPr>
    <w:tblPr>
      <w:tblStyleRowBandSize w:val="1"/>
      <w:tblStyleColBandSize w:val="1"/>
      <w:tblBorders>
        <w:top w:val="single" w:sz="8" w:space="0" w:color="545861" w:themeColor="accent2"/>
        <w:bottom w:val="single" w:sz="8" w:space="0" w:color="545861" w:themeColor="accent2"/>
      </w:tblBorders>
    </w:tblPr>
    <w:tblStylePr w:type="firstRow">
      <w:pPr>
        <w:spacing w:before="0" w:after="0" w:line="240" w:lineRule="auto"/>
      </w:pPr>
      <w:rPr>
        <w:b/>
        <w:bCs/>
      </w:rPr>
      <w:tblPr/>
      <w:tcPr>
        <w:tcBorders>
          <w:top w:val="single" w:sz="8" w:space="0" w:color="545861" w:themeColor="accent2"/>
          <w:left w:val="nil"/>
          <w:bottom w:val="single" w:sz="8" w:space="0" w:color="545861" w:themeColor="accent2"/>
          <w:right w:val="nil"/>
          <w:insideH w:val="nil"/>
          <w:insideV w:val="nil"/>
        </w:tcBorders>
      </w:tcPr>
    </w:tblStylePr>
    <w:tblStylePr w:type="lastRow">
      <w:pPr>
        <w:spacing w:before="0" w:after="0" w:line="240" w:lineRule="auto"/>
      </w:pPr>
      <w:rPr>
        <w:b/>
        <w:bCs/>
      </w:rPr>
      <w:tblPr/>
      <w:tcPr>
        <w:tcBorders>
          <w:top w:val="single" w:sz="8" w:space="0" w:color="545861" w:themeColor="accent2"/>
          <w:left w:val="nil"/>
          <w:bottom w:val="single" w:sz="8" w:space="0" w:color="5458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9" w:themeFill="accent2" w:themeFillTint="3F"/>
      </w:tcPr>
    </w:tblStylePr>
    <w:tblStylePr w:type="band1Horz">
      <w:tblPr/>
      <w:tcPr>
        <w:tcBorders>
          <w:left w:val="nil"/>
          <w:right w:val="nil"/>
          <w:insideH w:val="nil"/>
          <w:insideV w:val="nil"/>
        </w:tcBorders>
        <w:shd w:val="clear" w:color="auto" w:fill="D3D5D9" w:themeFill="accent2" w:themeFillTint="3F"/>
      </w:tcPr>
    </w:tblStylePr>
  </w:style>
  <w:style w:type="table" w:styleId="LightShading-Accent3">
    <w:name w:val="Light Shading Accent 3"/>
    <w:basedOn w:val="TableNormal"/>
    <w:uiPriority w:val="60"/>
    <w:semiHidden/>
    <w:rsid w:val="003E273C"/>
    <w:pPr>
      <w:spacing w:after="0" w:line="240" w:lineRule="auto"/>
    </w:pPr>
    <w:rPr>
      <w:color w:val="AE7E0E" w:themeColor="accent3" w:themeShade="BF"/>
    </w:rPr>
    <w:tblPr>
      <w:tblStyleRowBandSize w:val="1"/>
      <w:tblStyleColBandSize w:val="1"/>
      <w:tblBorders>
        <w:top w:val="single" w:sz="8" w:space="0" w:color="E9A913" w:themeColor="accent3"/>
        <w:bottom w:val="single" w:sz="8" w:space="0" w:color="E9A913" w:themeColor="accent3"/>
      </w:tblBorders>
    </w:tblPr>
    <w:tblStylePr w:type="firstRow">
      <w:pPr>
        <w:spacing w:before="0" w:after="0" w:line="240" w:lineRule="auto"/>
      </w:pPr>
      <w:rPr>
        <w:b/>
        <w:bCs/>
      </w:rPr>
      <w:tblPr/>
      <w:tcPr>
        <w:tcBorders>
          <w:top w:val="single" w:sz="8" w:space="0" w:color="E9A913" w:themeColor="accent3"/>
          <w:left w:val="nil"/>
          <w:bottom w:val="single" w:sz="8" w:space="0" w:color="E9A913" w:themeColor="accent3"/>
          <w:right w:val="nil"/>
          <w:insideH w:val="nil"/>
          <w:insideV w:val="nil"/>
        </w:tcBorders>
      </w:tcPr>
    </w:tblStylePr>
    <w:tblStylePr w:type="lastRow">
      <w:pPr>
        <w:spacing w:before="0" w:after="0" w:line="240" w:lineRule="auto"/>
      </w:pPr>
      <w:rPr>
        <w:b/>
        <w:bCs/>
      </w:rPr>
      <w:tblPr/>
      <w:tcPr>
        <w:tcBorders>
          <w:top w:val="single" w:sz="8" w:space="0" w:color="E9A913" w:themeColor="accent3"/>
          <w:left w:val="nil"/>
          <w:bottom w:val="single" w:sz="8" w:space="0" w:color="E9A91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9C3" w:themeFill="accent3" w:themeFillTint="3F"/>
      </w:tcPr>
    </w:tblStylePr>
    <w:tblStylePr w:type="band1Horz">
      <w:tblPr/>
      <w:tcPr>
        <w:tcBorders>
          <w:left w:val="nil"/>
          <w:right w:val="nil"/>
          <w:insideH w:val="nil"/>
          <w:insideV w:val="nil"/>
        </w:tcBorders>
        <w:shd w:val="clear" w:color="auto" w:fill="FAE9C3" w:themeFill="accent3" w:themeFillTint="3F"/>
      </w:tcPr>
    </w:tblStylePr>
  </w:style>
  <w:style w:type="table" w:styleId="LightShading-Accent4">
    <w:name w:val="Light Shading Accent 4"/>
    <w:basedOn w:val="TableNormal"/>
    <w:uiPriority w:val="60"/>
    <w:semiHidden/>
    <w:rsid w:val="003E273C"/>
    <w:pPr>
      <w:spacing w:after="0" w:line="240" w:lineRule="auto"/>
    </w:pPr>
    <w:rPr>
      <w:color w:val="3D1D48" w:themeColor="accent4" w:themeShade="BF"/>
    </w:rPr>
    <w:tblPr>
      <w:tblStyleRowBandSize w:val="1"/>
      <w:tblStyleColBandSize w:val="1"/>
      <w:tblBorders>
        <w:top w:val="single" w:sz="8" w:space="0" w:color="522761" w:themeColor="accent4"/>
        <w:bottom w:val="single" w:sz="8" w:space="0" w:color="522761" w:themeColor="accent4"/>
      </w:tblBorders>
    </w:tblPr>
    <w:tblStylePr w:type="firstRow">
      <w:pPr>
        <w:spacing w:before="0" w:after="0" w:line="240" w:lineRule="auto"/>
      </w:pPr>
      <w:rPr>
        <w:b/>
        <w:bCs/>
      </w:rPr>
      <w:tblPr/>
      <w:tcPr>
        <w:tcBorders>
          <w:top w:val="single" w:sz="8" w:space="0" w:color="522761" w:themeColor="accent4"/>
          <w:left w:val="nil"/>
          <w:bottom w:val="single" w:sz="8" w:space="0" w:color="522761" w:themeColor="accent4"/>
          <w:right w:val="nil"/>
          <w:insideH w:val="nil"/>
          <w:insideV w:val="nil"/>
        </w:tcBorders>
      </w:tcPr>
    </w:tblStylePr>
    <w:tblStylePr w:type="lastRow">
      <w:pPr>
        <w:spacing w:before="0" w:after="0" w:line="240" w:lineRule="auto"/>
      </w:pPr>
      <w:rPr>
        <w:b/>
        <w:bCs/>
      </w:rPr>
      <w:tblPr/>
      <w:tcPr>
        <w:tcBorders>
          <w:top w:val="single" w:sz="8" w:space="0" w:color="522761" w:themeColor="accent4"/>
          <w:left w:val="nil"/>
          <w:bottom w:val="single" w:sz="8" w:space="0" w:color="52276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BCE4" w:themeFill="accent4" w:themeFillTint="3F"/>
      </w:tcPr>
    </w:tblStylePr>
    <w:tblStylePr w:type="band1Horz">
      <w:tblPr/>
      <w:tcPr>
        <w:tcBorders>
          <w:left w:val="nil"/>
          <w:right w:val="nil"/>
          <w:insideH w:val="nil"/>
          <w:insideV w:val="nil"/>
        </w:tcBorders>
        <w:shd w:val="clear" w:color="auto" w:fill="DABCE4" w:themeFill="accent4" w:themeFillTint="3F"/>
      </w:tcPr>
    </w:tblStylePr>
  </w:style>
  <w:style w:type="table" w:styleId="MediumGrid1">
    <w:name w:val="Medium Grid 1"/>
    <w:basedOn w:val="TableNormal"/>
    <w:uiPriority w:val="67"/>
    <w:semiHidden/>
    <w:rsid w:val="003E273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E273C"/>
    <w:pPr>
      <w:spacing w:after="0" w:line="240" w:lineRule="auto"/>
    </w:pPr>
    <w:tblPr>
      <w:tblStyleRowBandSize w:val="1"/>
      <w:tblStyleColBandSize w:val="1"/>
      <w:tbl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single" w:sz="8" w:space="0" w:color="6278C6" w:themeColor="accent1" w:themeTint="BF"/>
        <w:insideV w:val="single" w:sz="8" w:space="0" w:color="6278C6" w:themeColor="accent1" w:themeTint="BF"/>
      </w:tblBorders>
    </w:tblPr>
    <w:tcPr>
      <w:shd w:val="clear" w:color="auto" w:fill="CBD2EC" w:themeFill="accent1" w:themeFillTint="3F"/>
    </w:tcPr>
    <w:tblStylePr w:type="firstRow">
      <w:rPr>
        <w:b/>
        <w:bCs/>
      </w:rPr>
    </w:tblStylePr>
    <w:tblStylePr w:type="lastRow">
      <w:rPr>
        <w:b/>
        <w:bCs/>
      </w:rPr>
      <w:tblPr/>
      <w:tcPr>
        <w:tcBorders>
          <w:top w:val="single" w:sz="18" w:space="0" w:color="6278C6" w:themeColor="accent1" w:themeTint="BF"/>
        </w:tcBorders>
      </w:tcPr>
    </w:tblStylePr>
    <w:tblStylePr w:type="firstCol">
      <w:rPr>
        <w:b/>
        <w:bCs/>
      </w:rPr>
    </w:tblStylePr>
    <w:tblStylePr w:type="lastCol">
      <w:rPr>
        <w:b/>
        <w:bCs/>
      </w:rPr>
    </w:tblStylePr>
    <w:tblStylePr w:type="band1Vert">
      <w:tblPr/>
      <w:tcPr>
        <w:shd w:val="clear" w:color="auto" w:fill="96A5D9" w:themeFill="accent1" w:themeFillTint="7F"/>
      </w:tcPr>
    </w:tblStylePr>
    <w:tblStylePr w:type="band1Horz">
      <w:tblPr/>
      <w:tcPr>
        <w:shd w:val="clear" w:color="auto" w:fill="96A5D9" w:themeFill="accent1" w:themeFillTint="7F"/>
      </w:tcPr>
    </w:tblStylePr>
  </w:style>
  <w:style w:type="table" w:styleId="MediumGrid1-Accent2">
    <w:name w:val="Medium Grid 1 Accent 2"/>
    <w:basedOn w:val="TableNormal"/>
    <w:uiPriority w:val="67"/>
    <w:semiHidden/>
    <w:rsid w:val="003E273C"/>
    <w:pPr>
      <w:spacing w:after="0" w:line="240" w:lineRule="auto"/>
    </w:pPr>
    <w:tblPr>
      <w:tblStyleRowBandSize w:val="1"/>
      <w:tblStyleColBandSize w:val="1"/>
      <w:tbl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single" w:sz="8" w:space="0" w:color="7A808C" w:themeColor="accent2" w:themeTint="BF"/>
        <w:insideV w:val="single" w:sz="8" w:space="0" w:color="7A808C" w:themeColor="accent2" w:themeTint="BF"/>
      </w:tblBorders>
    </w:tblPr>
    <w:tcPr>
      <w:shd w:val="clear" w:color="auto" w:fill="D3D5D9" w:themeFill="accent2" w:themeFillTint="3F"/>
    </w:tcPr>
    <w:tblStylePr w:type="firstRow">
      <w:rPr>
        <w:b/>
        <w:bCs/>
      </w:rPr>
    </w:tblStylePr>
    <w:tblStylePr w:type="lastRow">
      <w:rPr>
        <w:b/>
        <w:bCs/>
      </w:rPr>
      <w:tblPr/>
      <w:tcPr>
        <w:tcBorders>
          <w:top w:val="single" w:sz="18" w:space="0" w:color="7A808C" w:themeColor="accent2" w:themeTint="BF"/>
        </w:tcBorders>
      </w:tcPr>
    </w:tblStylePr>
    <w:tblStylePr w:type="firstCol">
      <w:rPr>
        <w:b/>
        <w:bCs/>
      </w:rPr>
    </w:tblStylePr>
    <w:tblStylePr w:type="lastCol">
      <w:rPr>
        <w:b/>
        <w:bCs/>
      </w:rPr>
    </w:tblStylePr>
    <w:tblStylePr w:type="band1Vert">
      <w:tblPr/>
      <w:tcPr>
        <w:shd w:val="clear" w:color="auto" w:fill="A7AAB3" w:themeFill="accent2" w:themeFillTint="7F"/>
      </w:tcPr>
    </w:tblStylePr>
    <w:tblStylePr w:type="band1Horz">
      <w:tblPr/>
      <w:tcPr>
        <w:shd w:val="clear" w:color="auto" w:fill="A7AAB3" w:themeFill="accent2" w:themeFillTint="7F"/>
      </w:tcPr>
    </w:tblStylePr>
  </w:style>
  <w:style w:type="table" w:styleId="MediumGrid1-Accent3">
    <w:name w:val="Medium Grid 1 Accent 3"/>
    <w:basedOn w:val="TableNormal"/>
    <w:uiPriority w:val="67"/>
    <w:semiHidden/>
    <w:rsid w:val="003E273C"/>
    <w:pPr>
      <w:spacing w:after="0" w:line="240" w:lineRule="auto"/>
    </w:pPr>
    <w:tblPr>
      <w:tblStyleRowBandSize w:val="1"/>
      <w:tblStyleColBandSize w:val="1"/>
      <w:tbl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single" w:sz="8" w:space="0" w:color="F0BE4C" w:themeColor="accent3" w:themeTint="BF"/>
        <w:insideV w:val="single" w:sz="8" w:space="0" w:color="F0BE4C" w:themeColor="accent3" w:themeTint="BF"/>
      </w:tblBorders>
    </w:tblPr>
    <w:tcPr>
      <w:shd w:val="clear" w:color="auto" w:fill="FAE9C3" w:themeFill="accent3" w:themeFillTint="3F"/>
    </w:tcPr>
    <w:tblStylePr w:type="firstRow">
      <w:rPr>
        <w:b/>
        <w:bCs/>
      </w:rPr>
    </w:tblStylePr>
    <w:tblStylePr w:type="lastRow">
      <w:rPr>
        <w:b/>
        <w:bCs/>
      </w:rPr>
      <w:tblPr/>
      <w:tcPr>
        <w:tcBorders>
          <w:top w:val="single" w:sz="18" w:space="0" w:color="F0BE4C" w:themeColor="accent3" w:themeTint="BF"/>
        </w:tcBorders>
      </w:tcPr>
    </w:tblStylePr>
    <w:tblStylePr w:type="firstCol">
      <w:rPr>
        <w:b/>
        <w:bCs/>
      </w:rPr>
    </w:tblStylePr>
    <w:tblStylePr w:type="lastCol">
      <w:rPr>
        <w:b/>
        <w:bCs/>
      </w:rPr>
    </w:tblStylePr>
    <w:tblStylePr w:type="band1Vert">
      <w:tblPr/>
      <w:tcPr>
        <w:shd w:val="clear" w:color="auto" w:fill="F5D488" w:themeFill="accent3" w:themeFillTint="7F"/>
      </w:tcPr>
    </w:tblStylePr>
    <w:tblStylePr w:type="band1Horz">
      <w:tblPr/>
      <w:tcPr>
        <w:shd w:val="clear" w:color="auto" w:fill="F5D488" w:themeFill="accent3" w:themeFillTint="7F"/>
      </w:tcPr>
    </w:tblStylePr>
  </w:style>
  <w:style w:type="table" w:styleId="MediumGrid1-Accent4">
    <w:name w:val="Medium Grid 1 Accent 4"/>
    <w:basedOn w:val="TableNormal"/>
    <w:uiPriority w:val="67"/>
    <w:semiHidden/>
    <w:rsid w:val="003E273C"/>
    <w:pPr>
      <w:spacing w:after="0" w:line="240" w:lineRule="auto"/>
    </w:pPr>
    <w:tblPr>
      <w:tblStyleRowBandSize w:val="1"/>
      <w:tblStyleColBandSize w:val="1"/>
      <w:tbl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single" w:sz="8" w:space="0" w:color="8A42A3" w:themeColor="accent4" w:themeTint="BF"/>
        <w:insideV w:val="single" w:sz="8" w:space="0" w:color="8A42A3" w:themeColor="accent4" w:themeTint="BF"/>
      </w:tblBorders>
    </w:tblPr>
    <w:tcPr>
      <w:shd w:val="clear" w:color="auto" w:fill="DABCE4" w:themeFill="accent4" w:themeFillTint="3F"/>
    </w:tcPr>
    <w:tblStylePr w:type="firstRow">
      <w:rPr>
        <w:b/>
        <w:bCs/>
      </w:rPr>
    </w:tblStylePr>
    <w:tblStylePr w:type="lastRow">
      <w:rPr>
        <w:b/>
        <w:bCs/>
      </w:rPr>
      <w:tblPr/>
      <w:tcPr>
        <w:tcBorders>
          <w:top w:val="single" w:sz="18" w:space="0" w:color="8A42A3" w:themeColor="accent4" w:themeTint="BF"/>
        </w:tcBorders>
      </w:tcPr>
    </w:tblStylePr>
    <w:tblStylePr w:type="firstCol">
      <w:rPr>
        <w:b/>
        <w:bCs/>
      </w:rPr>
    </w:tblStylePr>
    <w:tblStylePr w:type="lastCol">
      <w:rPr>
        <w:b/>
        <w:bCs/>
      </w:rPr>
    </w:tblStylePr>
    <w:tblStylePr w:type="band1Vert">
      <w:tblPr/>
      <w:tcPr>
        <w:shd w:val="clear" w:color="auto" w:fill="B57AC9" w:themeFill="accent4" w:themeFillTint="7F"/>
      </w:tcPr>
    </w:tblStylePr>
    <w:tblStylePr w:type="band1Horz">
      <w:tblPr/>
      <w:tcPr>
        <w:shd w:val="clear" w:color="auto" w:fill="B57AC9" w:themeFill="accent4" w:themeFillTint="7F"/>
      </w:tcPr>
    </w:tblStylePr>
  </w:style>
  <w:style w:type="table" w:styleId="MediumGrid1-Accent5">
    <w:name w:val="Medium Grid 1 Accent 5"/>
    <w:basedOn w:val="TableNormal"/>
    <w:uiPriority w:val="67"/>
    <w:semiHidden/>
    <w:rsid w:val="003E273C"/>
    <w:pPr>
      <w:spacing w:after="0" w:line="240" w:lineRule="auto"/>
    </w:pPr>
    <w:tblPr>
      <w:tblStyleRowBandSize w:val="1"/>
      <w:tblStyleColBandSize w:val="1"/>
      <w:tbl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single" w:sz="8" w:space="0" w:color="6278C6" w:themeColor="accent5" w:themeTint="BF"/>
        <w:insideV w:val="single" w:sz="8" w:space="0" w:color="6278C6" w:themeColor="accent5" w:themeTint="BF"/>
      </w:tblBorders>
    </w:tblPr>
    <w:tcPr>
      <w:shd w:val="clear" w:color="auto" w:fill="CBD2EC" w:themeFill="accent5" w:themeFillTint="3F"/>
    </w:tcPr>
    <w:tblStylePr w:type="firstRow">
      <w:rPr>
        <w:b/>
        <w:bCs/>
      </w:rPr>
    </w:tblStylePr>
    <w:tblStylePr w:type="lastRow">
      <w:rPr>
        <w:b/>
        <w:bCs/>
      </w:rPr>
      <w:tblPr/>
      <w:tcPr>
        <w:tcBorders>
          <w:top w:val="single" w:sz="18" w:space="0" w:color="6278C6" w:themeColor="accent5" w:themeTint="BF"/>
        </w:tcBorders>
      </w:tcPr>
    </w:tblStylePr>
    <w:tblStylePr w:type="firstCol">
      <w:rPr>
        <w:b/>
        <w:bCs/>
      </w:rPr>
    </w:tblStylePr>
    <w:tblStylePr w:type="lastCol">
      <w:rPr>
        <w:b/>
        <w:bCs/>
      </w:rPr>
    </w:tblStylePr>
    <w:tblStylePr w:type="band1Vert">
      <w:tblPr/>
      <w:tcPr>
        <w:shd w:val="clear" w:color="auto" w:fill="96A5D9" w:themeFill="accent5" w:themeFillTint="7F"/>
      </w:tcPr>
    </w:tblStylePr>
    <w:tblStylePr w:type="band1Horz">
      <w:tblPr/>
      <w:tcPr>
        <w:shd w:val="clear" w:color="auto" w:fill="96A5D9" w:themeFill="accent5" w:themeFillTint="7F"/>
      </w:tcPr>
    </w:tblStylePr>
  </w:style>
  <w:style w:type="table" w:styleId="MediumGrid1-Accent6">
    <w:name w:val="Medium Grid 1 Accent 6"/>
    <w:basedOn w:val="TableNormal"/>
    <w:uiPriority w:val="67"/>
    <w:semiHidden/>
    <w:rsid w:val="003E273C"/>
    <w:pPr>
      <w:spacing w:after="0" w:line="240" w:lineRule="auto"/>
    </w:pPr>
    <w:tblPr>
      <w:tblStyleRowBandSize w:val="1"/>
      <w:tblStyleColBandSize w:val="1"/>
      <w:tbl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single" w:sz="8" w:space="0" w:color="7A808C" w:themeColor="accent6" w:themeTint="BF"/>
        <w:insideV w:val="single" w:sz="8" w:space="0" w:color="7A808C" w:themeColor="accent6" w:themeTint="BF"/>
      </w:tblBorders>
    </w:tblPr>
    <w:tcPr>
      <w:shd w:val="clear" w:color="auto" w:fill="D3D5D9" w:themeFill="accent6" w:themeFillTint="3F"/>
    </w:tcPr>
    <w:tblStylePr w:type="firstRow">
      <w:rPr>
        <w:b/>
        <w:bCs/>
      </w:rPr>
    </w:tblStylePr>
    <w:tblStylePr w:type="lastRow">
      <w:rPr>
        <w:b/>
        <w:bCs/>
      </w:rPr>
      <w:tblPr/>
      <w:tcPr>
        <w:tcBorders>
          <w:top w:val="single" w:sz="18" w:space="0" w:color="7A808C" w:themeColor="accent6" w:themeTint="BF"/>
        </w:tcBorders>
      </w:tcPr>
    </w:tblStylePr>
    <w:tblStylePr w:type="firstCol">
      <w:rPr>
        <w:b/>
        <w:bCs/>
      </w:rPr>
    </w:tblStylePr>
    <w:tblStylePr w:type="lastCol">
      <w:rPr>
        <w:b/>
        <w:bCs/>
      </w:rPr>
    </w:tblStylePr>
    <w:tblStylePr w:type="band1Vert">
      <w:tblPr/>
      <w:tcPr>
        <w:shd w:val="clear" w:color="auto" w:fill="A7AAB3" w:themeFill="accent6" w:themeFillTint="7F"/>
      </w:tcPr>
    </w:tblStylePr>
    <w:tblStylePr w:type="band1Horz">
      <w:tblPr/>
      <w:tcPr>
        <w:shd w:val="clear" w:color="auto" w:fill="A7AAB3" w:themeFill="accent6" w:themeFillTint="7F"/>
      </w:tcPr>
    </w:tblStylePr>
  </w:style>
  <w:style w:type="table" w:styleId="MediumGrid2">
    <w:name w:val="Medium Grid 2"/>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insideH w:val="single" w:sz="8" w:space="0" w:color="3C54A5" w:themeColor="accent1"/>
        <w:insideV w:val="single" w:sz="8" w:space="0" w:color="3C54A5" w:themeColor="accent1"/>
      </w:tblBorders>
    </w:tblPr>
    <w:tcPr>
      <w:shd w:val="clear" w:color="auto" w:fill="CBD2EC" w:themeFill="accent1" w:themeFillTint="3F"/>
    </w:tcPr>
    <w:tblStylePr w:type="firstRow">
      <w:rPr>
        <w:b/>
        <w:bCs/>
        <w:color w:val="000000" w:themeColor="text1"/>
      </w:rPr>
      <w:tblPr/>
      <w:tcPr>
        <w:shd w:val="clear" w:color="auto" w:fill="EAED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EF" w:themeFill="accent1" w:themeFillTint="33"/>
      </w:tcPr>
    </w:tblStylePr>
    <w:tblStylePr w:type="band1Vert">
      <w:tblPr/>
      <w:tcPr>
        <w:shd w:val="clear" w:color="auto" w:fill="96A5D9" w:themeFill="accent1" w:themeFillTint="7F"/>
      </w:tcPr>
    </w:tblStylePr>
    <w:tblStylePr w:type="band1Horz">
      <w:tblPr/>
      <w:tcPr>
        <w:tcBorders>
          <w:insideH w:val="single" w:sz="6" w:space="0" w:color="3C54A5" w:themeColor="accent1"/>
          <w:insideV w:val="single" w:sz="6" w:space="0" w:color="3C54A5" w:themeColor="accent1"/>
        </w:tcBorders>
        <w:shd w:val="clear" w:color="auto" w:fill="96A5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insideH w:val="single" w:sz="8" w:space="0" w:color="545861" w:themeColor="accent2"/>
        <w:insideV w:val="single" w:sz="8" w:space="0" w:color="545861" w:themeColor="accent2"/>
      </w:tblBorders>
    </w:tblPr>
    <w:tcPr>
      <w:shd w:val="clear" w:color="auto" w:fill="D3D5D9" w:themeFill="accent2" w:themeFillTint="3F"/>
    </w:tcPr>
    <w:tblStylePr w:type="firstRow">
      <w:rPr>
        <w:b/>
        <w:bCs/>
        <w:color w:val="000000" w:themeColor="text1"/>
      </w:rPr>
      <w:tblPr/>
      <w:tcPr>
        <w:shd w:val="clear" w:color="auto" w:fill="EDEE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DE0" w:themeFill="accent2" w:themeFillTint="33"/>
      </w:tcPr>
    </w:tblStylePr>
    <w:tblStylePr w:type="band1Vert">
      <w:tblPr/>
      <w:tcPr>
        <w:shd w:val="clear" w:color="auto" w:fill="A7AAB3" w:themeFill="accent2" w:themeFillTint="7F"/>
      </w:tcPr>
    </w:tblStylePr>
    <w:tblStylePr w:type="band1Horz">
      <w:tblPr/>
      <w:tcPr>
        <w:tcBorders>
          <w:insideH w:val="single" w:sz="6" w:space="0" w:color="545861" w:themeColor="accent2"/>
          <w:insideV w:val="single" w:sz="6" w:space="0" w:color="545861" w:themeColor="accent2"/>
        </w:tcBorders>
        <w:shd w:val="clear" w:color="auto" w:fill="A7AAB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insideH w:val="single" w:sz="8" w:space="0" w:color="E9A913" w:themeColor="accent3"/>
        <w:insideV w:val="single" w:sz="8" w:space="0" w:color="E9A913" w:themeColor="accent3"/>
      </w:tblBorders>
    </w:tblPr>
    <w:tcPr>
      <w:shd w:val="clear" w:color="auto" w:fill="FAE9C3" w:themeFill="accent3" w:themeFillTint="3F"/>
    </w:tcPr>
    <w:tblStylePr w:type="firstRow">
      <w:rPr>
        <w:b/>
        <w:bCs/>
        <w:color w:val="000000" w:themeColor="text1"/>
      </w:rPr>
      <w:tblPr/>
      <w:tcPr>
        <w:shd w:val="clear" w:color="auto" w:fill="FDF6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DCF" w:themeFill="accent3" w:themeFillTint="33"/>
      </w:tcPr>
    </w:tblStylePr>
    <w:tblStylePr w:type="band1Vert">
      <w:tblPr/>
      <w:tcPr>
        <w:shd w:val="clear" w:color="auto" w:fill="F5D488" w:themeFill="accent3" w:themeFillTint="7F"/>
      </w:tcPr>
    </w:tblStylePr>
    <w:tblStylePr w:type="band1Horz">
      <w:tblPr/>
      <w:tcPr>
        <w:tcBorders>
          <w:insideH w:val="single" w:sz="6" w:space="0" w:color="E9A913" w:themeColor="accent3"/>
          <w:insideV w:val="single" w:sz="6" w:space="0" w:color="E9A913" w:themeColor="accent3"/>
        </w:tcBorders>
        <w:shd w:val="clear" w:color="auto" w:fill="F5D48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insideH w:val="single" w:sz="8" w:space="0" w:color="522761" w:themeColor="accent4"/>
        <w:insideV w:val="single" w:sz="8" w:space="0" w:color="522761" w:themeColor="accent4"/>
      </w:tblBorders>
    </w:tblPr>
    <w:tcPr>
      <w:shd w:val="clear" w:color="auto" w:fill="DABCE4" w:themeFill="accent4" w:themeFillTint="3F"/>
    </w:tcPr>
    <w:tblStylePr w:type="firstRow">
      <w:rPr>
        <w:b/>
        <w:bCs/>
        <w:color w:val="000000" w:themeColor="text1"/>
      </w:rPr>
      <w:tblPr/>
      <w:tcPr>
        <w:shd w:val="clear" w:color="auto" w:fill="F0E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C9E9" w:themeFill="accent4" w:themeFillTint="33"/>
      </w:tcPr>
    </w:tblStylePr>
    <w:tblStylePr w:type="band1Vert">
      <w:tblPr/>
      <w:tcPr>
        <w:shd w:val="clear" w:color="auto" w:fill="B57AC9" w:themeFill="accent4" w:themeFillTint="7F"/>
      </w:tcPr>
    </w:tblStylePr>
    <w:tblStylePr w:type="band1Horz">
      <w:tblPr/>
      <w:tcPr>
        <w:tcBorders>
          <w:insideH w:val="single" w:sz="6" w:space="0" w:color="522761" w:themeColor="accent4"/>
          <w:insideV w:val="single" w:sz="6" w:space="0" w:color="522761" w:themeColor="accent4"/>
        </w:tcBorders>
        <w:shd w:val="clear" w:color="auto" w:fill="B57AC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insideH w:val="single" w:sz="8" w:space="0" w:color="3C54A5" w:themeColor="accent5"/>
        <w:insideV w:val="single" w:sz="8" w:space="0" w:color="3C54A5" w:themeColor="accent5"/>
      </w:tblBorders>
    </w:tblPr>
    <w:tcPr>
      <w:shd w:val="clear" w:color="auto" w:fill="CBD2EC" w:themeFill="accent5" w:themeFillTint="3F"/>
    </w:tcPr>
    <w:tblStylePr w:type="firstRow">
      <w:rPr>
        <w:b/>
        <w:bCs/>
        <w:color w:val="000000" w:themeColor="text1"/>
      </w:rPr>
      <w:tblPr/>
      <w:tcPr>
        <w:shd w:val="clear" w:color="auto" w:fill="EAE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EF" w:themeFill="accent5" w:themeFillTint="33"/>
      </w:tcPr>
    </w:tblStylePr>
    <w:tblStylePr w:type="band1Vert">
      <w:tblPr/>
      <w:tcPr>
        <w:shd w:val="clear" w:color="auto" w:fill="96A5D9" w:themeFill="accent5" w:themeFillTint="7F"/>
      </w:tcPr>
    </w:tblStylePr>
    <w:tblStylePr w:type="band1Horz">
      <w:tblPr/>
      <w:tcPr>
        <w:tcBorders>
          <w:insideH w:val="single" w:sz="6" w:space="0" w:color="3C54A5" w:themeColor="accent5"/>
          <w:insideV w:val="single" w:sz="6" w:space="0" w:color="3C54A5" w:themeColor="accent5"/>
        </w:tcBorders>
        <w:shd w:val="clear" w:color="auto" w:fill="96A5D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insideH w:val="single" w:sz="8" w:space="0" w:color="545861" w:themeColor="accent6"/>
        <w:insideV w:val="single" w:sz="8" w:space="0" w:color="545861" w:themeColor="accent6"/>
      </w:tblBorders>
    </w:tblPr>
    <w:tcPr>
      <w:shd w:val="clear" w:color="auto" w:fill="D3D5D9" w:themeFill="accent6" w:themeFillTint="3F"/>
    </w:tcPr>
    <w:tblStylePr w:type="firstRow">
      <w:rPr>
        <w:b/>
        <w:bCs/>
        <w:color w:val="000000" w:themeColor="text1"/>
      </w:rPr>
      <w:tblPr/>
      <w:tcPr>
        <w:shd w:val="clear" w:color="auto" w:fill="EDEE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DE0" w:themeFill="accent6" w:themeFillTint="33"/>
      </w:tcPr>
    </w:tblStylePr>
    <w:tblStylePr w:type="band1Vert">
      <w:tblPr/>
      <w:tcPr>
        <w:shd w:val="clear" w:color="auto" w:fill="A7AAB3" w:themeFill="accent6" w:themeFillTint="7F"/>
      </w:tcPr>
    </w:tblStylePr>
    <w:tblStylePr w:type="band1Horz">
      <w:tblPr/>
      <w:tcPr>
        <w:tcBorders>
          <w:insideH w:val="single" w:sz="6" w:space="0" w:color="545861" w:themeColor="accent6"/>
          <w:insideV w:val="single" w:sz="6" w:space="0" w:color="545861" w:themeColor="accent6"/>
        </w:tcBorders>
        <w:shd w:val="clear" w:color="auto" w:fill="A7AAB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54A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54A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54A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54A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D9" w:themeFill="accent1" w:themeFillTint="7F"/>
      </w:tcPr>
    </w:tblStylePr>
  </w:style>
  <w:style w:type="table" w:styleId="MediumGrid3-Accent2">
    <w:name w:val="Medium Grid 3 Accent 2"/>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86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86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86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86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B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B3" w:themeFill="accent2" w:themeFillTint="7F"/>
      </w:tcPr>
    </w:tblStylePr>
  </w:style>
  <w:style w:type="table" w:styleId="MediumGrid3-Accent3">
    <w:name w:val="Medium Grid 3 Accent 3"/>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9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A91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A91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A91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A91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D4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D488" w:themeFill="accent3" w:themeFillTint="7F"/>
      </w:tcPr>
    </w:tblStylePr>
  </w:style>
  <w:style w:type="table" w:styleId="MediumGrid3-Accent4">
    <w:name w:val="Medium Grid 3 Accent 4"/>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BC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2276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2276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2276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2276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7AC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7AC9" w:themeFill="accent4" w:themeFillTint="7F"/>
      </w:tcPr>
    </w:tblStylePr>
  </w:style>
  <w:style w:type="table" w:styleId="MediumGrid3-Accent5">
    <w:name w:val="Medium Grid 3 Accent 5"/>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54A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54A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54A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54A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D9" w:themeFill="accent5" w:themeFillTint="7F"/>
      </w:tcPr>
    </w:tblStylePr>
  </w:style>
  <w:style w:type="table" w:styleId="MediumGrid3-Accent6">
    <w:name w:val="Medium Grid 3 Accent 6"/>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86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86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86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86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B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B3" w:themeFill="accent6" w:themeFillTint="7F"/>
      </w:tcPr>
    </w:tblStylePr>
  </w:style>
  <w:style w:type="table" w:styleId="MediumList1">
    <w:name w:val="Medium List 1"/>
    <w:basedOn w:val="TableNormal"/>
    <w:uiPriority w:val="65"/>
    <w:semiHidden/>
    <w:rsid w:val="003E273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C54A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E273C"/>
    <w:pPr>
      <w:spacing w:after="0" w:line="240" w:lineRule="auto"/>
    </w:pPr>
    <w:rPr>
      <w:color w:val="000000" w:themeColor="text1"/>
    </w:rPr>
    <w:tblPr>
      <w:tblStyleRowBandSize w:val="1"/>
      <w:tblStyleColBandSize w:val="1"/>
      <w:tblBorders>
        <w:top w:val="single" w:sz="8" w:space="0" w:color="3C54A5" w:themeColor="accent1"/>
        <w:bottom w:val="single" w:sz="8" w:space="0" w:color="3C54A5" w:themeColor="accent1"/>
      </w:tblBorders>
    </w:tblPr>
    <w:tblStylePr w:type="firstRow">
      <w:rPr>
        <w:rFonts w:asciiTheme="majorHAnsi" w:eastAsiaTheme="majorEastAsia" w:hAnsiTheme="majorHAnsi" w:cstheme="majorBidi"/>
      </w:rPr>
      <w:tblPr/>
      <w:tcPr>
        <w:tcBorders>
          <w:top w:val="nil"/>
          <w:bottom w:val="single" w:sz="8" w:space="0" w:color="3C54A5" w:themeColor="accent1"/>
        </w:tcBorders>
      </w:tcPr>
    </w:tblStylePr>
    <w:tblStylePr w:type="lastRow">
      <w:rPr>
        <w:b/>
        <w:bCs/>
        <w:color w:val="3C54A5" w:themeColor="text2"/>
      </w:rPr>
      <w:tblPr/>
      <w:tcPr>
        <w:tcBorders>
          <w:top w:val="single" w:sz="8" w:space="0" w:color="3C54A5" w:themeColor="accent1"/>
          <w:bottom w:val="single" w:sz="8" w:space="0" w:color="3C54A5" w:themeColor="accent1"/>
        </w:tcBorders>
      </w:tcPr>
    </w:tblStylePr>
    <w:tblStylePr w:type="firstCol">
      <w:rPr>
        <w:b/>
        <w:bCs/>
      </w:rPr>
    </w:tblStylePr>
    <w:tblStylePr w:type="lastCol">
      <w:rPr>
        <w:b/>
        <w:bCs/>
      </w:rPr>
      <w:tblPr/>
      <w:tcPr>
        <w:tcBorders>
          <w:top w:val="single" w:sz="8" w:space="0" w:color="3C54A5" w:themeColor="accent1"/>
          <w:bottom w:val="single" w:sz="8" w:space="0" w:color="3C54A5" w:themeColor="accent1"/>
        </w:tcBorders>
      </w:tcPr>
    </w:tblStylePr>
    <w:tblStylePr w:type="band1Vert">
      <w:tblPr/>
      <w:tcPr>
        <w:shd w:val="clear" w:color="auto" w:fill="CBD2EC" w:themeFill="accent1" w:themeFillTint="3F"/>
      </w:tcPr>
    </w:tblStylePr>
    <w:tblStylePr w:type="band1Horz">
      <w:tblPr/>
      <w:tcPr>
        <w:shd w:val="clear" w:color="auto" w:fill="CBD2EC" w:themeFill="accent1" w:themeFillTint="3F"/>
      </w:tcPr>
    </w:tblStylePr>
  </w:style>
  <w:style w:type="table" w:styleId="MediumList1-Accent2">
    <w:name w:val="Medium List 1 Accent 2"/>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45861" w:themeColor="accent2"/>
        <w:bottom w:val="single" w:sz="8" w:space="0" w:color="545861" w:themeColor="accent2"/>
      </w:tblBorders>
    </w:tblPr>
    <w:tblStylePr w:type="firstRow">
      <w:rPr>
        <w:rFonts w:asciiTheme="majorHAnsi" w:eastAsiaTheme="majorEastAsia" w:hAnsiTheme="majorHAnsi" w:cstheme="majorBidi"/>
      </w:rPr>
      <w:tblPr/>
      <w:tcPr>
        <w:tcBorders>
          <w:top w:val="nil"/>
          <w:bottom w:val="single" w:sz="8" w:space="0" w:color="545861" w:themeColor="accent2"/>
        </w:tcBorders>
      </w:tcPr>
    </w:tblStylePr>
    <w:tblStylePr w:type="lastRow">
      <w:rPr>
        <w:b/>
        <w:bCs/>
        <w:color w:val="3C54A5" w:themeColor="text2"/>
      </w:rPr>
      <w:tblPr/>
      <w:tcPr>
        <w:tcBorders>
          <w:top w:val="single" w:sz="8" w:space="0" w:color="545861" w:themeColor="accent2"/>
          <w:bottom w:val="single" w:sz="8" w:space="0" w:color="545861" w:themeColor="accent2"/>
        </w:tcBorders>
      </w:tcPr>
    </w:tblStylePr>
    <w:tblStylePr w:type="firstCol">
      <w:rPr>
        <w:b/>
        <w:bCs/>
      </w:rPr>
    </w:tblStylePr>
    <w:tblStylePr w:type="lastCol">
      <w:rPr>
        <w:b/>
        <w:bCs/>
      </w:rPr>
      <w:tblPr/>
      <w:tcPr>
        <w:tcBorders>
          <w:top w:val="single" w:sz="8" w:space="0" w:color="545861" w:themeColor="accent2"/>
          <w:bottom w:val="single" w:sz="8" w:space="0" w:color="545861" w:themeColor="accent2"/>
        </w:tcBorders>
      </w:tcPr>
    </w:tblStylePr>
    <w:tblStylePr w:type="band1Vert">
      <w:tblPr/>
      <w:tcPr>
        <w:shd w:val="clear" w:color="auto" w:fill="D3D5D9" w:themeFill="accent2" w:themeFillTint="3F"/>
      </w:tcPr>
    </w:tblStylePr>
    <w:tblStylePr w:type="band1Horz">
      <w:tblPr/>
      <w:tcPr>
        <w:shd w:val="clear" w:color="auto" w:fill="D3D5D9" w:themeFill="accent2" w:themeFillTint="3F"/>
      </w:tcPr>
    </w:tblStylePr>
  </w:style>
  <w:style w:type="table" w:styleId="MediumList1-Accent3">
    <w:name w:val="Medium List 1 Accent 3"/>
    <w:basedOn w:val="TableNormal"/>
    <w:uiPriority w:val="65"/>
    <w:semiHidden/>
    <w:rsid w:val="003E273C"/>
    <w:pPr>
      <w:spacing w:after="0" w:line="240" w:lineRule="auto"/>
    </w:pPr>
    <w:rPr>
      <w:color w:val="000000" w:themeColor="text1"/>
    </w:rPr>
    <w:tblPr>
      <w:tblStyleRowBandSize w:val="1"/>
      <w:tblStyleColBandSize w:val="1"/>
      <w:tblBorders>
        <w:top w:val="single" w:sz="8" w:space="0" w:color="E9A913" w:themeColor="accent3"/>
        <w:bottom w:val="single" w:sz="8" w:space="0" w:color="E9A913" w:themeColor="accent3"/>
      </w:tblBorders>
    </w:tblPr>
    <w:tblStylePr w:type="firstRow">
      <w:rPr>
        <w:rFonts w:asciiTheme="majorHAnsi" w:eastAsiaTheme="majorEastAsia" w:hAnsiTheme="majorHAnsi" w:cstheme="majorBidi"/>
      </w:rPr>
      <w:tblPr/>
      <w:tcPr>
        <w:tcBorders>
          <w:top w:val="nil"/>
          <w:bottom w:val="single" w:sz="8" w:space="0" w:color="E9A913" w:themeColor="accent3"/>
        </w:tcBorders>
      </w:tcPr>
    </w:tblStylePr>
    <w:tblStylePr w:type="lastRow">
      <w:rPr>
        <w:b/>
        <w:bCs/>
        <w:color w:val="3C54A5" w:themeColor="text2"/>
      </w:rPr>
      <w:tblPr/>
      <w:tcPr>
        <w:tcBorders>
          <w:top w:val="single" w:sz="8" w:space="0" w:color="E9A913" w:themeColor="accent3"/>
          <w:bottom w:val="single" w:sz="8" w:space="0" w:color="E9A913" w:themeColor="accent3"/>
        </w:tcBorders>
      </w:tcPr>
    </w:tblStylePr>
    <w:tblStylePr w:type="firstCol">
      <w:rPr>
        <w:b/>
        <w:bCs/>
      </w:rPr>
    </w:tblStylePr>
    <w:tblStylePr w:type="lastCol">
      <w:rPr>
        <w:b/>
        <w:bCs/>
      </w:rPr>
      <w:tblPr/>
      <w:tcPr>
        <w:tcBorders>
          <w:top w:val="single" w:sz="8" w:space="0" w:color="E9A913" w:themeColor="accent3"/>
          <w:bottom w:val="single" w:sz="8" w:space="0" w:color="E9A913" w:themeColor="accent3"/>
        </w:tcBorders>
      </w:tcPr>
    </w:tblStylePr>
    <w:tblStylePr w:type="band1Vert">
      <w:tblPr/>
      <w:tcPr>
        <w:shd w:val="clear" w:color="auto" w:fill="FAE9C3" w:themeFill="accent3" w:themeFillTint="3F"/>
      </w:tcPr>
    </w:tblStylePr>
    <w:tblStylePr w:type="band1Horz">
      <w:tblPr/>
      <w:tcPr>
        <w:shd w:val="clear" w:color="auto" w:fill="FAE9C3" w:themeFill="accent3" w:themeFillTint="3F"/>
      </w:tcPr>
    </w:tblStylePr>
  </w:style>
  <w:style w:type="table" w:styleId="MediumList1-Accent4">
    <w:name w:val="Medium List 1 Accent 4"/>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22761" w:themeColor="accent4"/>
        <w:bottom w:val="single" w:sz="8" w:space="0" w:color="522761" w:themeColor="accent4"/>
      </w:tblBorders>
    </w:tblPr>
    <w:tblStylePr w:type="firstRow">
      <w:rPr>
        <w:rFonts w:asciiTheme="majorHAnsi" w:eastAsiaTheme="majorEastAsia" w:hAnsiTheme="majorHAnsi" w:cstheme="majorBidi"/>
      </w:rPr>
      <w:tblPr/>
      <w:tcPr>
        <w:tcBorders>
          <w:top w:val="nil"/>
          <w:bottom w:val="single" w:sz="8" w:space="0" w:color="522761" w:themeColor="accent4"/>
        </w:tcBorders>
      </w:tcPr>
    </w:tblStylePr>
    <w:tblStylePr w:type="lastRow">
      <w:rPr>
        <w:b/>
        <w:bCs/>
        <w:color w:val="3C54A5" w:themeColor="text2"/>
      </w:rPr>
      <w:tblPr/>
      <w:tcPr>
        <w:tcBorders>
          <w:top w:val="single" w:sz="8" w:space="0" w:color="522761" w:themeColor="accent4"/>
          <w:bottom w:val="single" w:sz="8" w:space="0" w:color="522761" w:themeColor="accent4"/>
        </w:tcBorders>
      </w:tcPr>
    </w:tblStylePr>
    <w:tblStylePr w:type="firstCol">
      <w:rPr>
        <w:b/>
        <w:bCs/>
      </w:rPr>
    </w:tblStylePr>
    <w:tblStylePr w:type="lastCol">
      <w:rPr>
        <w:b/>
        <w:bCs/>
      </w:rPr>
      <w:tblPr/>
      <w:tcPr>
        <w:tcBorders>
          <w:top w:val="single" w:sz="8" w:space="0" w:color="522761" w:themeColor="accent4"/>
          <w:bottom w:val="single" w:sz="8" w:space="0" w:color="522761" w:themeColor="accent4"/>
        </w:tcBorders>
      </w:tcPr>
    </w:tblStylePr>
    <w:tblStylePr w:type="band1Vert">
      <w:tblPr/>
      <w:tcPr>
        <w:shd w:val="clear" w:color="auto" w:fill="DABCE4" w:themeFill="accent4" w:themeFillTint="3F"/>
      </w:tcPr>
    </w:tblStylePr>
    <w:tblStylePr w:type="band1Horz">
      <w:tblPr/>
      <w:tcPr>
        <w:shd w:val="clear" w:color="auto" w:fill="DABCE4" w:themeFill="accent4" w:themeFillTint="3F"/>
      </w:tcPr>
    </w:tblStylePr>
  </w:style>
  <w:style w:type="table" w:styleId="MediumList1-Accent5">
    <w:name w:val="Medium List 1 Accent 5"/>
    <w:basedOn w:val="TableNormal"/>
    <w:uiPriority w:val="65"/>
    <w:semiHidden/>
    <w:rsid w:val="003E273C"/>
    <w:pPr>
      <w:spacing w:after="0" w:line="240" w:lineRule="auto"/>
    </w:pPr>
    <w:rPr>
      <w:color w:val="000000" w:themeColor="text1"/>
    </w:rPr>
    <w:tblPr>
      <w:tblStyleRowBandSize w:val="1"/>
      <w:tblStyleColBandSize w:val="1"/>
      <w:tblBorders>
        <w:top w:val="single" w:sz="8" w:space="0" w:color="3C54A5" w:themeColor="accent5"/>
        <w:bottom w:val="single" w:sz="8" w:space="0" w:color="3C54A5" w:themeColor="accent5"/>
      </w:tblBorders>
    </w:tblPr>
    <w:tblStylePr w:type="firstRow">
      <w:rPr>
        <w:rFonts w:asciiTheme="majorHAnsi" w:eastAsiaTheme="majorEastAsia" w:hAnsiTheme="majorHAnsi" w:cstheme="majorBidi"/>
      </w:rPr>
      <w:tblPr/>
      <w:tcPr>
        <w:tcBorders>
          <w:top w:val="nil"/>
          <w:bottom w:val="single" w:sz="8" w:space="0" w:color="3C54A5" w:themeColor="accent5"/>
        </w:tcBorders>
      </w:tcPr>
    </w:tblStylePr>
    <w:tblStylePr w:type="lastRow">
      <w:rPr>
        <w:b/>
        <w:bCs/>
        <w:color w:val="3C54A5" w:themeColor="text2"/>
      </w:rPr>
      <w:tblPr/>
      <w:tcPr>
        <w:tcBorders>
          <w:top w:val="single" w:sz="8" w:space="0" w:color="3C54A5" w:themeColor="accent5"/>
          <w:bottom w:val="single" w:sz="8" w:space="0" w:color="3C54A5" w:themeColor="accent5"/>
        </w:tcBorders>
      </w:tcPr>
    </w:tblStylePr>
    <w:tblStylePr w:type="firstCol">
      <w:rPr>
        <w:b/>
        <w:bCs/>
      </w:rPr>
    </w:tblStylePr>
    <w:tblStylePr w:type="lastCol">
      <w:rPr>
        <w:b/>
        <w:bCs/>
      </w:rPr>
      <w:tblPr/>
      <w:tcPr>
        <w:tcBorders>
          <w:top w:val="single" w:sz="8" w:space="0" w:color="3C54A5" w:themeColor="accent5"/>
          <w:bottom w:val="single" w:sz="8" w:space="0" w:color="3C54A5" w:themeColor="accent5"/>
        </w:tcBorders>
      </w:tcPr>
    </w:tblStylePr>
    <w:tblStylePr w:type="band1Vert">
      <w:tblPr/>
      <w:tcPr>
        <w:shd w:val="clear" w:color="auto" w:fill="CBD2EC" w:themeFill="accent5" w:themeFillTint="3F"/>
      </w:tcPr>
    </w:tblStylePr>
    <w:tblStylePr w:type="band1Horz">
      <w:tblPr/>
      <w:tcPr>
        <w:shd w:val="clear" w:color="auto" w:fill="CBD2EC" w:themeFill="accent5" w:themeFillTint="3F"/>
      </w:tcPr>
    </w:tblStylePr>
  </w:style>
  <w:style w:type="table" w:styleId="MediumList1-Accent6">
    <w:name w:val="Medium List 1 Accent 6"/>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45861" w:themeColor="accent6"/>
        <w:bottom w:val="single" w:sz="8" w:space="0" w:color="545861" w:themeColor="accent6"/>
      </w:tblBorders>
    </w:tblPr>
    <w:tblStylePr w:type="firstRow">
      <w:rPr>
        <w:rFonts w:asciiTheme="majorHAnsi" w:eastAsiaTheme="majorEastAsia" w:hAnsiTheme="majorHAnsi" w:cstheme="majorBidi"/>
      </w:rPr>
      <w:tblPr/>
      <w:tcPr>
        <w:tcBorders>
          <w:top w:val="nil"/>
          <w:bottom w:val="single" w:sz="8" w:space="0" w:color="545861" w:themeColor="accent6"/>
        </w:tcBorders>
      </w:tcPr>
    </w:tblStylePr>
    <w:tblStylePr w:type="lastRow">
      <w:rPr>
        <w:b/>
        <w:bCs/>
        <w:color w:val="3C54A5" w:themeColor="text2"/>
      </w:rPr>
      <w:tblPr/>
      <w:tcPr>
        <w:tcBorders>
          <w:top w:val="single" w:sz="8" w:space="0" w:color="545861" w:themeColor="accent6"/>
          <w:bottom w:val="single" w:sz="8" w:space="0" w:color="545861" w:themeColor="accent6"/>
        </w:tcBorders>
      </w:tcPr>
    </w:tblStylePr>
    <w:tblStylePr w:type="firstCol">
      <w:rPr>
        <w:b/>
        <w:bCs/>
      </w:rPr>
    </w:tblStylePr>
    <w:tblStylePr w:type="lastCol">
      <w:rPr>
        <w:b/>
        <w:bCs/>
      </w:rPr>
      <w:tblPr/>
      <w:tcPr>
        <w:tcBorders>
          <w:top w:val="single" w:sz="8" w:space="0" w:color="545861" w:themeColor="accent6"/>
          <w:bottom w:val="single" w:sz="8" w:space="0" w:color="545861" w:themeColor="accent6"/>
        </w:tcBorders>
      </w:tcPr>
    </w:tblStylePr>
    <w:tblStylePr w:type="band1Vert">
      <w:tblPr/>
      <w:tcPr>
        <w:shd w:val="clear" w:color="auto" w:fill="D3D5D9" w:themeFill="accent6" w:themeFillTint="3F"/>
      </w:tcPr>
    </w:tblStylePr>
    <w:tblStylePr w:type="band1Horz">
      <w:tblPr/>
      <w:tcPr>
        <w:shd w:val="clear" w:color="auto" w:fill="D3D5D9" w:themeFill="accent6" w:themeFillTint="3F"/>
      </w:tcPr>
    </w:tblStylePr>
  </w:style>
  <w:style w:type="table" w:styleId="MediumList2">
    <w:name w:val="Medium List 2"/>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tblBorders>
    </w:tblPr>
    <w:tblStylePr w:type="firstRow">
      <w:rPr>
        <w:sz w:val="24"/>
        <w:szCs w:val="24"/>
      </w:rPr>
      <w:tblPr/>
      <w:tcPr>
        <w:tcBorders>
          <w:top w:val="nil"/>
          <w:left w:val="nil"/>
          <w:bottom w:val="single" w:sz="24" w:space="0" w:color="3C54A5" w:themeColor="accent1"/>
          <w:right w:val="nil"/>
          <w:insideH w:val="nil"/>
          <w:insideV w:val="nil"/>
        </w:tcBorders>
        <w:shd w:val="clear" w:color="auto" w:fill="FFFFFF" w:themeFill="background1"/>
      </w:tcPr>
    </w:tblStylePr>
    <w:tblStylePr w:type="lastRow">
      <w:tblPr/>
      <w:tcPr>
        <w:tcBorders>
          <w:top w:val="single" w:sz="8" w:space="0" w:color="3C54A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54A5" w:themeColor="accent1"/>
          <w:insideH w:val="nil"/>
          <w:insideV w:val="nil"/>
        </w:tcBorders>
        <w:shd w:val="clear" w:color="auto" w:fill="FFFFFF" w:themeFill="background1"/>
      </w:tcPr>
    </w:tblStylePr>
    <w:tblStylePr w:type="lastCol">
      <w:tblPr/>
      <w:tcPr>
        <w:tcBorders>
          <w:top w:val="nil"/>
          <w:left w:val="single" w:sz="8" w:space="0" w:color="3C54A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EC" w:themeFill="accent1" w:themeFillTint="3F"/>
      </w:tcPr>
    </w:tblStylePr>
    <w:tblStylePr w:type="band1Horz">
      <w:tblPr/>
      <w:tcPr>
        <w:tcBorders>
          <w:top w:val="nil"/>
          <w:bottom w:val="nil"/>
          <w:insideH w:val="nil"/>
          <w:insideV w:val="nil"/>
        </w:tcBorders>
        <w:shd w:val="clear" w:color="auto" w:fill="CBD2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tblBorders>
    </w:tblPr>
    <w:tblStylePr w:type="firstRow">
      <w:rPr>
        <w:sz w:val="24"/>
        <w:szCs w:val="24"/>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tblPr/>
      <w:tcPr>
        <w:tcBorders>
          <w:top w:val="single" w:sz="8" w:space="0" w:color="54586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861" w:themeColor="accent2"/>
          <w:insideH w:val="nil"/>
          <w:insideV w:val="nil"/>
        </w:tcBorders>
        <w:shd w:val="clear" w:color="auto" w:fill="FFFFFF" w:themeFill="background1"/>
      </w:tcPr>
    </w:tblStylePr>
    <w:tblStylePr w:type="lastCol">
      <w:tblPr/>
      <w:tcPr>
        <w:tcBorders>
          <w:top w:val="nil"/>
          <w:left w:val="single" w:sz="8" w:space="0" w:color="54586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9" w:themeFill="accent2" w:themeFillTint="3F"/>
      </w:tcPr>
    </w:tblStylePr>
    <w:tblStylePr w:type="band1Horz">
      <w:tblPr/>
      <w:tcPr>
        <w:tcBorders>
          <w:top w:val="nil"/>
          <w:bottom w:val="nil"/>
          <w:insideH w:val="nil"/>
          <w:insideV w:val="nil"/>
        </w:tcBorders>
        <w:shd w:val="clear" w:color="auto" w:fill="D3D5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tblBorders>
    </w:tblPr>
    <w:tblStylePr w:type="firstRow">
      <w:rPr>
        <w:sz w:val="24"/>
        <w:szCs w:val="24"/>
      </w:rPr>
      <w:tblPr/>
      <w:tcPr>
        <w:tcBorders>
          <w:top w:val="nil"/>
          <w:left w:val="nil"/>
          <w:bottom w:val="single" w:sz="24" w:space="0" w:color="E9A913" w:themeColor="accent3"/>
          <w:right w:val="nil"/>
          <w:insideH w:val="nil"/>
          <w:insideV w:val="nil"/>
        </w:tcBorders>
        <w:shd w:val="clear" w:color="auto" w:fill="FFFFFF" w:themeFill="background1"/>
      </w:tcPr>
    </w:tblStylePr>
    <w:tblStylePr w:type="lastRow">
      <w:tblPr/>
      <w:tcPr>
        <w:tcBorders>
          <w:top w:val="single" w:sz="8" w:space="0" w:color="E9A91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A913" w:themeColor="accent3"/>
          <w:insideH w:val="nil"/>
          <w:insideV w:val="nil"/>
        </w:tcBorders>
        <w:shd w:val="clear" w:color="auto" w:fill="FFFFFF" w:themeFill="background1"/>
      </w:tcPr>
    </w:tblStylePr>
    <w:tblStylePr w:type="lastCol">
      <w:tblPr/>
      <w:tcPr>
        <w:tcBorders>
          <w:top w:val="nil"/>
          <w:left w:val="single" w:sz="8" w:space="0" w:color="E9A91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9C3" w:themeFill="accent3" w:themeFillTint="3F"/>
      </w:tcPr>
    </w:tblStylePr>
    <w:tblStylePr w:type="band1Horz">
      <w:tblPr/>
      <w:tcPr>
        <w:tcBorders>
          <w:top w:val="nil"/>
          <w:bottom w:val="nil"/>
          <w:insideH w:val="nil"/>
          <w:insideV w:val="nil"/>
        </w:tcBorders>
        <w:shd w:val="clear" w:color="auto" w:fill="FAE9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tblBorders>
    </w:tblPr>
    <w:tblStylePr w:type="firstRow">
      <w:rPr>
        <w:sz w:val="24"/>
        <w:szCs w:val="24"/>
      </w:rPr>
      <w:tblPr/>
      <w:tcPr>
        <w:tcBorders>
          <w:top w:val="nil"/>
          <w:left w:val="nil"/>
          <w:bottom w:val="single" w:sz="24" w:space="0" w:color="522761" w:themeColor="accent4"/>
          <w:right w:val="nil"/>
          <w:insideH w:val="nil"/>
          <w:insideV w:val="nil"/>
        </w:tcBorders>
        <w:shd w:val="clear" w:color="auto" w:fill="FFFFFF" w:themeFill="background1"/>
      </w:tcPr>
    </w:tblStylePr>
    <w:tblStylePr w:type="lastRow">
      <w:tblPr/>
      <w:tcPr>
        <w:tcBorders>
          <w:top w:val="single" w:sz="8" w:space="0" w:color="52276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22761" w:themeColor="accent4"/>
          <w:insideH w:val="nil"/>
          <w:insideV w:val="nil"/>
        </w:tcBorders>
        <w:shd w:val="clear" w:color="auto" w:fill="FFFFFF" w:themeFill="background1"/>
      </w:tcPr>
    </w:tblStylePr>
    <w:tblStylePr w:type="lastCol">
      <w:tblPr/>
      <w:tcPr>
        <w:tcBorders>
          <w:top w:val="nil"/>
          <w:left w:val="single" w:sz="8" w:space="0" w:color="52276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BCE4" w:themeFill="accent4" w:themeFillTint="3F"/>
      </w:tcPr>
    </w:tblStylePr>
    <w:tblStylePr w:type="band1Horz">
      <w:tblPr/>
      <w:tcPr>
        <w:tcBorders>
          <w:top w:val="nil"/>
          <w:bottom w:val="nil"/>
          <w:insideH w:val="nil"/>
          <w:insideV w:val="nil"/>
        </w:tcBorders>
        <w:shd w:val="clear" w:color="auto" w:fill="DABC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tblBorders>
    </w:tblPr>
    <w:tblStylePr w:type="firstRow">
      <w:rPr>
        <w:sz w:val="24"/>
        <w:szCs w:val="24"/>
      </w:rPr>
      <w:tblPr/>
      <w:tcPr>
        <w:tcBorders>
          <w:top w:val="nil"/>
          <w:left w:val="nil"/>
          <w:bottom w:val="single" w:sz="24" w:space="0" w:color="3C54A5" w:themeColor="accent5"/>
          <w:right w:val="nil"/>
          <w:insideH w:val="nil"/>
          <w:insideV w:val="nil"/>
        </w:tcBorders>
        <w:shd w:val="clear" w:color="auto" w:fill="FFFFFF" w:themeFill="background1"/>
      </w:tcPr>
    </w:tblStylePr>
    <w:tblStylePr w:type="lastRow">
      <w:tblPr/>
      <w:tcPr>
        <w:tcBorders>
          <w:top w:val="single" w:sz="8" w:space="0" w:color="3C54A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54A5" w:themeColor="accent5"/>
          <w:insideH w:val="nil"/>
          <w:insideV w:val="nil"/>
        </w:tcBorders>
        <w:shd w:val="clear" w:color="auto" w:fill="FFFFFF" w:themeFill="background1"/>
      </w:tcPr>
    </w:tblStylePr>
    <w:tblStylePr w:type="lastCol">
      <w:tblPr/>
      <w:tcPr>
        <w:tcBorders>
          <w:top w:val="nil"/>
          <w:left w:val="single" w:sz="8" w:space="0" w:color="3C54A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EC" w:themeFill="accent5" w:themeFillTint="3F"/>
      </w:tcPr>
    </w:tblStylePr>
    <w:tblStylePr w:type="band1Horz">
      <w:tblPr/>
      <w:tcPr>
        <w:tcBorders>
          <w:top w:val="nil"/>
          <w:bottom w:val="nil"/>
          <w:insideH w:val="nil"/>
          <w:insideV w:val="nil"/>
        </w:tcBorders>
        <w:shd w:val="clear" w:color="auto" w:fill="CBD2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tblBorders>
    </w:tblPr>
    <w:tblStylePr w:type="firstRow">
      <w:rPr>
        <w:sz w:val="24"/>
        <w:szCs w:val="24"/>
      </w:rPr>
      <w:tblPr/>
      <w:tcPr>
        <w:tcBorders>
          <w:top w:val="nil"/>
          <w:left w:val="nil"/>
          <w:bottom w:val="single" w:sz="24" w:space="0" w:color="545861" w:themeColor="accent6"/>
          <w:right w:val="nil"/>
          <w:insideH w:val="nil"/>
          <w:insideV w:val="nil"/>
        </w:tcBorders>
        <w:shd w:val="clear" w:color="auto" w:fill="FFFFFF" w:themeFill="background1"/>
      </w:tcPr>
    </w:tblStylePr>
    <w:tblStylePr w:type="lastRow">
      <w:tblPr/>
      <w:tcPr>
        <w:tcBorders>
          <w:top w:val="single" w:sz="8" w:space="0" w:color="54586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861" w:themeColor="accent6"/>
          <w:insideH w:val="nil"/>
          <w:insideV w:val="nil"/>
        </w:tcBorders>
        <w:shd w:val="clear" w:color="auto" w:fill="FFFFFF" w:themeFill="background1"/>
      </w:tcPr>
    </w:tblStylePr>
    <w:tblStylePr w:type="lastCol">
      <w:tblPr/>
      <w:tcPr>
        <w:tcBorders>
          <w:top w:val="nil"/>
          <w:left w:val="single" w:sz="8" w:space="0" w:color="54586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9" w:themeFill="accent6" w:themeFillTint="3F"/>
      </w:tcPr>
    </w:tblStylePr>
    <w:tblStylePr w:type="band1Horz">
      <w:tblPr/>
      <w:tcPr>
        <w:tcBorders>
          <w:top w:val="nil"/>
          <w:bottom w:val="nil"/>
          <w:insideH w:val="nil"/>
          <w:insideV w:val="nil"/>
        </w:tcBorders>
        <w:shd w:val="clear" w:color="auto" w:fill="D3D5D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E273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E273C"/>
    <w:pPr>
      <w:spacing w:after="0" w:line="240" w:lineRule="auto"/>
    </w:pPr>
    <w:tblPr>
      <w:tblStyleRowBandSize w:val="1"/>
      <w:tblStyleColBandSize w:val="1"/>
      <w:tbl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single" w:sz="8" w:space="0" w:color="6278C6" w:themeColor="accent1" w:themeTint="BF"/>
      </w:tblBorders>
    </w:tblPr>
    <w:tblStylePr w:type="firstRow">
      <w:pPr>
        <w:spacing w:before="0" w:after="0" w:line="240" w:lineRule="auto"/>
      </w:pPr>
      <w:rPr>
        <w:b/>
        <w:bCs/>
        <w:color w:val="FFFFFF" w:themeColor="background1"/>
      </w:rPr>
      <w:tblPr/>
      <w:tcPr>
        <w:tc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nil"/>
          <w:insideV w:val="nil"/>
        </w:tcBorders>
        <w:shd w:val="clear" w:color="auto" w:fill="3C54A5" w:themeFill="accent1"/>
      </w:tcPr>
    </w:tblStylePr>
    <w:tblStylePr w:type="lastRow">
      <w:pPr>
        <w:spacing w:before="0" w:after="0" w:line="240" w:lineRule="auto"/>
      </w:pPr>
      <w:rPr>
        <w:b/>
        <w:bCs/>
      </w:rPr>
      <w:tblPr/>
      <w:tcPr>
        <w:tcBorders>
          <w:top w:val="double" w:sz="6"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BD2EC" w:themeFill="accent1" w:themeFillTint="3F"/>
      </w:tcPr>
    </w:tblStylePr>
    <w:tblStylePr w:type="band1Horz">
      <w:tblPr/>
      <w:tcPr>
        <w:tcBorders>
          <w:insideH w:val="nil"/>
          <w:insideV w:val="nil"/>
        </w:tcBorders>
        <w:shd w:val="clear" w:color="auto" w:fill="CBD2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E273C"/>
    <w:pPr>
      <w:spacing w:after="0" w:line="240" w:lineRule="auto"/>
    </w:pPr>
    <w:tblPr>
      <w:tblStyleRowBandSize w:val="1"/>
      <w:tblStyleColBandSize w:val="1"/>
      <w:tbl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single" w:sz="8" w:space="0" w:color="7A808C" w:themeColor="accent2" w:themeTint="BF"/>
      </w:tblBorders>
    </w:tblPr>
    <w:tblStylePr w:type="firstRow">
      <w:pPr>
        <w:spacing w:before="0" w:after="0" w:line="240" w:lineRule="auto"/>
      </w:pPr>
      <w:rPr>
        <w:b/>
        <w:bCs/>
        <w:color w:val="FFFFFF" w:themeColor="background1"/>
      </w:rPr>
      <w:tblPr/>
      <w:tcPr>
        <w:tc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nil"/>
          <w:insideV w:val="nil"/>
        </w:tcBorders>
        <w:shd w:val="clear" w:color="auto" w:fill="545861" w:themeFill="accent2"/>
      </w:tcPr>
    </w:tblStylePr>
    <w:tblStylePr w:type="lastRow">
      <w:pPr>
        <w:spacing w:before="0" w:after="0" w:line="240" w:lineRule="auto"/>
      </w:pPr>
      <w:rPr>
        <w:b/>
        <w:bCs/>
      </w:rPr>
      <w:tblPr/>
      <w:tcPr>
        <w:tcBorders>
          <w:top w:val="double" w:sz="6"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D5D9" w:themeFill="accent2" w:themeFillTint="3F"/>
      </w:tcPr>
    </w:tblStylePr>
    <w:tblStylePr w:type="band1Horz">
      <w:tblPr/>
      <w:tcPr>
        <w:tcBorders>
          <w:insideH w:val="nil"/>
          <w:insideV w:val="nil"/>
        </w:tcBorders>
        <w:shd w:val="clear" w:color="auto" w:fill="D3D5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E273C"/>
    <w:pPr>
      <w:spacing w:after="0" w:line="240" w:lineRule="auto"/>
    </w:pPr>
    <w:tblPr>
      <w:tblStyleRowBandSize w:val="1"/>
      <w:tblStyleColBandSize w:val="1"/>
      <w:tbl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single" w:sz="8" w:space="0" w:color="F0BE4C" w:themeColor="accent3" w:themeTint="BF"/>
      </w:tblBorders>
    </w:tblPr>
    <w:tblStylePr w:type="firstRow">
      <w:pPr>
        <w:spacing w:before="0" w:after="0" w:line="240" w:lineRule="auto"/>
      </w:pPr>
      <w:rPr>
        <w:b/>
        <w:bCs/>
        <w:color w:val="FFFFFF" w:themeColor="background1"/>
      </w:rPr>
      <w:tblPr/>
      <w:tcPr>
        <w:tc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nil"/>
          <w:insideV w:val="nil"/>
        </w:tcBorders>
        <w:shd w:val="clear" w:color="auto" w:fill="E9A913" w:themeFill="accent3"/>
      </w:tcPr>
    </w:tblStylePr>
    <w:tblStylePr w:type="lastRow">
      <w:pPr>
        <w:spacing w:before="0" w:after="0" w:line="240" w:lineRule="auto"/>
      </w:pPr>
      <w:rPr>
        <w:b/>
        <w:bCs/>
      </w:rPr>
      <w:tblPr/>
      <w:tcPr>
        <w:tcBorders>
          <w:top w:val="double" w:sz="6"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E9C3" w:themeFill="accent3" w:themeFillTint="3F"/>
      </w:tcPr>
    </w:tblStylePr>
    <w:tblStylePr w:type="band1Horz">
      <w:tblPr/>
      <w:tcPr>
        <w:tcBorders>
          <w:insideH w:val="nil"/>
          <w:insideV w:val="nil"/>
        </w:tcBorders>
        <w:shd w:val="clear" w:color="auto" w:fill="FAE9C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E273C"/>
    <w:pPr>
      <w:spacing w:after="0" w:line="240" w:lineRule="auto"/>
    </w:pPr>
    <w:tblPr>
      <w:tblStyleRowBandSize w:val="1"/>
      <w:tblStyleColBandSize w:val="1"/>
      <w:tbl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single" w:sz="8" w:space="0" w:color="8A42A3" w:themeColor="accent4" w:themeTint="BF"/>
      </w:tblBorders>
    </w:tblPr>
    <w:tblStylePr w:type="firstRow">
      <w:pPr>
        <w:spacing w:before="0" w:after="0" w:line="240" w:lineRule="auto"/>
      </w:pPr>
      <w:rPr>
        <w:b/>
        <w:bCs/>
        <w:color w:val="FFFFFF" w:themeColor="background1"/>
      </w:rPr>
      <w:tblPr/>
      <w:tcPr>
        <w:tc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nil"/>
          <w:insideV w:val="nil"/>
        </w:tcBorders>
        <w:shd w:val="clear" w:color="auto" w:fill="522761" w:themeFill="accent4"/>
      </w:tcPr>
    </w:tblStylePr>
    <w:tblStylePr w:type="lastRow">
      <w:pPr>
        <w:spacing w:before="0" w:after="0" w:line="240" w:lineRule="auto"/>
      </w:pPr>
      <w:rPr>
        <w:b/>
        <w:bCs/>
      </w:rPr>
      <w:tblPr/>
      <w:tcPr>
        <w:tcBorders>
          <w:top w:val="double" w:sz="6"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BCE4" w:themeFill="accent4" w:themeFillTint="3F"/>
      </w:tcPr>
    </w:tblStylePr>
    <w:tblStylePr w:type="band1Horz">
      <w:tblPr/>
      <w:tcPr>
        <w:tcBorders>
          <w:insideH w:val="nil"/>
          <w:insideV w:val="nil"/>
        </w:tcBorders>
        <w:shd w:val="clear" w:color="auto" w:fill="DABC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E273C"/>
    <w:pPr>
      <w:spacing w:after="0" w:line="240" w:lineRule="auto"/>
    </w:pPr>
    <w:tblPr>
      <w:tblStyleRowBandSize w:val="1"/>
      <w:tblStyleColBandSize w:val="1"/>
      <w:tbl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single" w:sz="8" w:space="0" w:color="6278C6" w:themeColor="accent5" w:themeTint="BF"/>
      </w:tblBorders>
    </w:tblPr>
    <w:tblStylePr w:type="firstRow">
      <w:pPr>
        <w:spacing w:before="0" w:after="0" w:line="240" w:lineRule="auto"/>
      </w:pPr>
      <w:rPr>
        <w:b/>
        <w:bCs/>
        <w:color w:val="FFFFFF" w:themeColor="background1"/>
      </w:rPr>
      <w:tblPr/>
      <w:tcPr>
        <w:tc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nil"/>
          <w:insideV w:val="nil"/>
        </w:tcBorders>
        <w:shd w:val="clear" w:color="auto" w:fill="3C54A5" w:themeFill="accent5"/>
      </w:tcPr>
    </w:tblStylePr>
    <w:tblStylePr w:type="lastRow">
      <w:pPr>
        <w:spacing w:before="0" w:after="0" w:line="240" w:lineRule="auto"/>
      </w:pPr>
      <w:rPr>
        <w:b/>
        <w:bCs/>
      </w:rPr>
      <w:tblPr/>
      <w:tcPr>
        <w:tcBorders>
          <w:top w:val="double" w:sz="6"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BD2EC" w:themeFill="accent5" w:themeFillTint="3F"/>
      </w:tcPr>
    </w:tblStylePr>
    <w:tblStylePr w:type="band1Horz">
      <w:tblPr/>
      <w:tcPr>
        <w:tcBorders>
          <w:insideH w:val="nil"/>
          <w:insideV w:val="nil"/>
        </w:tcBorders>
        <w:shd w:val="clear" w:color="auto" w:fill="CBD2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E273C"/>
    <w:pPr>
      <w:spacing w:after="0" w:line="240" w:lineRule="auto"/>
    </w:pPr>
    <w:tblPr>
      <w:tblStyleRowBandSize w:val="1"/>
      <w:tblStyleColBandSize w:val="1"/>
      <w:tbl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single" w:sz="8" w:space="0" w:color="7A808C" w:themeColor="accent6" w:themeTint="BF"/>
      </w:tblBorders>
    </w:tblPr>
    <w:tblStylePr w:type="firstRow">
      <w:pPr>
        <w:spacing w:before="0" w:after="0" w:line="240" w:lineRule="auto"/>
      </w:pPr>
      <w:rPr>
        <w:b/>
        <w:bCs/>
        <w:color w:val="FFFFFF" w:themeColor="background1"/>
      </w:rPr>
      <w:tblPr/>
      <w:tcPr>
        <w:tc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nil"/>
          <w:insideV w:val="nil"/>
        </w:tcBorders>
        <w:shd w:val="clear" w:color="auto" w:fill="545861" w:themeFill="accent6"/>
      </w:tcPr>
    </w:tblStylePr>
    <w:tblStylePr w:type="lastRow">
      <w:pPr>
        <w:spacing w:before="0" w:after="0" w:line="240" w:lineRule="auto"/>
      </w:pPr>
      <w:rPr>
        <w:b/>
        <w:bCs/>
      </w:rPr>
      <w:tblPr/>
      <w:tcPr>
        <w:tcBorders>
          <w:top w:val="double" w:sz="6"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5D9" w:themeFill="accent6" w:themeFillTint="3F"/>
      </w:tcPr>
    </w:tblStylePr>
    <w:tblStylePr w:type="band1Horz">
      <w:tblPr/>
      <w:tcPr>
        <w:tcBorders>
          <w:insideH w:val="nil"/>
          <w:insideV w:val="nil"/>
        </w:tcBorders>
        <w:shd w:val="clear" w:color="auto" w:fill="D3D5D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54A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54A5" w:themeFill="accent1"/>
      </w:tcPr>
    </w:tblStylePr>
    <w:tblStylePr w:type="lastCol">
      <w:rPr>
        <w:b/>
        <w:bCs/>
        <w:color w:val="FFFFFF" w:themeColor="background1"/>
      </w:rPr>
      <w:tblPr/>
      <w:tcPr>
        <w:tcBorders>
          <w:left w:val="nil"/>
          <w:right w:val="nil"/>
          <w:insideH w:val="nil"/>
          <w:insideV w:val="nil"/>
        </w:tcBorders>
        <w:shd w:val="clear" w:color="auto" w:fill="3C54A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8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5861" w:themeFill="accent2"/>
      </w:tcPr>
    </w:tblStylePr>
    <w:tblStylePr w:type="lastCol">
      <w:rPr>
        <w:b/>
        <w:bCs/>
        <w:color w:val="FFFFFF" w:themeColor="background1"/>
      </w:rPr>
      <w:tblPr/>
      <w:tcPr>
        <w:tcBorders>
          <w:left w:val="nil"/>
          <w:right w:val="nil"/>
          <w:insideH w:val="nil"/>
          <w:insideV w:val="nil"/>
        </w:tcBorders>
        <w:shd w:val="clear" w:color="auto" w:fill="5458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A91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A913" w:themeFill="accent3"/>
      </w:tcPr>
    </w:tblStylePr>
    <w:tblStylePr w:type="lastCol">
      <w:rPr>
        <w:b/>
        <w:bCs/>
        <w:color w:val="FFFFFF" w:themeColor="background1"/>
      </w:rPr>
      <w:tblPr/>
      <w:tcPr>
        <w:tcBorders>
          <w:left w:val="nil"/>
          <w:right w:val="nil"/>
          <w:insideH w:val="nil"/>
          <w:insideV w:val="nil"/>
        </w:tcBorders>
        <w:shd w:val="clear" w:color="auto" w:fill="E9A91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2276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22761" w:themeFill="accent4"/>
      </w:tcPr>
    </w:tblStylePr>
    <w:tblStylePr w:type="lastCol">
      <w:rPr>
        <w:b/>
        <w:bCs/>
        <w:color w:val="FFFFFF" w:themeColor="background1"/>
      </w:rPr>
      <w:tblPr/>
      <w:tcPr>
        <w:tcBorders>
          <w:left w:val="nil"/>
          <w:right w:val="nil"/>
          <w:insideH w:val="nil"/>
          <w:insideV w:val="nil"/>
        </w:tcBorders>
        <w:shd w:val="clear" w:color="auto" w:fill="52276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54A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54A5" w:themeFill="accent5"/>
      </w:tcPr>
    </w:tblStylePr>
    <w:tblStylePr w:type="lastCol">
      <w:rPr>
        <w:b/>
        <w:bCs/>
        <w:color w:val="FFFFFF" w:themeColor="background1"/>
      </w:rPr>
      <w:tblPr/>
      <w:tcPr>
        <w:tcBorders>
          <w:left w:val="nil"/>
          <w:right w:val="nil"/>
          <w:insideH w:val="nil"/>
          <w:insideV w:val="nil"/>
        </w:tcBorders>
        <w:shd w:val="clear" w:color="auto" w:fill="3C54A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86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5861" w:themeFill="accent6"/>
      </w:tcPr>
    </w:tblStylePr>
    <w:tblStylePr w:type="lastCol">
      <w:rPr>
        <w:b/>
        <w:bCs/>
        <w:color w:val="FFFFFF" w:themeColor="background1"/>
      </w:rPr>
      <w:tblPr/>
      <w:tcPr>
        <w:tcBorders>
          <w:left w:val="nil"/>
          <w:right w:val="nil"/>
          <w:insideH w:val="nil"/>
          <w:insideV w:val="nil"/>
        </w:tcBorders>
        <w:shd w:val="clear" w:color="auto" w:fill="54586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rsid w:val="003E273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E273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E273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E273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E273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E273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E273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E273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E273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E273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E273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E273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E273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E273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E273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E273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E273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E273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E273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E273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E273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E273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E273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E273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E273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E273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TableofAuthorities">
    <w:name w:val="table of authorities"/>
    <w:basedOn w:val="Normal"/>
    <w:next w:val="Normal"/>
    <w:uiPriority w:val="99"/>
    <w:semiHidden/>
    <w:rsid w:val="003E273C"/>
    <w:pPr>
      <w:spacing w:after="0"/>
      <w:ind w:left="220" w:hanging="220"/>
    </w:pPr>
  </w:style>
  <w:style w:type="paragraph" w:styleId="TableofFigures">
    <w:name w:val="table of figures"/>
    <w:basedOn w:val="Normal"/>
    <w:next w:val="Normal"/>
    <w:uiPriority w:val="99"/>
    <w:semiHidden/>
    <w:rsid w:val="003E273C"/>
    <w:pPr>
      <w:spacing w:after="0"/>
    </w:pPr>
  </w:style>
  <w:style w:type="table" w:styleId="TableProfessional">
    <w:name w:val="Table Professional"/>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E273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E273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E273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E273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E273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E2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E273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E376D2"/>
    <w:rPr>
      <w:color w:val="522761" w:themeColor="accent4"/>
      <w:u w:val="single"/>
    </w:rPr>
  </w:style>
  <w:style w:type="character" w:styleId="CommentReference">
    <w:name w:val="annotation reference"/>
    <w:basedOn w:val="DefaultParagraphFont"/>
    <w:uiPriority w:val="99"/>
    <w:semiHidden/>
    <w:unhideWhenUsed/>
    <w:rsid w:val="00C447A3"/>
    <w:rPr>
      <w:sz w:val="16"/>
      <w:szCs w:val="16"/>
    </w:rPr>
  </w:style>
  <w:style w:type="paragraph" w:styleId="CommentText">
    <w:name w:val="annotation text"/>
    <w:basedOn w:val="Normal"/>
    <w:link w:val="CommentTextChar"/>
    <w:uiPriority w:val="99"/>
    <w:semiHidden/>
    <w:unhideWhenUsed/>
    <w:rsid w:val="00C447A3"/>
    <w:pPr>
      <w:spacing w:line="240" w:lineRule="auto"/>
    </w:pPr>
    <w:rPr>
      <w:sz w:val="20"/>
      <w:szCs w:val="20"/>
    </w:rPr>
  </w:style>
  <w:style w:type="character" w:customStyle="1" w:styleId="CommentTextChar">
    <w:name w:val="Comment Text Char"/>
    <w:basedOn w:val="DefaultParagraphFont"/>
    <w:link w:val="CommentText"/>
    <w:uiPriority w:val="99"/>
    <w:semiHidden/>
    <w:rsid w:val="00C447A3"/>
    <w:rPr>
      <w:sz w:val="20"/>
      <w:szCs w:val="20"/>
    </w:rPr>
  </w:style>
  <w:style w:type="paragraph" w:styleId="CommentSubject">
    <w:name w:val="annotation subject"/>
    <w:basedOn w:val="CommentText"/>
    <w:next w:val="CommentText"/>
    <w:link w:val="CommentSubjectChar"/>
    <w:uiPriority w:val="99"/>
    <w:semiHidden/>
    <w:unhideWhenUsed/>
    <w:rsid w:val="00C447A3"/>
    <w:rPr>
      <w:b/>
      <w:bCs/>
    </w:rPr>
  </w:style>
  <w:style w:type="character" w:customStyle="1" w:styleId="CommentSubjectChar">
    <w:name w:val="Comment Subject Char"/>
    <w:basedOn w:val="CommentTextChar"/>
    <w:link w:val="CommentSubject"/>
    <w:uiPriority w:val="99"/>
    <w:semiHidden/>
    <w:rsid w:val="00C447A3"/>
    <w:rPr>
      <w:b/>
      <w:bCs/>
      <w:sz w:val="20"/>
      <w:szCs w:val="20"/>
    </w:rPr>
  </w:style>
  <w:style w:type="paragraph" w:customStyle="1" w:styleId="BulletPoints">
    <w:name w:val="Bullet Points"/>
    <w:basedOn w:val="Normal"/>
    <w:qFormat/>
    <w:rsid w:val="00DD15A1"/>
    <w:pPr>
      <w:numPr>
        <w:numId w:val="5"/>
      </w:numPr>
      <w:contextualSpacing/>
    </w:pPr>
    <w:rPr>
      <w:rFonts w:eastAsiaTheme="minorHAnsi" w:cstheme="minorHAnsi"/>
      <w:lang w:val="en-US"/>
    </w:rPr>
  </w:style>
  <w:style w:type="paragraph" w:styleId="TOC4">
    <w:name w:val="toc 4"/>
    <w:basedOn w:val="Normal"/>
    <w:next w:val="Normal"/>
    <w:autoRedefine/>
    <w:uiPriority w:val="39"/>
    <w:unhideWhenUsed/>
    <w:rsid w:val="00737BFD"/>
    <w:pPr>
      <w:spacing w:after="100"/>
      <w:ind w:left="660"/>
    </w:pPr>
    <w:rPr>
      <w:lang w:eastAsia="en-AU"/>
    </w:rPr>
  </w:style>
  <w:style w:type="paragraph" w:styleId="TOC5">
    <w:name w:val="toc 5"/>
    <w:basedOn w:val="Normal"/>
    <w:next w:val="Normal"/>
    <w:autoRedefine/>
    <w:uiPriority w:val="39"/>
    <w:unhideWhenUsed/>
    <w:rsid w:val="00737BFD"/>
    <w:pPr>
      <w:spacing w:after="100"/>
      <w:ind w:left="880"/>
    </w:pPr>
    <w:rPr>
      <w:lang w:eastAsia="en-AU"/>
    </w:rPr>
  </w:style>
  <w:style w:type="paragraph" w:styleId="TOC6">
    <w:name w:val="toc 6"/>
    <w:basedOn w:val="Normal"/>
    <w:next w:val="Normal"/>
    <w:autoRedefine/>
    <w:uiPriority w:val="39"/>
    <w:unhideWhenUsed/>
    <w:rsid w:val="00737BFD"/>
    <w:pPr>
      <w:spacing w:after="100"/>
      <w:ind w:left="1100"/>
    </w:pPr>
    <w:rPr>
      <w:lang w:eastAsia="en-AU"/>
    </w:rPr>
  </w:style>
  <w:style w:type="paragraph" w:styleId="TOC7">
    <w:name w:val="toc 7"/>
    <w:basedOn w:val="Normal"/>
    <w:next w:val="Normal"/>
    <w:autoRedefine/>
    <w:uiPriority w:val="39"/>
    <w:unhideWhenUsed/>
    <w:rsid w:val="00737BFD"/>
    <w:pPr>
      <w:spacing w:after="100"/>
      <w:ind w:left="1320"/>
    </w:pPr>
    <w:rPr>
      <w:lang w:eastAsia="en-AU"/>
    </w:rPr>
  </w:style>
  <w:style w:type="paragraph" w:styleId="TOC8">
    <w:name w:val="toc 8"/>
    <w:basedOn w:val="Normal"/>
    <w:next w:val="Normal"/>
    <w:autoRedefine/>
    <w:uiPriority w:val="39"/>
    <w:unhideWhenUsed/>
    <w:rsid w:val="00737BFD"/>
    <w:pPr>
      <w:spacing w:after="100"/>
      <w:ind w:left="1540"/>
    </w:pPr>
    <w:rPr>
      <w:lang w:eastAsia="en-AU"/>
    </w:rPr>
  </w:style>
  <w:style w:type="paragraph" w:styleId="TOC9">
    <w:name w:val="toc 9"/>
    <w:basedOn w:val="Normal"/>
    <w:next w:val="Normal"/>
    <w:autoRedefine/>
    <w:uiPriority w:val="39"/>
    <w:unhideWhenUsed/>
    <w:rsid w:val="00737BFD"/>
    <w:pPr>
      <w:spacing w:after="100"/>
      <w:ind w:left="1760"/>
    </w:pPr>
    <w:rPr>
      <w:lang w:eastAsia="en-AU"/>
    </w:rPr>
  </w:style>
  <w:style w:type="paragraph" w:customStyle="1" w:styleId="msonormal0">
    <w:name w:val="msonormal"/>
    <w:basedOn w:val="Normal"/>
    <w:rsid w:val="00D109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3">
    <w:name w:val="xl63"/>
    <w:basedOn w:val="Normal"/>
    <w:rsid w:val="00D1094C"/>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xl64">
    <w:name w:val="xl64"/>
    <w:basedOn w:val="Normal"/>
    <w:rsid w:val="00D1094C"/>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xl65">
    <w:name w:val="xl65"/>
    <w:basedOn w:val="Normal"/>
    <w:rsid w:val="00D109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n-AU"/>
    </w:rPr>
  </w:style>
  <w:style w:type="paragraph" w:customStyle="1" w:styleId="xl66">
    <w:name w:val="xl66"/>
    <w:basedOn w:val="Normal"/>
    <w:rsid w:val="00D109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n-AU"/>
    </w:rPr>
  </w:style>
  <w:style w:type="paragraph" w:customStyle="1" w:styleId="xl67">
    <w:name w:val="xl67"/>
    <w:basedOn w:val="Normal"/>
    <w:rsid w:val="00D109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n-AU"/>
    </w:rPr>
  </w:style>
  <w:style w:type="paragraph" w:customStyle="1" w:styleId="xl68">
    <w:name w:val="xl68"/>
    <w:basedOn w:val="Normal"/>
    <w:rsid w:val="00D1094C"/>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n-AU"/>
    </w:rPr>
  </w:style>
  <w:style w:type="paragraph" w:customStyle="1" w:styleId="xl69">
    <w:name w:val="xl69"/>
    <w:basedOn w:val="Normal"/>
    <w:rsid w:val="00D1094C"/>
    <w:pPr>
      <w:spacing w:before="100" w:beforeAutospacing="1" w:after="100" w:afterAutospacing="1" w:line="240" w:lineRule="auto"/>
    </w:pPr>
    <w:rPr>
      <w:rFonts w:ascii="Times New Roman" w:eastAsia="Times New Roman" w:hAnsi="Times New Roman" w:cs="Times New Roman"/>
      <w:sz w:val="20"/>
      <w:szCs w:val="20"/>
      <w:lang w:eastAsia="en-AU"/>
    </w:rPr>
  </w:style>
  <w:style w:type="paragraph" w:customStyle="1" w:styleId="xl70">
    <w:name w:val="xl70"/>
    <w:basedOn w:val="Normal"/>
    <w:rsid w:val="00D1094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n-AU"/>
    </w:rPr>
  </w:style>
  <w:style w:type="paragraph" w:customStyle="1" w:styleId="xl71">
    <w:name w:val="xl71"/>
    <w:basedOn w:val="Normal"/>
    <w:rsid w:val="00D1094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n-AU"/>
    </w:rPr>
  </w:style>
  <w:style w:type="paragraph" w:customStyle="1" w:styleId="xl72">
    <w:name w:val="xl72"/>
    <w:basedOn w:val="Normal"/>
    <w:rsid w:val="00D1094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n-AU"/>
    </w:rPr>
  </w:style>
  <w:style w:type="paragraph" w:customStyle="1" w:styleId="xl73">
    <w:name w:val="xl73"/>
    <w:basedOn w:val="Normal"/>
    <w:rsid w:val="00D109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AU"/>
    </w:rPr>
  </w:style>
  <w:style w:type="paragraph" w:customStyle="1" w:styleId="xl74">
    <w:name w:val="xl74"/>
    <w:basedOn w:val="Normal"/>
    <w:rsid w:val="00D109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AU"/>
    </w:rPr>
  </w:style>
  <w:style w:type="paragraph" w:styleId="FootnoteText">
    <w:name w:val="footnote text"/>
    <w:basedOn w:val="Normal"/>
    <w:link w:val="FootnoteTextChar"/>
    <w:uiPriority w:val="99"/>
    <w:semiHidden/>
    <w:unhideWhenUsed/>
    <w:rsid w:val="003C7D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7D90"/>
    <w:rPr>
      <w:sz w:val="20"/>
      <w:szCs w:val="20"/>
    </w:rPr>
  </w:style>
  <w:style w:type="character" w:styleId="FootnoteReference">
    <w:name w:val="footnote reference"/>
    <w:basedOn w:val="DefaultParagraphFont"/>
    <w:uiPriority w:val="99"/>
    <w:semiHidden/>
    <w:unhideWhenUsed/>
    <w:rsid w:val="003C7D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7061">
      <w:bodyDiv w:val="1"/>
      <w:marLeft w:val="0"/>
      <w:marRight w:val="0"/>
      <w:marTop w:val="0"/>
      <w:marBottom w:val="0"/>
      <w:divBdr>
        <w:top w:val="none" w:sz="0" w:space="0" w:color="auto"/>
        <w:left w:val="none" w:sz="0" w:space="0" w:color="auto"/>
        <w:bottom w:val="none" w:sz="0" w:space="0" w:color="auto"/>
        <w:right w:val="none" w:sz="0" w:space="0" w:color="auto"/>
      </w:divBdr>
    </w:div>
    <w:div w:id="68121124">
      <w:bodyDiv w:val="1"/>
      <w:marLeft w:val="0"/>
      <w:marRight w:val="0"/>
      <w:marTop w:val="0"/>
      <w:marBottom w:val="0"/>
      <w:divBdr>
        <w:top w:val="none" w:sz="0" w:space="0" w:color="auto"/>
        <w:left w:val="none" w:sz="0" w:space="0" w:color="auto"/>
        <w:bottom w:val="none" w:sz="0" w:space="0" w:color="auto"/>
        <w:right w:val="none" w:sz="0" w:space="0" w:color="auto"/>
      </w:divBdr>
    </w:div>
    <w:div w:id="74473341">
      <w:bodyDiv w:val="1"/>
      <w:marLeft w:val="0"/>
      <w:marRight w:val="0"/>
      <w:marTop w:val="0"/>
      <w:marBottom w:val="0"/>
      <w:divBdr>
        <w:top w:val="none" w:sz="0" w:space="0" w:color="auto"/>
        <w:left w:val="none" w:sz="0" w:space="0" w:color="auto"/>
        <w:bottom w:val="none" w:sz="0" w:space="0" w:color="auto"/>
        <w:right w:val="none" w:sz="0" w:space="0" w:color="auto"/>
      </w:divBdr>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208535648">
      <w:bodyDiv w:val="1"/>
      <w:marLeft w:val="0"/>
      <w:marRight w:val="0"/>
      <w:marTop w:val="0"/>
      <w:marBottom w:val="0"/>
      <w:divBdr>
        <w:top w:val="none" w:sz="0" w:space="0" w:color="auto"/>
        <w:left w:val="none" w:sz="0" w:space="0" w:color="auto"/>
        <w:bottom w:val="none" w:sz="0" w:space="0" w:color="auto"/>
        <w:right w:val="none" w:sz="0" w:space="0" w:color="auto"/>
      </w:divBdr>
    </w:div>
    <w:div w:id="217278569">
      <w:bodyDiv w:val="1"/>
      <w:marLeft w:val="0"/>
      <w:marRight w:val="0"/>
      <w:marTop w:val="0"/>
      <w:marBottom w:val="0"/>
      <w:divBdr>
        <w:top w:val="none" w:sz="0" w:space="0" w:color="auto"/>
        <w:left w:val="none" w:sz="0" w:space="0" w:color="auto"/>
        <w:bottom w:val="none" w:sz="0" w:space="0" w:color="auto"/>
        <w:right w:val="none" w:sz="0" w:space="0" w:color="auto"/>
      </w:divBdr>
      <w:divsChild>
        <w:div w:id="1725106120">
          <w:marLeft w:val="0"/>
          <w:marRight w:val="0"/>
          <w:marTop w:val="1740"/>
          <w:marBottom w:val="0"/>
          <w:divBdr>
            <w:top w:val="none" w:sz="0" w:space="0" w:color="auto"/>
            <w:left w:val="none" w:sz="0" w:space="0" w:color="auto"/>
            <w:bottom w:val="none" w:sz="0" w:space="0" w:color="auto"/>
            <w:right w:val="none" w:sz="0" w:space="0" w:color="auto"/>
          </w:divBdr>
          <w:divsChild>
            <w:div w:id="893152646">
              <w:marLeft w:val="0"/>
              <w:marRight w:val="0"/>
              <w:marTop w:val="0"/>
              <w:marBottom w:val="0"/>
              <w:divBdr>
                <w:top w:val="none" w:sz="0" w:space="0" w:color="auto"/>
                <w:left w:val="none" w:sz="0" w:space="0" w:color="auto"/>
                <w:bottom w:val="none" w:sz="0" w:space="0" w:color="auto"/>
                <w:right w:val="none" w:sz="0" w:space="0" w:color="auto"/>
              </w:divBdr>
              <w:divsChild>
                <w:div w:id="152131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586311">
      <w:bodyDiv w:val="1"/>
      <w:marLeft w:val="0"/>
      <w:marRight w:val="0"/>
      <w:marTop w:val="0"/>
      <w:marBottom w:val="0"/>
      <w:divBdr>
        <w:top w:val="none" w:sz="0" w:space="0" w:color="auto"/>
        <w:left w:val="none" w:sz="0" w:space="0" w:color="auto"/>
        <w:bottom w:val="none" w:sz="0" w:space="0" w:color="auto"/>
        <w:right w:val="none" w:sz="0" w:space="0" w:color="auto"/>
      </w:divBdr>
    </w:div>
    <w:div w:id="478889700">
      <w:bodyDiv w:val="1"/>
      <w:marLeft w:val="0"/>
      <w:marRight w:val="0"/>
      <w:marTop w:val="0"/>
      <w:marBottom w:val="0"/>
      <w:divBdr>
        <w:top w:val="none" w:sz="0" w:space="0" w:color="auto"/>
        <w:left w:val="none" w:sz="0" w:space="0" w:color="auto"/>
        <w:bottom w:val="none" w:sz="0" w:space="0" w:color="auto"/>
        <w:right w:val="none" w:sz="0" w:space="0" w:color="auto"/>
      </w:divBdr>
    </w:div>
    <w:div w:id="595140653">
      <w:bodyDiv w:val="1"/>
      <w:marLeft w:val="0"/>
      <w:marRight w:val="0"/>
      <w:marTop w:val="0"/>
      <w:marBottom w:val="0"/>
      <w:divBdr>
        <w:top w:val="none" w:sz="0" w:space="0" w:color="auto"/>
        <w:left w:val="none" w:sz="0" w:space="0" w:color="auto"/>
        <w:bottom w:val="none" w:sz="0" w:space="0" w:color="auto"/>
        <w:right w:val="none" w:sz="0" w:space="0" w:color="auto"/>
      </w:divBdr>
    </w:div>
    <w:div w:id="671185379">
      <w:bodyDiv w:val="1"/>
      <w:marLeft w:val="0"/>
      <w:marRight w:val="0"/>
      <w:marTop w:val="0"/>
      <w:marBottom w:val="0"/>
      <w:divBdr>
        <w:top w:val="none" w:sz="0" w:space="0" w:color="auto"/>
        <w:left w:val="none" w:sz="0" w:space="0" w:color="auto"/>
        <w:bottom w:val="none" w:sz="0" w:space="0" w:color="auto"/>
        <w:right w:val="none" w:sz="0" w:space="0" w:color="auto"/>
      </w:divBdr>
    </w:div>
    <w:div w:id="679432106">
      <w:bodyDiv w:val="1"/>
      <w:marLeft w:val="0"/>
      <w:marRight w:val="0"/>
      <w:marTop w:val="0"/>
      <w:marBottom w:val="0"/>
      <w:divBdr>
        <w:top w:val="none" w:sz="0" w:space="0" w:color="auto"/>
        <w:left w:val="none" w:sz="0" w:space="0" w:color="auto"/>
        <w:bottom w:val="none" w:sz="0" w:space="0" w:color="auto"/>
        <w:right w:val="none" w:sz="0" w:space="0" w:color="auto"/>
      </w:divBdr>
    </w:div>
    <w:div w:id="739332378">
      <w:bodyDiv w:val="1"/>
      <w:marLeft w:val="0"/>
      <w:marRight w:val="0"/>
      <w:marTop w:val="0"/>
      <w:marBottom w:val="0"/>
      <w:divBdr>
        <w:top w:val="none" w:sz="0" w:space="0" w:color="auto"/>
        <w:left w:val="none" w:sz="0" w:space="0" w:color="auto"/>
        <w:bottom w:val="none" w:sz="0" w:space="0" w:color="auto"/>
        <w:right w:val="none" w:sz="0" w:space="0" w:color="auto"/>
      </w:divBdr>
    </w:div>
    <w:div w:id="1351027562">
      <w:bodyDiv w:val="1"/>
      <w:marLeft w:val="0"/>
      <w:marRight w:val="0"/>
      <w:marTop w:val="0"/>
      <w:marBottom w:val="0"/>
      <w:divBdr>
        <w:top w:val="none" w:sz="0" w:space="0" w:color="auto"/>
        <w:left w:val="none" w:sz="0" w:space="0" w:color="auto"/>
        <w:bottom w:val="none" w:sz="0" w:space="0" w:color="auto"/>
        <w:right w:val="none" w:sz="0" w:space="0" w:color="auto"/>
      </w:divBdr>
    </w:div>
    <w:div w:id="1635677984">
      <w:bodyDiv w:val="1"/>
      <w:marLeft w:val="0"/>
      <w:marRight w:val="0"/>
      <w:marTop w:val="0"/>
      <w:marBottom w:val="0"/>
      <w:divBdr>
        <w:top w:val="none" w:sz="0" w:space="0" w:color="auto"/>
        <w:left w:val="none" w:sz="0" w:space="0" w:color="auto"/>
        <w:bottom w:val="none" w:sz="0" w:space="0" w:color="auto"/>
        <w:right w:val="none" w:sz="0" w:space="0" w:color="auto"/>
      </w:divBdr>
    </w:div>
    <w:div w:id="1959331690">
      <w:bodyDiv w:val="1"/>
      <w:marLeft w:val="0"/>
      <w:marRight w:val="0"/>
      <w:marTop w:val="0"/>
      <w:marBottom w:val="0"/>
      <w:divBdr>
        <w:top w:val="none" w:sz="0" w:space="0" w:color="auto"/>
        <w:left w:val="none" w:sz="0" w:space="0" w:color="auto"/>
        <w:bottom w:val="none" w:sz="0" w:space="0" w:color="auto"/>
        <w:right w:val="none" w:sz="0" w:space="0" w:color="auto"/>
      </w:divBdr>
    </w:div>
    <w:div w:id="2031878397">
      <w:bodyDiv w:val="1"/>
      <w:marLeft w:val="0"/>
      <w:marRight w:val="0"/>
      <w:marTop w:val="0"/>
      <w:marBottom w:val="0"/>
      <w:divBdr>
        <w:top w:val="none" w:sz="0" w:space="0" w:color="auto"/>
        <w:left w:val="none" w:sz="0" w:space="0" w:color="auto"/>
        <w:bottom w:val="none" w:sz="0" w:space="0" w:color="auto"/>
        <w:right w:val="none" w:sz="0" w:space="0" w:color="auto"/>
      </w:divBdr>
    </w:div>
    <w:div w:id="209939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dnet.hosts.network/education/Resources/Documents/Creative%20Commons%20Attribution%204.0%20International" TargetMode="External"/><Relationship Id="rId26" Type="http://schemas.openxmlformats.org/officeDocument/2006/relationships/hyperlink" Target="https://www.education.gov.au/completion-rates-cohort-analyses"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cid:image001.png@01CC5B5E.C6C84990" TargetMode="External"/><Relationship Id="rId25" Type="http://schemas.openxmlformats.org/officeDocument/2006/relationships/hyperlink" Target="https://www.ddogs.edu.au/copy-of-guidelines"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ddogs.edu.au/good-practice-principles"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dnet.hosts.network/education/Resources/Documents/CC%20BY%204.0%20International"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 Id="rId22" Type="http://schemas.openxmlformats.org/officeDocument/2006/relationships/hyperlink" Target="https://docs.education.gov.au/node/4790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48386-AE70-4C58-AEA9-920060F88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683F52FE.dotm</Template>
  <TotalTime>0</TotalTime>
  <Pages>20</Pages>
  <Words>5429</Words>
  <Characters>30951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2018-08-15T02:38:00Z</dcterms:created>
  <dcterms:modified xsi:type="dcterms:W3CDTF">2018-09-03T00:15:00Z</dcterms:modified>
</cp:coreProperties>
</file>