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D992C" w14:textId="77777777" w:rsidR="00352F74" w:rsidRDefault="00530800" w:rsidP="00900D4D">
      <w:pPr>
        <w:pStyle w:val="Heading4"/>
      </w:pPr>
      <w:r>
        <w:rPr>
          <w:noProof/>
          <w:lang w:eastAsia="en-AU"/>
        </w:rPr>
        <mc:AlternateContent>
          <mc:Choice Requires="wps">
            <w:drawing>
              <wp:anchor distT="0" distB="0" distL="114300" distR="114300" simplePos="0" relativeHeight="251668480" behindDoc="0" locked="0" layoutInCell="1" allowOverlap="1" wp14:anchorId="6BE3BEC6" wp14:editId="1B1AA925">
                <wp:simplePos x="0" y="0"/>
                <wp:positionH relativeFrom="margin">
                  <wp:align>right</wp:align>
                </wp:positionH>
                <wp:positionV relativeFrom="page">
                  <wp:posOffset>1219200</wp:posOffset>
                </wp:positionV>
                <wp:extent cx="5730875" cy="2562225"/>
                <wp:effectExtent l="0" t="0" r="3175" b="9525"/>
                <wp:wrapNone/>
                <wp:docPr id="12" name="Text Box 12"/>
                <wp:cNvGraphicFramePr/>
                <a:graphic xmlns:a="http://schemas.openxmlformats.org/drawingml/2006/main">
                  <a:graphicData uri="http://schemas.microsoft.com/office/word/2010/wordprocessingShape">
                    <wps:wsp>
                      <wps:cNvSpPr txBox="1"/>
                      <wps:spPr>
                        <a:xfrm>
                          <a:off x="0" y="0"/>
                          <a:ext cx="5730875" cy="2562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217E0" w14:textId="7B0B137F" w:rsidR="00E22F6D" w:rsidRPr="00530800" w:rsidRDefault="00E22F6D" w:rsidP="00530800">
                            <w:pPr>
                              <w:pStyle w:val="FrontPagereporttitle"/>
                            </w:pPr>
                            <w:r w:rsidRPr="00530800">
                              <w:t xml:space="preserve">The </w:t>
                            </w:r>
                            <w:r>
                              <w:t>potential</w:t>
                            </w:r>
                            <w:r w:rsidRPr="00530800">
                              <w:t xml:space="preserve"> </w:t>
                            </w:r>
                            <w:r>
                              <w:t>for</w:t>
                            </w:r>
                            <w:r w:rsidRPr="00530800">
                              <w:t xml:space="preserve"> including school income and wealth in a measure of capacity to contribute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3BEC6" id="_x0000_t202" coordsize="21600,21600" o:spt="202" path="m,l,21600r21600,l21600,xe">
                <v:stroke joinstyle="miter"/>
                <v:path gradientshapeok="t" o:connecttype="rect"/>
              </v:shapetype>
              <v:shape id="Text Box 12" o:spid="_x0000_s1026" type="#_x0000_t202" style="position:absolute;left:0;text-align:left;margin-left:400.05pt;margin-top:96pt;width:451.25pt;height:201.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" fillcolor="white [3201]" stroked="f" strokeweight=".5pt">
                <v:textbox>
                  <w:txbxContent>
                    <w:p w14:paraId="7BE217E0" w14:textId="7B0B137F" w:rsidR="00E22F6D" w:rsidRPr="00530800" w:rsidRDefault="00E22F6D" w:rsidP="00530800">
                      <w:pPr>
                        <w:pStyle w:val="FrontPagereporttitle"/>
                      </w:pPr>
                      <w:r w:rsidRPr="00530800">
                        <w:t xml:space="preserve">The </w:t>
                      </w:r>
                      <w:r>
                        <w:t>potential</w:t>
                      </w:r>
                      <w:r w:rsidRPr="00530800">
                        <w:t xml:space="preserve"> </w:t>
                      </w:r>
                      <w:r>
                        <w:t>for</w:t>
                      </w:r>
                      <w:r w:rsidRPr="00530800">
                        <w:t xml:space="preserve"> including school income and wealth in a measure of capacity to contribute</w:t>
                      </w:r>
                    </w:p>
                  </w:txbxContent>
                </v:textbox>
                <w10:wrap anchorx="margin" anchory="page"/>
              </v:shape>
            </w:pict>
          </mc:Fallback>
        </mc:AlternateContent>
      </w:r>
    </w:p>
    <w:p w14:paraId="41F9FB96" w14:textId="77777777" w:rsidR="00352F74" w:rsidRDefault="00352F74" w:rsidP="00C44628"/>
    <w:p w14:paraId="2E3571B9" w14:textId="77777777" w:rsidR="00BD17A3" w:rsidRPr="00F52149" w:rsidRDefault="00E941FD" w:rsidP="00C44628">
      <w:pPr>
        <w:sectPr w:rsidR="00BD17A3" w:rsidRPr="00F52149" w:rsidSect="00DA3FED">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440" w:right="1440" w:bottom="1440" w:left="1440" w:header="720" w:footer="720" w:gutter="0"/>
          <w:pgNumType w:start="1"/>
          <w:cols w:space="720"/>
          <w:noEndnote/>
          <w:titlePg/>
          <w:docGrid w:linePitch="326"/>
        </w:sectPr>
      </w:pPr>
      <w:r>
        <w:rPr>
          <w:noProof/>
          <w:lang w:eastAsia="en-AU"/>
        </w:rPr>
        <mc:AlternateContent>
          <mc:Choice Requires="wps">
            <w:drawing>
              <wp:anchor distT="0" distB="0" distL="114300" distR="114300" simplePos="0" relativeHeight="251669504" behindDoc="0" locked="0" layoutInCell="1" allowOverlap="1" wp14:anchorId="68D7A39E" wp14:editId="33ACC090">
                <wp:simplePos x="0" y="0"/>
                <wp:positionH relativeFrom="margin">
                  <wp:align>right</wp:align>
                </wp:positionH>
                <wp:positionV relativeFrom="page">
                  <wp:posOffset>5638800</wp:posOffset>
                </wp:positionV>
                <wp:extent cx="5730875" cy="2781300"/>
                <wp:effectExtent l="0" t="0" r="3175" b="0"/>
                <wp:wrapNone/>
                <wp:docPr id="13" name="Text Box 13"/>
                <wp:cNvGraphicFramePr/>
                <a:graphic xmlns:a="http://schemas.openxmlformats.org/drawingml/2006/main">
                  <a:graphicData uri="http://schemas.microsoft.com/office/word/2010/wordprocessingShape">
                    <wps:wsp>
                      <wps:cNvSpPr txBox="1"/>
                      <wps:spPr>
                        <a:xfrm>
                          <a:off x="0" y="0"/>
                          <a:ext cx="5730875" cy="278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AC3CA" w14:textId="77777777" w:rsidR="00E22F6D" w:rsidRDefault="00E22F6D" w:rsidP="00835CD9">
                            <w:pPr>
                              <w:pStyle w:val="FrontPagesub-heading2"/>
                            </w:pPr>
                            <w:r>
                              <w:t>Prepared for the National School Resourcing Board</w:t>
                            </w:r>
                          </w:p>
                          <w:p w14:paraId="2497EEB0" w14:textId="77777777" w:rsidR="005D3B16" w:rsidRPr="005D3B16" w:rsidRDefault="005D3B16" w:rsidP="005D3B16">
                            <w:pPr>
                              <w:pStyle w:val="FrontPagesub-heading2"/>
                              <w:rPr>
                                <w:sz w:val="40"/>
                              </w:rPr>
                            </w:pPr>
                          </w:p>
                          <w:p w14:paraId="7E1F7641" w14:textId="4783C135" w:rsidR="00E22F6D" w:rsidRDefault="00E22F6D" w:rsidP="005D3B16">
                            <w:pPr>
                              <w:pStyle w:val="FrontPagesub-heading2"/>
                            </w:pPr>
                            <w:proofErr w:type="gramStart"/>
                            <w:r>
                              <w:t>by</w:t>
                            </w:r>
                            <w:proofErr w:type="gramEnd"/>
                            <w:r>
                              <w:t xml:space="preserve"> Andrew Wade</w:t>
                            </w:r>
                          </w:p>
                          <w:p w14:paraId="5114ECBB" w14:textId="77777777" w:rsidR="005D3B16" w:rsidRPr="005D3B16" w:rsidRDefault="005D3B16" w:rsidP="005D3B16">
                            <w:pPr>
                              <w:pStyle w:val="FrontPagesub-heading2"/>
                              <w:rPr>
                                <w:sz w:val="56"/>
                              </w:rPr>
                            </w:pPr>
                          </w:p>
                          <w:p w14:paraId="1808A1AA" w14:textId="489A4E27" w:rsidR="00E22F6D" w:rsidRPr="00B742BC" w:rsidRDefault="00E22F6D" w:rsidP="00B742BC">
                            <w:pPr>
                              <w:pStyle w:val="FrontPagesub-heading2"/>
                            </w:pPr>
                            <w:r>
                              <w:t>April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7A39E" id="Text Box 13" o:spid="_x0000_s1027" type="#_x0000_t202" style="position:absolute;left:0;text-align:left;margin-left:400.05pt;margin-top:444pt;width:451.25pt;height:219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" fillcolor="white [3201]" stroked="f" strokeweight=".5pt">
                <v:textbox>
                  <w:txbxContent>
                    <w:p w14:paraId="3C5AC3CA" w14:textId="77777777" w:rsidR="00E22F6D" w:rsidRDefault="00E22F6D" w:rsidP="00835CD9">
                      <w:pPr>
                        <w:pStyle w:val="FrontPagesub-heading2"/>
                      </w:pPr>
                      <w:r>
                        <w:t>Prepared for the National School Resourcing Board</w:t>
                      </w:r>
                    </w:p>
                    <w:p w14:paraId="2497EEB0" w14:textId="77777777" w:rsidR="005D3B16" w:rsidRPr="005D3B16" w:rsidRDefault="005D3B16" w:rsidP="005D3B16">
                      <w:pPr>
                        <w:pStyle w:val="FrontPagesub-heading2"/>
                        <w:rPr>
                          <w:sz w:val="40"/>
                        </w:rPr>
                      </w:pPr>
                    </w:p>
                    <w:p w14:paraId="7E1F7641" w14:textId="4783C135" w:rsidR="00E22F6D" w:rsidRDefault="00E22F6D" w:rsidP="005D3B16">
                      <w:pPr>
                        <w:pStyle w:val="FrontPagesub-heading2"/>
                      </w:pPr>
                      <w:r>
                        <w:t>by Andrew Wade</w:t>
                      </w:r>
                    </w:p>
                    <w:p w14:paraId="5114ECBB" w14:textId="77777777" w:rsidR="005D3B16" w:rsidRPr="005D3B16" w:rsidRDefault="005D3B16" w:rsidP="005D3B16">
                      <w:pPr>
                        <w:pStyle w:val="FrontPagesub-heading2"/>
                        <w:rPr>
                          <w:sz w:val="56"/>
                        </w:rPr>
                      </w:pPr>
                    </w:p>
                    <w:p w14:paraId="1808A1AA" w14:textId="489A4E27" w:rsidR="00E22F6D" w:rsidRPr="00B742BC" w:rsidRDefault="00E22F6D" w:rsidP="00B742BC">
                      <w:pPr>
                        <w:pStyle w:val="FrontPagesub-heading2"/>
                      </w:pPr>
                      <w:r>
                        <w:t>April 2018</w:t>
                      </w:r>
                    </w:p>
                  </w:txbxContent>
                </v:textbox>
                <w10:wrap anchorx="margin" anchory="page"/>
              </v:shape>
            </w:pict>
          </mc:Fallback>
        </mc:AlternateContent>
      </w:r>
      <w:r w:rsidR="00530800">
        <w:rPr>
          <w:noProof/>
          <w:lang w:eastAsia="en-AU"/>
        </w:rPr>
        <mc:AlternateContent>
          <mc:Choice Requires="wps">
            <w:drawing>
              <wp:anchor distT="0" distB="0" distL="114300" distR="114300" simplePos="0" relativeHeight="251664384" behindDoc="0" locked="0" layoutInCell="0" allowOverlap="1" wp14:anchorId="056417D4" wp14:editId="6BF2C660">
                <wp:simplePos x="0" y="0"/>
                <wp:positionH relativeFrom="page">
                  <wp:posOffset>-6350</wp:posOffset>
                </wp:positionH>
                <wp:positionV relativeFrom="page">
                  <wp:posOffset>4556760</wp:posOffset>
                </wp:positionV>
                <wp:extent cx="6667500" cy="643890"/>
                <wp:effectExtent l="0" t="0" r="0" b="381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643890"/>
                        </a:xfrm>
                        <a:prstGeom prst="rect">
                          <a:avLst/>
                        </a:prstGeom>
                        <a:solidFill>
                          <a:schemeClr val="accent1">
                            <a:lumMod val="100000"/>
                            <a:lumOff val="0"/>
                          </a:schemeClr>
                        </a:solidFill>
                        <a:ln w="12700">
                          <a:noFill/>
                          <a:miter lim="800000"/>
                          <a:headEnd/>
                          <a:tailEnd/>
                        </a:ln>
                      </wps:spPr>
                      <wps:txbx>
                        <w:txbxContent>
                          <w:p w14:paraId="7F06544F" w14:textId="77777777" w:rsidR="00E22F6D" w:rsidRPr="00B742BC" w:rsidRDefault="00E22F6D" w:rsidP="00B742BC">
                            <w:pPr>
                              <w:pStyle w:val="FrontPagesub-heading"/>
                            </w:pPr>
                            <w:r>
                              <w:t>Report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417D4" id="Rectangle 16" o:spid="_x0000_s1028" style="position:absolute;left:0;text-align:left;margin-left:-.5pt;margin-top:358.8pt;width:525pt;height:5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" o:allowincell="f" fillcolor="#4f81bd [3204]" stroked="f" strokeweight="1pt">
                <v:textbox inset="14.4pt,,14.4pt">
                  <w:txbxContent>
                    <w:p w14:paraId="7F06544F" w14:textId="77777777" w:rsidR="00E22F6D" w:rsidRPr="00B742BC" w:rsidRDefault="00E22F6D" w:rsidP="00B742BC">
                      <w:pPr>
                        <w:pStyle w:val="FrontPagesub-heading"/>
                      </w:pPr>
                      <w:r>
                        <w:t>Report</w:t>
                      </w:r>
                    </w:p>
                  </w:txbxContent>
                </v:textbox>
                <w10:wrap anchorx="page" anchory="page"/>
              </v:rect>
            </w:pict>
          </mc:Fallback>
        </mc:AlternateContent>
      </w:r>
    </w:p>
    <w:p w14:paraId="5358A3F1" w14:textId="77777777" w:rsidR="00CE69E7" w:rsidRDefault="00CE69E7" w:rsidP="00C44628"/>
    <w:p w14:paraId="0A96374F" w14:textId="77777777" w:rsidR="00352F74" w:rsidRDefault="00352F74" w:rsidP="00C44628"/>
    <w:p w14:paraId="3FD4949C" w14:textId="77777777" w:rsidR="00352F74" w:rsidRDefault="00352F74" w:rsidP="00C44628">
      <w:pPr>
        <w:sectPr w:rsidR="00352F74" w:rsidSect="00DA3FED">
          <w:headerReference w:type="first" r:id="rId14"/>
          <w:footerReference w:type="first" r:id="rId15"/>
          <w:pgSz w:w="11907" w:h="16839" w:code="9"/>
          <w:pgMar w:top="1440" w:right="1440" w:bottom="1440" w:left="1440" w:header="720" w:footer="720" w:gutter="0"/>
          <w:pgNumType w:start="1"/>
          <w:cols w:space="720"/>
          <w:noEndnote/>
          <w:titlePg/>
          <w:docGrid w:linePitch="326"/>
        </w:sectPr>
      </w:pPr>
    </w:p>
    <w:p w14:paraId="59560661" w14:textId="77777777" w:rsidR="00C12EC1" w:rsidRPr="00F54D36" w:rsidRDefault="00C12EC1" w:rsidP="00A12411">
      <w:pPr>
        <w:pStyle w:val="HeadingTOC"/>
      </w:pPr>
      <w:bookmarkStart w:id="0" w:name="_Toc481431389"/>
      <w:bookmarkStart w:id="1" w:name="_Toc517982731"/>
      <w:r w:rsidRPr="00F54D36">
        <w:t xml:space="preserve">Executive </w:t>
      </w:r>
      <w:r w:rsidRPr="00A12411">
        <w:t>Summary</w:t>
      </w:r>
      <w:bookmarkEnd w:id="0"/>
      <w:bookmarkEnd w:id="1"/>
    </w:p>
    <w:p w14:paraId="543F8BAE" w14:textId="77777777" w:rsidR="001C6D35" w:rsidRDefault="001C6D35" w:rsidP="001C6D35">
      <w:pPr>
        <w:rPr>
          <w:noProof/>
        </w:rPr>
      </w:pPr>
      <w:bookmarkStart w:id="2" w:name="_Hlk517942759"/>
      <w:r>
        <w:rPr>
          <w:noProof/>
        </w:rPr>
        <w:t>The Centre for International Research on Education Systems at Victoria University has been commissioned by the National School Resourcing Board (the Board), to prepare a report examining whether assessment of the capacity of non-government school communities</w:t>
      </w:r>
      <w:r w:rsidR="00116D87">
        <w:rPr>
          <w:noProof/>
        </w:rPr>
        <w:t>,</w:t>
      </w:r>
      <w:r>
        <w:rPr>
          <w:noProof/>
        </w:rPr>
        <w:t xml:space="preserve"> to contribute to the operational costs of their school</w:t>
      </w:r>
      <w:r w:rsidR="00116D87">
        <w:rPr>
          <w:noProof/>
        </w:rPr>
        <w:t>,</w:t>
      </w:r>
      <w:r>
        <w:rPr>
          <w:noProof/>
        </w:rPr>
        <w:t xml:space="preserve"> should incorporate school wealth. </w:t>
      </w:r>
    </w:p>
    <w:p w14:paraId="24DE8740" w14:textId="56538F62" w:rsidR="001C6D35" w:rsidRDefault="001C6D35" w:rsidP="001C6D35">
      <w:pPr>
        <w:rPr>
          <w:noProof/>
        </w:rPr>
      </w:pPr>
      <w:r>
        <w:rPr>
          <w:noProof/>
        </w:rPr>
        <w:t>The Board was tasked by Senator the Hon Simon Birmingham</w:t>
      </w:r>
      <w:r w:rsidR="00116D87">
        <w:rPr>
          <w:noProof/>
        </w:rPr>
        <w:t>,</w:t>
      </w:r>
      <w:r>
        <w:rPr>
          <w:noProof/>
        </w:rPr>
        <w:t xml:space="preserve"> to review the </w:t>
      </w:r>
      <w:r w:rsidRPr="00B508F7">
        <w:rPr>
          <w:noProof/>
        </w:rPr>
        <w:t>socio-economic status</w:t>
      </w:r>
      <w:r>
        <w:rPr>
          <w:noProof/>
        </w:rPr>
        <w:t xml:space="preserve"> </w:t>
      </w:r>
      <w:r w:rsidR="00B508F7">
        <w:rPr>
          <w:noProof/>
        </w:rPr>
        <w:t xml:space="preserve">(SES) </w:t>
      </w:r>
      <w:r>
        <w:rPr>
          <w:noProof/>
        </w:rPr>
        <w:t>score methodology</w:t>
      </w:r>
      <w:r w:rsidR="00116D87">
        <w:rPr>
          <w:noProof/>
        </w:rPr>
        <w:t>,</w:t>
      </w:r>
      <w:r>
        <w:rPr>
          <w:noProof/>
        </w:rPr>
        <w:t xml:space="preserve"> which is used to determine the Commonwealth’s per</w:t>
      </w:r>
      <w:r w:rsidR="00DA5EA7">
        <w:rPr>
          <w:noProof/>
        </w:rPr>
        <w:t xml:space="preserve"> </w:t>
      </w:r>
      <w:r>
        <w:rPr>
          <w:noProof/>
        </w:rPr>
        <w:t xml:space="preserve">student base recurrent funding contribution for individual non-government schools. </w:t>
      </w:r>
    </w:p>
    <w:p w14:paraId="07F77174" w14:textId="57A27CED" w:rsidR="00BC2535" w:rsidRDefault="00BE698C" w:rsidP="001C6D35">
      <w:pPr>
        <w:rPr>
          <w:noProof/>
        </w:rPr>
      </w:pPr>
      <w:r>
        <w:rPr>
          <w:noProof/>
        </w:rPr>
        <w:t>A broad definition of wealth has been applied in this report, encompassing both net assets (assets minus liabilite</w:t>
      </w:r>
      <w:r w:rsidR="00DA5EA7">
        <w:rPr>
          <w:noProof/>
        </w:rPr>
        <w:t>s</w:t>
      </w:r>
      <w:r w:rsidR="00CF322C">
        <w:rPr>
          <w:noProof/>
        </w:rPr>
        <w:t>)</w:t>
      </w:r>
      <w:r w:rsidR="00F25C19">
        <w:rPr>
          <w:noProof/>
        </w:rPr>
        <w:t>, alongside</w:t>
      </w:r>
      <w:r>
        <w:rPr>
          <w:noProof/>
        </w:rPr>
        <w:t xml:space="preserve"> income derived by schools from sources other than government subsidies and school fees. </w:t>
      </w:r>
    </w:p>
    <w:bookmarkEnd w:id="2"/>
    <w:p w14:paraId="3AC82264" w14:textId="0C4F32CA" w:rsidR="0004436B" w:rsidRDefault="007355D8" w:rsidP="00BC2535">
      <w:pPr>
        <w:rPr>
          <w:noProof/>
        </w:rPr>
      </w:pPr>
      <w:r>
        <w:rPr>
          <w:noProof/>
        </w:rPr>
        <w:t xml:space="preserve">The current approach to estimating </w:t>
      </w:r>
      <w:r w:rsidR="00EF314D">
        <w:rPr>
          <w:noProof/>
        </w:rPr>
        <w:t xml:space="preserve">capacity to contribute </w:t>
      </w:r>
      <w:r w:rsidR="00E271ED">
        <w:rPr>
          <w:noProof/>
        </w:rPr>
        <w:t>(</w:t>
      </w:r>
      <w:r>
        <w:rPr>
          <w:noProof/>
        </w:rPr>
        <w:t>CTC</w:t>
      </w:r>
      <w:r w:rsidR="00E271ED">
        <w:rPr>
          <w:noProof/>
        </w:rPr>
        <w:t>)</w:t>
      </w:r>
      <w:r>
        <w:rPr>
          <w:noProof/>
        </w:rPr>
        <w:t xml:space="preserve">—the estimation of an SES score </w:t>
      </w:r>
      <w:r w:rsidRPr="0004436B">
        <w:rPr>
          <w:noProof/>
        </w:rPr>
        <w:t>focussed on families of children attending non-government schools</w:t>
      </w:r>
      <w:r>
        <w:rPr>
          <w:noProof/>
        </w:rPr>
        <w:t xml:space="preserve">—has </w:t>
      </w:r>
      <w:r w:rsidR="00BC2535">
        <w:rPr>
          <w:noProof/>
        </w:rPr>
        <w:t>previously been criticis</w:t>
      </w:r>
      <w:r>
        <w:rPr>
          <w:noProof/>
        </w:rPr>
        <w:t xml:space="preserve">ed as </w:t>
      </w:r>
      <w:r w:rsidR="0004436B" w:rsidRPr="0004436B">
        <w:rPr>
          <w:noProof/>
        </w:rPr>
        <w:t>not provid</w:t>
      </w:r>
      <w:r>
        <w:rPr>
          <w:noProof/>
        </w:rPr>
        <w:t>ing</w:t>
      </w:r>
      <w:r w:rsidR="0004436B" w:rsidRPr="0004436B">
        <w:rPr>
          <w:noProof/>
        </w:rPr>
        <w:t xml:space="preserve"> an accurate measure of school community CTC</w:t>
      </w:r>
      <w:r w:rsidR="00BC2535">
        <w:rPr>
          <w:noProof/>
        </w:rPr>
        <w:t>. Th</w:t>
      </w:r>
      <w:r>
        <w:rPr>
          <w:noProof/>
        </w:rPr>
        <w:t>i</w:t>
      </w:r>
      <w:r w:rsidR="00BC2535">
        <w:rPr>
          <w:noProof/>
        </w:rPr>
        <w:t xml:space="preserve">s is </w:t>
      </w:r>
      <w:r w:rsidR="00CF322C">
        <w:rPr>
          <w:noProof/>
        </w:rPr>
        <w:t xml:space="preserve">primary </w:t>
      </w:r>
      <w:r w:rsidR="00BC2535">
        <w:rPr>
          <w:noProof/>
        </w:rPr>
        <w:t xml:space="preserve">because the </w:t>
      </w:r>
      <w:r w:rsidR="00CF322C">
        <w:rPr>
          <w:noProof/>
        </w:rPr>
        <w:t xml:space="preserve">SES score is derived from </w:t>
      </w:r>
      <w:r w:rsidR="00CF322C" w:rsidRPr="00CF322C">
        <w:rPr>
          <w:noProof/>
        </w:rPr>
        <w:t>information about areas where non-government school families reside. However, it has also been criticised for</w:t>
      </w:r>
      <w:r w:rsidR="00CF322C">
        <w:rPr>
          <w:noProof/>
        </w:rPr>
        <w:t xml:space="preserve"> </w:t>
      </w:r>
      <w:r w:rsidR="00CF322C" w:rsidRPr="00CF322C">
        <w:rPr>
          <w:noProof/>
        </w:rPr>
        <w:t xml:space="preserve">not considering </w:t>
      </w:r>
      <w:r w:rsidR="006850E5">
        <w:rPr>
          <w:noProof/>
        </w:rPr>
        <w:t xml:space="preserve">school wealth and the </w:t>
      </w:r>
      <w:r w:rsidR="00CF322C" w:rsidRPr="00CF322C">
        <w:rPr>
          <w:noProof/>
        </w:rPr>
        <w:t>income schools may receive from alumni donations and other sources</w:t>
      </w:r>
      <w:r w:rsidR="00CF322C">
        <w:rPr>
          <w:noProof/>
        </w:rPr>
        <w:t>.</w:t>
      </w:r>
      <w:r w:rsidR="00CF322C">
        <w:rPr>
          <w:rStyle w:val="FootnoteReference"/>
          <w:noProof/>
        </w:rPr>
        <w:footnoteReference w:id="1"/>
      </w:r>
    </w:p>
    <w:p w14:paraId="2ADC3976" w14:textId="0E98F8E2" w:rsidR="0004436B" w:rsidRPr="0004436B" w:rsidRDefault="00CA4E6D" w:rsidP="00BE698C">
      <w:pPr>
        <w:rPr>
          <w:noProof/>
        </w:rPr>
      </w:pPr>
      <w:r>
        <w:rPr>
          <w:noProof/>
        </w:rPr>
        <w:t>This report makes e</w:t>
      </w:r>
      <w:r w:rsidR="00BE698C">
        <w:rPr>
          <w:noProof/>
        </w:rPr>
        <w:t xml:space="preserve">xtensive use </w:t>
      </w:r>
      <w:r w:rsidR="007355D8">
        <w:rPr>
          <w:noProof/>
        </w:rPr>
        <w:t>of financial data collected by the Australian Government Department of Education and Training (</w:t>
      </w:r>
      <w:r w:rsidR="006F6020">
        <w:rPr>
          <w:noProof/>
        </w:rPr>
        <w:t>the Department</w:t>
      </w:r>
      <w:r w:rsidR="007355D8">
        <w:rPr>
          <w:noProof/>
        </w:rPr>
        <w:t xml:space="preserve">) </w:t>
      </w:r>
      <w:r>
        <w:rPr>
          <w:noProof/>
        </w:rPr>
        <w:t xml:space="preserve">in the </w:t>
      </w:r>
      <w:r w:rsidRPr="006F6020">
        <w:t>Financial Questionnaire for Non-Government Schools</w:t>
      </w:r>
      <w:r>
        <w:t xml:space="preserve"> </w:t>
      </w:r>
      <w:r w:rsidR="00BC2535" w:rsidRPr="0004436B">
        <w:rPr>
          <w:noProof/>
        </w:rPr>
        <w:t xml:space="preserve">(FQ). </w:t>
      </w:r>
      <w:r w:rsidR="00BE698C">
        <w:rPr>
          <w:noProof/>
        </w:rPr>
        <w:t xml:space="preserve">However, the FQ is unable to provide a suite of data that comprehensively aligns with the defintion of wealth detailed above. In particular, balance sheet information (assets and liabilities) </w:t>
      </w:r>
      <w:r w:rsidR="00CF322C">
        <w:rPr>
          <w:noProof/>
        </w:rPr>
        <w:t xml:space="preserve">that would conceptually provide the closest measure of wealth </w:t>
      </w:r>
      <w:r w:rsidR="00BE698C">
        <w:rPr>
          <w:noProof/>
        </w:rPr>
        <w:t xml:space="preserve">is reported </w:t>
      </w:r>
      <w:r w:rsidR="00F25C19">
        <w:rPr>
          <w:noProof/>
        </w:rPr>
        <w:t>in</w:t>
      </w:r>
      <w:r w:rsidR="00BE698C">
        <w:rPr>
          <w:noProof/>
        </w:rPr>
        <w:t xml:space="preserve">consistently by schools, and omits school-level informaton on </w:t>
      </w:r>
      <w:r w:rsidR="00F25C19">
        <w:rPr>
          <w:noProof/>
        </w:rPr>
        <w:t xml:space="preserve">most </w:t>
      </w:r>
      <w:r w:rsidR="00BE698C">
        <w:rPr>
          <w:noProof/>
        </w:rPr>
        <w:t xml:space="preserve">Catholic systemic schools. Rather, only school income data is available to measure </w:t>
      </w:r>
      <w:r w:rsidR="0004436B" w:rsidRPr="0004436B">
        <w:rPr>
          <w:noProof/>
        </w:rPr>
        <w:t>wealth.</w:t>
      </w:r>
    </w:p>
    <w:p w14:paraId="5D952341" w14:textId="024B5B44" w:rsidR="0004436B" w:rsidRPr="0004436B" w:rsidRDefault="00BE698C" w:rsidP="0004436B">
      <w:pPr>
        <w:rPr>
          <w:noProof/>
        </w:rPr>
      </w:pPr>
      <w:r>
        <w:rPr>
          <w:noProof/>
        </w:rPr>
        <w:t xml:space="preserve">Working within the constraints of the available data, a </w:t>
      </w:r>
      <w:r w:rsidR="0004436B" w:rsidRPr="0004436B">
        <w:rPr>
          <w:noProof/>
        </w:rPr>
        <w:t xml:space="preserve">wealth measure (or score) </w:t>
      </w:r>
      <w:r w:rsidR="001C6D35">
        <w:rPr>
          <w:noProof/>
        </w:rPr>
        <w:t xml:space="preserve">has been developed </w:t>
      </w:r>
      <w:r w:rsidR="0004436B" w:rsidRPr="0004436B">
        <w:rPr>
          <w:noProof/>
        </w:rPr>
        <w:t xml:space="preserve">based on </w:t>
      </w:r>
      <w:r w:rsidR="001C6D35">
        <w:rPr>
          <w:noProof/>
        </w:rPr>
        <w:t xml:space="preserve">the </w:t>
      </w:r>
      <w:r w:rsidR="0004436B" w:rsidRPr="0004436B">
        <w:rPr>
          <w:noProof/>
        </w:rPr>
        <w:t xml:space="preserve">‘non-fee private income’ </w:t>
      </w:r>
      <w:r w:rsidR="001C6D35">
        <w:rPr>
          <w:noProof/>
        </w:rPr>
        <w:t xml:space="preserve">received by schools. This </w:t>
      </w:r>
      <w:r w:rsidR="00C93C2A">
        <w:rPr>
          <w:noProof/>
        </w:rPr>
        <w:t>includes</w:t>
      </w:r>
      <w:r w:rsidR="001C6D35">
        <w:rPr>
          <w:noProof/>
        </w:rPr>
        <w:t xml:space="preserve"> income from donations, rent and interest. Unfortunately, the FQ data collection does not ask schools to distinguish </w:t>
      </w:r>
      <w:r w:rsidR="00EF314D">
        <w:rPr>
          <w:noProof/>
        </w:rPr>
        <w:t xml:space="preserve">current school family </w:t>
      </w:r>
      <w:r w:rsidR="001C6D35">
        <w:rPr>
          <w:noProof/>
        </w:rPr>
        <w:t xml:space="preserve">income, from other sources (e.g. alumni). </w:t>
      </w:r>
    </w:p>
    <w:p w14:paraId="3D766814" w14:textId="77777777" w:rsidR="00835CD9" w:rsidRDefault="0004436B" w:rsidP="001C6D35">
      <w:pPr>
        <w:rPr>
          <w:noProof/>
        </w:rPr>
      </w:pPr>
      <w:r w:rsidRPr="0004436B">
        <w:rPr>
          <w:noProof/>
        </w:rPr>
        <w:t>Two approaches have been us</w:t>
      </w:r>
      <w:r w:rsidR="001C6D35">
        <w:rPr>
          <w:noProof/>
        </w:rPr>
        <w:t xml:space="preserve">ed to estimate a wealth score, each of which generates a score that is then standardised to have a </w:t>
      </w:r>
      <w:r w:rsidRPr="0004436B">
        <w:rPr>
          <w:noProof/>
        </w:rPr>
        <w:t>mean of 100 and standard deviation of 15.</w:t>
      </w:r>
      <w:r w:rsidR="001C6D35">
        <w:rPr>
          <w:noProof/>
        </w:rPr>
        <w:t xml:space="preserve"> This standardisation</w:t>
      </w:r>
      <w:r w:rsidR="00C93C2A">
        <w:rPr>
          <w:noProof/>
        </w:rPr>
        <w:t xml:space="preserve"> method </w:t>
      </w:r>
      <w:r w:rsidR="001C6D35">
        <w:rPr>
          <w:noProof/>
        </w:rPr>
        <w:t>is identi</w:t>
      </w:r>
      <w:r w:rsidR="00F25C19">
        <w:rPr>
          <w:noProof/>
        </w:rPr>
        <w:t>c</w:t>
      </w:r>
      <w:r w:rsidR="001C6D35">
        <w:rPr>
          <w:noProof/>
        </w:rPr>
        <w:t xml:space="preserve">al to that applied </w:t>
      </w:r>
      <w:r w:rsidR="00F25C19">
        <w:rPr>
          <w:noProof/>
        </w:rPr>
        <w:t xml:space="preserve">when estimating the </w:t>
      </w:r>
      <w:r w:rsidR="001C6D35">
        <w:rPr>
          <w:noProof/>
        </w:rPr>
        <w:t xml:space="preserve">school SES score. </w:t>
      </w:r>
    </w:p>
    <w:p w14:paraId="02839D96" w14:textId="77777777" w:rsidR="0004436B" w:rsidRPr="0004436B" w:rsidRDefault="0004436B" w:rsidP="0004436B">
      <w:pPr>
        <w:rPr>
          <w:noProof/>
        </w:rPr>
      </w:pPr>
      <w:r w:rsidRPr="0004436B">
        <w:rPr>
          <w:noProof/>
        </w:rPr>
        <w:t xml:space="preserve">The first </w:t>
      </w:r>
      <w:r w:rsidR="001C6D35">
        <w:rPr>
          <w:noProof/>
        </w:rPr>
        <w:t xml:space="preserve">approach </w:t>
      </w:r>
      <w:r w:rsidRPr="0004436B">
        <w:rPr>
          <w:noProof/>
        </w:rPr>
        <w:t xml:space="preserve">uses a school’s ‘non-fee private income’ per student. The second uses the difference between a school’s ‘non-fee private income’ per student and base Schooling Resource Standard (SRS) value. </w:t>
      </w:r>
      <w:r w:rsidR="001C6D35">
        <w:rPr>
          <w:noProof/>
        </w:rPr>
        <w:t xml:space="preserve">The base SRS value is either the primary or secondary base rate, or a combination of the two for combined schools. </w:t>
      </w:r>
    </w:p>
    <w:p w14:paraId="0E414090" w14:textId="75E5B024" w:rsidR="0004436B" w:rsidRDefault="0004436B" w:rsidP="0004436B">
      <w:pPr>
        <w:rPr>
          <w:noProof/>
        </w:rPr>
      </w:pPr>
      <w:r w:rsidRPr="0004436B">
        <w:rPr>
          <w:noProof/>
        </w:rPr>
        <w:t>The resultant school wealth scores differ markedly from the SES scores</w:t>
      </w:r>
      <w:r w:rsidR="001C6D35">
        <w:rPr>
          <w:noProof/>
        </w:rPr>
        <w:t xml:space="preserve"> estimated by DET using the 2016 ABS Census</w:t>
      </w:r>
      <w:r w:rsidRPr="0004436B">
        <w:rPr>
          <w:noProof/>
        </w:rPr>
        <w:t xml:space="preserve">. </w:t>
      </w:r>
      <w:r w:rsidR="001C6D35">
        <w:rPr>
          <w:noProof/>
        </w:rPr>
        <w:t xml:space="preserve">These </w:t>
      </w:r>
      <w:r w:rsidR="00DA3000">
        <w:rPr>
          <w:noProof/>
        </w:rPr>
        <w:t>differences</w:t>
      </w:r>
      <w:r w:rsidR="001C6D35">
        <w:rPr>
          <w:noProof/>
        </w:rPr>
        <w:t xml:space="preserve"> indicate that the </w:t>
      </w:r>
      <w:r w:rsidRPr="0004436B">
        <w:rPr>
          <w:noProof/>
        </w:rPr>
        <w:t>two wealth scores contain different information to that in the SES score</w:t>
      </w:r>
      <w:r w:rsidR="00640A9C">
        <w:rPr>
          <w:noProof/>
        </w:rPr>
        <w:t xml:space="preserve">. As such, </w:t>
      </w:r>
      <w:r w:rsidR="001C6D35">
        <w:rPr>
          <w:noProof/>
        </w:rPr>
        <w:t>if applied</w:t>
      </w:r>
      <w:r w:rsidR="00DA3000">
        <w:rPr>
          <w:noProof/>
        </w:rPr>
        <w:t xml:space="preserve"> in non-government school funding, </w:t>
      </w:r>
      <w:r w:rsidR="00EF314D">
        <w:rPr>
          <w:noProof/>
        </w:rPr>
        <w:t xml:space="preserve">there would be </w:t>
      </w:r>
      <w:r w:rsidR="00DA3000">
        <w:rPr>
          <w:noProof/>
        </w:rPr>
        <w:t>change</w:t>
      </w:r>
      <w:r w:rsidR="00EF314D">
        <w:rPr>
          <w:noProof/>
        </w:rPr>
        <w:t>s</w:t>
      </w:r>
      <w:r w:rsidR="00DA3000">
        <w:rPr>
          <w:noProof/>
        </w:rPr>
        <w:t xml:space="preserve"> to the funding level </w:t>
      </w:r>
      <w:r w:rsidR="00C93C2A">
        <w:rPr>
          <w:noProof/>
        </w:rPr>
        <w:t>received by individual schools</w:t>
      </w:r>
      <w:r w:rsidRPr="0004436B">
        <w:rPr>
          <w:noProof/>
        </w:rPr>
        <w:t>.</w:t>
      </w:r>
    </w:p>
    <w:p w14:paraId="78568936" w14:textId="4DE608DC" w:rsidR="0004436B" w:rsidRDefault="00C93C2A" w:rsidP="00C93C2A">
      <w:pPr>
        <w:rPr>
          <w:noProof/>
        </w:rPr>
      </w:pPr>
      <w:r>
        <w:rPr>
          <w:noProof/>
        </w:rPr>
        <w:t xml:space="preserve">The difference between scores is far more variable for the wealth score derived from the </w:t>
      </w:r>
      <w:r w:rsidR="0004436B" w:rsidRPr="0004436B">
        <w:rPr>
          <w:noProof/>
        </w:rPr>
        <w:t>difference between a school’s ‘non-fee private income’ per student and base Schooling Resource Standard (SRS) value</w:t>
      </w:r>
      <w:r>
        <w:rPr>
          <w:noProof/>
        </w:rPr>
        <w:t xml:space="preserve">. </w:t>
      </w:r>
      <w:r w:rsidR="0004436B" w:rsidRPr="0004436B">
        <w:rPr>
          <w:noProof/>
        </w:rPr>
        <w:t>This variability is driven, in part, by the different primary and secondary base SRS rates</w:t>
      </w:r>
      <w:r w:rsidR="00E348DB">
        <w:rPr>
          <w:noProof/>
        </w:rPr>
        <w:t xml:space="preserve">, </w:t>
      </w:r>
      <w:r w:rsidR="00195BB1">
        <w:rPr>
          <w:noProof/>
        </w:rPr>
        <w:t xml:space="preserve">and </w:t>
      </w:r>
      <w:r w:rsidR="00E348DB">
        <w:rPr>
          <w:noProof/>
        </w:rPr>
        <w:t>the compostion of primary and secondary students within schools</w:t>
      </w:r>
      <w:r w:rsidR="0004436B" w:rsidRPr="0004436B">
        <w:rPr>
          <w:noProof/>
        </w:rPr>
        <w:t xml:space="preserve">. </w:t>
      </w:r>
    </w:p>
    <w:p w14:paraId="2ADAD69A" w14:textId="02C66F0A" w:rsidR="00C12EC1" w:rsidRPr="001F3291" w:rsidRDefault="00C93C2A" w:rsidP="00CF322C">
      <w:r>
        <w:rPr>
          <w:noProof/>
        </w:rPr>
        <w:t>Con</w:t>
      </w:r>
      <w:r w:rsidRPr="0004436B">
        <w:rPr>
          <w:noProof/>
        </w:rPr>
        <w:t xml:space="preserve">ceptually, incorporating school wealth into </w:t>
      </w:r>
      <w:r w:rsidR="00CF322C">
        <w:rPr>
          <w:noProof/>
        </w:rPr>
        <w:t xml:space="preserve">a </w:t>
      </w:r>
      <w:r w:rsidRPr="0004436B">
        <w:rPr>
          <w:noProof/>
        </w:rPr>
        <w:t>measur</w:t>
      </w:r>
      <w:r w:rsidR="00CF322C">
        <w:rPr>
          <w:noProof/>
        </w:rPr>
        <w:t>e</w:t>
      </w:r>
      <w:r w:rsidR="00E348DB">
        <w:rPr>
          <w:noProof/>
        </w:rPr>
        <w:t xml:space="preserve"> </w:t>
      </w:r>
      <w:r w:rsidR="00CF322C">
        <w:rPr>
          <w:noProof/>
        </w:rPr>
        <w:t xml:space="preserve">of </w:t>
      </w:r>
      <w:r w:rsidRPr="0004436B">
        <w:rPr>
          <w:noProof/>
        </w:rPr>
        <w:t xml:space="preserve">CTC, as derived from ‘non-fee private income’, </w:t>
      </w:r>
      <w:r w:rsidR="00CF322C">
        <w:rPr>
          <w:noProof/>
        </w:rPr>
        <w:t xml:space="preserve">could lead to an improved measure of the CTC of the broader school community. </w:t>
      </w:r>
      <w:r>
        <w:rPr>
          <w:noProof/>
        </w:rPr>
        <w:t xml:space="preserve">However, </w:t>
      </w:r>
      <w:r w:rsidR="00CF322C">
        <w:rPr>
          <w:noProof/>
        </w:rPr>
        <w:t xml:space="preserve">if such an approach was to be considered further, </w:t>
      </w:r>
      <w:r>
        <w:rPr>
          <w:noProof/>
        </w:rPr>
        <w:t xml:space="preserve">validation of the relevant FQ data </w:t>
      </w:r>
      <w:r w:rsidR="00EF314D">
        <w:rPr>
          <w:noProof/>
        </w:rPr>
        <w:t xml:space="preserve">is </w:t>
      </w:r>
      <w:r w:rsidR="0004436B" w:rsidRPr="0004436B">
        <w:rPr>
          <w:noProof/>
        </w:rPr>
        <w:t>required to ensure schools are reporting consistently</w:t>
      </w:r>
      <w:r w:rsidR="00EF314D">
        <w:rPr>
          <w:noProof/>
        </w:rPr>
        <w:t xml:space="preserve">, and to </w:t>
      </w:r>
      <w:r w:rsidR="0004436B" w:rsidRPr="0004436B">
        <w:rPr>
          <w:noProof/>
        </w:rPr>
        <w:t>to examine outlier values</w:t>
      </w:r>
      <w:r>
        <w:rPr>
          <w:noProof/>
        </w:rPr>
        <w:t xml:space="preserve"> reported by individual schools</w:t>
      </w:r>
      <w:r w:rsidR="00EF314D">
        <w:rPr>
          <w:noProof/>
        </w:rPr>
        <w:t>. There is also a need</w:t>
      </w:r>
      <w:r w:rsidR="00E348DB">
        <w:rPr>
          <w:noProof/>
        </w:rPr>
        <w:t xml:space="preserve"> to confirm whether </w:t>
      </w:r>
      <w:r w:rsidR="00E348DB">
        <w:t xml:space="preserve">non-fee private income </w:t>
      </w:r>
      <w:proofErr w:type="gramStart"/>
      <w:r w:rsidR="00E348DB">
        <w:t>is not being predominantly drawn</w:t>
      </w:r>
      <w:proofErr w:type="gramEnd"/>
      <w:r w:rsidR="00E348DB">
        <w:t xml:space="preserve"> from current school families also paying school fees</w:t>
      </w:r>
      <w:r>
        <w:rPr>
          <w:noProof/>
        </w:rPr>
        <w:t>.</w:t>
      </w:r>
      <w:r w:rsidR="00C12EC1">
        <w:br w:type="page"/>
      </w:r>
    </w:p>
    <w:p w14:paraId="2867A0B2" w14:textId="77777777" w:rsidR="00A9375D" w:rsidRDefault="00A9375D" w:rsidP="00A12411">
      <w:pPr>
        <w:pStyle w:val="HeadingTOC"/>
      </w:pPr>
      <w:bookmarkStart w:id="3" w:name="_Toc481431390"/>
      <w:bookmarkStart w:id="4" w:name="_Toc517982732"/>
      <w:r w:rsidRPr="00FD3A01">
        <w:t>Table of Contents</w:t>
      </w:r>
      <w:bookmarkEnd w:id="3"/>
      <w:bookmarkEnd w:id="4"/>
    </w:p>
    <w:p w14:paraId="2A8CA2D5" w14:textId="19A60495" w:rsidR="001B4F9D" w:rsidRDefault="00424AF5">
      <w:pPr>
        <w:pStyle w:val="TOC2"/>
        <w:rPr>
          <w:rFonts w:asciiTheme="minorHAnsi" w:eastAsiaTheme="minorEastAsia" w:hAnsiTheme="minorHAnsi" w:cstheme="minorBidi"/>
          <w:noProof/>
          <w:sz w:val="22"/>
          <w:szCs w:val="22"/>
          <w:lang w:eastAsia="en-AU"/>
        </w:rPr>
      </w:pPr>
      <w:r>
        <w:fldChar w:fldCharType="begin"/>
      </w:r>
      <w:r>
        <w:instrText xml:space="preserve"> TOC \o "1-3" \h \z \u </w:instrText>
      </w:r>
      <w:r>
        <w:fldChar w:fldCharType="separate"/>
      </w:r>
      <w:hyperlink w:anchor="_Toc517982731" w:history="1">
        <w:r w:rsidR="001B4F9D" w:rsidRPr="00F65257">
          <w:rPr>
            <w:rStyle w:val="Hyperlink"/>
            <w:noProof/>
          </w:rPr>
          <w:t>Executive Summary</w:t>
        </w:r>
        <w:r w:rsidR="001B4F9D">
          <w:rPr>
            <w:noProof/>
            <w:webHidden/>
          </w:rPr>
          <w:tab/>
        </w:r>
        <w:r w:rsidR="001B4F9D">
          <w:rPr>
            <w:noProof/>
            <w:webHidden/>
          </w:rPr>
          <w:fldChar w:fldCharType="begin"/>
        </w:r>
        <w:r w:rsidR="001B4F9D">
          <w:rPr>
            <w:noProof/>
            <w:webHidden/>
          </w:rPr>
          <w:instrText xml:space="preserve"> PAGEREF _Toc517982731 \h </w:instrText>
        </w:r>
        <w:r w:rsidR="001B4F9D">
          <w:rPr>
            <w:noProof/>
            <w:webHidden/>
          </w:rPr>
        </w:r>
        <w:r w:rsidR="001B4F9D">
          <w:rPr>
            <w:noProof/>
            <w:webHidden/>
          </w:rPr>
          <w:fldChar w:fldCharType="separate"/>
        </w:r>
        <w:r w:rsidR="00614CD5">
          <w:rPr>
            <w:noProof/>
            <w:webHidden/>
          </w:rPr>
          <w:t>i</w:t>
        </w:r>
        <w:r w:rsidR="001B4F9D">
          <w:rPr>
            <w:noProof/>
            <w:webHidden/>
          </w:rPr>
          <w:fldChar w:fldCharType="end"/>
        </w:r>
      </w:hyperlink>
    </w:p>
    <w:p w14:paraId="704F9ADF" w14:textId="5B76AC7F" w:rsidR="001B4F9D" w:rsidRDefault="00624854">
      <w:pPr>
        <w:pStyle w:val="TOC2"/>
        <w:rPr>
          <w:rFonts w:asciiTheme="minorHAnsi" w:eastAsiaTheme="minorEastAsia" w:hAnsiTheme="minorHAnsi" w:cstheme="minorBidi"/>
          <w:noProof/>
          <w:sz w:val="22"/>
          <w:szCs w:val="22"/>
          <w:lang w:eastAsia="en-AU"/>
        </w:rPr>
      </w:pPr>
      <w:hyperlink w:anchor="_Toc517982733" w:history="1">
        <w:r w:rsidR="001B4F9D" w:rsidRPr="00F65257">
          <w:rPr>
            <w:rStyle w:val="Hyperlink"/>
            <w:noProof/>
          </w:rPr>
          <w:t>List of Figures</w:t>
        </w:r>
        <w:r w:rsidR="001B4F9D">
          <w:rPr>
            <w:noProof/>
            <w:webHidden/>
          </w:rPr>
          <w:tab/>
        </w:r>
        <w:r w:rsidR="001B4F9D">
          <w:rPr>
            <w:noProof/>
            <w:webHidden/>
          </w:rPr>
          <w:fldChar w:fldCharType="begin"/>
        </w:r>
        <w:r w:rsidR="001B4F9D">
          <w:rPr>
            <w:noProof/>
            <w:webHidden/>
          </w:rPr>
          <w:instrText xml:space="preserve"> PAGEREF _Toc517982733 \h </w:instrText>
        </w:r>
        <w:r w:rsidR="001B4F9D">
          <w:rPr>
            <w:noProof/>
            <w:webHidden/>
          </w:rPr>
        </w:r>
        <w:r w:rsidR="001B4F9D">
          <w:rPr>
            <w:noProof/>
            <w:webHidden/>
          </w:rPr>
          <w:fldChar w:fldCharType="separate"/>
        </w:r>
        <w:r w:rsidR="00614CD5">
          <w:rPr>
            <w:noProof/>
            <w:webHidden/>
          </w:rPr>
          <w:t>iv</w:t>
        </w:r>
        <w:r w:rsidR="001B4F9D">
          <w:rPr>
            <w:noProof/>
            <w:webHidden/>
          </w:rPr>
          <w:fldChar w:fldCharType="end"/>
        </w:r>
      </w:hyperlink>
    </w:p>
    <w:p w14:paraId="38F54084" w14:textId="7216D456" w:rsidR="001B4F9D" w:rsidRDefault="00624854">
      <w:pPr>
        <w:pStyle w:val="TOC2"/>
        <w:rPr>
          <w:rFonts w:asciiTheme="minorHAnsi" w:eastAsiaTheme="minorEastAsia" w:hAnsiTheme="minorHAnsi" w:cstheme="minorBidi"/>
          <w:noProof/>
          <w:sz w:val="22"/>
          <w:szCs w:val="22"/>
          <w:lang w:eastAsia="en-AU"/>
        </w:rPr>
      </w:pPr>
      <w:hyperlink w:anchor="_Toc517982734" w:history="1">
        <w:r w:rsidR="001B4F9D" w:rsidRPr="00F65257">
          <w:rPr>
            <w:rStyle w:val="Hyperlink"/>
            <w:noProof/>
          </w:rPr>
          <w:t>List of Tables</w:t>
        </w:r>
        <w:r w:rsidR="001B4F9D">
          <w:rPr>
            <w:noProof/>
            <w:webHidden/>
          </w:rPr>
          <w:tab/>
        </w:r>
        <w:r w:rsidR="001B4F9D">
          <w:rPr>
            <w:noProof/>
            <w:webHidden/>
          </w:rPr>
          <w:fldChar w:fldCharType="begin"/>
        </w:r>
        <w:r w:rsidR="001B4F9D">
          <w:rPr>
            <w:noProof/>
            <w:webHidden/>
          </w:rPr>
          <w:instrText xml:space="preserve"> PAGEREF _Toc517982734 \h </w:instrText>
        </w:r>
        <w:r w:rsidR="001B4F9D">
          <w:rPr>
            <w:noProof/>
            <w:webHidden/>
          </w:rPr>
        </w:r>
        <w:r w:rsidR="001B4F9D">
          <w:rPr>
            <w:noProof/>
            <w:webHidden/>
          </w:rPr>
          <w:fldChar w:fldCharType="separate"/>
        </w:r>
        <w:r w:rsidR="00614CD5">
          <w:rPr>
            <w:noProof/>
            <w:webHidden/>
          </w:rPr>
          <w:t>iv</w:t>
        </w:r>
        <w:r w:rsidR="001B4F9D">
          <w:rPr>
            <w:noProof/>
            <w:webHidden/>
          </w:rPr>
          <w:fldChar w:fldCharType="end"/>
        </w:r>
      </w:hyperlink>
    </w:p>
    <w:p w14:paraId="33B8EA2F" w14:textId="61ED7D18" w:rsidR="001B4F9D" w:rsidRDefault="00624854">
      <w:pPr>
        <w:pStyle w:val="TOC1"/>
        <w:rPr>
          <w:rFonts w:asciiTheme="minorHAnsi" w:eastAsiaTheme="minorEastAsia" w:hAnsiTheme="minorHAnsi" w:cstheme="minorBidi"/>
          <w:b w:val="0"/>
          <w:sz w:val="22"/>
          <w:szCs w:val="22"/>
          <w:lang w:eastAsia="en-AU"/>
        </w:rPr>
      </w:pPr>
      <w:hyperlink w:anchor="_Toc517982735" w:history="1">
        <w:r w:rsidR="001B4F9D" w:rsidRPr="00F65257">
          <w:rPr>
            <w:rStyle w:val="Hyperlink"/>
          </w:rPr>
          <w:t>1.</w:t>
        </w:r>
        <w:r w:rsidR="001B4F9D">
          <w:rPr>
            <w:rFonts w:asciiTheme="minorHAnsi" w:eastAsiaTheme="minorEastAsia" w:hAnsiTheme="minorHAnsi" w:cstheme="minorBidi"/>
            <w:b w:val="0"/>
            <w:sz w:val="22"/>
            <w:szCs w:val="22"/>
            <w:lang w:eastAsia="en-AU"/>
          </w:rPr>
          <w:tab/>
        </w:r>
        <w:r w:rsidR="001B4F9D" w:rsidRPr="00F65257">
          <w:rPr>
            <w:rStyle w:val="Hyperlink"/>
          </w:rPr>
          <w:t>Introduction</w:t>
        </w:r>
        <w:r w:rsidR="001B4F9D">
          <w:rPr>
            <w:webHidden/>
          </w:rPr>
          <w:tab/>
        </w:r>
        <w:r w:rsidR="001B4F9D">
          <w:rPr>
            <w:webHidden/>
          </w:rPr>
          <w:fldChar w:fldCharType="begin"/>
        </w:r>
        <w:r w:rsidR="001B4F9D">
          <w:rPr>
            <w:webHidden/>
          </w:rPr>
          <w:instrText xml:space="preserve"> PAGEREF _Toc517982735 \h </w:instrText>
        </w:r>
        <w:r w:rsidR="001B4F9D">
          <w:rPr>
            <w:webHidden/>
          </w:rPr>
        </w:r>
        <w:r w:rsidR="001B4F9D">
          <w:rPr>
            <w:webHidden/>
          </w:rPr>
          <w:fldChar w:fldCharType="separate"/>
        </w:r>
        <w:r w:rsidR="00614CD5">
          <w:rPr>
            <w:webHidden/>
          </w:rPr>
          <w:t>1</w:t>
        </w:r>
        <w:r w:rsidR="001B4F9D">
          <w:rPr>
            <w:webHidden/>
          </w:rPr>
          <w:fldChar w:fldCharType="end"/>
        </w:r>
      </w:hyperlink>
    </w:p>
    <w:p w14:paraId="57FCEBEF" w14:textId="61961745" w:rsidR="001B4F9D" w:rsidRDefault="00624854">
      <w:pPr>
        <w:pStyle w:val="TOC1"/>
        <w:rPr>
          <w:rFonts w:asciiTheme="minorHAnsi" w:eastAsiaTheme="minorEastAsia" w:hAnsiTheme="minorHAnsi" w:cstheme="minorBidi"/>
          <w:b w:val="0"/>
          <w:sz w:val="22"/>
          <w:szCs w:val="22"/>
          <w:lang w:eastAsia="en-AU"/>
        </w:rPr>
      </w:pPr>
      <w:hyperlink w:anchor="_Toc517982737" w:history="1">
        <w:r w:rsidR="001B4F9D" w:rsidRPr="00F65257">
          <w:rPr>
            <w:rStyle w:val="Hyperlink"/>
          </w:rPr>
          <w:t>2.</w:t>
        </w:r>
        <w:r w:rsidR="001B4F9D">
          <w:rPr>
            <w:rFonts w:asciiTheme="minorHAnsi" w:eastAsiaTheme="minorEastAsia" w:hAnsiTheme="minorHAnsi" w:cstheme="minorBidi"/>
            <w:b w:val="0"/>
            <w:sz w:val="22"/>
            <w:szCs w:val="22"/>
            <w:lang w:eastAsia="en-AU"/>
          </w:rPr>
          <w:tab/>
        </w:r>
        <w:r w:rsidR="001B4F9D" w:rsidRPr="00F65257">
          <w:rPr>
            <w:rStyle w:val="Hyperlink"/>
          </w:rPr>
          <w:t>Context</w:t>
        </w:r>
        <w:r w:rsidR="001B4F9D">
          <w:rPr>
            <w:webHidden/>
          </w:rPr>
          <w:tab/>
        </w:r>
        <w:r w:rsidR="001B4F9D">
          <w:rPr>
            <w:webHidden/>
          </w:rPr>
          <w:fldChar w:fldCharType="begin"/>
        </w:r>
        <w:r w:rsidR="001B4F9D">
          <w:rPr>
            <w:webHidden/>
          </w:rPr>
          <w:instrText xml:space="preserve"> PAGEREF _Toc517982737 \h </w:instrText>
        </w:r>
        <w:r w:rsidR="001B4F9D">
          <w:rPr>
            <w:webHidden/>
          </w:rPr>
        </w:r>
        <w:r w:rsidR="001B4F9D">
          <w:rPr>
            <w:webHidden/>
          </w:rPr>
          <w:fldChar w:fldCharType="separate"/>
        </w:r>
        <w:r w:rsidR="00614CD5">
          <w:rPr>
            <w:webHidden/>
          </w:rPr>
          <w:t>2</w:t>
        </w:r>
        <w:r w:rsidR="001B4F9D">
          <w:rPr>
            <w:webHidden/>
          </w:rPr>
          <w:fldChar w:fldCharType="end"/>
        </w:r>
      </w:hyperlink>
    </w:p>
    <w:p w14:paraId="1CF40804" w14:textId="7AA613EA" w:rsidR="001B4F9D" w:rsidRDefault="00624854">
      <w:pPr>
        <w:pStyle w:val="TOC1"/>
        <w:rPr>
          <w:rFonts w:asciiTheme="minorHAnsi" w:eastAsiaTheme="minorEastAsia" w:hAnsiTheme="minorHAnsi" w:cstheme="minorBidi"/>
          <w:b w:val="0"/>
          <w:sz w:val="22"/>
          <w:szCs w:val="22"/>
          <w:lang w:eastAsia="en-AU"/>
        </w:rPr>
      </w:pPr>
      <w:hyperlink w:anchor="_Toc517982741" w:history="1">
        <w:r w:rsidR="001B4F9D" w:rsidRPr="00F65257">
          <w:rPr>
            <w:rStyle w:val="Hyperlink"/>
          </w:rPr>
          <w:t>3.</w:t>
        </w:r>
        <w:r w:rsidR="001B4F9D">
          <w:rPr>
            <w:rFonts w:asciiTheme="minorHAnsi" w:eastAsiaTheme="minorEastAsia" w:hAnsiTheme="minorHAnsi" w:cstheme="minorBidi"/>
            <w:b w:val="0"/>
            <w:sz w:val="22"/>
            <w:szCs w:val="22"/>
            <w:lang w:eastAsia="en-AU"/>
          </w:rPr>
          <w:tab/>
        </w:r>
        <w:r w:rsidR="001B4F9D" w:rsidRPr="00F65257">
          <w:rPr>
            <w:rStyle w:val="Hyperlink"/>
          </w:rPr>
          <w:t>Analytical approach</w:t>
        </w:r>
        <w:r w:rsidR="001B4F9D">
          <w:rPr>
            <w:webHidden/>
          </w:rPr>
          <w:tab/>
        </w:r>
        <w:r w:rsidR="001B4F9D">
          <w:rPr>
            <w:webHidden/>
          </w:rPr>
          <w:fldChar w:fldCharType="begin"/>
        </w:r>
        <w:r w:rsidR="001B4F9D">
          <w:rPr>
            <w:webHidden/>
          </w:rPr>
          <w:instrText xml:space="preserve"> PAGEREF _Toc517982741 \h </w:instrText>
        </w:r>
        <w:r w:rsidR="001B4F9D">
          <w:rPr>
            <w:webHidden/>
          </w:rPr>
        </w:r>
        <w:r w:rsidR="001B4F9D">
          <w:rPr>
            <w:webHidden/>
          </w:rPr>
          <w:fldChar w:fldCharType="separate"/>
        </w:r>
        <w:r w:rsidR="00614CD5">
          <w:rPr>
            <w:webHidden/>
          </w:rPr>
          <w:t>6</w:t>
        </w:r>
        <w:r w:rsidR="001B4F9D">
          <w:rPr>
            <w:webHidden/>
          </w:rPr>
          <w:fldChar w:fldCharType="end"/>
        </w:r>
      </w:hyperlink>
    </w:p>
    <w:p w14:paraId="58E45346" w14:textId="343AB8D4" w:rsidR="001B4F9D" w:rsidRDefault="00624854">
      <w:pPr>
        <w:pStyle w:val="TOC1"/>
        <w:rPr>
          <w:rFonts w:asciiTheme="minorHAnsi" w:eastAsiaTheme="minorEastAsia" w:hAnsiTheme="minorHAnsi" w:cstheme="minorBidi"/>
          <w:b w:val="0"/>
          <w:sz w:val="22"/>
          <w:szCs w:val="22"/>
          <w:lang w:eastAsia="en-AU"/>
        </w:rPr>
      </w:pPr>
      <w:hyperlink w:anchor="_Toc517982755" w:history="1">
        <w:r w:rsidR="001B4F9D" w:rsidRPr="00F65257">
          <w:rPr>
            <w:rStyle w:val="Hyperlink"/>
          </w:rPr>
          <w:t>4.</w:t>
        </w:r>
        <w:r w:rsidR="001B4F9D">
          <w:rPr>
            <w:rFonts w:asciiTheme="minorHAnsi" w:eastAsiaTheme="minorEastAsia" w:hAnsiTheme="minorHAnsi" w:cstheme="minorBidi"/>
            <w:b w:val="0"/>
            <w:sz w:val="22"/>
            <w:szCs w:val="22"/>
            <w:lang w:eastAsia="en-AU"/>
          </w:rPr>
          <w:tab/>
        </w:r>
        <w:r w:rsidR="001B4F9D" w:rsidRPr="00F65257">
          <w:rPr>
            <w:rStyle w:val="Hyperlink"/>
          </w:rPr>
          <w:t>Estimating school wealth using Financial Questionnaire data</w:t>
        </w:r>
        <w:r w:rsidR="001B4F9D">
          <w:rPr>
            <w:webHidden/>
          </w:rPr>
          <w:tab/>
        </w:r>
        <w:r w:rsidR="001B4F9D">
          <w:rPr>
            <w:webHidden/>
          </w:rPr>
          <w:fldChar w:fldCharType="begin"/>
        </w:r>
        <w:r w:rsidR="001B4F9D">
          <w:rPr>
            <w:webHidden/>
          </w:rPr>
          <w:instrText xml:space="preserve"> PAGEREF _Toc517982755 \h </w:instrText>
        </w:r>
        <w:r w:rsidR="001B4F9D">
          <w:rPr>
            <w:webHidden/>
          </w:rPr>
        </w:r>
        <w:r w:rsidR="001B4F9D">
          <w:rPr>
            <w:webHidden/>
          </w:rPr>
          <w:fldChar w:fldCharType="separate"/>
        </w:r>
        <w:r w:rsidR="00614CD5">
          <w:rPr>
            <w:webHidden/>
          </w:rPr>
          <w:t>15</w:t>
        </w:r>
        <w:r w:rsidR="001B4F9D">
          <w:rPr>
            <w:webHidden/>
          </w:rPr>
          <w:fldChar w:fldCharType="end"/>
        </w:r>
      </w:hyperlink>
    </w:p>
    <w:p w14:paraId="4A5B8BC1" w14:textId="3E3F5BEE" w:rsidR="001B4F9D" w:rsidRDefault="00624854">
      <w:pPr>
        <w:pStyle w:val="TOC1"/>
        <w:rPr>
          <w:rFonts w:asciiTheme="minorHAnsi" w:eastAsiaTheme="minorEastAsia" w:hAnsiTheme="minorHAnsi" w:cstheme="minorBidi"/>
          <w:b w:val="0"/>
          <w:sz w:val="22"/>
          <w:szCs w:val="22"/>
          <w:lang w:eastAsia="en-AU"/>
        </w:rPr>
      </w:pPr>
      <w:hyperlink w:anchor="_Toc517982760" w:history="1">
        <w:r w:rsidR="001B4F9D" w:rsidRPr="00F65257">
          <w:rPr>
            <w:rStyle w:val="Hyperlink"/>
          </w:rPr>
          <w:t>5.</w:t>
        </w:r>
        <w:r w:rsidR="001B4F9D">
          <w:rPr>
            <w:rFonts w:asciiTheme="minorHAnsi" w:eastAsiaTheme="minorEastAsia" w:hAnsiTheme="minorHAnsi" w:cstheme="minorBidi"/>
            <w:b w:val="0"/>
            <w:sz w:val="22"/>
            <w:szCs w:val="22"/>
            <w:lang w:eastAsia="en-AU"/>
          </w:rPr>
          <w:tab/>
        </w:r>
        <w:r w:rsidR="001B4F9D" w:rsidRPr="00F65257">
          <w:rPr>
            <w:rStyle w:val="Hyperlink"/>
          </w:rPr>
          <w:t>Key findings and implications</w:t>
        </w:r>
        <w:r w:rsidR="001B4F9D">
          <w:rPr>
            <w:webHidden/>
          </w:rPr>
          <w:tab/>
        </w:r>
        <w:r w:rsidR="001B4F9D">
          <w:rPr>
            <w:webHidden/>
          </w:rPr>
          <w:fldChar w:fldCharType="begin"/>
        </w:r>
        <w:r w:rsidR="001B4F9D">
          <w:rPr>
            <w:webHidden/>
          </w:rPr>
          <w:instrText xml:space="preserve"> PAGEREF _Toc517982760 \h </w:instrText>
        </w:r>
        <w:r w:rsidR="001B4F9D">
          <w:rPr>
            <w:webHidden/>
          </w:rPr>
        </w:r>
        <w:r w:rsidR="001B4F9D">
          <w:rPr>
            <w:webHidden/>
          </w:rPr>
          <w:fldChar w:fldCharType="separate"/>
        </w:r>
        <w:r w:rsidR="00614CD5">
          <w:rPr>
            <w:webHidden/>
          </w:rPr>
          <w:t>22</w:t>
        </w:r>
        <w:r w:rsidR="001B4F9D">
          <w:rPr>
            <w:webHidden/>
          </w:rPr>
          <w:fldChar w:fldCharType="end"/>
        </w:r>
      </w:hyperlink>
    </w:p>
    <w:p w14:paraId="350D5776" w14:textId="37D97E31" w:rsidR="001B4F9D" w:rsidRPr="00E348DB" w:rsidRDefault="00624854" w:rsidP="00E348DB">
      <w:pPr>
        <w:pStyle w:val="TOC2"/>
        <w:ind w:left="0"/>
        <w:rPr>
          <w:rFonts w:asciiTheme="minorHAnsi" w:eastAsiaTheme="minorEastAsia" w:hAnsiTheme="minorHAnsi" w:cstheme="minorBidi"/>
          <w:b/>
          <w:noProof/>
          <w:sz w:val="22"/>
          <w:szCs w:val="22"/>
          <w:lang w:eastAsia="en-AU"/>
        </w:rPr>
      </w:pPr>
      <w:hyperlink w:anchor="_Toc517982761" w:history="1">
        <w:r w:rsidR="001B4F9D" w:rsidRPr="00E348DB">
          <w:rPr>
            <w:rStyle w:val="Hyperlink"/>
            <w:b/>
            <w:noProof/>
          </w:rPr>
          <w:t>References</w:t>
        </w:r>
        <w:r w:rsidR="001B4F9D" w:rsidRPr="00E348DB">
          <w:rPr>
            <w:b/>
            <w:noProof/>
            <w:webHidden/>
          </w:rPr>
          <w:tab/>
        </w:r>
        <w:r w:rsidR="001B4F9D" w:rsidRPr="00E348DB">
          <w:rPr>
            <w:b/>
            <w:noProof/>
            <w:webHidden/>
          </w:rPr>
          <w:fldChar w:fldCharType="begin"/>
        </w:r>
        <w:r w:rsidR="001B4F9D" w:rsidRPr="00E348DB">
          <w:rPr>
            <w:b/>
            <w:noProof/>
            <w:webHidden/>
          </w:rPr>
          <w:instrText xml:space="preserve"> PAGEREF _Toc517982761 \h </w:instrText>
        </w:r>
        <w:r w:rsidR="001B4F9D" w:rsidRPr="00E348DB">
          <w:rPr>
            <w:b/>
            <w:noProof/>
            <w:webHidden/>
          </w:rPr>
        </w:r>
        <w:r w:rsidR="001B4F9D" w:rsidRPr="00E348DB">
          <w:rPr>
            <w:b/>
            <w:noProof/>
            <w:webHidden/>
          </w:rPr>
          <w:fldChar w:fldCharType="separate"/>
        </w:r>
        <w:r w:rsidR="00614CD5">
          <w:rPr>
            <w:b/>
            <w:noProof/>
            <w:webHidden/>
          </w:rPr>
          <w:t>23</w:t>
        </w:r>
        <w:r w:rsidR="001B4F9D" w:rsidRPr="00E348DB">
          <w:rPr>
            <w:b/>
            <w:noProof/>
            <w:webHidden/>
          </w:rPr>
          <w:fldChar w:fldCharType="end"/>
        </w:r>
      </w:hyperlink>
    </w:p>
    <w:p w14:paraId="5BE1165E" w14:textId="77777777" w:rsidR="00835CD9" w:rsidRDefault="00424AF5" w:rsidP="00C44628">
      <w:r>
        <w:fldChar w:fldCharType="end"/>
      </w:r>
    </w:p>
    <w:p w14:paraId="6523FF72" w14:textId="77777777" w:rsidR="00A352B4" w:rsidRDefault="000F0499" w:rsidP="00C44628">
      <w:r>
        <w:br w:type="page"/>
      </w:r>
    </w:p>
    <w:p w14:paraId="310B9673" w14:textId="77777777" w:rsidR="00A352B4" w:rsidRDefault="00E74523" w:rsidP="00A12411">
      <w:pPr>
        <w:pStyle w:val="HeadingTOC"/>
      </w:pPr>
      <w:bookmarkStart w:id="5" w:name="_Toc481431391"/>
      <w:bookmarkStart w:id="6" w:name="_Toc517982733"/>
      <w:r>
        <w:t xml:space="preserve">List of </w:t>
      </w:r>
      <w:bookmarkEnd w:id="5"/>
      <w:r w:rsidR="008D584A">
        <w:t>Figures</w:t>
      </w:r>
      <w:bookmarkEnd w:id="6"/>
    </w:p>
    <w:p w14:paraId="7CB14440" w14:textId="5DCA88EA" w:rsidR="00983ADE" w:rsidRDefault="00CB525C">
      <w:pPr>
        <w:pStyle w:val="TableofFigures"/>
        <w:rPr>
          <w:rFonts w:asciiTheme="minorHAnsi" w:eastAsiaTheme="minorEastAsia" w:hAnsiTheme="minorHAnsi" w:cstheme="minorBidi"/>
          <w:sz w:val="22"/>
          <w:szCs w:val="22"/>
          <w:lang w:eastAsia="en-AU"/>
        </w:rPr>
      </w:pPr>
      <w:r>
        <w:rPr>
          <w:noProof w:val="0"/>
        </w:rPr>
        <w:fldChar w:fldCharType="begin"/>
      </w:r>
      <w:r>
        <w:instrText xml:space="preserve"> TOC \h \z \c "Figure" </w:instrText>
      </w:r>
      <w:r>
        <w:rPr>
          <w:noProof w:val="0"/>
        </w:rPr>
        <w:fldChar w:fldCharType="separate"/>
      </w:r>
      <w:hyperlink w:anchor="_Toc518645994" w:history="1">
        <w:r w:rsidR="00983ADE" w:rsidRPr="00BF45D4">
          <w:rPr>
            <w:rStyle w:val="Hyperlink"/>
          </w:rPr>
          <w:t>Figure 3</w:t>
        </w:r>
        <w:r w:rsidR="00983ADE" w:rsidRPr="00BF45D4">
          <w:rPr>
            <w:rStyle w:val="Hyperlink"/>
          </w:rPr>
          <w:noBreakHyphen/>
          <w:t>1: Analysis framework</w:t>
        </w:r>
        <w:r w:rsidR="00983ADE">
          <w:rPr>
            <w:webHidden/>
          </w:rPr>
          <w:tab/>
        </w:r>
        <w:r w:rsidR="00983ADE">
          <w:rPr>
            <w:webHidden/>
          </w:rPr>
          <w:fldChar w:fldCharType="begin"/>
        </w:r>
        <w:r w:rsidR="00983ADE">
          <w:rPr>
            <w:webHidden/>
          </w:rPr>
          <w:instrText xml:space="preserve"> PAGEREF _Toc518645994 \h </w:instrText>
        </w:r>
        <w:r w:rsidR="00983ADE">
          <w:rPr>
            <w:webHidden/>
          </w:rPr>
        </w:r>
        <w:r w:rsidR="00983ADE">
          <w:rPr>
            <w:webHidden/>
          </w:rPr>
          <w:fldChar w:fldCharType="separate"/>
        </w:r>
        <w:r w:rsidR="00614CD5">
          <w:rPr>
            <w:webHidden/>
          </w:rPr>
          <w:t>6</w:t>
        </w:r>
        <w:r w:rsidR="00983ADE">
          <w:rPr>
            <w:webHidden/>
          </w:rPr>
          <w:fldChar w:fldCharType="end"/>
        </w:r>
      </w:hyperlink>
    </w:p>
    <w:p w14:paraId="3794349A" w14:textId="3BCF3438" w:rsidR="00983ADE" w:rsidRDefault="00624854">
      <w:pPr>
        <w:pStyle w:val="TableofFigures"/>
        <w:rPr>
          <w:rFonts w:asciiTheme="minorHAnsi" w:eastAsiaTheme="minorEastAsia" w:hAnsiTheme="minorHAnsi" w:cstheme="minorBidi"/>
          <w:sz w:val="22"/>
          <w:szCs w:val="22"/>
          <w:lang w:eastAsia="en-AU"/>
        </w:rPr>
      </w:pPr>
      <w:hyperlink w:anchor="_Toc518645995" w:history="1">
        <w:r w:rsidR="00983ADE" w:rsidRPr="00BF45D4">
          <w:rPr>
            <w:rStyle w:val="Hyperlink"/>
          </w:rPr>
          <w:t>Figure 3</w:t>
        </w:r>
        <w:r w:rsidR="00983ADE" w:rsidRPr="00BF45D4">
          <w:rPr>
            <w:rStyle w:val="Hyperlink"/>
          </w:rPr>
          <w:noBreakHyphen/>
          <w:t>2: Measure options and features</w:t>
        </w:r>
        <w:r w:rsidR="00983ADE">
          <w:rPr>
            <w:webHidden/>
          </w:rPr>
          <w:tab/>
        </w:r>
        <w:r w:rsidR="00983ADE">
          <w:rPr>
            <w:webHidden/>
          </w:rPr>
          <w:fldChar w:fldCharType="begin"/>
        </w:r>
        <w:r w:rsidR="00983ADE">
          <w:rPr>
            <w:webHidden/>
          </w:rPr>
          <w:instrText xml:space="preserve"> PAGEREF _Toc518645995 \h </w:instrText>
        </w:r>
        <w:r w:rsidR="00983ADE">
          <w:rPr>
            <w:webHidden/>
          </w:rPr>
        </w:r>
        <w:r w:rsidR="00983ADE">
          <w:rPr>
            <w:webHidden/>
          </w:rPr>
          <w:fldChar w:fldCharType="separate"/>
        </w:r>
        <w:r w:rsidR="00614CD5">
          <w:rPr>
            <w:webHidden/>
          </w:rPr>
          <w:t>8</w:t>
        </w:r>
        <w:r w:rsidR="00983ADE">
          <w:rPr>
            <w:webHidden/>
          </w:rPr>
          <w:fldChar w:fldCharType="end"/>
        </w:r>
      </w:hyperlink>
    </w:p>
    <w:p w14:paraId="4BB2BA68" w14:textId="52D4251A" w:rsidR="00983ADE" w:rsidRDefault="00624854">
      <w:pPr>
        <w:pStyle w:val="TableofFigures"/>
        <w:rPr>
          <w:rFonts w:asciiTheme="minorHAnsi" w:eastAsiaTheme="minorEastAsia" w:hAnsiTheme="minorHAnsi" w:cstheme="minorBidi"/>
          <w:sz w:val="22"/>
          <w:szCs w:val="22"/>
          <w:lang w:eastAsia="en-AU"/>
        </w:rPr>
      </w:pPr>
      <w:hyperlink w:anchor="_Toc518645996" w:history="1">
        <w:r w:rsidR="00983ADE" w:rsidRPr="00BF45D4">
          <w:rPr>
            <w:rStyle w:val="Hyperlink"/>
          </w:rPr>
          <w:t>Figure 3</w:t>
        </w:r>
        <w:r w:rsidR="00983ADE" w:rsidRPr="00BF45D4">
          <w:rPr>
            <w:rStyle w:val="Hyperlink"/>
          </w:rPr>
          <w:noBreakHyphen/>
          <w:t>3: Absolute measure-non-fee private income per student</w:t>
        </w:r>
        <w:r w:rsidR="00983ADE">
          <w:rPr>
            <w:webHidden/>
          </w:rPr>
          <w:tab/>
        </w:r>
        <w:r w:rsidR="00983ADE">
          <w:rPr>
            <w:webHidden/>
          </w:rPr>
          <w:fldChar w:fldCharType="begin"/>
        </w:r>
        <w:r w:rsidR="00983ADE">
          <w:rPr>
            <w:webHidden/>
          </w:rPr>
          <w:instrText xml:space="preserve"> PAGEREF _Toc518645996 \h </w:instrText>
        </w:r>
        <w:r w:rsidR="00983ADE">
          <w:rPr>
            <w:webHidden/>
          </w:rPr>
        </w:r>
        <w:r w:rsidR="00983ADE">
          <w:rPr>
            <w:webHidden/>
          </w:rPr>
          <w:fldChar w:fldCharType="separate"/>
        </w:r>
        <w:r w:rsidR="00614CD5">
          <w:rPr>
            <w:webHidden/>
          </w:rPr>
          <w:t>9</w:t>
        </w:r>
        <w:r w:rsidR="00983ADE">
          <w:rPr>
            <w:webHidden/>
          </w:rPr>
          <w:fldChar w:fldCharType="end"/>
        </w:r>
      </w:hyperlink>
    </w:p>
    <w:p w14:paraId="22A6060B" w14:textId="2EE7D803" w:rsidR="00983ADE" w:rsidRDefault="00624854">
      <w:pPr>
        <w:pStyle w:val="TableofFigures"/>
        <w:rPr>
          <w:rFonts w:asciiTheme="minorHAnsi" w:eastAsiaTheme="minorEastAsia" w:hAnsiTheme="minorHAnsi" w:cstheme="minorBidi"/>
          <w:sz w:val="22"/>
          <w:szCs w:val="22"/>
          <w:lang w:eastAsia="en-AU"/>
        </w:rPr>
      </w:pPr>
      <w:hyperlink w:anchor="_Toc518645997" w:history="1">
        <w:r w:rsidR="00983ADE" w:rsidRPr="00BF45D4">
          <w:rPr>
            <w:rStyle w:val="Hyperlink"/>
          </w:rPr>
          <w:t>Figure 3</w:t>
        </w:r>
        <w:r w:rsidR="00983ADE" w:rsidRPr="00BF45D4">
          <w:rPr>
            <w:rStyle w:val="Hyperlink"/>
          </w:rPr>
          <w:noBreakHyphen/>
          <w:t>4: Difference from base SRS: Absolute minus base SRS</w:t>
        </w:r>
        <w:r w:rsidR="00983ADE">
          <w:rPr>
            <w:webHidden/>
          </w:rPr>
          <w:tab/>
        </w:r>
        <w:r w:rsidR="00983ADE">
          <w:rPr>
            <w:webHidden/>
          </w:rPr>
          <w:fldChar w:fldCharType="begin"/>
        </w:r>
        <w:r w:rsidR="00983ADE">
          <w:rPr>
            <w:webHidden/>
          </w:rPr>
          <w:instrText xml:space="preserve"> PAGEREF _Toc518645997 \h </w:instrText>
        </w:r>
        <w:r w:rsidR="00983ADE">
          <w:rPr>
            <w:webHidden/>
          </w:rPr>
        </w:r>
        <w:r w:rsidR="00983ADE">
          <w:rPr>
            <w:webHidden/>
          </w:rPr>
          <w:fldChar w:fldCharType="separate"/>
        </w:r>
        <w:r w:rsidR="00614CD5">
          <w:rPr>
            <w:webHidden/>
          </w:rPr>
          <w:t>10</w:t>
        </w:r>
        <w:r w:rsidR="00983ADE">
          <w:rPr>
            <w:webHidden/>
          </w:rPr>
          <w:fldChar w:fldCharType="end"/>
        </w:r>
      </w:hyperlink>
    </w:p>
    <w:p w14:paraId="56429ACD" w14:textId="0DC81BE8" w:rsidR="00983ADE" w:rsidRDefault="00624854">
      <w:pPr>
        <w:pStyle w:val="TableofFigures"/>
        <w:rPr>
          <w:rFonts w:asciiTheme="minorHAnsi" w:eastAsiaTheme="minorEastAsia" w:hAnsiTheme="minorHAnsi" w:cstheme="minorBidi"/>
          <w:sz w:val="22"/>
          <w:szCs w:val="22"/>
          <w:lang w:eastAsia="en-AU"/>
        </w:rPr>
      </w:pPr>
      <w:hyperlink w:anchor="_Toc518645998" w:history="1">
        <w:r w:rsidR="00983ADE" w:rsidRPr="00BF45D4">
          <w:rPr>
            <w:rStyle w:val="Hyperlink"/>
          </w:rPr>
          <w:t>Figure 3</w:t>
        </w:r>
        <w:r w:rsidR="00983ADE" w:rsidRPr="00BF45D4">
          <w:rPr>
            <w:rStyle w:val="Hyperlink"/>
          </w:rPr>
          <w:noBreakHyphen/>
          <w:t>5: Income received by schools from overseas students</w:t>
        </w:r>
        <w:r w:rsidR="00983ADE">
          <w:rPr>
            <w:webHidden/>
          </w:rPr>
          <w:tab/>
        </w:r>
        <w:r w:rsidR="00983ADE">
          <w:rPr>
            <w:webHidden/>
          </w:rPr>
          <w:fldChar w:fldCharType="begin"/>
        </w:r>
        <w:r w:rsidR="00983ADE">
          <w:rPr>
            <w:webHidden/>
          </w:rPr>
          <w:instrText xml:space="preserve"> PAGEREF _Toc518645998 \h </w:instrText>
        </w:r>
        <w:r w:rsidR="00983ADE">
          <w:rPr>
            <w:webHidden/>
          </w:rPr>
        </w:r>
        <w:r w:rsidR="00983ADE">
          <w:rPr>
            <w:webHidden/>
          </w:rPr>
          <w:fldChar w:fldCharType="separate"/>
        </w:r>
        <w:r w:rsidR="00614CD5">
          <w:rPr>
            <w:webHidden/>
          </w:rPr>
          <w:t>13</w:t>
        </w:r>
        <w:r w:rsidR="00983ADE">
          <w:rPr>
            <w:webHidden/>
          </w:rPr>
          <w:fldChar w:fldCharType="end"/>
        </w:r>
      </w:hyperlink>
    </w:p>
    <w:p w14:paraId="54399D43" w14:textId="38C281CC" w:rsidR="00983ADE" w:rsidRDefault="00624854">
      <w:pPr>
        <w:pStyle w:val="TableofFigures"/>
        <w:rPr>
          <w:rFonts w:asciiTheme="minorHAnsi" w:eastAsiaTheme="minorEastAsia" w:hAnsiTheme="minorHAnsi" w:cstheme="minorBidi"/>
          <w:sz w:val="22"/>
          <w:szCs w:val="22"/>
          <w:lang w:eastAsia="en-AU"/>
        </w:rPr>
      </w:pPr>
      <w:hyperlink w:anchor="_Toc518645999" w:history="1">
        <w:r w:rsidR="00983ADE" w:rsidRPr="00BF45D4">
          <w:rPr>
            <w:rStyle w:val="Hyperlink"/>
          </w:rPr>
          <w:t>Figure 3</w:t>
        </w:r>
        <w:r w:rsidR="00983ADE" w:rsidRPr="00BF45D4">
          <w:rPr>
            <w:rStyle w:val="Hyperlink"/>
          </w:rPr>
          <w:noBreakHyphen/>
          <w:t>6: Income received by schools from boarding students</w:t>
        </w:r>
        <w:r w:rsidR="00983ADE">
          <w:rPr>
            <w:webHidden/>
          </w:rPr>
          <w:tab/>
        </w:r>
        <w:r w:rsidR="00983ADE">
          <w:rPr>
            <w:webHidden/>
          </w:rPr>
          <w:fldChar w:fldCharType="begin"/>
        </w:r>
        <w:r w:rsidR="00983ADE">
          <w:rPr>
            <w:webHidden/>
          </w:rPr>
          <w:instrText xml:space="preserve"> PAGEREF _Toc518645999 \h </w:instrText>
        </w:r>
        <w:r w:rsidR="00983ADE">
          <w:rPr>
            <w:webHidden/>
          </w:rPr>
        </w:r>
        <w:r w:rsidR="00983ADE">
          <w:rPr>
            <w:webHidden/>
          </w:rPr>
          <w:fldChar w:fldCharType="separate"/>
        </w:r>
        <w:r w:rsidR="00614CD5">
          <w:rPr>
            <w:webHidden/>
          </w:rPr>
          <w:t>14</w:t>
        </w:r>
        <w:r w:rsidR="00983ADE">
          <w:rPr>
            <w:webHidden/>
          </w:rPr>
          <w:fldChar w:fldCharType="end"/>
        </w:r>
      </w:hyperlink>
    </w:p>
    <w:p w14:paraId="4152F7AB" w14:textId="54B944DB" w:rsidR="00983ADE" w:rsidRDefault="00624854">
      <w:pPr>
        <w:pStyle w:val="TableofFigures"/>
        <w:rPr>
          <w:rFonts w:asciiTheme="minorHAnsi" w:eastAsiaTheme="minorEastAsia" w:hAnsiTheme="minorHAnsi" w:cstheme="minorBidi"/>
          <w:sz w:val="22"/>
          <w:szCs w:val="22"/>
          <w:lang w:eastAsia="en-AU"/>
        </w:rPr>
      </w:pPr>
      <w:hyperlink w:anchor="_Toc518646000" w:history="1">
        <w:r w:rsidR="00983ADE" w:rsidRPr="00BF45D4">
          <w:rPr>
            <w:rStyle w:val="Hyperlink"/>
          </w:rPr>
          <w:t>Figure 4</w:t>
        </w:r>
        <w:r w:rsidR="00983ADE" w:rsidRPr="00BF45D4">
          <w:rPr>
            <w:rStyle w:val="Hyperlink"/>
          </w:rPr>
          <w:noBreakHyphen/>
          <w:t>1: Non-fee private income per student-Absolute value</w:t>
        </w:r>
        <w:r w:rsidR="00983ADE">
          <w:rPr>
            <w:webHidden/>
          </w:rPr>
          <w:tab/>
        </w:r>
        <w:r w:rsidR="00983ADE">
          <w:rPr>
            <w:webHidden/>
          </w:rPr>
          <w:fldChar w:fldCharType="begin"/>
        </w:r>
        <w:r w:rsidR="00983ADE">
          <w:rPr>
            <w:webHidden/>
          </w:rPr>
          <w:instrText xml:space="preserve"> PAGEREF _Toc518646000 \h </w:instrText>
        </w:r>
        <w:r w:rsidR="00983ADE">
          <w:rPr>
            <w:webHidden/>
          </w:rPr>
        </w:r>
        <w:r w:rsidR="00983ADE">
          <w:rPr>
            <w:webHidden/>
          </w:rPr>
          <w:fldChar w:fldCharType="separate"/>
        </w:r>
        <w:r w:rsidR="00614CD5">
          <w:rPr>
            <w:webHidden/>
          </w:rPr>
          <w:t>16</w:t>
        </w:r>
        <w:r w:rsidR="00983ADE">
          <w:rPr>
            <w:webHidden/>
          </w:rPr>
          <w:fldChar w:fldCharType="end"/>
        </w:r>
      </w:hyperlink>
    </w:p>
    <w:p w14:paraId="26F43D47" w14:textId="49414EED" w:rsidR="00983ADE" w:rsidRDefault="00624854">
      <w:pPr>
        <w:pStyle w:val="TableofFigures"/>
        <w:rPr>
          <w:rFonts w:asciiTheme="minorHAnsi" w:eastAsiaTheme="minorEastAsia" w:hAnsiTheme="minorHAnsi" w:cstheme="minorBidi"/>
          <w:sz w:val="22"/>
          <w:szCs w:val="22"/>
          <w:lang w:eastAsia="en-AU"/>
        </w:rPr>
      </w:pPr>
      <w:hyperlink w:anchor="_Toc518646001" w:history="1">
        <w:r w:rsidR="00983ADE" w:rsidRPr="00BF45D4">
          <w:rPr>
            <w:rStyle w:val="Hyperlink"/>
          </w:rPr>
          <w:t>Figure 4</w:t>
        </w:r>
        <w:r w:rsidR="00983ADE" w:rsidRPr="00BF45D4">
          <w:rPr>
            <w:rStyle w:val="Hyperlink"/>
          </w:rPr>
          <w:noBreakHyphen/>
          <w:t>2: Non-fee private income per student-difference from base SRS</w:t>
        </w:r>
        <w:r w:rsidR="00983ADE">
          <w:rPr>
            <w:webHidden/>
          </w:rPr>
          <w:tab/>
        </w:r>
        <w:r w:rsidR="00983ADE">
          <w:rPr>
            <w:webHidden/>
          </w:rPr>
          <w:fldChar w:fldCharType="begin"/>
        </w:r>
        <w:r w:rsidR="00983ADE">
          <w:rPr>
            <w:webHidden/>
          </w:rPr>
          <w:instrText xml:space="preserve"> PAGEREF _Toc518646001 \h </w:instrText>
        </w:r>
        <w:r w:rsidR="00983ADE">
          <w:rPr>
            <w:webHidden/>
          </w:rPr>
        </w:r>
        <w:r w:rsidR="00983ADE">
          <w:rPr>
            <w:webHidden/>
          </w:rPr>
          <w:fldChar w:fldCharType="separate"/>
        </w:r>
        <w:r w:rsidR="00614CD5">
          <w:rPr>
            <w:webHidden/>
          </w:rPr>
          <w:t>18</w:t>
        </w:r>
        <w:r w:rsidR="00983ADE">
          <w:rPr>
            <w:webHidden/>
          </w:rPr>
          <w:fldChar w:fldCharType="end"/>
        </w:r>
      </w:hyperlink>
    </w:p>
    <w:p w14:paraId="02DFA4B0" w14:textId="18021DA1" w:rsidR="00983ADE" w:rsidRDefault="00624854">
      <w:pPr>
        <w:pStyle w:val="TableofFigures"/>
        <w:rPr>
          <w:rFonts w:asciiTheme="minorHAnsi" w:eastAsiaTheme="minorEastAsia" w:hAnsiTheme="minorHAnsi" w:cstheme="minorBidi"/>
          <w:sz w:val="22"/>
          <w:szCs w:val="22"/>
          <w:lang w:eastAsia="en-AU"/>
        </w:rPr>
      </w:pPr>
      <w:hyperlink w:anchor="_Toc518646002" w:history="1">
        <w:r w:rsidR="00983ADE" w:rsidRPr="00BF45D4">
          <w:rPr>
            <w:rStyle w:val="Hyperlink"/>
          </w:rPr>
          <w:t>Figure 4</w:t>
        </w:r>
        <w:r w:rsidR="00983ADE" w:rsidRPr="00BF45D4">
          <w:rPr>
            <w:rStyle w:val="Hyperlink"/>
          </w:rPr>
          <w:noBreakHyphen/>
          <w:t>3: Non-fee private income per student-difference from base SRS- school type</w:t>
        </w:r>
        <w:r w:rsidR="00983ADE">
          <w:rPr>
            <w:webHidden/>
          </w:rPr>
          <w:tab/>
        </w:r>
        <w:r w:rsidR="00983ADE">
          <w:rPr>
            <w:webHidden/>
          </w:rPr>
          <w:fldChar w:fldCharType="begin"/>
        </w:r>
        <w:r w:rsidR="00983ADE">
          <w:rPr>
            <w:webHidden/>
          </w:rPr>
          <w:instrText xml:space="preserve"> PAGEREF _Toc518646002 \h </w:instrText>
        </w:r>
        <w:r w:rsidR="00983ADE">
          <w:rPr>
            <w:webHidden/>
          </w:rPr>
        </w:r>
        <w:r w:rsidR="00983ADE">
          <w:rPr>
            <w:webHidden/>
          </w:rPr>
          <w:fldChar w:fldCharType="separate"/>
        </w:r>
        <w:r w:rsidR="00614CD5">
          <w:rPr>
            <w:webHidden/>
          </w:rPr>
          <w:t>19</w:t>
        </w:r>
        <w:r w:rsidR="00983ADE">
          <w:rPr>
            <w:webHidden/>
          </w:rPr>
          <w:fldChar w:fldCharType="end"/>
        </w:r>
      </w:hyperlink>
    </w:p>
    <w:p w14:paraId="58BDA9E2" w14:textId="7A0D6BE0" w:rsidR="00983ADE" w:rsidRDefault="00624854">
      <w:pPr>
        <w:pStyle w:val="TableofFigures"/>
        <w:rPr>
          <w:rFonts w:asciiTheme="minorHAnsi" w:eastAsiaTheme="minorEastAsia" w:hAnsiTheme="minorHAnsi" w:cstheme="minorBidi"/>
          <w:sz w:val="22"/>
          <w:szCs w:val="22"/>
          <w:lang w:eastAsia="en-AU"/>
        </w:rPr>
      </w:pPr>
      <w:hyperlink w:anchor="_Toc518646003" w:history="1">
        <w:r w:rsidR="00983ADE" w:rsidRPr="00BF45D4">
          <w:rPr>
            <w:rStyle w:val="Hyperlink"/>
          </w:rPr>
          <w:t>Figure 4</w:t>
        </w:r>
        <w:r w:rsidR="00983ADE" w:rsidRPr="00BF45D4">
          <w:rPr>
            <w:rStyle w:val="Hyperlink"/>
          </w:rPr>
          <w:noBreakHyphen/>
          <w:t>4: Wealth scores compared</w:t>
        </w:r>
        <w:r w:rsidR="00983ADE">
          <w:rPr>
            <w:webHidden/>
          </w:rPr>
          <w:tab/>
        </w:r>
        <w:r w:rsidR="00983ADE">
          <w:rPr>
            <w:webHidden/>
          </w:rPr>
          <w:fldChar w:fldCharType="begin"/>
        </w:r>
        <w:r w:rsidR="00983ADE">
          <w:rPr>
            <w:webHidden/>
          </w:rPr>
          <w:instrText xml:space="preserve"> PAGEREF _Toc518646003 \h </w:instrText>
        </w:r>
        <w:r w:rsidR="00983ADE">
          <w:rPr>
            <w:webHidden/>
          </w:rPr>
        </w:r>
        <w:r w:rsidR="00983ADE">
          <w:rPr>
            <w:webHidden/>
          </w:rPr>
          <w:fldChar w:fldCharType="separate"/>
        </w:r>
        <w:r w:rsidR="00614CD5">
          <w:rPr>
            <w:webHidden/>
          </w:rPr>
          <w:t>20</w:t>
        </w:r>
        <w:r w:rsidR="00983ADE">
          <w:rPr>
            <w:webHidden/>
          </w:rPr>
          <w:fldChar w:fldCharType="end"/>
        </w:r>
      </w:hyperlink>
    </w:p>
    <w:p w14:paraId="7F2B3AE9" w14:textId="7452A3FF" w:rsidR="00983ADE" w:rsidRDefault="00624854">
      <w:pPr>
        <w:pStyle w:val="TableofFigures"/>
        <w:rPr>
          <w:rFonts w:asciiTheme="minorHAnsi" w:eastAsiaTheme="minorEastAsia" w:hAnsiTheme="minorHAnsi" w:cstheme="minorBidi"/>
          <w:sz w:val="22"/>
          <w:szCs w:val="22"/>
          <w:lang w:eastAsia="en-AU"/>
        </w:rPr>
      </w:pPr>
      <w:hyperlink w:anchor="_Toc518646004" w:history="1">
        <w:r w:rsidR="00983ADE" w:rsidRPr="00BF45D4">
          <w:rPr>
            <w:rStyle w:val="Hyperlink"/>
          </w:rPr>
          <w:t>Figure 4</w:t>
        </w:r>
        <w:r w:rsidR="00983ADE" w:rsidRPr="00BF45D4">
          <w:rPr>
            <w:rStyle w:val="Hyperlink"/>
          </w:rPr>
          <w:noBreakHyphen/>
          <w:t>5: Difference between the two scores and the proportion of primary students</w:t>
        </w:r>
        <w:r w:rsidR="00983ADE">
          <w:rPr>
            <w:webHidden/>
          </w:rPr>
          <w:tab/>
        </w:r>
        <w:r w:rsidR="00983ADE">
          <w:rPr>
            <w:webHidden/>
          </w:rPr>
          <w:fldChar w:fldCharType="begin"/>
        </w:r>
        <w:r w:rsidR="00983ADE">
          <w:rPr>
            <w:webHidden/>
          </w:rPr>
          <w:instrText xml:space="preserve"> PAGEREF _Toc518646004 \h </w:instrText>
        </w:r>
        <w:r w:rsidR="00983ADE">
          <w:rPr>
            <w:webHidden/>
          </w:rPr>
        </w:r>
        <w:r w:rsidR="00983ADE">
          <w:rPr>
            <w:webHidden/>
          </w:rPr>
          <w:fldChar w:fldCharType="separate"/>
        </w:r>
        <w:r w:rsidR="00614CD5">
          <w:rPr>
            <w:webHidden/>
          </w:rPr>
          <w:t>21</w:t>
        </w:r>
        <w:r w:rsidR="00983ADE">
          <w:rPr>
            <w:webHidden/>
          </w:rPr>
          <w:fldChar w:fldCharType="end"/>
        </w:r>
      </w:hyperlink>
    </w:p>
    <w:p w14:paraId="09CD1787" w14:textId="5B44E27A" w:rsidR="006D3904" w:rsidRPr="00835CD9" w:rsidRDefault="00CB525C" w:rsidP="00835CD9">
      <w:r>
        <w:rPr>
          <w:b/>
          <w:bCs/>
          <w:noProof/>
          <w:lang w:val="en-US"/>
        </w:rPr>
        <w:fldChar w:fldCharType="end"/>
      </w:r>
    </w:p>
    <w:p w14:paraId="1C0C4ED7" w14:textId="77777777" w:rsidR="00E74523" w:rsidRDefault="00E74523" w:rsidP="00A12411">
      <w:pPr>
        <w:pStyle w:val="HeadingTOC"/>
      </w:pPr>
      <w:bookmarkStart w:id="7" w:name="_Toc481431392"/>
      <w:bookmarkStart w:id="8" w:name="_Toc517982734"/>
      <w:r>
        <w:t xml:space="preserve">List of </w:t>
      </w:r>
      <w:bookmarkEnd w:id="7"/>
      <w:r w:rsidR="008D584A">
        <w:t>Tables</w:t>
      </w:r>
      <w:bookmarkEnd w:id="8"/>
    </w:p>
    <w:p w14:paraId="1C691C40" w14:textId="0B6C1E33" w:rsidR="00983ADE" w:rsidRDefault="00CB525C">
      <w:pPr>
        <w:pStyle w:val="TableofFigures"/>
        <w:rPr>
          <w:rFonts w:asciiTheme="minorHAnsi" w:eastAsiaTheme="minorEastAsia" w:hAnsiTheme="minorHAnsi" w:cstheme="minorBidi"/>
          <w:sz w:val="22"/>
          <w:szCs w:val="22"/>
          <w:lang w:eastAsia="en-AU"/>
        </w:rPr>
      </w:pPr>
      <w:r>
        <w:rPr>
          <w:noProof w:val="0"/>
        </w:rPr>
        <w:fldChar w:fldCharType="begin"/>
      </w:r>
      <w:r>
        <w:instrText xml:space="preserve"> TOC \h \z \c "Table" </w:instrText>
      </w:r>
      <w:r>
        <w:rPr>
          <w:noProof w:val="0"/>
        </w:rPr>
        <w:fldChar w:fldCharType="separate"/>
      </w:r>
      <w:hyperlink w:anchor="_Toc518646005" w:history="1">
        <w:r w:rsidR="00983ADE" w:rsidRPr="00A73E96">
          <w:rPr>
            <w:rStyle w:val="Hyperlink"/>
          </w:rPr>
          <w:t>Table 2</w:t>
        </w:r>
        <w:r w:rsidR="00983ADE" w:rsidRPr="00A73E96">
          <w:rPr>
            <w:rStyle w:val="Hyperlink"/>
          </w:rPr>
          <w:noBreakHyphen/>
          <w:t>1: Previous criticism of the approach to measuring capacity to contribute</w:t>
        </w:r>
        <w:r w:rsidR="00983ADE">
          <w:rPr>
            <w:webHidden/>
          </w:rPr>
          <w:tab/>
        </w:r>
        <w:r w:rsidR="00983ADE">
          <w:rPr>
            <w:webHidden/>
          </w:rPr>
          <w:fldChar w:fldCharType="begin"/>
        </w:r>
        <w:r w:rsidR="00983ADE">
          <w:rPr>
            <w:webHidden/>
          </w:rPr>
          <w:instrText xml:space="preserve"> PAGEREF _Toc518646005 \h </w:instrText>
        </w:r>
        <w:r w:rsidR="00983ADE">
          <w:rPr>
            <w:webHidden/>
          </w:rPr>
        </w:r>
        <w:r w:rsidR="00983ADE">
          <w:rPr>
            <w:webHidden/>
          </w:rPr>
          <w:fldChar w:fldCharType="separate"/>
        </w:r>
        <w:r w:rsidR="00614CD5">
          <w:rPr>
            <w:webHidden/>
          </w:rPr>
          <w:t>2</w:t>
        </w:r>
        <w:r w:rsidR="00983ADE">
          <w:rPr>
            <w:webHidden/>
          </w:rPr>
          <w:fldChar w:fldCharType="end"/>
        </w:r>
      </w:hyperlink>
    </w:p>
    <w:p w14:paraId="076D941A" w14:textId="244809FE" w:rsidR="00983ADE" w:rsidRDefault="00624854">
      <w:pPr>
        <w:pStyle w:val="TableofFigures"/>
        <w:rPr>
          <w:rFonts w:asciiTheme="minorHAnsi" w:eastAsiaTheme="minorEastAsia" w:hAnsiTheme="minorHAnsi" w:cstheme="minorBidi"/>
          <w:sz w:val="22"/>
          <w:szCs w:val="22"/>
          <w:lang w:eastAsia="en-AU"/>
        </w:rPr>
      </w:pPr>
      <w:hyperlink w:anchor="_Toc518646006" w:history="1">
        <w:r w:rsidR="00983ADE" w:rsidRPr="00A73E96">
          <w:rPr>
            <w:rStyle w:val="Hyperlink"/>
          </w:rPr>
          <w:t>Table 2</w:t>
        </w:r>
        <w:r w:rsidR="00983ADE" w:rsidRPr="00A73E96">
          <w:rPr>
            <w:rStyle w:val="Hyperlink"/>
          </w:rPr>
          <w:noBreakHyphen/>
          <w:t>2: Potential options for measuring CTC with school financial data</w:t>
        </w:r>
        <w:r w:rsidR="00983ADE">
          <w:rPr>
            <w:webHidden/>
          </w:rPr>
          <w:tab/>
        </w:r>
        <w:r w:rsidR="00983ADE">
          <w:rPr>
            <w:webHidden/>
          </w:rPr>
          <w:fldChar w:fldCharType="begin"/>
        </w:r>
        <w:r w:rsidR="00983ADE">
          <w:rPr>
            <w:webHidden/>
          </w:rPr>
          <w:instrText xml:space="preserve"> PAGEREF _Toc518646006 \h </w:instrText>
        </w:r>
        <w:r w:rsidR="00983ADE">
          <w:rPr>
            <w:webHidden/>
          </w:rPr>
        </w:r>
        <w:r w:rsidR="00983ADE">
          <w:rPr>
            <w:webHidden/>
          </w:rPr>
          <w:fldChar w:fldCharType="separate"/>
        </w:r>
        <w:r w:rsidR="00614CD5">
          <w:rPr>
            <w:webHidden/>
          </w:rPr>
          <w:t>5</w:t>
        </w:r>
        <w:r w:rsidR="00983ADE">
          <w:rPr>
            <w:webHidden/>
          </w:rPr>
          <w:fldChar w:fldCharType="end"/>
        </w:r>
      </w:hyperlink>
    </w:p>
    <w:p w14:paraId="11D75C8D" w14:textId="69B1C90C" w:rsidR="00983ADE" w:rsidRDefault="00624854">
      <w:pPr>
        <w:pStyle w:val="TableofFigures"/>
        <w:rPr>
          <w:rFonts w:asciiTheme="minorHAnsi" w:eastAsiaTheme="minorEastAsia" w:hAnsiTheme="minorHAnsi" w:cstheme="minorBidi"/>
          <w:sz w:val="22"/>
          <w:szCs w:val="22"/>
          <w:lang w:eastAsia="en-AU"/>
        </w:rPr>
      </w:pPr>
      <w:hyperlink w:anchor="_Toc518646007" w:history="1">
        <w:r w:rsidR="00983ADE" w:rsidRPr="00A73E96">
          <w:rPr>
            <w:rStyle w:val="Hyperlink"/>
          </w:rPr>
          <w:t>Table 3</w:t>
        </w:r>
        <w:r w:rsidR="00983ADE" w:rsidRPr="00A73E96">
          <w:rPr>
            <w:rStyle w:val="Hyperlink"/>
          </w:rPr>
          <w:noBreakHyphen/>
          <w:t>1: Non-fee private income accounts included in the Financial Questionnaire</w:t>
        </w:r>
        <w:r w:rsidR="00983ADE">
          <w:rPr>
            <w:webHidden/>
          </w:rPr>
          <w:tab/>
        </w:r>
        <w:r w:rsidR="00983ADE">
          <w:rPr>
            <w:webHidden/>
          </w:rPr>
          <w:fldChar w:fldCharType="begin"/>
        </w:r>
        <w:r w:rsidR="00983ADE">
          <w:rPr>
            <w:webHidden/>
          </w:rPr>
          <w:instrText xml:space="preserve"> PAGEREF _Toc518646007 \h </w:instrText>
        </w:r>
        <w:r w:rsidR="00983ADE">
          <w:rPr>
            <w:webHidden/>
          </w:rPr>
        </w:r>
        <w:r w:rsidR="00983ADE">
          <w:rPr>
            <w:webHidden/>
          </w:rPr>
          <w:fldChar w:fldCharType="separate"/>
        </w:r>
        <w:r w:rsidR="00614CD5">
          <w:rPr>
            <w:webHidden/>
          </w:rPr>
          <w:t>11</w:t>
        </w:r>
        <w:r w:rsidR="00983ADE">
          <w:rPr>
            <w:webHidden/>
          </w:rPr>
          <w:fldChar w:fldCharType="end"/>
        </w:r>
      </w:hyperlink>
    </w:p>
    <w:p w14:paraId="0E063C0E" w14:textId="535C7A4C" w:rsidR="00983ADE" w:rsidRDefault="00624854">
      <w:pPr>
        <w:pStyle w:val="TableofFigures"/>
        <w:rPr>
          <w:rFonts w:asciiTheme="minorHAnsi" w:eastAsiaTheme="minorEastAsia" w:hAnsiTheme="minorHAnsi" w:cstheme="minorBidi"/>
          <w:sz w:val="22"/>
          <w:szCs w:val="22"/>
          <w:lang w:eastAsia="en-AU"/>
        </w:rPr>
      </w:pPr>
      <w:hyperlink w:anchor="_Toc518646008" w:history="1">
        <w:r w:rsidR="00983ADE" w:rsidRPr="00A73E96">
          <w:rPr>
            <w:rStyle w:val="Hyperlink"/>
          </w:rPr>
          <w:t>Table 3</w:t>
        </w:r>
        <w:r w:rsidR="00983ADE" w:rsidRPr="00A73E96">
          <w:rPr>
            <w:rStyle w:val="Hyperlink"/>
          </w:rPr>
          <w:noBreakHyphen/>
          <w:t>2: Indexation rates</w:t>
        </w:r>
        <w:r w:rsidR="00983ADE">
          <w:rPr>
            <w:webHidden/>
          </w:rPr>
          <w:tab/>
        </w:r>
        <w:r w:rsidR="00983ADE">
          <w:rPr>
            <w:webHidden/>
          </w:rPr>
          <w:fldChar w:fldCharType="begin"/>
        </w:r>
        <w:r w:rsidR="00983ADE">
          <w:rPr>
            <w:webHidden/>
          </w:rPr>
          <w:instrText xml:space="preserve"> PAGEREF _Toc518646008 \h </w:instrText>
        </w:r>
        <w:r w:rsidR="00983ADE">
          <w:rPr>
            <w:webHidden/>
          </w:rPr>
        </w:r>
        <w:r w:rsidR="00983ADE">
          <w:rPr>
            <w:webHidden/>
          </w:rPr>
          <w:fldChar w:fldCharType="separate"/>
        </w:r>
        <w:r w:rsidR="00614CD5">
          <w:rPr>
            <w:webHidden/>
          </w:rPr>
          <w:t>12</w:t>
        </w:r>
        <w:r w:rsidR="00983ADE">
          <w:rPr>
            <w:webHidden/>
          </w:rPr>
          <w:fldChar w:fldCharType="end"/>
        </w:r>
      </w:hyperlink>
    </w:p>
    <w:p w14:paraId="2C7F1F5D" w14:textId="591BD938" w:rsidR="00D16919" w:rsidRPr="00835CD9" w:rsidRDefault="00CB525C" w:rsidP="00835CD9">
      <w:r>
        <w:rPr>
          <w:b/>
          <w:bCs/>
          <w:noProof/>
          <w:lang w:val="en-US"/>
        </w:rPr>
        <w:fldChar w:fldCharType="end"/>
      </w:r>
    </w:p>
    <w:p w14:paraId="23E2FB18" w14:textId="77777777" w:rsidR="00D16919" w:rsidRDefault="00D16919" w:rsidP="00C44628"/>
    <w:p w14:paraId="55C7860F" w14:textId="77777777" w:rsidR="00835CD9" w:rsidRDefault="00835CD9" w:rsidP="00C44628">
      <w:pPr>
        <w:sectPr w:rsidR="00835CD9" w:rsidSect="00DA3FED">
          <w:headerReference w:type="default" r:id="rId16"/>
          <w:footerReference w:type="default" r:id="rId17"/>
          <w:pgSz w:w="11907" w:h="16839" w:code="9"/>
          <w:pgMar w:top="1440" w:right="1440" w:bottom="1440" w:left="1440" w:header="720" w:footer="720" w:gutter="0"/>
          <w:pgNumType w:fmt="lowerRoman" w:start="1"/>
          <w:cols w:space="720"/>
          <w:noEndnote/>
          <w:docGrid w:linePitch="326"/>
        </w:sectPr>
      </w:pPr>
    </w:p>
    <w:p w14:paraId="626ECC15" w14:textId="77777777" w:rsidR="00AA5264" w:rsidRPr="00662CDF" w:rsidRDefault="00AA5264" w:rsidP="00C44628">
      <w:pPr>
        <w:pStyle w:val="Heading1"/>
      </w:pPr>
      <w:bookmarkStart w:id="9" w:name="_Toc481431393"/>
      <w:bookmarkStart w:id="10" w:name="_Toc517982735"/>
      <w:r w:rsidRPr="006242E5">
        <w:t>Introduction</w:t>
      </w:r>
      <w:bookmarkEnd w:id="9"/>
      <w:bookmarkEnd w:id="10"/>
    </w:p>
    <w:p w14:paraId="4F982B47" w14:textId="77777777" w:rsidR="00C93C2A" w:rsidRDefault="00C93C2A" w:rsidP="00C93C2A">
      <w:pPr>
        <w:rPr>
          <w:noProof/>
        </w:rPr>
      </w:pPr>
      <w:r>
        <w:rPr>
          <w:noProof/>
        </w:rPr>
        <w:t xml:space="preserve">The Centre for International Research on Education Systems at Victoria University has been commissioned by the National School Resourcing Board (the Board), to prepare a report examining whether assessment of the capacity of non-government school communities to contribute to the operational costs of their school should incorporate school wealth. </w:t>
      </w:r>
    </w:p>
    <w:p w14:paraId="1BC120FB" w14:textId="77777777" w:rsidR="00C93C2A" w:rsidRDefault="00C93C2A" w:rsidP="00C93C2A">
      <w:pPr>
        <w:rPr>
          <w:noProof/>
        </w:rPr>
      </w:pPr>
      <w:r>
        <w:rPr>
          <w:noProof/>
        </w:rPr>
        <w:t xml:space="preserve">The Board was tasked by Senator the Hon Simon Birmingham to review the socio-economic status score methodology which is used to determine the Commonwealth’s per-student base recurrent funding contribution for individual non-government schools. </w:t>
      </w:r>
    </w:p>
    <w:p w14:paraId="5B1AFD05" w14:textId="77777777" w:rsidR="00C93C2A" w:rsidRDefault="00C93C2A" w:rsidP="00C93C2A">
      <w:pPr>
        <w:rPr>
          <w:noProof/>
        </w:rPr>
      </w:pPr>
      <w:r>
        <w:rPr>
          <w:noProof/>
        </w:rPr>
        <w:t xml:space="preserve">A broad definition of wealth has been applied in this report, encompassing both net assets (assets minus liabilites), as well as income derived by schools from sources other than government subsidies and school fees. </w:t>
      </w:r>
    </w:p>
    <w:p w14:paraId="35699FBB" w14:textId="0589A7CA" w:rsidR="00C93C2A" w:rsidRDefault="00C93C2A" w:rsidP="00C93C2A">
      <w:pPr>
        <w:rPr>
          <w:noProof/>
        </w:rPr>
      </w:pPr>
      <w:r>
        <w:rPr>
          <w:noProof/>
        </w:rPr>
        <w:t xml:space="preserve">The current approach to estimating CTC—the estimation of an SES score </w:t>
      </w:r>
      <w:r w:rsidRPr="0004436B">
        <w:rPr>
          <w:noProof/>
        </w:rPr>
        <w:t>focussed on families of children attending non-government schools</w:t>
      </w:r>
      <w:r>
        <w:rPr>
          <w:noProof/>
        </w:rPr>
        <w:t xml:space="preserve">—has previously been criticised as </w:t>
      </w:r>
      <w:r w:rsidRPr="0004436B">
        <w:rPr>
          <w:noProof/>
        </w:rPr>
        <w:t>not provid</w:t>
      </w:r>
      <w:r>
        <w:rPr>
          <w:noProof/>
        </w:rPr>
        <w:t>ing</w:t>
      </w:r>
      <w:r w:rsidRPr="0004436B">
        <w:rPr>
          <w:noProof/>
        </w:rPr>
        <w:t xml:space="preserve"> an accurate measure of school community CTC</w:t>
      </w:r>
      <w:r>
        <w:rPr>
          <w:noProof/>
        </w:rPr>
        <w:t xml:space="preserve">. This is because the SES score is focussed on current families, and does not consider </w:t>
      </w:r>
      <w:r w:rsidR="006850E5">
        <w:rPr>
          <w:noProof/>
        </w:rPr>
        <w:t xml:space="preserve">school wealth (i.e. assets minus liabilities) and </w:t>
      </w:r>
      <w:r>
        <w:rPr>
          <w:noProof/>
        </w:rPr>
        <w:t xml:space="preserve">the </w:t>
      </w:r>
      <w:r w:rsidRPr="0004436B">
        <w:rPr>
          <w:noProof/>
        </w:rPr>
        <w:t xml:space="preserve">income schools may receive from alumni donations and other sources. </w:t>
      </w:r>
    </w:p>
    <w:p w14:paraId="30218687" w14:textId="1411E747" w:rsidR="00835CD9" w:rsidRDefault="00AD4613" w:rsidP="00835CD9">
      <w:r>
        <w:t>Cognisant of the criticisms of the current approach to estimat</w:t>
      </w:r>
      <w:r w:rsidR="006850E5">
        <w:t>ing</w:t>
      </w:r>
      <w:r>
        <w:t xml:space="preserve"> CTC, this report examines the potential of using financial </w:t>
      </w:r>
      <w:r w:rsidR="006850E5">
        <w:t>information</w:t>
      </w:r>
      <w:r>
        <w:t xml:space="preserve"> collected by the Australian Government Department of Education</w:t>
      </w:r>
      <w:r w:rsidR="001E006A">
        <w:t xml:space="preserve"> and Training (</w:t>
      </w:r>
      <w:r w:rsidR="006F6020">
        <w:t>the Department</w:t>
      </w:r>
      <w:r w:rsidR="001E006A">
        <w:t xml:space="preserve">) from non-government schools. </w:t>
      </w:r>
      <w:r w:rsidR="006850E5">
        <w:t xml:space="preserve">This data collection </w:t>
      </w:r>
      <w:proofErr w:type="gramStart"/>
      <w:r w:rsidR="006850E5">
        <w:t>is called</w:t>
      </w:r>
      <w:proofErr w:type="gramEnd"/>
      <w:r w:rsidR="006850E5">
        <w:t xml:space="preserve"> the </w:t>
      </w:r>
      <w:r w:rsidR="00CA4E6D" w:rsidRPr="006F6020">
        <w:t>Financial Questionnaire for Non-Government Schools</w:t>
      </w:r>
      <w:r w:rsidR="00CA4E6D">
        <w:t xml:space="preserve"> </w:t>
      </w:r>
      <w:r w:rsidR="006850E5">
        <w:t xml:space="preserve">(FQ). </w:t>
      </w:r>
    </w:p>
    <w:p w14:paraId="1132A85C" w14:textId="77777777" w:rsidR="008D584A" w:rsidRDefault="008D584A" w:rsidP="008D584A">
      <w:pPr>
        <w:pStyle w:val="Heading2"/>
      </w:pPr>
      <w:bookmarkStart w:id="11" w:name="_Toc517982736"/>
      <w:r>
        <w:t>Structure of this report</w:t>
      </w:r>
      <w:bookmarkEnd w:id="11"/>
    </w:p>
    <w:p w14:paraId="5F71978E" w14:textId="5D6532ED" w:rsidR="008D584A" w:rsidRDefault="00C93C2A" w:rsidP="002D1252">
      <w:pPr>
        <w:spacing w:after="0"/>
      </w:pPr>
      <w:r>
        <w:t>Th</w:t>
      </w:r>
      <w:r w:rsidR="00B508F7">
        <w:t>is</w:t>
      </w:r>
      <w:r>
        <w:t xml:space="preserve"> report </w:t>
      </w:r>
      <w:proofErr w:type="gramStart"/>
      <w:r>
        <w:t>is structured</w:t>
      </w:r>
      <w:proofErr w:type="gramEnd"/>
      <w:r>
        <w:t xml:space="preserve"> as follows:</w:t>
      </w:r>
    </w:p>
    <w:p w14:paraId="23CFFD07" w14:textId="4F5C95C5" w:rsidR="00AD4613" w:rsidRDefault="00C93C2A" w:rsidP="001D45B7">
      <w:pPr>
        <w:pStyle w:val="Dotpoints"/>
      </w:pPr>
      <w:r>
        <w:t xml:space="preserve">Section </w:t>
      </w:r>
      <w:r>
        <w:fldChar w:fldCharType="begin"/>
      </w:r>
      <w:r>
        <w:instrText xml:space="preserve"> REF _Ref517945951 \r \h </w:instrText>
      </w:r>
      <w:r>
        <w:fldChar w:fldCharType="separate"/>
      </w:r>
      <w:r w:rsidR="00614CD5">
        <w:t>2</w:t>
      </w:r>
      <w:r>
        <w:fldChar w:fldCharType="end"/>
      </w:r>
      <w:r w:rsidR="00AD4613">
        <w:t xml:space="preserve"> provides an overview of the context surrounding consideration of school wealth</w:t>
      </w:r>
      <w:r w:rsidR="00B508F7">
        <w:t>. This includes</w:t>
      </w:r>
      <w:r w:rsidR="00AD4613">
        <w:t xml:space="preserve"> criticism of the current SES score approach</w:t>
      </w:r>
      <w:r w:rsidR="00EF314D">
        <w:t xml:space="preserve">, and </w:t>
      </w:r>
      <w:r w:rsidR="00AD4613">
        <w:t xml:space="preserve">details of how school wealth measures </w:t>
      </w:r>
      <w:proofErr w:type="gramStart"/>
      <w:r w:rsidR="00AD4613">
        <w:t xml:space="preserve">have previously </w:t>
      </w:r>
      <w:r w:rsidR="00EF314D">
        <w:t xml:space="preserve">been </w:t>
      </w:r>
      <w:r w:rsidR="00AD4613">
        <w:t>used</w:t>
      </w:r>
      <w:proofErr w:type="gramEnd"/>
      <w:r w:rsidR="00AD4613">
        <w:t xml:space="preserve"> to allocate Australian Government funding to non-government schools</w:t>
      </w:r>
      <w:r w:rsidR="00B508F7">
        <w:t xml:space="preserve">. </w:t>
      </w:r>
      <w:proofErr w:type="gramStart"/>
      <w:r w:rsidR="00EF314D">
        <w:t>Finally</w:t>
      </w:r>
      <w:proofErr w:type="gramEnd"/>
      <w:r w:rsidR="00EF314D">
        <w:t xml:space="preserve"> the section </w:t>
      </w:r>
      <w:r w:rsidR="00E348DB">
        <w:t>identifies</w:t>
      </w:r>
      <w:r w:rsidR="00AD4613">
        <w:t xml:space="preserve"> alternative approaches to measuring CTC based on school financial data. </w:t>
      </w:r>
    </w:p>
    <w:p w14:paraId="7D2AB23B" w14:textId="1B6643C3" w:rsidR="00C93C2A" w:rsidRDefault="00C93C2A" w:rsidP="001D45B7">
      <w:pPr>
        <w:pStyle w:val="Dotpoints"/>
      </w:pPr>
      <w:r>
        <w:t xml:space="preserve">Section </w:t>
      </w:r>
      <w:r>
        <w:fldChar w:fldCharType="begin"/>
      </w:r>
      <w:r>
        <w:instrText xml:space="preserve"> REF _Ref517945960 \r \h </w:instrText>
      </w:r>
      <w:r>
        <w:fldChar w:fldCharType="separate"/>
      </w:r>
      <w:r w:rsidR="00614CD5">
        <w:t>3</w:t>
      </w:r>
      <w:r>
        <w:fldChar w:fldCharType="end"/>
      </w:r>
      <w:r>
        <w:t xml:space="preserve"> </w:t>
      </w:r>
      <w:r w:rsidR="00AD4613">
        <w:t xml:space="preserve">details the analytical approach applied in the remainder of the report, alongside information on the available school financial data and its limitations. </w:t>
      </w:r>
    </w:p>
    <w:p w14:paraId="6A048694" w14:textId="34117599" w:rsidR="00C93C2A" w:rsidRDefault="00AD4613" w:rsidP="00C93C2A">
      <w:pPr>
        <w:pStyle w:val="Dotpoints"/>
      </w:pPr>
      <w:r>
        <w:t xml:space="preserve">Section </w:t>
      </w:r>
      <w:r w:rsidR="00C93C2A">
        <w:fldChar w:fldCharType="begin"/>
      </w:r>
      <w:r w:rsidR="00C93C2A">
        <w:instrText xml:space="preserve"> REF _Ref517945965 \r \h </w:instrText>
      </w:r>
      <w:r w:rsidR="00C93C2A">
        <w:fldChar w:fldCharType="separate"/>
      </w:r>
      <w:r w:rsidR="00614CD5">
        <w:t>4</w:t>
      </w:r>
      <w:r w:rsidR="00C93C2A">
        <w:fldChar w:fldCharType="end"/>
      </w:r>
      <w:r w:rsidR="00C93C2A">
        <w:t xml:space="preserve"> </w:t>
      </w:r>
      <w:r w:rsidR="00E348DB">
        <w:t>examines</w:t>
      </w:r>
      <w:r>
        <w:t xml:space="preserve"> two different approaches to generating a school wealth score.</w:t>
      </w:r>
    </w:p>
    <w:p w14:paraId="4AABD36D" w14:textId="52B15776" w:rsidR="00C93C2A" w:rsidRPr="008D584A" w:rsidRDefault="00AD4613" w:rsidP="00C93C2A">
      <w:pPr>
        <w:pStyle w:val="Dotpoints"/>
      </w:pPr>
      <w:r>
        <w:t xml:space="preserve">Section </w:t>
      </w:r>
      <w:r w:rsidR="00C93C2A">
        <w:fldChar w:fldCharType="begin"/>
      </w:r>
      <w:r w:rsidR="00C93C2A">
        <w:instrText xml:space="preserve"> REF _Ref517945969 \r \h </w:instrText>
      </w:r>
      <w:r w:rsidR="00C93C2A">
        <w:fldChar w:fldCharType="separate"/>
      </w:r>
      <w:r w:rsidR="00614CD5">
        <w:t>5</w:t>
      </w:r>
      <w:r w:rsidR="00C93C2A">
        <w:fldChar w:fldCharType="end"/>
      </w:r>
      <w:r>
        <w:t xml:space="preserve"> identifies the key findings and implication of the analysis in the preceding chapter</w:t>
      </w:r>
      <w:r w:rsidR="00E348DB">
        <w:t>s</w:t>
      </w:r>
      <w:r>
        <w:t xml:space="preserve">. </w:t>
      </w:r>
    </w:p>
    <w:p w14:paraId="3CDAD982" w14:textId="77777777" w:rsidR="005B3B4D" w:rsidRDefault="005B3B4D" w:rsidP="005B3B4D">
      <w:pPr>
        <w:pStyle w:val="Heading1"/>
      </w:pPr>
      <w:bookmarkStart w:id="12" w:name="_Ref517945951"/>
      <w:bookmarkStart w:id="13" w:name="_Toc517982737"/>
      <w:r>
        <w:t>Context</w:t>
      </w:r>
      <w:bookmarkEnd w:id="12"/>
      <w:bookmarkEnd w:id="13"/>
    </w:p>
    <w:p w14:paraId="32D7330F" w14:textId="01E117BF" w:rsidR="0031719B" w:rsidRDefault="00C61CC7" w:rsidP="0000576A">
      <w:r>
        <w:t xml:space="preserve">This section </w:t>
      </w:r>
      <w:r w:rsidR="0031719B">
        <w:t xml:space="preserve">details the context for why school wealth </w:t>
      </w:r>
      <w:proofErr w:type="gramStart"/>
      <w:r w:rsidR="0031719B">
        <w:t>is being examined</w:t>
      </w:r>
      <w:proofErr w:type="gramEnd"/>
      <w:r w:rsidR="0031719B">
        <w:t xml:space="preserve"> as a potential factor for measuring CTC. There are three elements to this context. Firstly, previous criticism of the current SES score approach to measuring CTC. Secondly, details of how school income </w:t>
      </w:r>
      <w:proofErr w:type="gramStart"/>
      <w:r w:rsidR="0031719B">
        <w:t>was used</w:t>
      </w:r>
      <w:proofErr w:type="gramEnd"/>
      <w:r w:rsidR="0031719B">
        <w:t xml:space="preserve"> </w:t>
      </w:r>
      <w:r w:rsidR="00CF191C">
        <w:t xml:space="preserve">prior to 2001 in </w:t>
      </w:r>
      <w:r w:rsidR="0031719B">
        <w:t>determin</w:t>
      </w:r>
      <w:r w:rsidR="00CF191C">
        <w:t>ing</w:t>
      </w:r>
      <w:r w:rsidR="0031719B">
        <w:t xml:space="preserve"> Australian Government subsidies to non-government schools. </w:t>
      </w:r>
      <w:r w:rsidR="00B508F7">
        <w:t>T</w:t>
      </w:r>
      <w:r w:rsidR="0031719B">
        <w:t>hirdly, two potential approaches previously raised for using school income</w:t>
      </w:r>
      <w:r w:rsidR="00B508F7">
        <w:t>,</w:t>
      </w:r>
      <w:r w:rsidR="0031719B">
        <w:t xml:space="preserve"> to determine Australian Government funding of non-government schools</w:t>
      </w:r>
      <w:r w:rsidR="00B508F7">
        <w:t>,</w:t>
      </w:r>
      <w:r w:rsidR="0031719B">
        <w:t xml:space="preserve"> </w:t>
      </w:r>
      <w:proofErr w:type="gramStart"/>
      <w:r w:rsidR="0031719B">
        <w:t>are outlined</w:t>
      </w:r>
      <w:proofErr w:type="gramEnd"/>
      <w:r w:rsidR="0031719B">
        <w:t xml:space="preserve">. </w:t>
      </w:r>
    </w:p>
    <w:p w14:paraId="04CE9055" w14:textId="77777777" w:rsidR="005B3B4D" w:rsidRDefault="006D177D" w:rsidP="005B3B4D">
      <w:pPr>
        <w:pStyle w:val="Heading2"/>
      </w:pPr>
      <w:bookmarkStart w:id="14" w:name="_Toc517982738"/>
      <w:r>
        <w:t>C</w:t>
      </w:r>
      <w:r w:rsidR="005B3B4D">
        <w:t xml:space="preserve">riticism of the </w:t>
      </w:r>
      <w:r w:rsidR="00C61CC7">
        <w:t xml:space="preserve">SES score for </w:t>
      </w:r>
      <w:r w:rsidR="005B3B4D">
        <w:t>measuring capacity to contribute</w:t>
      </w:r>
      <w:bookmarkEnd w:id="14"/>
    </w:p>
    <w:p w14:paraId="0383C41B" w14:textId="075E4C64" w:rsidR="006D177D" w:rsidRDefault="006D177D" w:rsidP="006D177D">
      <w:r>
        <w:t xml:space="preserve">Three criticisms </w:t>
      </w:r>
      <w:proofErr w:type="gramStart"/>
      <w:r w:rsidR="00EF314D">
        <w:t>have been made</w:t>
      </w:r>
      <w:proofErr w:type="gramEnd"/>
      <w:r w:rsidR="00EF314D">
        <w:t xml:space="preserve"> </w:t>
      </w:r>
      <w:r w:rsidR="004057AF">
        <w:t>regarding</w:t>
      </w:r>
      <w:r>
        <w:t xml:space="preserve"> the omission of school income over the years since the implementation of the SES score in 2001</w:t>
      </w:r>
      <w:r w:rsidR="00B508F7">
        <w:t xml:space="preserve">. </w:t>
      </w:r>
      <w:r>
        <w:t>(</w:t>
      </w:r>
      <w:proofErr w:type="gramStart"/>
      <w:r>
        <w:t>see</w:t>
      </w:r>
      <w:proofErr w:type="gramEnd"/>
      <w:r>
        <w:t xml:space="preserve"> </w:t>
      </w:r>
      <w:r>
        <w:fldChar w:fldCharType="begin"/>
      </w:r>
      <w:r>
        <w:instrText xml:space="preserve"> REF _Ref517950257 \h </w:instrText>
      </w:r>
      <w:r>
        <w:fldChar w:fldCharType="separate"/>
      </w:r>
      <w:r w:rsidR="00614CD5">
        <w:t xml:space="preserve">Table </w:t>
      </w:r>
      <w:r w:rsidR="00614CD5">
        <w:rPr>
          <w:noProof/>
        </w:rPr>
        <w:t>2</w:t>
      </w:r>
      <w:r w:rsidR="00614CD5">
        <w:noBreakHyphen/>
      </w:r>
      <w:r w:rsidR="00614CD5">
        <w:rPr>
          <w:noProof/>
        </w:rPr>
        <w:t>1</w:t>
      </w:r>
      <w:r>
        <w:fldChar w:fldCharType="end"/>
      </w:r>
      <w:r>
        <w:t xml:space="preserve">). All three criticisms argue that using the SES score alone, </w:t>
      </w:r>
      <w:proofErr w:type="gramStart"/>
      <w:r>
        <w:t>derived from</w:t>
      </w:r>
      <w:proofErr w:type="gramEnd"/>
      <w:r>
        <w:t xml:space="preserve"> information about the </w:t>
      </w:r>
      <w:r w:rsidR="008A42C7">
        <w:t xml:space="preserve">SES </w:t>
      </w:r>
      <w:r w:rsidR="00CF191C">
        <w:t xml:space="preserve">of </w:t>
      </w:r>
      <w:r>
        <w:t xml:space="preserve">areas where </w:t>
      </w:r>
      <w:r w:rsidR="00EF314D">
        <w:t xml:space="preserve">non-government school </w:t>
      </w:r>
      <w:r>
        <w:t>families reside, potentially mismeasures the CTC of a school’s community.</w:t>
      </w:r>
      <w:r w:rsidR="00CF191C">
        <w:rPr>
          <w:rStyle w:val="FootnoteReference"/>
        </w:rPr>
        <w:footnoteReference w:id="2"/>
      </w:r>
      <w:r>
        <w:t xml:space="preserve"> </w:t>
      </w:r>
    </w:p>
    <w:p w14:paraId="7106EE43" w14:textId="39114606" w:rsidR="005B3B4D" w:rsidRDefault="008D584A" w:rsidP="008D584A">
      <w:pPr>
        <w:pStyle w:val="Caption"/>
      </w:pPr>
      <w:bookmarkStart w:id="15" w:name="_Ref517950257"/>
      <w:bookmarkStart w:id="16" w:name="_Toc518646005"/>
      <w:r>
        <w:t xml:space="preserve">Table </w:t>
      </w:r>
      <w:r w:rsidR="00900D4D">
        <w:rPr>
          <w:noProof/>
        </w:rPr>
        <w:fldChar w:fldCharType="begin"/>
      </w:r>
      <w:r w:rsidR="00900D4D">
        <w:rPr>
          <w:noProof/>
        </w:rPr>
        <w:instrText xml:space="preserve"> STYLEREF 1 \s </w:instrText>
      </w:r>
      <w:r w:rsidR="00900D4D">
        <w:rPr>
          <w:noProof/>
        </w:rPr>
        <w:fldChar w:fldCharType="separate"/>
      </w:r>
      <w:r w:rsidR="00614CD5">
        <w:rPr>
          <w:noProof/>
        </w:rPr>
        <w:t>2</w:t>
      </w:r>
      <w:r w:rsidR="00900D4D">
        <w:rPr>
          <w:noProof/>
        </w:rPr>
        <w:fldChar w:fldCharType="end"/>
      </w:r>
      <w:r w:rsidR="004D57A4">
        <w:noBreakHyphen/>
      </w:r>
      <w:r w:rsidR="00900D4D">
        <w:rPr>
          <w:noProof/>
        </w:rPr>
        <w:fldChar w:fldCharType="begin"/>
      </w:r>
      <w:r w:rsidR="00900D4D">
        <w:rPr>
          <w:noProof/>
        </w:rPr>
        <w:instrText xml:space="preserve"> SEQ Table \* ARABIC \s 1 </w:instrText>
      </w:r>
      <w:r w:rsidR="00900D4D">
        <w:rPr>
          <w:noProof/>
        </w:rPr>
        <w:fldChar w:fldCharType="separate"/>
      </w:r>
      <w:r w:rsidR="00614CD5">
        <w:rPr>
          <w:noProof/>
        </w:rPr>
        <w:t>1</w:t>
      </w:r>
      <w:r w:rsidR="00900D4D">
        <w:rPr>
          <w:noProof/>
        </w:rPr>
        <w:fldChar w:fldCharType="end"/>
      </w:r>
      <w:bookmarkEnd w:id="15"/>
      <w:r>
        <w:t xml:space="preserve">: </w:t>
      </w:r>
      <w:r w:rsidRPr="008D584A">
        <w:t>Previous criticism of the approach to measuring capacity to contribute</w:t>
      </w:r>
      <w:bookmarkEnd w:id="16"/>
    </w:p>
    <w:tbl>
      <w:tblPr>
        <w:tblStyle w:val="TableGrid"/>
        <w:tblW w:w="9027" w:type="dxa"/>
        <w:tblLook w:val="04A0" w:firstRow="1" w:lastRow="0" w:firstColumn="1" w:lastColumn="0" w:noHBand="0" w:noVBand="1"/>
        <w:tblCaption w:val="Previous criticism of the approach to measuring capacity to contribute"/>
        <w:tblDescription w:val="This table shows the issues that have previously been raised about how capacity to contribute has been measured. This includes that it is an SES-based measure of capacity to contribute is too narrow, that the SES score makes no adjustment for school wealth (i.e. income and assets), and that schools that set low fees to facilitate access are penalised&#10;"/>
      </w:tblPr>
      <w:tblGrid>
        <w:gridCol w:w="2201"/>
        <w:gridCol w:w="5029"/>
        <w:gridCol w:w="1797"/>
      </w:tblGrid>
      <w:tr w:rsidR="005B3B4D" w:rsidRPr="005B3B4D" w14:paraId="4AB15877"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2201" w:type="dxa"/>
          </w:tcPr>
          <w:p w14:paraId="31EF71DB" w14:textId="77777777" w:rsidR="005B3B4D" w:rsidRPr="005B3B4D" w:rsidRDefault="005B3B4D" w:rsidP="008D584A">
            <w:pPr>
              <w:pStyle w:val="Tablegridheading"/>
            </w:pPr>
            <w:r w:rsidRPr="005B3B4D">
              <w:t xml:space="preserve">Raised issue or concern </w:t>
            </w:r>
          </w:p>
        </w:tc>
        <w:tc>
          <w:tcPr>
            <w:tcW w:w="5029" w:type="dxa"/>
          </w:tcPr>
          <w:p w14:paraId="49EFBF97" w14:textId="77777777" w:rsidR="005B3B4D" w:rsidRPr="005B3B4D" w:rsidRDefault="005B3B4D" w:rsidP="008D584A">
            <w:pPr>
              <w:pStyle w:val="Tablegridheading"/>
            </w:pPr>
            <w:r w:rsidRPr="005B3B4D">
              <w:t>Detailed stakeholder issue or concern</w:t>
            </w:r>
          </w:p>
        </w:tc>
        <w:tc>
          <w:tcPr>
            <w:tcW w:w="1797" w:type="dxa"/>
          </w:tcPr>
          <w:p w14:paraId="0D95E651" w14:textId="77777777" w:rsidR="005B3B4D" w:rsidRPr="005B3B4D" w:rsidRDefault="005B3B4D" w:rsidP="008D584A">
            <w:pPr>
              <w:pStyle w:val="Tablegridheading"/>
            </w:pPr>
            <w:r>
              <w:t>Source</w:t>
            </w:r>
          </w:p>
        </w:tc>
      </w:tr>
      <w:tr w:rsidR="005B3B4D" w:rsidRPr="005B3B4D" w14:paraId="1362A065" w14:textId="77777777" w:rsidTr="008D584A">
        <w:tc>
          <w:tcPr>
            <w:tcW w:w="2201" w:type="dxa"/>
          </w:tcPr>
          <w:p w14:paraId="109B9910" w14:textId="77777777" w:rsidR="005B3B4D" w:rsidRPr="005B3B4D" w:rsidRDefault="005B3B4D" w:rsidP="00461462">
            <w:pPr>
              <w:pStyle w:val="Tablegridtext"/>
              <w:jc w:val="left"/>
            </w:pPr>
            <w:r w:rsidRPr="005B3B4D">
              <w:t xml:space="preserve">An SES-based measure of capacity to contribute is too narrow </w:t>
            </w:r>
          </w:p>
        </w:tc>
        <w:tc>
          <w:tcPr>
            <w:tcW w:w="5029" w:type="dxa"/>
          </w:tcPr>
          <w:p w14:paraId="3C4BA765" w14:textId="77777777" w:rsidR="005B3B4D" w:rsidRDefault="005B3B4D" w:rsidP="008D584A">
            <w:pPr>
              <w:pStyle w:val="Tablegridtext"/>
            </w:pPr>
            <w:r w:rsidRPr="005B3B4D">
              <w:t xml:space="preserve">Assessing the capacity to contribute by looking at characteristics of students’ families is too narrow in scope </w:t>
            </w:r>
          </w:p>
          <w:p w14:paraId="3D61AA74" w14:textId="77777777" w:rsidR="005B3B4D" w:rsidRPr="005B3B4D" w:rsidRDefault="004057AF" w:rsidP="004057AF">
            <w:pPr>
              <w:pStyle w:val="Tablegridtext"/>
            </w:pPr>
            <w:r>
              <w:t xml:space="preserve">Revenue from non-fee private recurrent income </w:t>
            </w:r>
            <w:proofErr w:type="gramStart"/>
            <w:r>
              <w:t>is not taken</w:t>
            </w:r>
            <w:proofErr w:type="gramEnd"/>
            <w:r>
              <w:t xml:space="preserve"> into account.</w:t>
            </w:r>
          </w:p>
        </w:tc>
        <w:tc>
          <w:tcPr>
            <w:tcW w:w="1797" w:type="dxa"/>
          </w:tcPr>
          <w:p w14:paraId="66D4F908" w14:textId="4DAE80F0" w:rsidR="005B3B4D" w:rsidRPr="005B3B4D" w:rsidRDefault="002D1252" w:rsidP="00A232CC">
            <w:pPr>
              <w:pStyle w:val="Tablegridtext"/>
            </w:pPr>
            <w:r>
              <w:rPr>
                <w:noProof/>
              </w:rPr>
              <w:t>Watson</w:t>
            </w:r>
            <w:sdt>
              <w:sdtPr>
                <w:rPr>
                  <w:noProof/>
                </w:rPr>
                <w:id w:val="1153960305"/>
                <w:citation/>
              </w:sdtPr>
              <w:sdtEndPr/>
              <w:sdtContent>
                <w:r w:rsidR="006850E5">
                  <w:rPr>
                    <w:noProof/>
                  </w:rPr>
                  <w:fldChar w:fldCharType="begin"/>
                </w:r>
                <w:r w:rsidR="006850E5">
                  <w:rPr>
                    <w:noProof/>
                  </w:rPr>
                  <w:instrText xml:space="preserve">CITATION Wat04 \n  \t  \l 3081 </w:instrText>
                </w:r>
                <w:r w:rsidR="006850E5">
                  <w:rPr>
                    <w:noProof/>
                  </w:rPr>
                  <w:fldChar w:fldCharType="separate"/>
                </w:r>
                <w:r w:rsidR="00FB7B8B">
                  <w:rPr>
                    <w:noProof/>
                  </w:rPr>
                  <w:t xml:space="preserve"> (2004)</w:t>
                </w:r>
                <w:r w:rsidR="006850E5">
                  <w:rPr>
                    <w:noProof/>
                  </w:rPr>
                  <w:fldChar w:fldCharType="end"/>
                </w:r>
              </w:sdtContent>
            </w:sdt>
            <w:r>
              <w:rPr>
                <w:noProof/>
              </w:rPr>
              <w:t>)</w:t>
            </w:r>
          </w:p>
        </w:tc>
      </w:tr>
      <w:tr w:rsidR="005B3B4D" w:rsidRPr="005B3B4D" w14:paraId="010C1B70" w14:textId="77777777" w:rsidTr="008D584A">
        <w:tc>
          <w:tcPr>
            <w:tcW w:w="2201" w:type="dxa"/>
          </w:tcPr>
          <w:p w14:paraId="49AFF92A" w14:textId="77777777" w:rsidR="005B3B4D" w:rsidRPr="005B3B4D" w:rsidRDefault="005B3B4D" w:rsidP="00461462">
            <w:pPr>
              <w:pStyle w:val="Tablegridtext"/>
              <w:jc w:val="left"/>
            </w:pPr>
            <w:r w:rsidRPr="005B3B4D">
              <w:t>The SES score makes no adjustment for school wealth (i.e. income and assets)</w:t>
            </w:r>
          </w:p>
        </w:tc>
        <w:tc>
          <w:tcPr>
            <w:tcW w:w="5029" w:type="dxa"/>
          </w:tcPr>
          <w:p w14:paraId="7EF69C1E" w14:textId="77777777" w:rsidR="005B3B4D" w:rsidRDefault="005B3B4D" w:rsidP="008D584A">
            <w:pPr>
              <w:pStyle w:val="Tablegridtext"/>
            </w:pPr>
            <w:r w:rsidRPr="005B3B4D">
              <w:t>The SES funding model led to large percentage funding increases to the ‘wealthiest, high-fee-charging schools’</w:t>
            </w:r>
          </w:p>
          <w:p w14:paraId="55D01F43" w14:textId="77777777" w:rsidR="005B3B4D" w:rsidRPr="005B3B4D" w:rsidRDefault="005B3B4D" w:rsidP="008D584A">
            <w:pPr>
              <w:pStyle w:val="Tablegridtext"/>
            </w:pPr>
            <w:proofErr w:type="gramStart"/>
            <w:r w:rsidRPr="005B3B4D">
              <w:t>Modest government funding increases were received by ‘poorer private schools’</w:t>
            </w:r>
            <w:proofErr w:type="gramEnd"/>
            <w:r w:rsidRPr="005B3B4D">
              <w:t xml:space="preserve">. </w:t>
            </w:r>
          </w:p>
        </w:tc>
        <w:tc>
          <w:tcPr>
            <w:tcW w:w="1797" w:type="dxa"/>
          </w:tcPr>
          <w:p w14:paraId="2C4C2AA1" w14:textId="3821382F" w:rsidR="005B3B4D" w:rsidRPr="005B3B4D" w:rsidRDefault="002D1252" w:rsidP="006850E5">
            <w:pPr>
              <w:pStyle w:val="Tablegridtext"/>
            </w:pPr>
            <w:r>
              <w:rPr>
                <w:noProof/>
              </w:rPr>
              <w:t xml:space="preserve">Maddox </w:t>
            </w:r>
            <w:sdt>
              <w:sdtPr>
                <w:rPr>
                  <w:noProof/>
                </w:rPr>
                <w:id w:val="1963304639"/>
                <w:citation/>
              </w:sdtPr>
              <w:sdtEndPr/>
              <w:sdtContent>
                <w:r w:rsidR="006850E5">
                  <w:rPr>
                    <w:noProof/>
                  </w:rPr>
                  <w:fldChar w:fldCharType="begin"/>
                </w:r>
                <w:r w:rsidR="006850E5">
                  <w:rPr>
                    <w:noProof/>
                  </w:rPr>
                  <w:instrText xml:space="preserve">CITATION Placeholder2 \n  \t  \l 3081 </w:instrText>
                </w:r>
                <w:r w:rsidR="006850E5">
                  <w:rPr>
                    <w:noProof/>
                  </w:rPr>
                  <w:fldChar w:fldCharType="separate"/>
                </w:r>
                <w:r w:rsidR="00FB7B8B">
                  <w:rPr>
                    <w:noProof/>
                  </w:rPr>
                  <w:t>(2014)</w:t>
                </w:r>
                <w:r w:rsidR="006850E5">
                  <w:rPr>
                    <w:noProof/>
                  </w:rPr>
                  <w:fldChar w:fldCharType="end"/>
                </w:r>
              </w:sdtContent>
            </w:sdt>
          </w:p>
        </w:tc>
      </w:tr>
      <w:tr w:rsidR="005B3B4D" w:rsidRPr="005B3B4D" w14:paraId="67CE0C30" w14:textId="77777777" w:rsidTr="008D584A">
        <w:tc>
          <w:tcPr>
            <w:tcW w:w="2201" w:type="dxa"/>
          </w:tcPr>
          <w:p w14:paraId="48854CF6" w14:textId="77777777" w:rsidR="005B3B4D" w:rsidRPr="005B3B4D" w:rsidRDefault="005B3B4D" w:rsidP="00461462">
            <w:pPr>
              <w:pStyle w:val="Tablegridtext"/>
              <w:jc w:val="left"/>
            </w:pPr>
            <w:r w:rsidRPr="005B3B4D">
              <w:t>Schools that set low fees to facilitate access are penalised</w:t>
            </w:r>
          </w:p>
        </w:tc>
        <w:tc>
          <w:tcPr>
            <w:tcW w:w="5029" w:type="dxa"/>
          </w:tcPr>
          <w:p w14:paraId="3CE658D4" w14:textId="77777777" w:rsidR="005B3B4D" w:rsidRDefault="005B3B4D" w:rsidP="008D584A">
            <w:pPr>
              <w:pStyle w:val="Tablegridtext"/>
            </w:pPr>
            <w:r w:rsidRPr="005B3B4D">
              <w:t xml:space="preserve">The SES score penalises schools that set low fees to facilitate student access </w:t>
            </w:r>
          </w:p>
          <w:p w14:paraId="6BEA8BB0" w14:textId="77777777" w:rsidR="005B3B4D" w:rsidRPr="005B3B4D" w:rsidRDefault="005B3B4D" w:rsidP="008D584A">
            <w:pPr>
              <w:pStyle w:val="Tablegridtext"/>
            </w:pPr>
            <w:r w:rsidRPr="005B3B4D">
              <w:t xml:space="preserve">Base funding provided to schools should take into account both school SES, and school recurrent private income. </w:t>
            </w:r>
          </w:p>
        </w:tc>
        <w:tc>
          <w:tcPr>
            <w:tcW w:w="1797" w:type="dxa"/>
          </w:tcPr>
          <w:p w14:paraId="1FFDD481" w14:textId="3CCBA4B7" w:rsidR="005B3B4D" w:rsidRPr="005B3B4D" w:rsidRDefault="002D1252" w:rsidP="006850E5">
            <w:pPr>
              <w:pStyle w:val="Tablegridtext"/>
            </w:pPr>
            <w:r>
              <w:rPr>
                <w:noProof/>
              </w:rPr>
              <w:t xml:space="preserve">National Catholic Education Commission </w:t>
            </w:r>
            <w:sdt>
              <w:sdtPr>
                <w:rPr>
                  <w:noProof/>
                </w:rPr>
                <w:id w:val="-449709208"/>
                <w:citation/>
              </w:sdtPr>
              <w:sdtEndPr/>
              <w:sdtContent>
                <w:r w:rsidR="006850E5">
                  <w:rPr>
                    <w:noProof/>
                  </w:rPr>
                  <w:fldChar w:fldCharType="begin"/>
                </w:r>
                <w:r w:rsidR="006850E5">
                  <w:rPr>
                    <w:noProof/>
                  </w:rPr>
                  <w:instrText xml:space="preserve">CITATION Nat11 \n  \t  \l 3081 </w:instrText>
                </w:r>
                <w:r w:rsidR="006850E5">
                  <w:rPr>
                    <w:noProof/>
                  </w:rPr>
                  <w:fldChar w:fldCharType="separate"/>
                </w:r>
                <w:r w:rsidR="00FB7B8B">
                  <w:rPr>
                    <w:noProof/>
                  </w:rPr>
                  <w:t>(2011)</w:t>
                </w:r>
                <w:r w:rsidR="006850E5">
                  <w:rPr>
                    <w:noProof/>
                  </w:rPr>
                  <w:fldChar w:fldCharType="end"/>
                </w:r>
              </w:sdtContent>
            </w:sdt>
          </w:p>
        </w:tc>
      </w:tr>
    </w:tbl>
    <w:p w14:paraId="2C283835" w14:textId="5553E649" w:rsidR="00A232CC" w:rsidRDefault="00CA4FCD" w:rsidP="00CA4FCD">
      <w:pPr>
        <w:spacing w:before="288"/>
      </w:pPr>
      <w:r>
        <w:t>Two papers—</w:t>
      </w:r>
      <w:r w:rsidR="00A232CC">
        <w:rPr>
          <w:noProof/>
        </w:rPr>
        <w:t>Watson</w:t>
      </w:r>
      <w:sdt>
        <w:sdtPr>
          <w:rPr>
            <w:noProof/>
          </w:rPr>
          <w:id w:val="-538817934"/>
          <w:citation/>
        </w:sdtPr>
        <w:sdtEndPr/>
        <w:sdtContent>
          <w:r w:rsidR="00A232CC">
            <w:rPr>
              <w:noProof/>
            </w:rPr>
            <w:fldChar w:fldCharType="begin"/>
          </w:r>
          <w:r w:rsidR="00A232CC">
            <w:rPr>
              <w:noProof/>
            </w:rPr>
            <w:instrText xml:space="preserve">CITATION Wat04 \n  \t  \l 3081 </w:instrText>
          </w:r>
          <w:r w:rsidR="00A232CC">
            <w:rPr>
              <w:noProof/>
            </w:rPr>
            <w:fldChar w:fldCharType="separate"/>
          </w:r>
          <w:r w:rsidR="00FB7B8B">
            <w:rPr>
              <w:noProof/>
            </w:rPr>
            <w:t xml:space="preserve"> (2004)</w:t>
          </w:r>
          <w:r w:rsidR="00A232CC">
            <w:rPr>
              <w:noProof/>
            </w:rPr>
            <w:fldChar w:fldCharType="end"/>
          </w:r>
        </w:sdtContent>
      </w:sdt>
      <w:r>
        <w:t xml:space="preserve">, and </w:t>
      </w:r>
      <w:r w:rsidR="00A232CC">
        <w:rPr>
          <w:noProof/>
        </w:rPr>
        <w:t xml:space="preserve">National Catholic Education Commission </w:t>
      </w:r>
      <w:sdt>
        <w:sdtPr>
          <w:rPr>
            <w:noProof/>
          </w:rPr>
          <w:id w:val="1672062289"/>
          <w:citation/>
        </w:sdtPr>
        <w:sdtEndPr/>
        <w:sdtContent>
          <w:r w:rsidR="00A232CC">
            <w:rPr>
              <w:noProof/>
            </w:rPr>
            <w:fldChar w:fldCharType="begin"/>
          </w:r>
          <w:r w:rsidR="00A232CC">
            <w:rPr>
              <w:noProof/>
            </w:rPr>
            <w:instrText xml:space="preserve">CITATION Nat11 \n  \t  \l 3081 </w:instrText>
          </w:r>
          <w:r w:rsidR="00A232CC">
            <w:rPr>
              <w:noProof/>
            </w:rPr>
            <w:fldChar w:fldCharType="separate"/>
          </w:r>
          <w:r w:rsidR="00FB7B8B">
            <w:rPr>
              <w:noProof/>
            </w:rPr>
            <w:t>(2011)</w:t>
          </w:r>
          <w:r w:rsidR="00A232CC">
            <w:rPr>
              <w:noProof/>
            </w:rPr>
            <w:fldChar w:fldCharType="end"/>
          </w:r>
        </w:sdtContent>
      </w:sdt>
      <w:r>
        <w:t>—argue that non</w:t>
      </w:r>
      <w:r>
        <w:noBreakHyphen/>
        <w:t xml:space="preserve">government school funding should not just be based on parental capacity to contribute. </w:t>
      </w:r>
    </w:p>
    <w:p w14:paraId="66B67789" w14:textId="6B925CD5" w:rsidR="00CA4FCD" w:rsidRDefault="00A232CC" w:rsidP="00CA4FCD">
      <w:pPr>
        <w:spacing w:before="288"/>
      </w:pPr>
      <w:r>
        <w:rPr>
          <w:noProof/>
        </w:rPr>
        <w:t>Watson</w:t>
      </w:r>
      <w:sdt>
        <w:sdtPr>
          <w:rPr>
            <w:noProof/>
          </w:rPr>
          <w:id w:val="411203226"/>
          <w:citation/>
        </w:sdtPr>
        <w:sdtEndPr/>
        <w:sdtContent>
          <w:r>
            <w:rPr>
              <w:noProof/>
            </w:rPr>
            <w:fldChar w:fldCharType="begin"/>
          </w:r>
          <w:r>
            <w:rPr>
              <w:noProof/>
            </w:rPr>
            <w:instrText xml:space="preserve">CITATION Wat04 \n  \t  \l 3081 </w:instrText>
          </w:r>
          <w:r>
            <w:rPr>
              <w:noProof/>
            </w:rPr>
            <w:fldChar w:fldCharType="separate"/>
          </w:r>
          <w:r w:rsidR="00FB7B8B">
            <w:rPr>
              <w:noProof/>
            </w:rPr>
            <w:t xml:space="preserve"> (2004)</w:t>
          </w:r>
          <w:r>
            <w:rPr>
              <w:noProof/>
            </w:rPr>
            <w:fldChar w:fldCharType="end"/>
          </w:r>
        </w:sdtContent>
      </w:sdt>
      <w:r>
        <w:t xml:space="preserve"> contends</w:t>
      </w:r>
      <w:r w:rsidR="00CA4FCD">
        <w:t xml:space="preserve"> that measuring CTC using the SES score is too narrow, as it does not consider non-fee private income received by schools</w:t>
      </w:r>
      <w:r w:rsidR="002704B0">
        <w:t>.</w:t>
      </w:r>
      <w:r w:rsidR="00CA4FCD">
        <w:t xml:space="preserve"> The</w:t>
      </w:r>
      <w:r w:rsidR="00623C0D">
        <w:t xml:space="preserve">y </w:t>
      </w:r>
      <w:r w:rsidR="00CA4FCD">
        <w:t xml:space="preserve">cite the example of a regional Queensland school receiving income from local businesses, placing it in the lowest funding category under the previous Education Resource Index (ERI) funding approach. </w:t>
      </w:r>
      <w:r w:rsidR="002D1252">
        <w:t xml:space="preserve">However, based upon the SES of the areas from where this school’s students were drawn, it was </w:t>
      </w:r>
      <w:r w:rsidR="00CA4FCD">
        <w:t xml:space="preserve">assigned a below average SES score of 93. </w:t>
      </w:r>
    </w:p>
    <w:p w14:paraId="0114A468" w14:textId="1A726AE8" w:rsidR="00CA4FCD" w:rsidRDefault="00CA4FCD" w:rsidP="00CA4FCD">
      <w:r>
        <w:t xml:space="preserve">In contrast, </w:t>
      </w:r>
      <w:r w:rsidR="00623C0D">
        <w:t xml:space="preserve">the </w:t>
      </w:r>
      <w:r w:rsidR="00A232CC">
        <w:rPr>
          <w:noProof/>
        </w:rPr>
        <w:t xml:space="preserve">National Catholic Education Commission </w:t>
      </w:r>
      <w:sdt>
        <w:sdtPr>
          <w:rPr>
            <w:noProof/>
          </w:rPr>
          <w:id w:val="1486823596"/>
          <w:citation/>
        </w:sdtPr>
        <w:sdtEndPr/>
        <w:sdtContent>
          <w:r w:rsidR="00A232CC">
            <w:rPr>
              <w:noProof/>
            </w:rPr>
            <w:fldChar w:fldCharType="begin"/>
          </w:r>
          <w:r w:rsidR="00A232CC">
            <w:rPr>
              <w:noProof/>
            </w:rPr>
            <w:instrText xml:space="preserve">CITATION Nat11 \n  \t  \l 3081 </w:instrText>
          </w:r>
          <w:r w:rsidR="00A232CC">
            <w:rPr>
              <w:noProof/>
            </w:rPr>
            <w:fldChar w:fldCharType="separate"/>
          </w:r>
          <w:r w:rsidR="00FB7B8B">
            <w:rPr>
              <w:noProof/>
            </w:rPr>
            <w:t>(2011)</w:t>
          </w:r>
          <w:r w:rsidR="00A232CC">
            <w:rPr>
              <w:noProof/>
            </w:rPr>
            <w:fldChar w:fldCharType="end"/>
          </w:r>
        </w:sdtContent>
      </w:sdt>
      <w:r>
        <w:t xml:space="preserve">, </w:t>
      </w:r>
      <w:r w:rsidR="00CF322C">
        <w:t>in its</w:t>
      </w:r>
      <w:r>
        <w:t xml:space="preserve"> submission to the Review of Funding for Schooling, argue</w:t>
      </w:r>
      <w:r w:rsidR="00623C0D">
        <w:t>d</w:t>
      </w:r>
      <w:r>
        <w:t xml:space="preserve"> the </w:t>
      </w:r>
      <w:r w:rsidRPr="004057AF">
        <w:t>SES score penalises schools that set low fees to facilitate student access</w:t>
      </w:r>
      <w:r>
        <w:t xml:space="preserve">. This is </w:t>
      </w:r>
      <w:r w:rsidR="00623C0D">
        <w:t xml:space="preserve">because </w:t>
      </w:r>
      <w:r>
        <w:t xml:space="preserve">schools with a higher SES score may seek to maintain access </w:t>
      </w:r>
      <w:r w:rsidR="002D1252">
        <w:t>by</w:t>
      </w:r>
      <w:r>
        <w:t xml:space="preserve"> maintaining low fees. The conceptual example is used of schools with similar Australian Government funding levels (due to similar SES scores), but different levels of private resources, nevertheless attracting the same amount of Australian </w:t>
      </w:r>
      <w:r w:rsidR="00623C0D">
        <w:t>Government funding</w:t>
      </w:r>
      <w:r>
        <w:t xml:space="preserve">. </w:t>
      </w:r>
    </w:p>
    <w:p w14:paraId="0FF3D0E6" w14:textId="6F8A3E8D" w:rsidR="00CA4FCD" w:rsidRDefault="00CA4FCD" w:rsidP="00CA4FCD">
      <w:r>
        <w:t xml:space="preserve">Finally, </w:t>
      </w:r>
      <w:r w:rsidR="00A232CC">
        <w:rPr>
          <w:noProof/>
        </w:rPr>
        <w:t xml:space="preserve">Maddox </w:t>
      </w:r>
      <w:sdt>
        <w:sdtPr>
          <w:rPr>
            <w:noProof/>
          </w:rPr>
          <w:id w:val="236141693"/>
          <w:citation/>
        </w:sdtPr>
        <w:sdtEndPr/>
        <w:sdtContent>
          <w:r w:rsidR="00A232CC">
            <w:rPr>
              <w:noProof/>
            </w:rPr>
            <w:fldChar w:fldCharType="begin"/>
          </w:r>
          <w:r w:rsidR="00A232CC">
            <w:rPr>
              <w:noProof/>
            </w:rPr>
            <w:instrText xml:space="preserve">CITATION Placeholder2 \n  \t  \l 3081 </w:instrText>
          </w:r>
          <w:r w:rsidR="00A232CC">
            <w:rPr>
              <w:noProof/>
            </w:rPr>
            <w:fldChar w:fldCharType="separate"/>
          </w:r>
          <w:r w:rsidR="00FB7B8B">
            <w:rPr>
              <w:noProof/>
            </w:rPr>
            <w:t>(2014)</w:t>
          </w:r>
          <w:r w:rsidR="00A232CC">
            <w:rPr>
              <w:noProof/>
            </w:rPr>
            <w:fldChar w:fldCharType="end"/>
          </w:r>
        </w:sdtContent>
      </w:sdt>
      <w:r w:rsidR="00623C0D">
        <w:t xml:space="preserve"> </w:t>
      </w:r>
      <w:r>
        <w:t>argue</w:t>
      </w:r>
      <w:r w:rsidR="00623C0D">
        <w:t>d</w:t>
      </w:r>
      <w:r>
        <w:t xml:space="preserve"> that the SES score does not consider the resources accumulated by a school in the past. This issue alludes to the omission </w:t>
      </w:r>
      <w:r w:rsidR="00A232CC">
        <w:t xml:space="preserve">of </w:t>
      </w:r>
      <w:r>
        <w:t xml:space="preserve">not </w:t>
      </w:r>
      <w:r w:rsidR="00A232CC">
        <w:t>only</w:t>
      </w:r>
      <w:r>
        <w:t xml:space="preserve"> school fee income, but also accumulated resources</w:t>
      </w:r>
      <w:r w:rsidR="00A232CC">
        <w:t xml:space="preserve"> (i.e. wealth)</w:t>
      </w:r>
      <w:r>
        <w:t xml:space="preserve">. </w:t>
      </w:r>
    </w:p>
    <w:p w14:paraId="17A1B3FE" w14:textId="77777777" w:rsidR="005B3B4D" w:rsidRDefault="005B3B4D" w:rsidP="005B3B4D">
      <w:pPr>
        <w:pStyle w:val="Heading2"/>
      </w:pPr>
      <w:bookmarkStart w:id="17" w:name="_Toc517982739"/>
      <w:r>
        <w:t>School financial resources have been used previously</w:t>
      </w:r>
      <w:r w:rsidR="00E941FD">
        <w:t xml:space="preserve"> to allocate funding</w:t>
      </w:r>
      <w:bookmarkEnd w:id="17"/>
    </w:p>
    <w:p w14:paraId="3182CB3D" w14:textId="54E64EF3" w:rsidR="00CA4FCD" w:rsidRDefault="00A232CC" w:rsidP="00CA4FCD">
      <w:r>
        <w:t>T</w:t>
      </w:r>
      <w:r w:rsidR="00CA4FCD">
        <w:t>he predecessor of the SES score was the Education Resources Index (ERI), which was in place between 1985 and 200</w:t>
      </w:r>
      <w:r w:rsidR="002D1252">
        <w:t>0</w:t>
      </w:r>
      <w:r w:rsidR="00CA4FCD">
        <w:t xml:space="preserve">. The ERI mechanism allocated schools to one of 12 Australian Government funding categories. This allocation </w:t>
      </w:r>
      <w:proofErr w:type="gramStart"/>
      <w:r w:rsidR="00CA4FCD">
        <w:t>was based</w:t>
      </w:r>
      <w:proofErr w:type="gramEnd"/>
      <w:r w:rsidR="00CA4FCD">
        <w:t xml:space="preserve"> on a school’s ERI rating, calculated by dividing a measure of financial resourcing per student, by a resourcing benchmark. Between 1985 and 1993, this resourcing benchmark was the ‘community standard of educational and financial resources’. </w:t>
      </w:r>
      <w:proofErr w:type="gramStart"/>
      <w:r w:rsidR="00CA4FCD">
        <w:t xml:space="preserve">This standard was replaced </w:t>
      </w:r>
      <w:r w:rsidR="00623C0D">
        <w:t xml:space="preserve">in </w:t>
      </w:r>
      <w:r w:rsidR="00CA4FCD">
        <w:t xml:space="preserve">1993 by </w:t>
      </w:r>
      <w:r w:rsidR="00CF322C" w:rsidRPr="00CF322C">
        <w:t xml:space="preserve">Average Government School Recurrent Costs </w:t>
      </w:r>
      <w:r w:rsidR="00CF322C">
        <w:t>(</w:t>
      </w:r>
      <w:r w:rsidR="00CA4FCD">
        <w:t>AGSRC</w:t>
      </w:r>
      <w:r w:rsidR="00CF322C">
        <w:t>)</w:t>
      </w:r>
      <w:r w:rsidR="00CA4FCD">
        <w:t xml:space="preserve"> </w:t>
      </w:r>
      <w:sdt>
        <w:sdtPr>
          <w:id w:val="142709766"/>
          <w:citation/>
        </w:sdtPr>
        <w:sdtEndPr/>
        <w:sdtContent>
          <w:proofErr w:type="gramEnd"/>
          <w:r w:rsidR="00CA4FCD">
            <w:fldChar w:fldCharType="begin"/>
          </w:r>
          <w:r w:rsidR="00CA4FCD">
            <w:instrText xml:space="preserve">CITATION Placeholder1 \l 3081 </w:instrText>
          </w:r>
          <w:r w:rsidR="00CA4FCD">
            <w:fldChar w:fldCharType="separate"/>
          </w:r>
          <w:r w:rsidR="00FB7B8B">
            <w:rPr>
              <w:noProof/>
            </w:rPr>
            <w:t>(Department of Employment, Education, Training and Youth Affairs, 1997)</w:t>
          </w:r>
          <w:r w:rsidR="00CA4FCD">
            <w:fldChar w:fldCharType="end"/>
          </w:r>
        </w:sdtContent>
      </w:sdt>
      <w:r w:rsidR="00CA4FCD">
        <w:t>.</w:t>
      </w:r>
      <w:r w:rsidR="00CA4FCD">
        <w:rPr>
          <w:rStyle w:val="FootnoteReference"/>
        </w:rPr>
        <w:footnoteReference w:id="3"/>
      </w:r>
      <w:r w:rsidR="00CA4FCD">
        <w:t xml:space="preserve"> </w:t>
      </w:r>
    </w:p>
    <w:p w14:paraId="01BBA896" w14:textId="6B18F626" w:rsidR="003E4BE3" w:rsidRDefault="00CA4FCD" w:rsidP="003E4BE3">
      <w:r>
        <w:t xml:space="preserve">An overview of the </w:t>
      </w:r>
      <w:r w:rsidRPr="001953B8">
        <w:t>E</w:t>
      </w:r>
      <w:r>
        <w:t>RI</w:t>
      </w:r>
      <w:r w:rsidRPr="001953B8">
        <w:t xml:space="preserve"> funding </w:t>
      </w:r>
      <w:r>
        <w:t xml:space="preserve">mechanism </w:t>
      </w:r>
      <w:proofErr w:type="gramStart"/>
      <w:r>
        <w:t>is provided</w:t>
      </w:r>
      <w:proofErr w:type="gramEnd"/>
      <w:r>
        <w:t xml:space="preserve"> in </w:t>
      </w:r>
      <w:r>
        <w:fldChar w:fldCharType="begin"/>
      </w:r>
      <w:r>
        <w:instrText xml:space="preserve"> REF _Ref491264209 \h </w:instrText>
      </w:r>
      <w:r>
        <w:fldChar w:fldCharType="separate"/>
      </w:r>
      <w:r w:rsidR="00614CD5">
        <w:t xml:space="preserve">Box </w:t>
      </w:r>
      <w:r w:rsidR="00614CD5">
        <w:rPr>
          <w:noProof/>
        </w:rPr>
        <w:t>2</w:t>
      </w:r>
      <w:r w:rsidR="00614CD5">
        <w:noBreakHyphen/>
      </w:r>
      <w:r w:rsidR="00614CD5">
        <w:rPr>
          <w:noProof/>
        </w:rPr>
        <w:t>1</w:t>
      </w:r>
      <w:r>
        <w:fldChar w:fldCharType="end"/>
      </w:r>
      <w:r>
        <w:t>. The main aspect of the ERI mechanism—the allocation of schools to a funding category—</w:t>
      </w:r>
      <w:r w:rsidR="001D45B7">
        <w:t xml:space="preserve">was underpinned by </w:t>
      </w:r>
      <w:r w:rsidR="00EC45D1">
        <w:t xml:space="preserve">the higher of private income per student, or operating expenditure per student (net of government grants). </w:t>
      </w:r>
      <w:r w:rsidR="006922EB">
        <w:t xml:space="preserve">With the ERI determining the majority of Australian Government funding received by non-government schools, it was criticised at the time for </w:t>
      </w:r>
      <w:r w:rsidR="006922EB" w:rsidRPr="006922EB">
        <w:t>discouraging private investment</w:t>
      </w:r>
      <w:r w:rsidR="0016289A">
        <w:t>. Furthermore</w:t>
      </w:r>
      <w:r w:rsidR="00461462">
        <w:t>,</w:t>
      </w:r>
      <w:r w:rsidR="0016289A">
        <w:t xml:space="preserve"> it </w:t>
      </w:r>
      <w:proofErr w:type="gramStart"/>
      <w:r w:rsidR="0016289A">
        <w:t>was considered</w:t>
      </w:r>
      <w:proofErr w:type="gramEnd"/>
      <w:r w:rsidR="0016289A">
        <w:t xml:space="preserve"> </w:t>
      </w:r>
      <w:r w:rsidR="002704B0">
        <w:t xml:space="preserve">that the ERI was </w:t>
      </w:r>
      <w:r w:rsidR="0016289A">
        <w:t xml:space="preserve">a </w:t>
      </w:r>
      <w:r w:rsidR="006922EB" w:rsidRPr="006922EB">
        <w:t>disincentive for schools to raise additional income through fund raising</w:t>
      </w:r>
      <w:r w:rsidR="006922EB">
        <w:t xml:space="preserve"> or other means</w:t>
      </w:r>
      <w:r w:rsidR="0016289A">
        <w:t xml:space="preserve">. Additionally, no </w:t>
      </w:r>
      <w:r w:rsidR="00C32A67" w:rsidRPr="00C32A67">
        <w:t>consideration was made of school facilities and infrastructure, or the financial position of schools (i.e. assets or liabilities)</w:t>
      </w:r>
      <w:r w:rsidR="006922EB">
        <w:t xml:space="preserve">. </w:t>
      </w:r>
      <w:r w:rsidR="003E4BE3">
        <w:br w:type="page"/>
      </w:r>
    </w:p>
    <w:p w14:paraId="173F2DEA" w14:textId="69FAAB50" w:rsidR="00C61CC7" w:rsidRDefault="00C61CC7" w:rsidP="00C61CC7">
      <w:pPr>
        <w:pStyle w:val="Caption"/>
      </w:pPr>
      <w:bookmarkStart w:id="18" w:name="_Ref491264209"/>
      <w:bookmarkStart w:id="19" w:name="_Ref491264218"/>
      <w:r>
        <w:t xml:space="preserve">Box </w:t>
      </w:r>
      <w:r>
        <w:rPr>
          <w:noProof/>
        </w:rPr>
        <w:fldChar w:fldCharType="begin"/>
      </w:r>
      <w:r>
        <w:rPr>
          <w:noProof/>
        </w:rPr>
        <w:instrText xml:space="preserve"> STYLEREF 1 \s </w:instrText>
      </w:r>
      <w:r>
        <w:rPr>
          <w:noProof/>
        </w:rPr>
        <w:fldChar w:fldCharType="separate"/>
      </w:r>
      <w:r w:rsidR="00614CD5">
        <w:rPr>
          <w:noProof/>
        </w:rPr>
        <w:t>2</w:t>
      </w:r>
      <w:r>
        <w:rPr>
          <w:noProof/>
        </w:rPr>
        <w:fldChar w:fldCharType="end"/>
      </w:r>
      <w:r>
        <w:noBreakHyphen/>
      </w:r>
      <w:r>
        <w:rPr>
          <w:noProof/>
        </w:rPr>
        <w:fldChar w:fldCharType="begin"/>
      </w:r>
      <w:r>
        <w:rPr>
          <w:noProof/>
        </w:rPr>
        <w:instrText xml:space="preserve"> SEQ Box \* ARABIC \s 1 </w:instrText>
      </w:r>
      <w:r>
        <w:rPr>
          <w:noProof/>
        </w:rPr>
        <w:fldChar w:fldCharType="separate"/>
      </w:r>
      <w:r w:rsidR="00614CD5">
        <w:rPr>
          <w:noProof/>
        </w:rPr>
        <w:t>1</w:t>
      </w:r>
      <w:r>
        <w:rPr>
          <w:noProof/>
        </w:rPr>
        <w:fldChar w:fldCharType="end"/>
      </w:r>
      <w:bookmarkEnd w:id="18"/>
      <w:r>
        <w:tab/>
        <w:t xml:space="preserve">Operation of the Education Resources Index funding </w:t>
      </w:r>
      <w:bookmarkEnd w:id="19"/>
      <w:r>
        <w:t>mechanism</w:t>
      </w:r>
    </w:p>
    <w:tbl>
      <w:tblPr>
        <w:tblStyle w:val="TableGrid"/>
        <w:tblW w:w="0" w:type="auto"/>
        <w:tblBorders>
          <w:left w:val="single" w:sz="4" w:space="0" w:color="auto"/>
          <w:right w:val="sing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Caption w:val="Operation of the Education Resources Index funding mechanism"/>
        <w:tblDescription w:val="This box is decorative"/>
      </w:tblPr>
      <w:tblGrid>
        <w:gridCol w:w="9017"/>
      </w:tblGrid>
      <w:tr w:rsidR="00C61CC7" w14:paraId="2405C0A5"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90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6DD13AAB" w14:textId="4B5C4548" w:rsidR="00C61CC7" w:rsidRDefault="00C61CC7" w:rsidP="001D45B7">
            <w:pPr>
              <w:pStyle w:val="Tablegridtext"/>
            </w:pPr>
            <w:r>
              <w:t xml:space="preserve">The ERI funding mechanism </w:t>
            </w:r>
            <w:proofErr w:type="gramStart"/>
            <w:r>
              <w:t>was underpinned</w:t>
            </w:r>
            <w:proofErr w:type="gramEnd"/>
            <w:r>
              <w:t xml:space="preserve"> by an assessment of the financial capacity of non</w:t>
            </w:r>
            <w:r>
              <w:noBreakHyphen/>
              <w:t xml:space="preserve">government schools. This assessment led to schools </w:t>
            </w:r>
            <w:proofErr w:type="gramStart"/>
            <w:r>
              <w:t>being given</w:t>
            </w:r>
            <w:proofErr w:type="gramEnd"/>
            <w:r>
              <w:t xml:space="preserve"> an ERI rating and then allocated to one of 12 funding categories. The highest financial capacity schools (ERI rating 0-10) </w:t>
            </w:r>
            <w:proofErr w:type="gramStart"/>
            <w:r>
              <w:t>were allocated</w:t>
            </w:r>
            <w:proofErr w:type="gramEnd"/>
            <w:r>
              <w:t xml:space="preserve"> to funding category 1. The lowest financial capacity schools (ERI rating of 88+) </w:t>
            </w:r>
            <w:proofErr w:type="gramStart"/>
            <w:r>
              <w:t>were allocated</w:t>
            </w:r>
            <w:proofErr w:type="gramEnd"/>
            <w:r>
              <w:t xml:space="preserve"> to funding category 12. For each funding </w:t>
            </w:r>
            <w:proofErr w:type="gramStart"/>
            <w:r>
              <w:t>category</w:t>
            </w:r>
            <w:proofErr w:type="gramEnd"/>
            <w:r>
              <w:t xml:space="preserve"> there was a corresponding per primary or secondary student funding rate. In 1997, funding category 1 schools </w:t>
            </w:r>
            <w:proofErr w:type="gramStart"/>
            <w:r>
              <w:t>were provided</w:t>
            </w:r>
            <w:proofErr w:type="gramEnd"/>
            <w:r>
              <w:t xml:space="preserve"> $501 and $795 per primary or secondary student respectively. Category 12 schools </w:t>
            </w:r>
            <w:proofErr w:type="gramStart"/>
            <w:r>
              <w:t>were provided</w:t>
            </w:r>
            <w:proofErr w:type="gramEnd"/>
            <w:r>
              <w:t xml:space="preserve"> $2,217 and $3,239 per primary or secondary student respectively</w:t>
            </w:r>
            <w:r w:rsidR="0016289A">
              <w:t>.</w:t>
            </w:r>
            <w:r>
              <w:t xml:space="preserve"> </w:t>
            </w:r>
          </w:p>
          <w:p w14:paraId="0EC4A45A" w14:textId="77777777" w:rsidR="00C61CC7" w:rsidRDefault="00C61CC7" w:rsidP="001D45B7">
            <w:pPr>
              <w:pStyle w:val="Tablegridtext"/>
            </w:pPr>
          </w:p>
          <w:p w14:paraId="28E1D40F" w14:textId="77777777" w:rsidR="00C61CC7" w:rsidRDefault="00C61CC7" w:rsidP="001D45B7">
            <w:pPr>
              <w:pStyle w:val="Tablegridtext"/>
            </w:pPr>
            <w:r>
              <w:t>A school’s ERI rating was determined by the percentage value generated by the following formula:</w:t>
            </w:r>
          </w:p>
          <w:p w14:paraId="7A91023C" w14:textId="7F5A0269" w:rsidR="00C61CC7" w:rsidRDefault="00C61CC7" w:rsidP="001D45B7">
            <w:pPr>
              <w:pStyle w:val="Tablegridtext"/>
              <w:ind w:left="720" w:hanging="414"/>
              <w:rPr>
                <w:i/>
              </w:rPr>
            </w:pPr>
            <w:r>
              <w:rPr>
                <w:i/>
              </w:rPr>
              <w:t>higher of:</w:t>
            </w:r>
          </w:p>
          <w:p w14:paraId="280FC03E" w14:textId="77777777" w:rsidR="00C61CC7" w:rsidRDefault="00C61CC7" w:rsidP="001D45B7">
            <w:pPr>
              <w:pStyle w:val="Tablegridtext"/>
              <w:ind w:left="1440" w:hanging="698"/>
            </w:pPr>
            <w:r>
              <w:t>Net Private Income per student (boarding and capital allowances deducted)</w:t>
            </w:r>
          </w:p>
          <w:p w14:paraId="7F4EDB84" w14:textId="77777777" w:rsidR="00C61CC7" w:rsidRDefault="00C61CC7" w:rsidP="001D45B7">
            <w:pPr>
              <w:pStyle w:val="Tablegridtext"/>
              <w:ind w:left="1440" w:hanging="567"/>
            </w:pPr>
            <w:r>
              <w:t>or</w:t>
            </w:r>
          </w:p>
          <w:p w14:paraId="0F4864B9" w14:textId="77777777" w:rsidR="00C61CC7" w:rsidRDefault="00C61CC7" w:rsidP="001D45B7">
            <w:pPr>
              <w:pStyle w:val="Tablegridtext"/>
              <w:ind w:left="1440" w:hanging="698"/>
            </w:pPr>
            <w:r>
              <w:t>Operating Expenditure per student (State/Territory and Commonwealth grants deducted)</w:t>
            </w:r>
          </w:p>
          <w:p w14:paraId="674CB3CB" w14:textId="77777777" w:rsidR="00C61CC7" w:rsidRPr="00CC270C" w:rsidRDefault="00C61CC7" w:rsidP="001D45B7">
            <w:pPr>
              <w:pStyle w:val="Tablegridtext"/>
              <w:ind w:left="720" w:hanging="414"/>
              <w:rPr>
                <w:i/>
              </w:rPr>
            </w:pPr>
            <w:r w:rsidRPr="00CC270C">
              <w:rPr>
                <w:i/>
              </w:rPr>
              <w:t>divided by</w:t>
            </w:r>
            <w:r>
              <w:rPr>
                <w:i/>
              </w:rPr>
              <w:t>:</w:t>
            </w:r>
            <w:r w:rsidRPr="00CC270C">
              <w:rPr>
                <w:i/>
              </w:rPr>
              <w:t xml:space="preserve"> </w:t>
            </w:r>
          </w:p>
          <w:p w14:paraId="049A617E" w14:textId="77777777" w:rsidR="00C61CC7" w:rsidRPr="007313F0" w:rsidRDefault="00C61CC7" w:rsidP="001D45B7">
            <w:pPr>
              <w:pStyle w:val="Tablegridtext"/>
              <w:ind w:left="1440" w:hanging="698"/>
            </w:pPr>
            <w:r>
              <w:t>Total Assessment Standard: ‘Community standard’ (1985 to 1993), AGSRC (1993 to 2001)</w:t>
            </w:r>
          </w:p>
          <w:p w14:paraId="319AE415" w14:textId="77777777" w:rsidR="00C61CC7" w:rsidRPr="00CC270C" w:rsidRDefault="00C61CC7" w:rsidP="001D45B7">
            <w:pPr>
              <w:pStyle w:val="Tablegridtext"/>
              <w:ind w:left="720" w:hanging="414"/>
              <w:rPr>
                <w:i/>
              </w:rPr>
            </w:pPr>
            <w:r>
              <w:rPr>
                <w:i/>
              </w:rPr>
              <w:t>Equals:</w:t>
            </w:r>
            <w:r w:rsidRPr="00CC270C">
              <w:rPr>
                <w:i/>
              </w:rPr>
              <w:t xml:space="preserve"> </w:t>
            </w:r>
          </w:p>
          <w:p w14:paraId="1E2CD425" w14:textId="77777777" w:rsidR="00C61CC7" w:rsidRPr="007313F0" w:rsidRDefault="00C61CC7" w:rsidP="001D45B7">
            <w:pPr>
              <w:pStyle w:val="Tablegridtext"/>
              <w:ind w:left="1440" w:hanging="698"/>
            </w:pPr>
            <w:r>
              <w:t>ERI rating percentage</w:t>
            </w:r>
          </w:p>
          <w:p w14:paraId="38D3531A" w14:textId="77777777" w:rsidR="00C61CC7" w:rsidRDefault="00C61CC7" w:rsidP="001D45B7">
            <w:pPr>
              <w:pStyle w:val="Tablegridtext"/>
            </w:pPr>
          </w:p>
          <w:p w14:paraId="1E27E71C" w14:textId="77777777" w:rsidR="00C61CC7" w:rsidRDefault="00C61CC7" w:rsidP="001D45B7">
            <w:pPr>
              <w:pStyle w:val="Tablegridtext"/>
            </w:pPr>
            <w:r>
              <w:t xml:space="preserve">Under the ERI funding model, systemic schools were allocated to a single ERI rating and thus funding category, for their system. A system rating was determined from the </w:t>
            </w:r>
            <w:proofErr w:type="gramStart"/>
            <w:r>
              <w:t>enrolment weighted</w:t>
            </w:r>
            <w:proofErr w:type="gramEnd"/>
            <w:r>
              <w:t xml:space="preserve"> average of the individual ratings of each school within a system.</w:t>
            </w:r>
          </w:p>
          <w:p w14:paraId="7BD9EEC4" w14:textId="77777777" w:rsidR="00C61CC7" w:rsidRDefault="00C61CC7" w:rsidP="001D45B7">
            <w:pPr>
              <w:pStyle w:val="Tablegridtext"/>
            </w:pPr>
          </w:p>
          <w:p w14:paraId="72A9CDFC" w14:textId="77777777" w:rsidR="00C61CC7" w:rsidRDefault="00C61CC7" w:rsidP="001D45B7">
            <w:pPr>
              <w:pStyle w:val="Tablegridtext"/>
            </w:pPr>
            <w:r>
              <w:t>ERI funding to non</w:t>
            </w:r>
            <w:r>
              <w:noBreakHyphen/>
              <w:t>government schools was also influenced by several other requirements:</w:t>
            </w:r>
          </w:p>
          <w:p w14:paraId="77503541" w14:textId="77777777" w:rsidR="00C61CC7" w:rsidRDefault="00C61CC7" w:rsidP="00C61CC7">
            <w:pPr>
              <w:pStyle w:val="Tablegriddotpoints"/>
              <w:tabs>
                <w:tab w:val="num" w:pos="567"/>
              </w:tabs>
              <w:ind w:left="567" w:hanging="283"/>
            </w:pPr>
            <w:r>
              <w:t xml:space="preserve">Maintenance of Effort (MOE) and Private Income (PI)—schools were required to maintain their expenditure on recurrent resources, and to increase private income by at least 3 per cent per annum. Both these requirements had to </w:t>
            </w:r>
            <w:proofErr w:type="gramStart"/>
            <w:r>
              <w:t>be met</w:t>
            </w:r>
            <w:proofErr w:type="gramEnd"/>
            <w:r>
              <w:t xml:space="preserve"> if a school’s ERI rating changed to the extent that a school was allocated to a higher funding category.</w:t>
            </w:r>
          </w:p>
          <w:p w14:paraId="5B17F06E" w14:textId="77777777" w:rsidR="00C61CC7" w:rsidRDefault="00C61CC7" w:rsidP="00C61CC7">
            <w:pPr>
              <w:pStyle w:val="Tablegriddotpoints"/>
              <w:tabs>
                <w:tab w:val="num" w:pos="567"/>
              </w:tabs>
              <w:ind w:left="567" w:hanging="283"/>
            </w:pPr>
            <w:r>
              <w:t xml:space="preserve">Limit on Private Income—schools </w:t>
            </w:r>
            <w:proofErr w:type="gramStart"/>
            <w:r>
              <w:t>were allowed</w:t>
            </w:r>
            <w:proofErr w:type="gramEnd"/>
            <w:r>
              <w:t xml:space="preserve"> to increase their private income by up to 5 per cent per year, without this affecting the school’s funding category. </w:t>
            </w:r>
          </w:p>
          <w:p w14:paraId="406F8281" w14:textId="77777777" w:rsidR="00C61CC7" w:rsidRDefault="00C61CC7" w:rsidP="00C61CC7">
            <w:pPr>
              <w:pStyle w:val="Tablegriddotpoints"/>
              <w:tabs>
                <w:tab w:val="num" w:pos="567"/>
              </w:tabs>
              <w:ind w:left="567" w:hanging="283"/>
            </w:pPr>
            <w:r>
              <w:t>Funding Guarantees—If a school was assessed as moving into a lower funding category, funding was held, in nominal terms, at the pre-existing level until indexation of funding rates resulted in the lower category funding rate equalling the ‘guaranteed’ funding amount.</w:t>
            </w:r>
          </w:p>
          <w:p w14:paraId="10EE60D7" w14:textId="77777777" w:rsidR="00C61CC7" w:rsidRDefault="00C61CC7" w:rsidP="00C61CC7">
            <w:pPr>
              <w:pStyle w:val="Tablegriddotpoints"/>
              <w:tabs>
                <w:tab w:val="num" w:pos="567"/>
              </w:tabs>
              <w:spacing w:after="120"/>
              <w:ind w:left="567" w:hanging="283"/>
            </w:pPr>
            <w:r>
              <w:t>Capital Concession—</w:t>
            </w:r>
            <w:proofErr w:type="gramStart"/>
            <w:r>
              <w:t>If</w:t>
            </w:r>
            <w:proofErr w:type="gramEnd"/>
            <w:r>
              <w:t xml:space="preserve"> approved by the Australian Government, schools could deduct private capital income in excess of a specified capital allowance, from the private income used in the ERI rating formula. </w:t>
            </w:r>
          </w:p>
        </w:tc>
      </w:tr>
    </w:tbl>
    <w:p w14:paraId="0BBC37B0" w14:textId="632DAE1B" w:rsidR="00C61CC7" w:rsidRDefault="00C61CC7" w:rsidP="00C61CC7">
      <w:pPr>
        <w:pStyle w:val="Datasource"/>
        <w:rPr>
          <w:noProof/>
        </w:rPr>
      </w:pPr>
      <w:r w:rsidRPr="0051627A">
        <w:t xml:space="preserve">Source: </w:t>
      </w:r>
      <w:r>
        <w:rPr>
          <w:noProof/>
        </w:rPr>
        <w:t>Department of Employment, Education, Training and Youth Affairs (1997)</w:t>
      </w:r>
      <w:r w:rsidR="00EA2ECF">
        <w:rPr>
          <w:noProof/>
        </w:rPr>
        <w:t>.</w:t>
      </w:r>
    </w:p>
    <w:p w14:paraId="4EB101D3" w14:textId="77777777" w:rsidR="003E4BE3" w:rsidRDefault="003E4BE3" w:rsidP="003E4BE3">
      <w:pPr>
        <w:pStyle w:val="Heading2"/>
      </w:pPr>
      <w:bookmarkStart w:id="20" w:name="_Toc517982740"/>
      <w:r>
        <w:t>Options for measuring CTC with school financial data</w:t>
      </w:r>
      <w:bookmarkEnd w:id="20"/>
    </w:p>
    <w:p w14:paraId="779FDFE7" w14:textId="10C0499F" w:rsidR="003E4BE3" w:rsidRDefault="003E4BE3" w:rsidP="002D1252">
      <w:pPr>
        <w:spacing w:after="0"/>
      </w:pPr>
      <w:r>
        <w:t xml:space="preserve">Based upon the criticisms noted above, several </w:t>
      </w:r>
      <w:r w:rsidR="00727B13">
        <w:t xml:space="preserve">potential </w:t>
      </w:r>
      <w:r>
        <w:t xml:space="preserve">options </w:t>
      </w:r>
      <w:proofErr w:type="gramStart"/>
      <w:r>
        <w:t>are identified</w:t>
      </w:r>
      <w:proofErr w:type="gramEnd"/>
      <w:r>
        <w:t xml:space="preserve"> for further consideration in this report (see </w:t>
      </w:r>
      <w:r>
        <w:fldChar w:fldCharType="begin"/>
      </w:r>
      <w:r>
        <w:instrText xml:space="preserve"> REF _Ref517965064 \h </w:instrText>
      </w:r>
      <w:r>
        <w:fldChar w:fldCharType="separate"/>
      </w:r>
      <w:r w:rsidR="00614CD5">
        <w:t xml:space="preserve">Table </w:t>
      </w:r>
      <w:r w:rsidR="00614CD5">
        <w:rPr>
          <w:noProof/>
        </w:rPr>
        <w:t>2</w:t>
      </w:r>
      <w:r w:rsidR="00614CD5">
        <w:noBreakHyphen/>
      </w:r>
      <w:r w:rsidR="00614CD5">
        <w:rPr>
          <w:noProof/>
        </w:rPr>
        <w:t>2</w:t>
      </w:r>
      <w:r>
        <w:fldChar w:fldCharType="end"/>
      </w:r>
      <w:r>
        <w:t xml:space="preserve">). </w:t>
      </w:r>
      <w:proofErr w:type="gramStart"/>
      <w:r>
        <w:t>These use</w:t>
      </w:r>
      <w:proofErr w:type="gramEnd"/>
      <w:r>
        <w:t>:</w:t>
      </w:r>
    </w:p>
    <w:p w14:paraId="4B5DA278" w14:textId="77777777" w:rsidR="003E4BE3" w:rsidRDefault="003E4BE3" w:rsidP="003E4BE3">
      <w:pPr>
        <w:pStyle w:val="Dotpoints"/>
      </w:pPr>
      <w:r>
        <w:t>Private recurrent income from endowments and donations</w:t>
      </w:r>
    </w:p>
    <w:p w14:paraId="622EB1AE" w14:textId="77777777" w:rsidR="003E4BE3" w:rsidRDefault="003E4BE3" w:rsidP="003E4BE3">
      <w:pPr>
        <w:pStyle w:val="Dotpoints"/>
      </w:pPr>
      <w:r>
        <w:t>Private income for recurrent purposes</w:t>
      </w:r>
    </w:p>
    <w:p w14:paraId="3463431E" w14:textId="77777777" w:rsidR="003E4BE3" w:rsidRDefault="003E4BE3" w:rsidP="003E4BE3">
      <w:pPr>
        <w:pStyle w:val="Dotpoints"/>
      </w:pPr>
      <w:r>
        <w:t xml:space="preserve">Operating expenditure (net of government funding) </w:t>
      </w:r>
    </w:p>
    <w:p w14:paraId="5F12A6BF" w14:textId="535F046B" w:rsidR="003E4BE3" w:rsidRDefault="0016289A" w:rsidP="003E4BE3">
      <w:pPr>
        <w:pStyle w:val="Dotpoints"/>
      </w:pPr>
      <w:r>
        <w:t>A</w:t>
      </w:r>
      <w:r w:rsidR="003E4BE3">
        <w:t xml:space="preserve">ssets and liabilities. </w:t>
      </w:r>
    </w:p>
    <w:p w14:paraId="6993C6D9" w14:textId="2A89C911" w:rsidR="003E4BE3" w:rsidRDefault="003E4BE3" w:rsidP="003E4BE3">
      <w:r>
        <w:t xml:space="preserve">The first two options </w:t>
      </w:r>
      <w:proofErr w:type="gramStart"/>
      <w:r>
        <w:t>are based</w:t>
      </w:r>
      <w:proofErr w:type="gramEnd"/>
      <w:r>
        <w:t xml:space="preserve"> upon previous proposal</w:t>
      </w:r>
      <w:r w:rsidR="008047A2">
        <w:t xml:space="preserve">s made in conjunction with the criticisms identified in </w:t>
      </w:r>
      <w:r w:rsidR="008047A2">
        <w:fldChar w:fldCharType="begin"/>
      </w:r>
      <w:r w:rsidR="008047A2">
        <w:instrText xml:space="preserve"> REF _Ref517950257 \h </w:instrText>
      </w:r>
      <w:r w:rsidR="008047A2">
        <w:fldChar w:fldCharType="separate"/>
      </w:r>
      <w:r w:rsidR="00614CD5">
        <w:t xml:space="preserve">Table </w:t>
      </w:r>
      <w:r w:rsidR="00614CD5">
        <w:rPr>
          <w:noProof/>
        </w:rPr>
        <w:t>2</w:t>
      </w:r>
      <w:r w:rsidR="00614CD5">
        <w:noBreakHyphen/>
      </w:r>
      <w:r w:rsidR="00614CD5">
        <w:rPr>
          <w:noProof/>
        </w:rPr>
        <w:t>1</w:t>
      </w:r>
      <w:r w:rsidR="008047A2">
        <w:fldChar w:fldCharType="end"/>
      </w:r>
      <w:r w:rsidR="008047A2">
        <w:t xml:space="preserve">. </w:t>
      </w:r>
      <w:r w:rsidR="002D1252">
        <w:t>The last two using operating expenditure and net assets</w:t>
      </w:r>
      <w:r w:rsidR="0016289A">
        <w:t>,</w:t>
      </w:r>
      <w:r w:rsidR="002D1252">
        <w:t xml:space="preserve"> </w:t>
      </w:r>
      <w:proofErr w:type="gramStart"/>
      <w:r w:rsidR="002D1252">
        <w:t>have been identified</w:t>
      </w:r>
      <w:proofErr w:type="gramEnd"/>
      <w:r w:rsidR="002D1252">
        <w:t xml:space="preserve"> independent of previous research. </w:t>
      </w:r>
      <w:r w:rsidR="008047A2">
        <w:t xml:space="preserve">It would also be possible to combine the last two approaches—operating expenditure and net assets. </w:t>
      </w:r>
    </w:p>
    <w:p w14:paraId="65406E63" w14:textId="211CC01A" w:rsidR="002D1252" w:rsidRDefault="002D1252" w:rsidP="002D1252">
      <w:r>
        <w:t xml:space="preserve">The data required to explore the options identified in </w:t>
      </w:r>
      <w:r>
        <w:fldChar w:fldCharType="begin"/>
      </w:r>
      <w:r>
        <w:instrText xml:space="preserve"> REF _Ref517965064 \h </w:instrText>
      </w:r>
      <w:r>
        <w:fldChar w:fldCharType="separate"/>
      </w:r>
      <w:r w:rsidR="00614CD5">
        <w:t xml:space="preserve">Table </w:t>
      </w:r>
      <w:r w:rsidR="00614CD5">
        <w:rPr>
          <w:noProof/>
        </w:rPr>
        <w:t>2</w:t>
      </w:r>
      <w:r w:rsidR="00614CD5">
        <w:noBreakHyphen/>
      </w:r>
      <w:r w:rsidR="00614CD5">
        <w:rPr>
          <w:noProof/>
        </w:rPr>
        <w:t>2</w:t>
      </w:r>
      <w:r>
        <w:fldChar w:fldCharType="end"/>
      </w:r>
      <w:r>
        <w:t xml:space="preserve"> </w:t>
      </w:r>
      <w:proofErr w:type="gramStart"/>
      <w:r>
        <w:t xml:space="preserve">is </w:t>
      </w:r>
      <w:r w:rsidR="0016289A">
        <w:t>discussed</w:t>
      </w:r>
      <w:proofErr w:type="gramEnd"/>
      <w:r w:rsidR="0016289A">
        <w:t xml:space="preserve"> </w:t>
      </w:r>
      <w:r>
        <w:t xml:space="preserve">in section </w:t>
      </w:r>
      <w:r>
        <w:fldChar w:fldCharType="begin"/>
      </w:r>
      <w:r>
        <w:instrText xml:space="preserve"> REF _Ref517966748 \r \h </w:instrText>
      </w:r>
      <w:r>
        <w:fldChar w:fldCharType="separate"/>
      </w:r>
      <w:r w:rsidR="00614CD5">
        <w:t>3</w:t>
      </w:r>
      <w:r>
        <w:fldChar w:fldCharType="end"/>
      </w:r>
      <w:r>
        <w:t xml:space="preserve">, with the resulting analysis presented in section </w:t>
      </w:r>
      <w:r>
        <w:fldChar w:fldCharType="begin"/>
      </w:r>
      <w:r>
        <w:instrText xml:space="preserve"> REF _Ref517966754 \r \h </w:instrText>
      </w:r>
      <w:r>
        <w:fldChar w:fldCharType="separate"/>
      </w:r>
      <w:r w:rsidR="00614CD5">
        <w:t>4</w:t>
      </w:r>
      <w:r>
        <w:fldChar w:fldCharType="end"/>
      </w:r>
      <w:r>
        <w:t>.</w:t>
      </w:r>
    </w:p>
    <w:p w14:paraId="73D7B9F5" w14:textId="334CE7B9" w:rsidR="003E4BE3" w:rsidRDefault="003E4BE3" w:rsidP="003E4BE3">
      <w:pPr>
        <w:pStyle w:val="Caption"/>
      </w:pPr>
      <w:bookmarkStart w:id="21" w:name="_Ref517965064"/>
      <w:bookmarkStart w:id="22" w:name="_Toc518646006"/>
      <w:r>
        <w:t xml:space="preserve">Table </w:t>
      </w:r>
      <w:r w:rsidR="00900D4D">
        <w:rPr>
          <w:noProof/>
        </w:rPr>
        <w:fldChar w:fldCharType="begin"/>
      </w:r>
      <w:r w:rsidR="00900D4D">
        <w:rPr>
          <w:noProof/>
        </w:rPr>
        <w:instrText xml:space="preserve"> STYLEREF 1 \s </w:instrText>
      </w:r>
      <w:r w:rsidR="00900D4D">
        <w:rPr>
          <w:noProof/>
        </w:rPr>
        <w:fldChar w:fldCharType="separate"/>
      </w:r>
      <w:r w:rsidR="00614CD5">
        <w:rPr>
          <w:noProof/>
        </w:rPr>
        <w:t>2</w:t>
      </w:r>
      <w:r w:rsidR="00900D4D">
        <w:rPr>
          <w:noProof/>
        </w:rPr>
        <w:fldChar w:fldCharType="end"/>
      </w:r>
      <w:r w:rsidR="004D57A4">
        <w:noBreakHyphen/>
      </w:r>
      <w:r w:rsidR="00900D4D">
        <w:rPr>
          <w:noProof/>
        </w:rPr>
        <w:fldChar w:fldCharType="begin"/>
      </w:r>
      <w:r w:rsidR="00900D4D">
        <w:rPr>
          <w:noProof/>
        </w:rPr>
        <w:instrText xml:space="preserve"> SEQ Table \* ARABIC \s 1 </w:instrText>
      </w:r>
      <w:r w:rsidR="00900D4D">
        <w:rPr>
          <w:noProof/>
        </w:rPr>
        <w:fldChar w:fldCharType="separate"/>
      </w:r>
      <w:r w:rsidR="00614CD5">
        <w:rPr>
          <w:noProof/>
        </w:rPr>
        <w:t>2</w:t>
      </w:r>
      <w:r w:rsidR="00900D4D">
        <w:rPr>
          <w:noProof/>
        </w:rPr>
        <w:fldChar w:fldCharType="end"/>
      </w:r>
      <w:bookmarkEnd w:id="21"/>
      <w:r>
        <w:t xml:space="preserve">: </w:t>
      </w:r>
      <w:r w:rsidR="00727B13">
        <w:t>Potential o</w:t>
      </w:r>
      <w:r>
        <w:t>ptions for measuring CTC with school financial data</w:t>
      </w:r>
      <w:bookmarkEnd w:id="22"/>
    </w:p>
    <w:tbl>
      <w:tblPr>
        <w:tblStyle w:val="TableGrid"/>
        <w:tblW w:w="9027" w:type="dxa"/>
        <w:tblLook w:val="04A0" w:firstRow="1" w:lastRow="0" w:firstColumn="1" w:lastColumn="0" w:noHBand="0" w:noVBand="1"/>
        <w:tblCaption w:val="Potential options for measuring CTC with school financial data"/>
        <w:tblDescription w:val="This table shows there are four financial elements that were investigated,  &#10;Non-fee private recurrent income, Private income for recurrent purposes, &#10;Operating expenditure (net of government funding) and Net assets (Assets minus liabilities) &#10;"/>
      </w:tblPr>
      <w:tblGrid>
        <w:gridCol w:w="2201"/>
        <w:gridCol w:w="5029"/>
        <w:gridCol w:w="1797"/>
      </w:tblGrid>
      <w:tr w:rsidR="003E4BE3" w:rsidRPr="005B3B4D" w14:paraId="4D214607"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2201" w:type="dxa"/>
          </w:tcPr>
          <w:p w14:paraId="3605DEB8" w14:textId="77777777" w:rsidR="003E4BE3" w:rsidRPr="005B3B4D" w:rsidRDefault="003E4BE3" w:rsidP="001B4F9D">
            <w:pPr>
              <w:pStyle w:val="Tablegridheading"/>
            </w:pPr>
            <w:r>
              <w:t>Financial element</w:t>
            </w:r>
          </w:p>
        </w:tc>
        <w:tc>
          <w:tcPr>
            <w:tcW w:w="5029" w:type="dxa"/>
          </w:tcPr>
          <w:p w14:paraId="1A3E1648" w14:textId="77777777" w:rsidR="003E4BE3" w:rsidRPr="005B3B4D" w:rsidRDefault="003E4BE3" w:rsidP="001B4F9D">
            <w:pPr>
              <w:pStyle w:val="Tablegridheading"/>
            </w:pPr>
            <w:r w:rsidRPr="005B3B4D">
              <w:t xml:space="preserve">Detailed </w:t>
            </w:r>
            <w:r>
              <w:t>proposal</w:t>
            </w:r>
          </w:p>
        </w:tc>
        <w:tc>
          <w:tcPr>
            <w:tcW w:w="1797" w:type="dxa"/>
          </w:tcPr>
          <w:p w14:paraId="5AE98F09" w14:textId="77777777" w:rsidR="003E4BE3" w:rsidRPr="005B3B4D" w:rsidRDefault="003E4BE3" w:rsidP="001B4F9D">
            <w:pPr>
              <w:pStyle w:val="Tablegridheading"/>
            </w:pPr>
            <w:r>
              <w:t>Source</w:t>
            </w:r>
          </w:p>
        </w:tc>
      </w:tr>
      <w:tr w:rsidR="003E4BE3" w:rsidRPr="005B3B4D" w14:paraId="1A3C2326" w14:textId="77777777" w:rsidTr="001B4F9D">
        <w:tc>
          <w:tcPr>
            <w:tcW w:w="2201" w:type="dxa"/>
          </w:tcPr>
          <w:p w14:paraId="10885AC1" w14:textId="77777777" w:rsidR="003E4BE3" w:rsidRPr="005B3B4D" w:rsidRDefault="003E4BE3" w:rsidP="00461462">
            <w:pPr>
              <w:pStyle w:val="Tablegridtext"/>
              <w:jc w:val="left"/>
            </w:pPr>
            <w:r>
              <w:t>Non-fee private recurrent income</w:t>
            </w:r>
          </w:p>
        </w:tc>
        <w:tc>
          <w:tcPr>
            <w:tcW w:w="5029" w:type="dxa"/>
          </w:tcPr>
          <w:p w14:paraId="5A0E5A48" w14:textId="54A8CB6F" w:rsidR="003E4BE3" w:rsidRDefault="003E4BE3" w:rsidP="001B4F9D">
            <w:pPr>
              <w:pStyle w:val="Tablegridtext"/>
            </w:pPr>
            <w:r w:rsidRPr="00FD100B">
              <w:t>‘</w:t>
            </w:r>
            <w:proofErr w:type="gramStart"/>
            <w:r w:rsidRPr="00FD100B">
              <w:t>a</w:t>
            </w:r>
            <w:proofErr w:type="gramEnd"/>
            <w:r w:rsidRPr="00FD100B">
              <w:t xml:space="preserve"> reformed SES-based scheme should include a mechanism for adjusting the SES score of schools which have substantial private recurrent income from endowments or donations.</w:t>
            </w:r>
          </w:p>
          <w:p w14:paraId="73AA5086" w14:textId="77777777" w:rsidR="003E4BE3" w:rsidRPr="005B3B4D" w:rsidRDefault="003E4BE3" w:rsidP="001B4F9D">
            <w:pPr>
              <w:pStyle w:val="Tablegridtext"/>
            </w:pPr>
            <w:r>
              <w:t>The exclusion of fees avoids returning to the problems associated with the ERI-funding mechanism that led to the introduction of the SES score.</w:t>
            </w:r>
          </w:p>
        </w:tc>
        <w:tc>
          <w:tcPr>
            <w:tcW w:w="1797" w:type="dxa"/>
          </w:tcPr>
          <w:p w14:paraId="67E012BF" w14:textId="77777777" w:rsidR="003E4BE3" w:rsidRPr="005B3B4D" w:rsidRDefault="002D1252" w:rsidP="001B4F9D">
            <w:pPr>
              <w:pStyle w:val="Tablegridtext"/>
            </w:pPr>
            <w:r>
              <w:rPr>
                <w:noProof/>
              </w:rPr>
              <w:t>Watson (2004), p. 233</w:t>
            </w:r>
          </w:p>
        </w:tc>
      </w:tr>
      <w:tr w:rsidR="003E4BE3" w:rsidRPr="005B3B4D" w14:paraId="1EE0DFD9" w14:textId="77777777" w:rsidTr="001B4F9D">
        <w:tc>
          <w:tcPr>
            <w:tcW w:w="2201" w:type="dxa"/>
          </w:tcPr>
          <w:p w14:paraId="101D22A7" w14:textId="77777777" w:rsidR="003E4BE3" w:rsidRPr="005B3B4D" w:rsidRDefault="003E4BE3" w:rsidP="00461462">
            <w:pPr>
              <w:pStyle w:val="Tablegridtext"/>
              <w:jc w:val="left"/>
            </w:pPr>
            <w:r>
              <w:t>P</w:t>
            </w:r>
            <w:r w:rsidRPr="005B3B4D">
              <w:t>rivate income for recurrent purposes</w:t>
            </w:r>
          </w:p>
        </w:tc>
        <w:tc>
          <w:tcPr>
            <w:tcW w:w="5029" w:type="dxa"/>
          </w:tcPr>
          <w:p w14:paraId="48C71CD6" w14:textId="77777777" w:rsidR="003E4BE3" w:rsidRDefault="003E4BE3" w:rsidP="008047A2">
            <w:pPr>
              <w:pStyle w:val="Tablegridtext"/>
            </w:pPr>
            <w:r w:rsidRPr="005B3B4D">
              <w:t>Base recurrent funding to schools should consider the private income for recurrent purposes used by schools.</w:t>
            </w:r>
          </w:p>
          <w:p w14:paraId="19AA121D" w14:textId="77777777" w:rsidR="008047A2" w:rsidRPr="005B3B4D" w:rsidRDefault="008047A2" w:rsidP="008047A2">
            <w:pPr>
              <w:pStyle w:val="Tablegridtext"/>
            </w:pPr>
            <w:r>
              <w:t>Consideration of all school private income would have parallels to the earlier ERI funding mechanism.</w:t>
            </w:r>
          </w:p>
        </w:tc>
        <w:tc>
          <w:tcPr>
            <w:tcW w:w="1797" w:type="dxa"/>
          </w:tcPr>
          <w:p w14:paraId="2C85AA3E" w14:textId="77777777" w:rsidR="003E4BE3" w:rsidRPr="005B3B4D" w:rsidRDefault="002D1252" w:rsidP="008047A2">
            <w:pPr>
              <w:pStyle w:val="Tablegridtext"/>
            </w:pPr>
            <w:r>
              <w:rPr>
                <w:noProof/>
              </w:rPr>
              <w:t>National Catholic Education Commission (2011), p. 23.</w:t>
            </w:r>
          </w:p>
        </w:tc>
      </w:tr>
      <w:tr w:rsidR="003E4BE3" w:rsidRPr="005B3B4D" w14:paraId="44169A85" w14:textId="77777777" w:rsidTr="001B4F9D">
        <w:tc>
          <w:tcPr>
            <w:tcW w:w="2201" w:type="dxa"/>
          </w:tcPr>
          <w:p w14:paraId="33F83AB6" w14:textId="77777777" w:rsidR="003E4BE3" w:rsidRPr="005B3B4D" w:rsidRDefault="003E4BE3" w:rsidP="00461462">
            <w:pPr>
              <w:pStyle w:val="Tablegridtext"/>
              <w:jc w:val="left"/>
            </w:pPr>
            <w:r>
              <w:t>Operating expenditure (net of government funding)</w:t>
            </w:r>
          </w:p>
        </w:tc>
        <w:tc>
          <w:tcPr>
            <w:tcW w:w="5029" w:type="dxa"/>
          </w:tcPr>
          <w:p w14:paraId="54F11868" w14:textId="77777777" w:rsidR="003E4BE3" w:rsidRPr="005B3B4D" w:rsidRDefault="003E4BE3" w:rsidP="001B4F9D">
            <w:pPr>
              <w:pStyle w:val="Tablegridtext"/>
            </w:pPr>
            <w:r>
              <w:t>Using operating expenditure (net of government funding) would place the focus on what schools spend, and diminish any incentives created by using income.</w:t>
            </w:r>
          </w:p>
        </w:tc>
        <w:tc>
          <w:tcPr>
            <w:tcW w:w="1797" w:type="dxa"/>
          </w:tcPr>
          <w:p w14:paraId="404221C7" w14:textId="77777777" w:rsidR="003E4BE3" w:rsidRPr="005B3B4D" w:rsidRDefault="003E4BE3" w:rsidP="001B4F9D">
            <w:pPr>
              <w:pStyle w:val="Tablegridtext"/>
            </w:pPr>
          </w:p>
        </w:tc>
      </w:tr>
      <w:tr w:rsidR="003E4BE3" w:rsidRPr="005B3B4D" w14:paraId="2D9D0481" w14:textId="77777777" w:rsidTr="001B4F9D">
        <w:tc>
          <w:tcPr>
            <w:tcW w:w="2201" w:type="dxa"/>
          </w:tcPr>
          <w:p w14:paraId="3232C83E" w14:textId="77777777" w:rsidR="003E4BE3" w:rsidRDefault="003E4BE3" w:rsidP="00461462">
            <w:pPr>
              <w:pStyle w:val="Tablegridtext"/>
              <w:jc w:val="left"/>
            </w:pPr>
            <w:r>
              <w:t>Net assets (Assets minus liabilities)</w:t>
            </w:r>
          </w:p>
        </w:tc>
        <w:tc>
          <w:tcPr>
            <w:tcW w:w="5029" w:type="dxa"/>
          </w:tcPr>
          <w:p w14:paraId="6138C9E3" w14:textId="77777777" w:rsidR="003E4BE3" w:rsidRPr="005B3B4D" w:rsidRDefault="003E4BE3" w:rsidP="001B4F9D">
            <w:pPr>
              <w:pStyle w:val="Tablegridtext"/>
            </w:pPr>
            <w:r>
              <w:t>Using net assets (assets minus li</w:t>
            </w:r>
            <w:r w:rsidR="008047A2">
              <w:t xml:space="preserve">abilities). </w:t>
            </w:r>
          </w:p>
        </w:tc>
        <w:tc>
          <w:tcPr>
            <w:tcW w:w="1797" w:type="dxa"/>
          </w:tcPr>
          <w:p w14:paraId="5AA601B9" w14:textId="77777777" w:rsidR="003E4BE3" w:rsidRPr="005B3B4D" w:rsidRDefault="003E4BE3" w:rsidP="001B4F9D">
            <w:pPr>
              <w:pStyle w:val="Tablegridtext"/>
            </w:pPr>
          </w:p>
        </w:tc>
      </w:tr>
    </w:tbl>
    <w:p w14:paraId="7BC28AB9" w14:textId="77777777" w:rsidR="003E4BE3" w:rsidRPr="00C32A67" w:rsidRDefault="003E4BE3" w:rsidP="003E4BE3"/>
    <w:p w14:paraId="7150CE72" w14:textId="77777777" w:rsidR="005B3B4D" w:rsidRDefault="005B3B4D" w:rsidP="00835CD9"/>
    <w:p w14:paraId="440CD357" w14:textId="77777777" w:rsidR="005B3B4D" w:rsidRDefault="008B58D3" w:rsidP="008B58D3">
      <w:pPr>
        <w:pStyle w:val="Heading1"/>
      </w:pPr>
      <w:bookmarkStart w:id="23" w:name="_Ref517945960"/>
      <w:bookmarkStart w:id="24" w:name="_Ref517966748"/>
      <w:bookmarkStart w:id="25" w:name="_Toc517982741"/>
      <w:r>
        <w:t>Analytical approach</w:t>
      </w:r>
      <w:bookmarkEnd w:id="23"/>
      <w:bookmarkEnd w:id="24"/>
      <w:bookmarkEnd w:id="25"/>
    </w:p>
    <w:p w14:paraId="3B14880C" w14:textId="3E70074F" w:rsidR="00727B13" w:rsidRPr="00727B13" w:rsidRDefault="00727B13" w:rsidP="00727B13">
      <w:r>
        <w:t xml:space="preserve">This </w:t>
      </w:r>
      <w:r w:rsidR="00491191">
        <w:t>section</w:t>
      </w:r>
      <w:r>
        <w:t xml:space="preserve"> details the analytical approach applied in the remainder of the report, alongside the features of the </w:t>
      </w:r>
      <w:r w:rsidR="00D73026">
        <w:t>FQ</w:t>
      </w:r>
      <w:r>
        <w:t xml:space="preserve"> data, and the specific wealth score options examined in the remainder of the repo</w:t>
      </w:r>
      <w:r w:rsidR="00184C6E">
        <w:t>r</w:t>
      </w:r>
      <w:r>
        <w:t xml:space="preserve">t. </w:t>
      </w:r>
    </w:p>
    <w:p w14:paraId="1DB40D3A" w14:textId="77777777" w:rsidR="008B58D3" w:rsidRDefault="008B58D3" w:rsidP="008B58D3">
      <w:pPr>
        <w:pStyle w:val="Heading2"/>
      </w:pPr>
      <w:bookmarkStart w:id="26" w:name="_Toc517982742"/>
      <w:r>
        <w:t>Analysis framework</w:t>
      </w:r>
      <w:bookmarkEnd w:id="26"/>
    </w:p>
    <w:p w14:paraId="1F6C2DE2" w14:textId="22A1F401" w:rsidR="00727B13" w:rsidRPr="00727B13" w:rsidRDefault="00727B13" w:rsidP="00727B13">
      <w:r>
        <w:t xml:space="preserve">The analysis </w:t>
      </w:r>
      <w:r w:rsidR="00C128E9">
        <w:t xml:space="preserve">framework </w:t>
      </w:r>
      <w:r w:rsidR="00747C3E">
        <w:t xml:space="preserve">guiding the remainder of this report </w:t>
      </w:r>
      <w:proofErr w:type="gramStart"/>
      <w:r w:rsidR="00747C3E">
        <w:t>is detailed</w:t>
      </w:r>
      <w:proofErr w:type="gramEnd"/>
      <w:r w:rsidR="00747C3E">
        <w:t xml:space="preserve"> in </w:t>
      </w:r>
      <w:r w:rsidR="00747C3E">
        <w:fldChar w:fldCharType="begin"/>
      </w:r>
      <w:r w:rsidR="00747C3E">
        <w:instrText xml:space="preserve"> REF _Ref517969020 \h </w:instrText>
      </w:r>
      <w:r w:rsidR="00747C3E">
        <w:fldChar w:fldCharType="separate"/>
      </w:r>
      <w:r w:rsidR="00614CD5">
        <w:t xml:space="preserve">Figure </w:t>
      </w:r>
      <w:r w:rsidR="00614CD5">
        <w:rPr>
          <w:noProof/>
        </w:rPr>
        <w:t>3</w:t>
      </w:r>
      <w:r w:rsidR="00614CD5">
        <w:noBreakHyphen/>
      </w:r>
      <w:r w:rsidR="00614CD5">
        <w:rPr>
          <w:noProof/>
        </w:rPr>
        <w:t>1</w:t>
      </w:r>
      <w:r w:rsidR="00747C3E">
        <w:fldChar w:fldCharType="end"/>
      </w:r>
      <w:r w:rsidR="00747C3E">
        <w:t xml:space="preserve">. This framework identifies </w:t>
      </w:r>
      <w:r w:rsidR="00FA13E9">
        <w:t xml:space="preserve">each </w:t>
      </w:r>
      <w:r w:rsidR="008D4207">
        <w:t xml:space="preserve">analysis </w:t>
      </w:r>
      <w:r w:rsidR="00FA13E9">
        <w:t>step, starting with articulating the purpose of a school wealth measure, its potential application and estimation approach,</w:t>
      </w:r>
      <w:r w:rsidR="00184C6E">
        <w:t xml:space="preserve"> alongside</w:t>
      </w:r>
      <w:r w:rsidR="00FA13E9">
        <w:t xml:space="preserve"> </w:t>
      </w:r>
      <w:r w:rsidR="00184C6E">
        <w:t xml:space="preserve">options for the resulting measure. Also identified is the need to consider conceptual issues associated with how the school wealth measure is applied, particularly the extent </w:t>
      </w:r>
      <w:r w:rsidR="00E57157">
        <w:t xml:space="preserve">to which it </w:t>
      </w:r>
      <w:r w:rsidR="00184C6E">
        <w:t xml:space="preserve">duplicates or overlaps with other CTC estimates (e.g. the SES score). </w:t>
      </w:r>
    </w:p>
    <w:p w14:paraId="1428F957" w14:textId="7DB6BF98" w:rsidR="008B58D3" w:rsidRDefault="008B58D3" w:rsidP="008B58D3">
      <w:pPr>
        <w:pStyle w:val="Caption"/>
      </w:pPr>
      <w:bookmarkStart w:id="27" w:name="_Ref517969020"/>
      <w:bookmarkStart w:id="28" w:name="_Toc518645994"/>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3</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1</w:t>
      </w:r>
      <w:r w:rsidR="001D45B7">
        <w:rPr>
          <w:noProof/>
        </w:rPr>
        <w:fldChar w:fldCharType="end"/>
      </w:r>
      <w:bookmarkEnd w:id="27"/>
      <w:r>
        <w:t>: Analysis framework</w:t>
      </w:r>
      <w:bookmarkEnd w:id="28"/>
    </w:p>
    <w:p w14:paraId="02F247F7" w14:textId="77777777" w:rsidR="00727B13" w:rsidRDefault="00184C6E" w:rsidP="00727B13">
      <w:r w:rsidRPr="00184C6E">
        <w:rPr>
          <w:noProof/>
          <w:lang w:eastAsia="en-AU"/>
        </w:rPr>
        <w:drawing>
          <wp:inline distT="0" distB="0" distL="0" distR="0" wp14:anchorId="5BB15113" wp14:editId="213D298C">
            <wp:extent cx="5732145" cy="5001578"/>
            <wp:effectExtent l="0" t="0" r="1905" b="0"/>
            <wp:docPr id="16" name="Picture 16" descr="This is a flow chart which summarises the text above.&#10; Purpose of a school wealth measure&#10;To measure school wealth, and thus the capacity of a school’s community to contribute towards ‘base’ school operating costs.  This measure is intended to be distinct from the capacity to contribute of the family of students at a school. &#10;&#10;Potential application&#10;Generate a ‘school wealth score’, used with other measures of CTC, to potentially:&#10;generate a single index (combined the school wealth score with other CTC measures)&#10;adjust the base SRS per student funding discount, estimated from other CTC measures. &#10;&#10;Estimation approach&#10;Use non-government school financial data collected in the Financial Questionnaire to develop a ‘school wealth score’.  &#10;&#10;Conceptual measure options&#10;A school wealth score based on either:&#10;an absolute value of school wealth; or&#10;the difference between the absolute value and a benchmark (e.g. ‘base’ Schooling Resource Standard). &#10;&#10;Conceptual issues surrounding the application of a school wealth measure&#10;Extent that a school wealth score duplicates or overlaps with estimates of the CTC of families whose children attend non-government schools (i.e. the SES score). &#10;" title="Analysis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145" cy="5001578"/>
                    </a:xfrm>
                    <a:prstGeom prst="rect">
                      <a:avLst/>
                    </a:prstGeom>
                    <a:noFill/>
                    <a:ln>
                      <a:noFill/>
                    </a:ln>
                  </pic:spPr>
                </pic:pic>
              </a:graphicData>
            </a:graphic>
          </wp:inline>
        </w:drawing>
      </w:r>
    </w:p>
    <w:p w14:paraId="23BF7B8A" w14:textId="77777777" w:rsidR="00572763" w:rsidRPr="00727B13" w:rsidRDefault="002B4DB0" w:rsidP="00572763">
      <w:pPr>
        <w:pStyle w:val="Heading2"/>
      </w:pPr>
      <w:bookmarkStart w:id="29" w:name="_Toc517982743"/>
      <w:r>
        <w:t>M</w:t>
      </w:r>
      <w:r w:rsidR="00572763">
        <w:t>easuring school wealth</w:t>
      </w:r>
      <w:bookmarkEnd w:id="29"/>
    </w:p>
    <w:p w14:paraId="03F32871" w14:textId="61756B06" w:rsidR="00BA75EC" w:rsidRDefault="00930A43" w:rsidP="008D4207">
      <w:pPr>
        <w:spacing w:after="0"/>
      </w:pPr>
      <w:r>
        <w:t xml:space="preserve">Five distinct options for measuring school wealth </w:t>
      </w:r>
      <w:proofErr w:type="gramStart"/>
      <w:r>
        <w:t>have been identified</w:t>
      </w:r>
      <w:proofErr w:type="gramEnd"/>
      <w:r>
        <w:t>:</w:t>
      </w:r>
    </w:p>
    <w:p w14:paraId="22633039" w14:textId="77777777" w:rsidR="00930A43" w:rsidRDefault="00930A43" w:rsidP="00930A43">
      <w:pPr>
        <w:pStyle w:val="Numberedlist"/>
      </w:pPr>
      <w:r>
        <w:t>Fee income</w:t>
      </w:r>
    </w:p>
    <w:p w14:paraId="523DC4E3" w14:textId="77777777" w:rsidR="00930A43" w:rsidRDefault="00930A43" w:rsidP="00930A43">
      <w:pPr>
        <w:pStyle w:val="Numberedlist"/>
      </w:pPr>
      <w:r>
        <w:t>Non-fee private income</w:t>
      </w:r>
    </w:p>
    <w:p w14:paraId="26B70B90" w14:textId="2A291250" w:rsidR="00930A43" w:rsidRDefault="00930A43" w:rsidP="00930A43">
      <w:pPr>
        <w:pStyle w:val="Numberedlist"/>
      </w:pPr>
      <w:bookmarkStart w:id="30" w:name="_Ref517978361"/>
      <w:r>
        <w:t>Operating expenditure</w:t>
      </w:r>
      <w:bookmarkEnd w:id="30"/>
      <w:r w:rsidR="00C87B10">
        <w:t>, net of subsidies</w:t>
      </w:r>
      <w:r w:rsidR="00D73026">
        <w:t>,</w:t>
      </w:r>
      <w:r w:rsidR="00C87B10">
        <w:t xml:space="preserve"> and expenditure on overseas students</w:t>
      </w:r>
    </w:p>
    <w:p w14:paraId="574357A5" w14:textId="77777777" w:rsidR="00930A43" w:rsidRDefault="00930A43" w:rsidP="00930A43">
      <w:pPr>
        <w:pStyle w:val="Numberedlist"/>
      </w:pPr>
      <w:bookmarkStart w:id="31" w:name="_Ref517978365"/>
      <w:r>
        <w:t>Net financial assets, comprising financial assets minus liabilities</w:t>
      </w:r>
      <w:bookmarkEnd w:id="31"/>
    </w:p>
    <w:p w14:paraId="4D8647F5" w14:textId="50A6589F" w:rsidR="00930A43" w:rsidRDefault="00930A43" w:rsidP="00930A43">
      <w:pPr>
        <w:pStyle w:val="Numberedlist"/>
      </w:pPr>
      <w:r>
        <w:t xml:space="preserve">Combination of operating expenditure and net financial assets </w:t>
      </w:r>
    </w:p>
    <w:p w14:paraId="338354E0" w14:textId="37289DC5" w:rsidR="00930A43" w:rsidRDefault="00ED5B32" w:rsidP="00930A43">
      <w:r>
        <w:t xml:space="preserve">Each of these </w:t>
      </w:r>
      <w:proofErr w:type="gramStart"/>
      <w:r>
        <w:t>would be considered</w:t>
      </w:r>
      <w:proofErr w:type="gramEnd"/>
      <w:r>
        <w:t xml:space="preserve"> on a per</w:t>
      </w:r>
      <w:r w:rsidR="00E271ED">
        <w:t>-</w:t>
      </w:r>
      <w:r>
        <w:t>student basis, with d</w:t>
      </w:r>
      <w:r w:rsidR="00930A43">
        <w:t>ata for each measure collected by the FQ</w:t>
      </w:r>
      <w:r w:rsidR="00F916D1">
        <w:t>.</w:t>
      </w:r>
      <w:r w:rsidR="00C87B10">
        <w:rPr>
          <w:rStyle w:val="FootnoteReference"/>
        </w:rPr>
        <w:footnoteReference w:id="4"/>
      </w:r>
      <w:r w:rsidR="00C87B10">
        <w:t xml:space="preserve"> </w:t>
      </w:r>
      <w:r>
        <w:t>For measures 1 to 3, the sub-options</w:t>
      </w:r>
      <w:r w:rsidR="00536C0C">
        <w:t xml:space="preserve"> include </w:t>
      </w:r>
      <w:r>
        <w:t>either</w:t>
      </w:r>
      <w:r w:rsidR="00536C0C">
        <w:t xml:space="preserve"> an </w:t>
      </w:r>
      <w:r w:rsidR="0021790A">
        <w:t>a</w:t>
      </w:r>
      <w:r w:rsidR="00B87B4D">
        <w:t xml:space="preserve">bsolute </w:t>
      </w:r>
      <w:proofErr w:type="gramStart"/>
      <w:r w:rsidR="00B87B4D">
        <w:t>value</w:t>
      </w:r>
      <w:r>
        <w:t>,</w:t>
      </w:r>
      <w:proofErr w:type="gramEnd"/>
      <w:r>
        <w:t xml:space="preserve"> or the difference from a benchmark (e.g. the </w:t>
      </w:r>
      <w:r w:rsidR="00966593">
        <w:t>base</w:t>
      </w:r>
      <w:r>
        <w:t xml:space="preserve"> school SRS</w:t>
      </w:r>
      <w:r w:rsidR="007A06FE">
        <w:t>)</w:t>
      </w:r>
      <w:r>
        <w:t xml:space="preserve"> (see </w:t>
      </w:r>
      <w:r>
        <w:fldChar w:fldCharType="begin"/>
      </w:r>
      <w:r>
        <w:instrText xml:space="preserve"> REF _Ref517980747 \h </w:instrText>
      </w:r>
      <w:r>
        <w:fldChar w:fldCharType="separate"/>
      </w:r>
      <w:r w:rsidR="00614CD5">
        <w:t xml:space="preserve">Figure </w:t>
      </w:r>
      <w:r w:rsidR="00614CD5">
        <w:rPr>
          <w:noProof/>
        </w:rPr>
        <w:t>3</w:t>
      </w:r>
      <w:r w:rsidR="00614CD5">
        <w:noBreakHyphen/>
      </w:r>
      <w:r w:rsidR="00614CD5">
        <w:rPr>
          <w:noProof/>
        </w:rPr>
        <w:t>2</w:t>
      </w:r>
      <w:r>
        <w:fldChar w:fldCharType="end"/>
      </w:r>
      <w:r>
        <w:t xml:space="preserve">). </w:t>
      </w:r>
    </w:p>
    <w:p w14:paraId="29028140" w14:textId="5FBC1769" w:rsidR="00D73026" w:rsidRDefault="008D4207" w:rsidP="00930A43">
      <w:r>
        <w:t>T</w:t>
      </w:r>
      <w:r w:rsidR="00ED5B32">
        <w:t>here are either conceptual and data availability issues with each of the five measures. Conceptual issues include fee income potentially duplicating other measures of CTC (</w:t>
      </w:r>
      <w:r w:rsidR="00D73026">
        <w:t>i.e.</w:t>
      </w:r>
      <w:r w:rsidR="00ED5B32">
        <w:t xml:space="preserve"> the SES score)</w:t>
      </w:r>
      <w:r w:rsidR="00451456">
        <w:t xml:space="preserve">. </w:t>
      </w:r>
      <w:r w:rsidR="00D73026">
        <w:t xml:space="preserve">For example, there is a risk of duplication in a measure based on fee income in conjunction with one based on CTC. </w:t>
      </w:r>
    </w:p>
    <w:p w14:paraId="505BEB2B" w14:textId="52F9D919" w:rsidR="00BC7FF0" w:rsidRDefault="00D73026" w:rsidP="00930A43">
      <w:r>
        <w:t>N</w:t>
      </w:r>
      <w:r w:rsidR="00451456">
        <w:t xml:space="preserve">on-fee private income is potentially subject to annual volatility, </w:t>
      </w:r>
      <w:r w:rsidR="008D4207">
        <w:t xml:space="preserve">with it </w:t>
      </w:r>
      <w:r>
        <w:t xml:space="preserve">also </w:t>
      </w:r>
      <w:r w:rsidR="008D4207">
        <w:t xml:space="preserve">not possible </w:t>
      </w:r>
      <w:r w:rsidR="00451456">
        <w:t xml:space="preserve">to distinguish between non-fee income provided </w:t>
      </w:r>
      <w:r w:rsidR="00BC7FF0">
        <w:t>current school families vis-à-vis others</w:t>
      </w:r>
      <w:r w:rsidR="008D4207">
        <w:t>. Finally</w:t>
      </w:r>
      <w:r w:rsidR="00BC7FF0">
        <w:t xml:space="preserve">, </w:t>
      </w:r>
      <w:r w:rsidR="008D4207">
        <w:t xml:space="preserve">non-fee private income (and other data in the FQ) </w:t>
      </w:r>
      <w:r w:rsidR="00BC7FF0">
        <w:t xml:space="preserve">does not capture margins made by schools on teaching-related activities (e.g. overseas students). </w:t>
      </w:r>
    </w:p>
    <w:p w14:paraId="7159A9A2" w14:textId="49511624" w:rsidR="009C14D5" w:rsidRPr="008B58D3" w:rsidRDefault="00BC7FF0" w:rsidP="009C14D5">
      <w:r>
        <w:t xml:space="preserve">Measure </w:t>
      </w:r>
      <w:proofErr w:type="gramStart"/>
      <w:r>
        <w:t>4—</w:t>
      </w:r>
      <w:proofErr w:type="gramEnd"/>
      <w:r>
        <w:t>net assets</w:t>
      </w:r>
      <w:r w:rsidR="00D73026">
        <w:t>—is</w:t>
      </w:r>
      <w:r>
        <w:t xml:space="preserve"> conceptually the </w:t>
      </w:r>
      <w:r w:rsidR="00D73026">
        <w:t>ideal</w:t>
      </w:r>
      <w:r>
        <w:t xml:space="preserve"> measure of wealth. </w:t>
      </w:r>
      <w:proofErr w:type="gramStart"/>
      <w:r>
        <w:t>But</w:t>
      </w:r>
      <w:proofErr w:type="gramEnd"/>
      <w:r>
        <w:t xml:space="preserve"> it has two fundamental issues</w:t>
      </w:r>
      <w:r w:rsidR="00D73026">
        <w:t>. Firstly, t</w:t>
      </w:r>
      <w:r>
        <w:t xml:space="preserve">he </w:t>
      </w:r>
      <w:r w:rsidR="008D4207">
        <w:t xml:space="preserve">treatment of </w:t>
      </w:r>
      <w:r>
        <w:t>fixed assets (e.g. buildings)</w:t>
      </w:r>
      <w:r w:rsidR="006D2747">
        <w:t>, which</w:t>
      </w:r>
      <w:r>
        <w:t xml:space="preserve"> is likely to create distortions, and mo</w:t>
      </w:r>
      <w:r w:rsidR="006D2747">
        <w:t>re</w:t>
      </w:r>
      <w:r>
        <w:t xml:space="preserve"> significantly, data is unavailable for most Catholic systemic schools. </w:t>
      </w:r>
      <w:r w:rsidR="00D73026">
        <w:t>Secondly</w:t>
      </w:r>
      <w:r w:rsidR="009C14D5">
        <w:t xml:space="preserve">, asset data is reported for the ‘parent entity’ of schools—in some </w:t>
      </w:r>
      <w:proofErr w:type="gramStart"/>
      <w:r w:rsidR="009C14D5">
        <w:t>cases</w:t>
      </w:r>
      <w:proofErr w:type="gramEnd"/>
      <w:r w:rsidR="009C14D5">
        <w:t xml:space="preserve"> parent entities undertake non-school activities, such as aged care. </w:t>
      </w:r>
    </w:p>
    <w:p w14:paraId="32B41DEF" w14:textId="7FA984B4" w:rsidR="00D73026" w:rsidRDefault="00BC7FF0" w:rsidP="00930A43">
      <w:r>
        <w:t xml:space="preserve">After reconciling both the conceptual and data </w:t>
      </w:r>
      <w:r w:rsidR="0055698F">
        <w:t xml:space="preserve">issues identified in </w:t>
      </w:r>
      <w:r w:rsidR="0055698F">
        <w:fldChar w:fldCharType="begin"/>
      </w:r>
      <w:r w:rsidR="0055698F">
        <w:instrText xml:space="preserve"> REF _Ref517980747 \h </w:instrText>
      </w:r>
      <w:r w:rsidR="0055698F">
        <w:fldChar w:fldCharType="separate"/>
      </w:r>
      <w:r w:rsidR="00614CD5">
        <w:t xml:space="preserve">Figure </w:t>
      </w:r>
      <w:r w:rsidR="00614CD5">
        <w:rPr>
          <w:noProof/>
        </w:rPr>
        <w:t>3</w:t>
      </w:r>
      <w:r w:rsidR="00614CD5">
        <w:noBreakHyphen/>
      </w:r>
      <w:r w:rsidR="00614CD5">
        <w:rPr>
          <w:noProof/>
        </w:rPr>
        <w:t>2</w:t>
      </w:r>
      <w:r w:rsidR="0055698F">
        <w:fldChar w:fldCharType="end"/>
      </w:r>
      <w:r w:rsidR="002B4DB0">
        <w:t xml:space="preserve">, </w:t>
      </w:r>
      <w:r w:rsidR="00D73026">
        <w:t xml:space="preserve">options 1, 3, 4 and 5 </w:t>
      </w:r>
      <w:proofErr w:type="gramStart"/>
      <w:r w:rsidR="00D73026">
        <w:t>are dismissed</w:t>
      </w:r>
      <w:proofErr w:type="gramEnd"/>
      <w:r w:rsidR="00D73026">
        <w:t xml:space="preserve">. </w:t>
      </w:r>
    </w:p>
    <w:p w14:paraId="17CDA3F7" w14:textId="7E7D9E6E" w:rsidR="00BC7FF0" w:rsidRDefault="00D73026" w:rsidP="00930A43">
      <w:r>
        <w:t>O</w:t>
      </w:r>
      <w:r w:rsidR="002B4DB0">
        <w:t xml:space="preserve">nly </w:t>
      </w:r>
      <w:r w:rsidR="00CA4E6D">
        <w:t>option</w:t>
      </w:r>
      <w:r w:rsidR="002B4DB0">
        <w:t xml:space="preserve"> two</w:t>
      </w:r>
      <w:r w:rsidR="006F0BAB">
        <w:t>, non-fee private income,</w:t>
      </w:r>
      <w:r w:rsidR="002B4DB0">
        <w:t xml:space="preserve"> </w:t>
      </w:r>
      <w:proofErr w:type="gramStart"/>
      <w:r w:rsidR="002B4DB0">
        <w:t>is explored</w:t>
      </w:r>
      <w:proofErr w:type="gramEnd"/>
      <w:r w:rsidR="002B4DB0">
        <w:t xml:space="preserve"> further in this report</w:t>
      </w:r>
      <w:r w:rsidR="006F0BAB">
        <w:t>.</w:t>
      </w:r>
      <w:r w:rsidR="006F0BAB" w:rsidDel="006F0BAB">
        <w:t xml:space="preserve"> </w:t>
      </w:r>
      <w:r w:rsidR="002B4DB0">
        <w:t xml:space="preserve">This measure </w:t>
      </w:r>
      <w:proofErr w:type="gramStart"/>
      <w:r w:rsidR="008D4207">
        <w:t xml:space="preserve">can </w:t>
      </w:r>
      <w:r w:rsidR="002B4DB0">
        <w:t>be developed</w:t>
      </w:r>
      <w:proofErr w:type="gramEnd"/>
      <w:r w:rsidR="002B4DB0">
        <w:t xml:space="preserve"> with the available data and is distinct from the </w:t>
      </w:r>
      <w:r w:rsidR="008D4207">
        <w:t xml:space="preserve">‘realised’ </w:t>
      </w:r>
      <w:r w:rsidR="002B4DB0">
        <w:t>CTC of the family of students at a school</w:t>
      </w:r>
      <w:r w:rsidR="008D4207">
        <w:t>, as revealed by fees paid</w:t>
      </w:r>
      <w:r w:rsidR="002B4DB0">
        <w:t xml:space="preserve">. </w:t>
      </w:r>
      <w:r w:rsidR="001B4F9D">
        <w:t xml:space="preserve">To address year-to-year volatility, the following analysis uses a five-year average for the period 2012 to 2016. Data prior to 2016 </w:t>
      </w:r>
      <w:proofErr w:type="gramStart"/>
      <w:r w:rsidR="001B4F9D">
        <w:t>is index</w:t>
      </w:r>
      <w:r w:rsidR="008D4207">
        <w:t>ed</w:t>
      </w:r>
      <w:proofErr w:type="gramEnd"/>
      <w:r w:rsidR="001B4F9D">
        <w:t xml:space="preserve"> to 2016 dollars using the Consumer Price Index</w:t>
      </w:r>
      <w:sdt>
        <w:sdtPr>
          <w:id w:val="2115790497"/>
          <w:citation/>
        </w:sdtPr>
        <w:sdtEndPr/>
        <w:sdtContent>
          <w:r w:rsidR="001B4F9D">
            <w:fldChar w:fldCharType="begin"/>
          </w:r>
          <w:r w:rsidR="001B4F9D">
            <w:instrText xml:space="preserve"> CITATION Aus18 \l 3081 </w:instrText>
          </w:r>
          <w:r w:rsidR="001B4F9D">
            <w:fldChar w:fldCharType="separate"/>
          </w:r>
          <w:r w:rsidR="00FB7B8B">
            <w:rPr>
              <w:noProof/>
            </w:rPr>
            <w:t xml:space="preserve"> (Australian Bureau of Statistics, 2018)</w:t>
          </w:r>
          <w:r w:rsidR="001B4F9D">
            <w:fldChar w:fldCharType="end"/>
          </w:r>
        </w:sdtContent>
      </w:sdt>
      <w:r w:rsidR="001B4F9D">
        <w:t>.</w:t>
      </w:r>
    </w:p>
    <w:p w14:paraId="4717F4CD" w14:textId="77777777" w:rsidR="00BA75EC" w:rsidRPr="008B58D3" w:rsidRDefault="00BA75EC" w:rsidP="008B58D3"/>
    <w:p w14:paraId="7D172D8B" w14:textId="77777777" w:rsidR="008B58D3" w:rsidRDefault="008B58D3" w:rsidP="00CB525C">
      <w:pPr>
        <w:sectPr w:rsidR="008B58D3" w:rsidSect="00DA3FED">
          <w:headerReference w:type="default" r:id="rId19"/>
          <w:pgSz w:w="11907" w:h="16839" w:code="9"/>
          <w:pgMar w:top="1440" w:right="1440" w:bottom="1440" w:left="1440" w:header="720" w:footer="720" w:gutter="0"/>
          <w:pgNumType w:start="1"/>
          <w:cols w:space="720"/>
          <w:noEndnote/>
          <w:docGrid w:linePitch="326"/>
        </w:sectPr>
      </w:pPr>
    </w:p>
    <w:p w14:paraId="7D3B1BDD" w14:textId="474E759B" w:rsidR="008B58D3" w:rsidRDefault="008D584A" w:rsidP="008D584A">
      <w:pPr>
        <w:pStyle w:val="Caption"/>
      </w:pPr>
      <w:bookmarkStart w:id="32" w:name="_Ref517980747"/>
      <w:bookmarkStart w:id="33" w:name="_Ref517981554"/>
      <w:bookmarkStart w:id="34" w:name="_Toc518645995"/>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3</w:t>
      </w:r>
      <w:r w:rsidR="001D45B7">
        <w:rPr>
          <w:noProof/>
        </w:rPr>
        <w:fldChar w:fldCharType="end"/>
      </w:r>
      <w:r>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2</w:t>
      </w:r>
      <w:r w:rsidR="001D45B7">
        <w:rPr>
          <w:noProof/>
        </w:rPr>
        <w:fldChar w:fldCharType="end"/>
      </w:r>
      <w:bookmarkEnd w:id="32"/>
      <w:r>
        <w:t xml:space="preserve">: Measure </w:t>
      </w:r>
      <w:r w:rsidR="00DE7B51">
        <w:t>options and features</w:t>
      </w:r>
      <w:bookmarkEnd w:id="33"/>
      <w:bookmarkEnd w:id="34"/>
    </w:p>
    <w:p w14:paraId="5FA8DC8D" w14:textId="37FFF09E" w:rsidR="008B58D3" w:rsidRDefault="007A06FE" w:rsidP="00CB525C">
      <w:r w:rsidRPr="007A06FE">
        <w:rPr>
          <w:noProof/>
          <w:lang w:eastAsia="en-AU"/>
        </w:rPr>
        <w:drawing>
          <wp:inline distT="0" distB="0" distL="0" distR="0" wp14:anchorId="362CCBD4" wp14:editId="4FE76925">
            <wp:extent cx="8863965" cy="4269799"/>
            <wp:effectExtent l="0" t="0" r="0" b="0"/>
            <wp:docPr id="15" name="Picture 15" descr="This is a table depicting the five distinct options available to measure school wealth and the features of each. The table is a summary of the text outlined above.&#10;" title="Measure options and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63965" cy="4269799"/>
                    </a:xfrm>
                    <a:prstGeom prst="rect">
                      <a:avLst/>
                    </a:prstGeom>
                    <a:noFill/>
                    <a:ln>
                      <a:noFill/>
                    </a:ln>
                  </pic:spPr>
                </pic:pic>
              </a:graphicData>
            </a:graphic>
          </wp:inline>
        </w:drawing>
      </w:r>
    </w:p>
    <w:p w14:paraId="6C220362" w14:textId="77777777" w:rsidR="008B58D3" w:rsidRDefault="008B58D3" w:rsidP="00CB525C"/>
    <w:p w14:paraId="6FE8B199" w14:textId="77777777" w:rsidR="008B58D3" w:rsidRDefault="008B58D3" w:rsidP="00CB525C">
      <w:pPr>
        <w:sectPr w:rsidR="008B58D3" w:rsidSect="00DA3FED">
          <w:headerReference w:type="default" r:id="rId21"/>
          <w:pgSz w:w="16839" w:h="11907" w:orient="landscape" w:code="9"/>
          <w:pgMar w:top="1440" w:right="1440" w:bottom="1440" w:left="1440" w:header="720" w:footer="720" w:gutter="0"/>
          <w:cols w:space="720"/>
          <w:noEndnote/>
          <w:docGrid w:linePitch="326"/>
        </w:sectPr>
      </w:pPr>
    </w:p>
    <w:p w14:paraId="4CF2231B" w14:textId="77777777" w:rsidR="00572763" w:rsidRDefault="00572763" w:rsidP="00572763">
      <w:pPr>
        <w:pStyle w:val="Heading2"/>
      </w:pPr>
      <w:bookmarkStart w:id="35" w:name="_Toc517982744"/>
      <w:r>
        <w:t>Options</w:t>
      </w:r>
      <w:r w:rsidR="001D3493">
        <w:t xml:space="preserve"> for measuring non-fee private income</w:t>
      </w:r>
      <w:bookmarkEnd w:id="35"/>
    </w:p>
    <w:p w14:paraId="0039ABA3" w14:textId="051D638E" w:rsidR="001D3493" w:rsidRPr="00715E36" w:rsidRDefault="00CA4E6D" w:rsidP="001D3493">
      <w:r>
        <w:t>T</w:t>
      </w:r>
      <w:r w:rsidR="001D3493">
        <w:t xml:space="preserve">wo distinct approaches </w:t>
      </w:r>
      <w:proofErr w:type="gramStart"/>
      <w:r w:rsidR="001D3493">
        <w:t>have been identified</w:t>
      </w:r>
      <w:proofErr w:type="gramEnd"/>
      <w:r w:rsidR="001D3493">
        <w:t xml:space="preserve"> for measuring non-fee private income. The first involves using the unadjusted value </w:t>
      </w:r>
      <w:r w:rsidR="008D4207">
        <w:t>of non-fee private income</w:t>
      </w:r>
      <w:r w:rsidR="001D3493">
        <w:t xml:space="preserve"> </w:t>
      </w:r>
      <w:r w:rsidR="0023014D">
        <w:t>per student</w:t>
      </w:r>
      <w:r w:rsidR="001D3493">
        <w:t xml:space="preserve"> (known as the </w:t>
      </w:r>
      <w:r w:rsidR="00B87B4D">
        <w:t>Absolute value</w:t>
      </w:r>
      <w:r w:rsidR="001D3493">
        <w:t xml:space="preserve">). The second </w:t>
      </w:r>
      <w:r w:rsidR="006F0BAB">
        <w:t xml:space="preserve">pertains to </w:t>
      </w:r>
      <w:r w:rsidR="001D3493">
        <w:t xml:space="preserve">using the difference between the </w:t>
      </w:r>
      <w:r w:rsidR="00B87B4D">
        <w:t>Absolute value</w:t>
      </w:r>
      <w:r w:rsidR="001D3493">
        <w:t xml:space="preserve"> and the base per student schooling resource standard (SRS) amount received by a school. </w:t>
      </w:r>
    </w:p>
    <w:p w14:paraId="3F7A441D" w14:textId="77777777" w:rsidR="00572763" w:rsidRDefault="00572763" w:rsidP="00572763">
      <w:pPr>
        <w:pStyle w:val="Heading3"/>
      </w:pPr>
      <w:bookmarkStart w:id="36" w:name="_Toc517982745"/>
      <w:r w:rsidRPr="00301F6F">
        <w:t>Absolute</w:t>
      </w:r>
      <w:r w:rsidR="001D3493">
        <w:t xml:space="preserve"> value</w:t>
      </w:r>
      <w:bookmarkEnd w:id="36"/>
    </w:p>
    <w:p w14:paraId="5093D358" w14:textId="3AB9ACE7" w:rsidR="00AB1198" w:rsidRDefault="001B4F9D" w:rsidP="001B4F9D">
      <w:r>
        <w:t>This measure is c</w:t>
      </w:r>
      <w:r w:rsidRPr="00301F6F">
        <w:t xml:space="preserve">onceptually preferred if </w:t>
      </w:r>
      <w:r>
        <w:t xml:space="preserve">it is intended to treat all schools the </w:t>
      </w:r>
      <w:r w:rsidR="006F0BAB">
        <w:t>s</w:t>
      </w:r>
      <w:r>
        <w:t xml:space="preserve">ame, regardless of the composition of either </w:t>
      </w:r>
      <w:r w:rsidRPr="00301F6F">
        <w:t xml:space="preserve">primary </w:t>
      </w:r>
      <w:r>
        <w:t>or</w:t>
      </w:r>
      <w:r w:rsidRPr="00301F6F">
        <w:t xml:space="preserve"> secondary student</w:t>
      </w:r>
      <w:r>
        <w:t xml:space="preserve">s. </w:t>
      </w:r>
      <w:r w:rsidRPr="00301F6F">
        <w:t>This means two schools with the same non-fee private income per student would receive same CTC index score, even if one was fully primary, and the other fully secondary</w:t>
      </w:r>
      <w:r>
        <w:t xml:space="preserve">. </w:t>
      </w:r>
    </w:p>
    <w:p w14:paraId="521FB1C8" w14:textId="7D44E28E" w:rsidR="001B4F9D" w:rsidRPr="00301F6F" w:rsidRDefault="001B4F9D" w:rsidP="001B4F9D">
      <w:r>
        <w:t xml:space="preserve">A conceptual example of how this approach will operate is provided in </w:t>
      </w:r>
      <w:r>
        <w:fldChar w:fldCharType="begin"/>
      </w:r>
      <w:r>
        <w:instrText xml:space="preserve"> REF _Ref517982776 \h </w:instrText>
      </w:r>
      <w:r>
        <w:fldChar w:fldCharType="separate"/>
      </w:r>
      <w:r w:rsidR="00614CD5">
        <w:t xml:space="preserve">Figure </w:t>
      </w:r>
      <w:r w:rsidR="00614CD5">
        <w:rPr>
          <w:noProof/>
        </w:rPr>
        <w:t>3</w:t>
      </w:r>
      <w:r w:rsidR="00614CD5">
        <w:noBreakHyphen/>
      </w:r>
      <w:r w:rsidR="00614CD5">
        <w:rPr>
          <w:noProof/>
        </w:rPr>
        <w:t>3</w:t>
      </w:r>
      <w:r>
        <w:fldChar w:fldCharType="end"/>
      </w:r>
      <w:r w:rsidR="00AB1198">
        <w:t xml:space="preserve">, where both primary and secondary schools are treated the same. </w:t>
      </w:r>
    </w:p>
    <w:p w14:paraId="24F42531" w14:textId="2F86E2AD" w:rsidR="00572763" w:rsidRDefault="00572763" w:rsidP="00572763">
      <w:pPr>
        <w:pStyle w:val="Caption"/>
      </w:pPr>
      <w:bookmarkStart w:id="37" w:name="_Ref517982776"/>
      <w:bookmarkStart w:id="38" w:name="_Ref517982723"/>
      <w:bookmarkStart w:id="39" w:name="_Toc518645996"/>
      <w:r>
        <w:t xml:space="preserve">Figure </w:t>
      </w:r>
      <w:r>
        <w:rPr>
          <w:noProof/>
        </w:rPr>
        <w:fldChar w:fldCharType="begin"/>
      </w:r>
      <w:r>
        <w:rPr>
          <w:noProof/>
        </w:rPr>
        <w:instrText xml:space="preserve"> STYLEREF 1 \s </w:instrText>
      </w:r>
      <w:r>
        <w:rPr>
          <w:noProof/>
        </w:rPr>
        <w:fldChar w:fldCharType="separate"/>
      </w:r>
      <w:r w:rsidR="00614CD5">
        <w:rPr>
          <w:noProof/>
        </w:rPr>
        <w:t>3</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614CD5">
        <w:rPr>
          <w:noProof/>
        </w:rPr>
        <w:t>3</w:t>
      </w:r>
      <w:r>
        <w:rPr>
          <w:noProof/>
        </w:rPr>
        <w:fldChar w:fldCharType="end"/>
      </w:r>
      <w:bookmarkEnd w:id="37"/>
      <w:r>
        <w:t xml:space="preserve">: </w:t>
      </w:r>
      <w:r w:rsidRPr="00301F6F">
        <w:t>Absolute</w:t>
      </w:r>
      <w:r>
        <w:t xml:space="preserve"> measure-</w:t>
      </w:r>
      <w:r w:rsidR="00640A9C">
        <w:t>n</w:t>
      </w:r>
      <w:r w:rsidRPr="00301F6F">
        <w:t>on-fee private income per student</w:t>
      </w:r>
      <w:bookmarkEnd w:id="38"/>
      <w:bookmarkEnd w:id="39"/>
    </w:p>
    <w:p w14:paraId="454392FB" w14:textId="77777777" w:rsidR="00572763" w:rsidRDefault="001D3493" w:rsidP="00572763">
      <w:pPr>
        <w:jc w:val="center"/>
      </w:pPr>
      <w:r w:rsidRPr="001D3493">
        <w:rPr>
          <w:noProof/>
          <w:lang w:eastAsia="en-AU"/>
        </w:rPr>
        <w:drawing>
          <wp:inline distT="0" distB="0" distL="0" distR="0" wp14:anchorId="6382DC3A" wp14:editId="38AE4927">
            <wp:extent cx="4572000" cy="4095750"/>
            <wp:effectExtent l="0" t="0" r="0" b="0"/>
            <wp:docPr id="22" name="Picture 22" descr="These are two charts depicting how an absolute value would be used, with the differences between a primary school non-fee private income per student being $500, and a secondary school non-fee private income per student being $1600. Both primary and secondary schools would be treated the same. &#10;" title="Absolute measure-non-fee private income per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4095750"/>
                    </a:xfrm>
                    <a:prstGeom prst="rect">
                      <a:avLst/>
                    </a:prstGeom>
                    <a:noFill/>
                    <a:ln>
                      <a:noFill/>
                    </a:ln>
                  </pic:spPr>
                </pic:pic>
              </a:graphicData>
            </a:graphic>
          </wp:inline>
        </w:drawing>
      </w:r>
    </w:p>
    <w:p w14:paraId="4C6A7A47" w14:textId="77777777" w:rsidR="00572763" w:rsidRDefault="00572763" w:rsidP="00572763">
      <w:pPr>
        <w:pStyle w:val="Heading3"/>
      </w:pPr>
      <w:bookmarkStart w:id="40" w:name="_Toc517982746"/>
      <w:r w:rsidRPr="00715E36">
        <w:t xml:space="preserve">Difference from </w:t>
      </w:r>
      <w:r w:rsidR="00F25C19">
        <w:t>base SRS</w:t>
      </w:r>
      <w:r w:rsidRPr="00715E36">
        <w:t xml:space="preserve">: Absolute </w:t>
      </w:r>
      <w:r w:rsidR="00AB1198">
        <w:t>value minus</w:t>
      </w:r>
      <w:r w:rsidRPr="00715E36">
        <w:t xml:space="preserve"> </w:t>
      </w:r>
      <w:r w:rsidR="00F25C19">
        <w:t>base SRS</w:t>
      </w:r>
      <w:bookmarkEnd w:id="40"/>
      <w:r w:rsidRPr="00715E36">
        <w:t xml:space="preserve"> </w:t>
      </w:r>
    </w:p>
    <w:p w14:paraId="2BE1E07E" w14:textId="025950EF" w:rsidR="00572763" w:rsidRPr="00715E36" w:rsidRDefault="001B4F9D" w:rsidP="00AB1198">
      <w:r w:rsidRPr="00715E36">
        <w:t xml:space="preserve">This </w:t>
      </w:r>
      <w:r w:rsidR="00AB1198">
        <w:t>measure</w:t>
      </w:r>
      <w:r w:rsidRPr="00715E36">
        <w:t xml:space="preserve"> is conceptually preferred if there is a </w:t>
      </w:r>
      <w:r>
        <w:t>desire</w:t>
      </w:r>
      <w:r w:rsidRPr="00715E36">
        <w:t xml:space="preserve"> to treat schools differently</w:t>
      </w:r>
      <w:r w:rsidR="006F0BAB">
        <w:t>,</w:t>
      </w:r>
      <w:r w:rsidRPr="00715E36">
        <w:t xml:space="preserve"> </w:t>
      </w:r>
      <w:r w:rsidR="00AB1198">
        <w:t xml:space="preserve">based </w:t>
      </w:r>
      <w:r w:rsidRPr="00715E36">
        <w:t xml:space="preserve">on </w:t>
      </w:r>
      <w:r>
        <w:t>their composition of primary and secondary students</w:t>
      </w:r>
      <w:r w:rsidR="00AB1198">
        <w:t xml:space="preserve">, with a lower </w:t>
      </w:r>
      <w:r w:rsidR="00572763" w:rsidRPr="00715E36">
        <w:t>(or more negative) value indicat</w:t>
      </w:r>
      <w:r w:rsidR="00AB1198">
        <w:t>ing</w:t>
      </w:r>
      <w:r w:rsidR="00572763" w:rsidRPr="00715E36">
        <w:t xml:space="preserve"> less wealth</w:t>
      </w:r>
      <w:r w:rsidR="007B4089">
        <w:t>.</w:t>
      </w:r>
    </w:p>
    <w:p w14:paraId="136E0E6E" w14:textId="77777777" w:rsidR="00572763" w:rsidRDefault="00AB1198" w:rsidP="00572763">
      <w:r>
        <w:t xml:space="preserve">The </w:t>
      </w:r>
      <w:r w:rsidR="00F25C19">
        <w:t>base SRS</w:t>
      </w:r>
      <w:r w:rsidR="00572763" w:rsidRPr="00715E36">
        <w:t xml:space="preserve"> amount per student in a school </w:t>
      </w:r>
      <w:proofErr w:type="gramStart"/>
      <w:r w:rsidR="00572763" w:rsidRPr="00715E36">
        <w:t>is based</w:t>
      </w:r>
      <w:proofErr w:type="gramEnd"/>
      <w:r w:rsidR="00572763" w:rsidRPr="00715E36">
        <w:t xml:space="preserve"> solely on </w:t>
      </w:r>
      <w:r>
        <w:t xml:space="preserve">the </w:t>
      </w:r>
      <w:r w:rsidR="00572763" w:rsidRPr="00715E36">
        <w:t>mix of primary and secondary students</w:t>
      </w:r>
      <w:r>
        <w:t>. As a result, the</w:t>
      </w:r>
      <w:r w:rsidR="00572763" w:rsidRPr="00715E36">
        <w:t xml:space="preserve"> ‘difference to SRS’ CTC index will mainly differ from the Absolute approach due to </w:t>
      </w:r>
      <w:r>
        <w:t xml:space="preserve">the mix of primary or secondary students in a school. </w:t>
      </w:r>
    </w:p>
    <w:p w14:paraId="002C3E79" w14:textId="2CD1C31F" w:rsidR="007B4089" w:rsidRDefault="00CA4E6D" w:rsidP="00572763">
      <w:r>
        <w:t xml:space="preserve">A conceptual example of estimating the </w:t>
      </w:r>
      <w:r w:rsidR="00AB1198">
        <w:t xml:space="preserve">difference from </w:t>
      </w:r>
      <w:r w:rsidR="00F25C19">
        <w:t>base SRS</w:t>
      </w:r>
      <w:r w:rsidR="00AB1198">
        <w:t xml:space="preserve"> for the same schools used in the Absolute measure example </w:t>
      </w:r>
      <w:proofErr w:type="gramStart"/>
      <w:r w:rsidR="00AB1198">
        <w:t>is provided</w:t>
      </w:r>
      <w:proofErr w:type="gramEnd"/>
      <w:r w:rsidR="00AB1198">
        <w:t xml:space="preserve"> in </w:t>
      </w:r>
      <w:r w:rsidR="00AB1198">
        <w:fldChar w:fldCharType="begin"/>
      </w:r>
      <w:r w:rsidR="00AB1198">
        <w:instrText xml:space="preserve"> REF _Ref517983145 \h </w:instrText>
      </w:r>
      <w:r w:rsidR="00AB1198">
        <w:fldChar w:fldCharType="separate"/>
      </w:r>
      <w:r w:rsidR="00614CD5">
        <w:t xml:space="preserve">Figure </w:t>
      </w:r>
      <w:r w:rsidR="00614CD5">
        <w:rPr>
          <w:noProof/>
        </w:rPr>
        <w:t>3</w:t>
      </w:r>
      <w:r w:rsidR="00614CD5">
        <w:noBreakHyphen/>
      </w:r>
      <w:r w:rsidR="00614CD5">
        <w:rPr>
          <w:noProof/>
        </w:rPr>
        <w:t>4</w:t>
      </w:r>
      <w:r w:rsidR="00AB1198">
        <w:fldChar w:fldCharType="end"/>
      </w:r>
      <w:r w:rsidR="00AB1198">
        <w:t xml:space="preserve">. In the primary example, the school has </w:t>
      </w:r>
      <w:r w:rsidR="006F0BAB">
        <w:t xml:space="preserve">a </w:t>
      </w:r>
      <w:r w:rsidR="00AB1198">
        <w:t xml:space="preserve">non-fee private income of $500. With the primary </w:t>
      </w:r>
      <w:r w:rsidR="00F25C19">
        <w:t>base SRS</w:t>
      </w:r>
      <w:r w:rsidR="00AB1198">
        <w:t xml:space="preserve"> per student value in 2016 being $9,951, the resulting estimate is $9,451.</w:t>
      </w:r>
    </w:p>
    <w:p w14:paraId="3C655763" w14:textId="333C08C8" w:rsidR="00AB1198" w:rsidRPr="00715E36" w:rsidRDefault="00AB1198" w:rsidP="00572763">
      <w:r>
        <w:t xml:space="preserve">In the secondary example, </w:t>
      </w:r>
      <w:r w:rsidR="007B4089">
        <w:t>after having a higher value than the primary school for the ‘</w:t>
      </w:r>
      <w:r w:rsidR="006F0BAB">
        <w:t>A</w:t>
      </w:r>
      <w:r w:rsidR="007B4089">
        <w:t xml:space="preserve">bsolute value’ approach, the ‘difference from base’ is ($11,887)—less than the primary school. This </w:t>
      </w:r>
      <w:r w:rsidR="00CA4E6D">
        <w:t xml:space="preserve">position </w:t>
      </w:r>
      <w:r w:rsidR="007B4089">
        <w:t xml:space="preserve">change is due to the secondary </w:t>
      </w:r>
      <w:r w:rsidR="00F25C19">
        <w:t>base SRS</w:t>
      </w:r>
      <w:r w:rsidR="007B4089">
        <w:t xml:space="preserve"> value ($13,087) being much higher than the primary value ($9,951). </w:t>
      </w:r>
    </w:p>
    <w:p w14:paraId="16D649FC" w14:textId="0238F2D7" w:rsidR="00572763" w:rsidRDefault="00572763" w:rsidP="00572763">
      <w:pPr>
        <w:pStyle w:val="Caption"/>
      </w:pPr>
      <w:bookmarkStart w:id="41" w:name="_Ref517983145"/>
      <w:bookmarkStart w:id="42" w:name="_Ref517983148"/>
      <w:bookmarkStart w:id="43" w:name="_Toc518645997"/>
      <w:r>
        <w:t xml:space="preserve">Figure </w:t>
      </w:r>
      <w:r>
        <w:rPr>
          <w:noProof/>
        </w:rPr>
        <w:fldChar w:fldCharType="begin"/>
      </w:r>
      <w:r>
        <w:rPr>
          <w:noProof/>
        </w:rPr>
        <w:instrText xml:space="preserve"> STYLEREF 1 \s </w:instrText>
      </w:r>
      <w:r>
        <w:rPr>
          <w:noProof/>
        </w:rPr>
        <w:fldChar w:fldCharType="separate"/>
      </w:r>
      <w:r w:rsidR="00614CD5">
        <w:rPr>
          <w:noProof/>
        </w:rPr>
        <w:t>3</w:t>
      </w:r>
      <w:r>
        <w:rPr>
          <w:noProof/>
        </w:rPr>
        <w:fldChar w:fldCharType="end"/>
      </w:r>
      <w:r>
        <w:noBreakHyphen/>
      </w:r>
      <w:r>
        <w:rPr>
          <w:noProof/>
        </w:rPr>
        <w:fldChar w:fldCharType="begin"/>
      </w:r>
      <w:r>
        <w:rPr>
          <w:noProof/>
        </w:rPr>
        <w:instrText xml:space="preserve"> SEQ Figure \* ARABIC \s 1 </w:instrText>
      </w:r>
      <w:r>
        <w:rPr>
          <w:noProof/>
        </w:rPr>
        <w:fldChar w:fldCharType="separate"/>
      </w:r>
      <w:r w:rsidR="00614CD5">
        <w:rPr>
          <w:noProof/>
        </w:rPr>
        <w:t>4</w:t>
      </w:r>
      <w:r>
        <w:rPr>
          <w:noProof/>
        </w:rPr>
        <w:fldChar w:fldCharType="end"/>
      </w:r>
      <w:bookmarkEnd w:id="41"/>
      <w:r>
        <w:t xml:space="preserve">: </w:t>
      </w:r>
      <w:r w:rsidRPr="00301F6F">
        <w:t xml:space="preserve">Difference from </w:t>
      </w:r>
      <w:r w:rsidR="00F25C19">
        <w:t>base SRS</w:t>
      </w:r>
      <w:r w:rsidRPr="00301F6F">
        <w:t xml:space="preserve">: Absolute </w:t>
      </w:r>
      <w:r w:rsidR="00CA43B9">
        <w:t>minus</w:t>
      </w:r>
      <w:r w:rsidRPr="00301F6F">
        <w:t xml:space="preserve"> </w:t>
      </w:r>
      <w:r w:rsidR="00F25C19">
        <w:t>base SRS</w:t>
      </w:r>
      <w:bookmarkEnd w:id="42"/>
      <w:bookmarkEnd w:id="43"/>
    </w:p>
    <w:p w14:paraId="35E10251" w14:textId="77777777" w:rsidR="00572763" w:rsidRDefault="00AB1198" w:rsidP="00572763">
      <w:pPr>
        <w:jc w:val="center"/>
      </w:pPr>
      <w:r w:rsidRPr="00AB1198">
        <w:rPr>
          <w:noProof/>
          <w:lang w:eastAsia="en-AU"/>
        </w:rPr>
        <w:drawing>
          <wp:inline distT="0" distB="0" distL="0" distR="0" wp14:anchorId="09CE761C" wp14:editId="7121EFB2">
            <wp:extent cx="4562475" cy="4067175"/>
            <wp:effectExtent l="0" t="0" r="9525" b="9525"/>
            <wp:docPr id="24" name="Picture 24" descr="&#10;These are two charts depicting a conceptual example of estimating the difference from base SRS for the same schools used in the Absolute measure example previously. &#10;The text preceding the charts explains the content of the chart. &#10;" title="Difference from base SRS: Absolute minus base 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2475" cy="4067175"/>
                    </a:xfrm>
                    <a:prstGeom prst="rect">
                      <a:avLst/>
                    </a:prstGeom>
                    <a:noFill/>
                    <a:ln>
                      <a:noFill/>
                    </a:ln>
                  </pic:spPr>
                </pic:pic>
              </a:graphicData>
            </a:graphic>
          </wp:inline>
        </w:drawing>
      </w:r>
    </w:p>
    <w:p w14:paraId="1422B8FE" w14:textId="77777777" w:rsidR="00572763" w:rsidRDefault="00572763" w:rsidP="00572763">
      <w:pPr>
        <w:jc w:val="center"/>
      </w:pPr>
    </w:p>
    <w:p w14:paraId="131F9A67" w14:textId="77777777" w:rsidR="00BA75EC" w:rsidRDefault="007B4089" w:rsidP="00BA75EC">
      <w:pPr>
        <w:pStyle w:val="Heading2"/>
      </w:pPr>
      <w:bookmarkStart w:id="44" w:name="_Toc517982747"/>
      <w:r>
        <w:t>D</w:t>
      </w:r>
      <w:r w:rsidR="00BA75EC">
        <w:t xml:space="preserve">ata </w:t>
      </w:r>
      <w:r>
        <w:t xml:space="preserve">available </w:t>
      </w:r>
      <w:r w:rsidR="00BA75EC">
        <w:t>from the Financial Questionnaire</w:t>
      </w:r>
      <w:bookmarkEnd w:id="44"/>
    </w:p>
    <w:p w14:paraId="3E7328C0" w14:textId="77777777" w:rsidR="00BA75EC" w:rsidRPr="008B58D3" w:rsidRDefault="00BA75EC" w:rsidP="00BA75EC">
      <w:pPr>
        <w:pStyle w:val="Heading3"/>
      </w:pPr>
      <w:bookmarkStart w:id="45" w:name="_Toc517982748"/>
      <w:r w:rsidRPr="008B58D3">
        <w:t>Data collection</w:t>
      </w:r>
      <w:bookmarkEnd w:id="45"/>
    </w:p>
    <w:p w14:paraId="62EF2497" w14:textId="3C57034F" w:rsidR="00BA75EC" w:rsidRPr="008B58D3" w:rsidRDefault="00BA75EC" w:rsidP="00BA75EC">
      <w:r w:rsidRPr="008B58D3">
        <w:t>The Department annually collects non-government school financial data</w:t>
      </w:r>
      <w:r w:rsidR="00B87B4D">
        <w:t xml:space="preserve"> in the </w:t>
      </w:r>
      <w:r>
        <w:t>FQ</w:t>
      </w:r>
      <w:r w:rsidRPr="008B58D3">
        <w:t>.</w:t>
      </w:r>
      <w:r>
        <w:t xml:space="preserve"> Th</w:t>
      </w:r>
      <w:r w:rsidR="00082DE8">
        <w:t>e</w:t>
      </w:r>
      <w:r>
        <w:t xml:space="preserve"> FQ encompasses income, expenditure, </w:t>
      </w:r>
      <w:proofErr w:type="gramStart"/>
      <w:r>
        <w:t>asset</w:t>
      </w:r>
      <w:proofErr w:type="gramEnd"/>
      <w:r>
        <w:t xml:space="preserve"> and liabilit</w:t>
      </w:r>
      <w:r w:rsidR="004D57A4">
        <w:t>y data</w:t>
      </w:r>
      <w:r w:rsidR="00EA2ECF">
        <w:t xml:space="preserve">. It </w:t>
      </w:r>
      <w:r>
        <w:t>is akin to the information contained within standard financial statements</w:t>
      </w:r>
      <w:r w:rsidR="00EA2ECF">
        <w:t>,</w:t>
      </w:r>
      <w:r>
        <w:t xml:space="preserve"> comprising an o</w:t>
      </w:r>
      <w:r w:rsidRPr="008B58D3">
        <w:t xml:space="preserve">perating statement and balance sheet </w:t>
      </w:r>
      <w:sdt>
        <w:sdtPr>
          <w:id w:val="-229855685"/>
          <w:citation/>
        </w:sdtPr>
        <w:sdtEndPr/>
        <w:sdtContent>
          <w:r>
            <w:fldChar w:fldCharType="begin"/>
          </w:r>
          <w:r>
            <w:instrText xml:space="preserve"> CITATION Aus17 \l 3081 </w:instrText>
          </w:r>
          <w:r>
            <w:fldChar w:fldCharType="separate"/>
          </w:r>
          <w:r w:rsidR="00FB7B8B">
            <w:rPr>
              <w:noProof/>
            </w:rPr>
            <w:t>(Australian Government Department of Education and Training, 2017)</w:t>
          </w:r>
          <w:r>
            <w:fldChar w:fldCharType="end"/>
          </w:r>
        </w:sdtContent>
      </w:sdt>
      <w:r>
        <w:t xml:space="preserve">. </w:t>
      </w:r>
      <w:proofErr w:type="gramStart"/>
      <w:r>
        <w:t>This data is used by the Department for accountability purposes</w:t>
      </w:r>
      <w:proofErr w:type="gramEnd"/>
      <w:r>
        <w:t xml:space="preserve">, to assess ongoing school and parent entity financial viability, </w:t>
      </w:r>
      <w:r w:rsidR="00EA2ECF">
        <w:t xml:space="preserve">in addition </w:t>
      </w:r>
      <w:r>
        <w:t>to populat</w:t>
      </w:r>
      <w:r w:rsidR="00EA2ECF">
        <w:t>ing</w:t>
      </w:r>
      <w:r>
        <w:t xml:space="preserve"> school-level data reported on the </w:t>
      </w:r>
      <w:r w:rsidRPr="008B58D3">
        <w:t>My School internet site.</w:t>
      </w:r>
    </w:p>
    <w:p w14:paraId="0B5BA2B4" w14:textId="77777777" w:rsidR="00BA75EC" w:rsidRDefault="00BA75EC" w:rsidP="00BA75EC">
      <w:pPr>
        <w:pStyle w:val="Heading3"/>
      </w:pPr>
      <w:bookmarkStart w:id="46" w:name="_Toc517982749"/>
      <w:r w:rsidRPr="008B58D3">
        <w:t xml:space="preserve">Data </w:t>
      </w:r>
      <w:r>
        <w:t>accuracy</w:t>
      </w:r>
      <w:bookmarkEnd w:id="46"/>
    </w:p>
    <w:p w14:paraId="557D91CE" w14:textId="577449A9" w:rsidR="00BA75EC" w:rsidRPr="006F6020" w:rsidRDefault="00BA75EC" w:rsidP="00BA75EC">
      <w:r>
        <w:t xml:space="preserve">The FQ has been in place for over a decade, with the Department periodically undertaking a range of validation activities. Schools are also required to ensure </w:t>
      </w:r>
      <w:r w:rsidR="00EA2ECF">
        <w:t xml:space="preserve">that </w:t>
      </w:r>
      <w:r>
        <w:t>their reporting of financial data</w:t>
      </w:r>
      <w:r w:rsidR="00EA2ECF">
        <w:t>,</w:t>
      </w:r>
      <w:r>
        <w:t xml:space="preserve"> via the FQ</w:t>
      </w:r>
      <w:r w:rsidR="00EA2ECF">
        <w:t>,</w:t>
      </w:r>
      <w:r>
        <w:t xml:space="preserve"> is consistent </w:t>
      </w:r>
      <w:r w:rsidR="0032796B">
        <w:t xml:space="preserve">with </w:t>
      </w:r>
      <w:r>
        <w:t xml:space="preserve">their audited financial statements, </w:t>
      </w:r>
      <w:r w:rsidR="00EA2ECF">
        <w:t xml:space="preserve">which </w:t>
      </w:r>
      <w:proofErr w:type="gramStart"/>
      <w:r>
        <w:t>are also required to be submitted</w:t>
      </w:r>
      <w:proofErr w:type="gramEnd"/>
      <w:r>
        <w:t xml:space="preserve"> by schools to the Department. </w:t>
      </w:r>
    </w:p>
    <w:p w14:paraId="4D4F7170" w14:textId="77777777" w:rsidR="00BA75EC" w:rsidRPr="008B58D3" w:rsidRDefault="00BA75EC" w:rsidP="00BA75EC">
      <w:pPr>
        <w:pStyle w:val="Heading3"/>
      </w:pPr>
      <w:bookmarkStart w:id="47" w:name="_Toc517982750"/>
      <w:r w:rsidRPr="008B58D3">
        <w:t>Scope of data in following analysis</w:t>
      </w:r>
      <w:bookmarkEnd w:id="47"/>
    </w:p>
    <w:p w14:paraId="7BBFBB36" w14:textId="69882D62" w:rsidR="00BA75EC" w:rsidRDefault="004D57A4" w:rsidP="00D301B0">
      <w:r>
        <w:t>Two separate account</w:t>
      </w:r>
      <w:r w:rsidR="00ED2003">
        <w:t xml:space="preserve"> items</w:t>
      </w:r>
      <w:r>
        <w:t>—</w:t>
      </w:r>
      <w:r w:rsidRPr="004D57A4">
        <w:t>Private income</w:t>
      </w:r>
      <w:r>
        <w:t xml:space="preserve"> (</w:t>
      </w:r>
      <w:r w:rsidRPr="004D57A4">
        <w:t>RI.060</w:t>
      </w:r>
      <w:r>
        <w:t xml:space="preserve">) and </w:t>
      </w:r>
      <w:proofErr w:type="gramStart"/>
      <w:r w:rsidRPr="004D57A4">
        <w:t>Other</w:t>
      </w:r>
      <w:proofErr w:type="gramEnd"/>
      <w:r w:rsidRPr="004D57A4">
        <w:t xml:space="preserve"> capital income</w:t>
      </w:r>
      <w:r>
        <w:t xml:space="preserve"> (</w:t>
      </w:r>
      <w:r w:rsidRPr="004D57A4">
        <w:t>CI.050</w:t>
      </w:r>
      <w:r>
        <w:t xml:space="preserve">) have been used to measure non-fee private income (see </w:t>
      </w:r>
      <w:r>
        <w:fldChar w:fldCharType="begin"/>
      </w:r>
      <w:r>
        <w:instrText xml:space="preserve"> REF _Ref518016901 \h </w:instrText>
      </w:r>
      <w:r>
        <w:fldChar w:fldCharType="separate"/>
      </w:r>
      <w:r w:rsidR="00614CD5">
        <w:t xml:space="preserve">Table </w:t>
      </w:r>
      <w:r w:rsidR="00614CD5">
        <w:rPr>
          <w:noProof/>
        </w:rPr>
        <w:t>3</w:t>
      </w:r>
      <w:r w:rsidR="00614CD5">
        <w:noBreakHyphen/>
      </w:r>
      <w:r w:rsidR="00614CD5">
        <w:rPr>
          <w:noProof/>
        </w:rPr>
        <w:t>1</w:t>
      </w:r>
      <w:r>
        <w:fldChar w:fldCharType="end"/>
      </w:r>
      <w:r>
        <w:t xml:space="preserve">). Only income related to tuition activities is used. As noted in </w:t>
      </w:r>
      <w:r>
        <w:fldChar w:fldCharType="begin"/>
      </w:r>
      <w:r>
        <w:instrText xml:space="preserve"> REF _Ref517980747 \h </w:instrText>
      </w:r>
      <w:r>
        <w:fldChar w:fldCharType="separate"/>
      </w:r>
      <w:r w:rsidR="00614CD5">
        <w:t xml:space="preserve">Figure </w:t>
      </w:r>
      <w:r w:rsidR="00614CD5">
        <w:rPr>
          <w:noProof/>
        </w:rPr>
        <w:t>3</w:t>
      </w:r>
      <w:r w:rsidR="00614CD5">
        <w:noBreakHyphen/>
      </w:r>
      <w:r w:rsidR="00614CD5">
        <w:rPr>
          <w:noProof/>
        </w:rPr>
        <w:t>2</w:t>
      </w:r>
      <w:r>
        <w:fldChar w:fldCharType="end"/>
      </w:r>
      <w:r>
        <w:t xml:space="preserve">, it is not possible to </w:t>
      </w:r>
      <w:r w:rsidR="00D301B0">
        <w:t>include in private income</w:t>
      </w:r>
      <w:r w:rsidR="00EA2ECF">
        <w:t>,</w:t>
      </w:r>
      <w:r w:rsidR="00D301B0">
        <w:t xml:space="preserve"> the </w:t>
      </w:r>
      <w:r>
        <w:t xml:space="preserve">margins attained </w:t>
      </w:r>
      <w:r w:rsidR="00D301B0">
        <w:t xml:space="preserve">by schools on </w:t>
      </w:r>
      <w:r>
        <w:t xml:space="preserve">activities </w:t>
      </w:r>
      <w:r w:rsidR="00D301B0">
        <w:t>such as the schooling of overseas students</w:t>
      </w:r>
      <w:r w:rsidR="009C14D5">
        <w:t xml:space="preserve"> and boarding</w:t>
      </w:r>
      <w:r w:rsidR="00D301B0">
        <w:t>.</w:t>
      </w:r>
      <w:r w:rsidR="009C14D5">
        <w:t xml:space="preserve"> The extent of </w:t>
      </w:r>
      <w:r w:rsidR="00ED2003">
        <w:t xml:space="preserve">these </w:t>
      </w:r>
      <w:r w:rsidR="009C14D5">
        <w:t xml:space="preserve">two activities </w:t>
      </w:r>
      <w:proofErr w:type="gramStart"/>
      <w:r w:rsidR="00ED2003">
        <w:t>is</w:t>
      </w:r>
      <w:r w:rsidR="009C14D5">
        <w:t xml:space="preserve"> discussed</w:t>
      </w:r>
      <w:proofErr w:type="gramEnd"/>
      <w:r w:rsidR="009C14D5">
        <w:t xml:space="preserve"> on p</w:t>
      </w:r>
      <w:r w:rsidR="00343F92">
        <w:t>p</w:t>
      </w:r>
      <w:r w:rsidR="009C14D5">
        <w:t xml:space="preserve">. </w:t>
      </w:r>
      <w:r w:rsidR="009C14D5">
        <w:fldChar w:fldCharType="begin"/>
      </w:r>
      <w:r w:rsidR="009C14D5">
        <w:instrText xml:space="preserve"> PAGEREF _Ref518018135 \h </w:instrText>
      </w:r>
      <w:r w:rsidR="009C14D5">
        <w:fldChar w:fldCharType="separate"/>
      </w:r>
      <w:r w:rsidR="00614CD5">
        <w:rPr>
          <w:noProof/>
        </w:rPr>
        <w:t>12</w:t>
      </w:r>
      <w:r w:rsidR="009C14D5">
        <w:fldChar w:fldCharType="end"/>
      </w:r>
      <w:r w:rsidR="00343F92">
        <w:t>-</w:t>
      </w:r>
      <w:r w:rsidR="00343F92">
        <w:fldChar w:fldCharType="begin"/>
      </w:r>
      <w:r w:rsidR="00343F92">
        <w:instrText xml:space="preserve"> PAGEREF _Ref518018183 \h </w:instrText>
      </w:r>
      <w:r w:rsidR="00343F92">
        <w:fldChar w:fldCharType="separate"/>
      </w:r>
      <w:r w:rsidR="00614CD5">
        <w:rPr>
          <w:noProof/>
        </w:rPr>
        <w:t>14</w:t>
      </w:r>
      <w:r w:rsidR="00343F92">
        <w:fldChar w:fldCharType="end"/>
      </w:r>
      <w:r w:rsidR="009C14D5">
        <w:t>.</w:t>
      </w:r>
    </w:p>
    <w:p w14:paraId="057E0B8B" w14:textId="3DF8D22A" w:rsidR="004D57A4" w:rsidRDefault="004D57A4" w:rsidP="004D57A4">
      <w:pPr>
        <w:pStyle w:val="Caption"/>
      </w:pPr>
      <w:bookmarkStart w:id="48" w:name="_Ref518016901"/>
      <w:bookmarkStart w:id="49" w:name="_Toc518646007"/>
      <w:r>
        <w:t xml:space="preserve">Table </w:t>
      </w:r>
      <w:r w:rsidR="00900D4D">
        <w:rPr>
          <w:noProof/>
        </w:rPr>
        <w:fldChar w:fldCharType="begin"/>
      </w:r>
      <w:r w:rsidR="00900D4D">
        <w:rPr>
          <w:noProof/>
        </w:rPr>
        <w:instrText xml:space="preserve"> STYLEREF 1 \s </w:instrText>
      </w:r>
      <w:r w:rsidR="00900D4D">
        <w:rPr>
          <w:noProof/>
        </w:rPr>
        <w:fldChar w:fldCharType="separate"/>
      </w:r>
      <w:r w:rsidR="00614CD5">
        <w:rPr>
          <w:noProof/>
        </w:rPr>
        <w:t>3</w:t>
      </w:r>
      <w:r w:rsidR="00900D4D">
        <w:rPr>
          <w:noProof/>
        </w:rPr>
        <w:fldChar w:fldCharType="end"/>
      </w:r>
      <w:r>
        <w:noBreakHyphen/>
      </w:r>
      <w:r w:rsidR="00900D4D">
        <w:rPr>
          <w:noProof/>
        </w:rPr>
        <w:fldChar w:fldCharType="begin"/>
      </w:r>
      <w:r w:rsidR="00900D4D">
        <w:rPr>
          <w:noProof/>
        </w:rPr>
        <w:instrText xml:space="preserve"> SEQ Table \* ARABIC \s 1 </w:instrText>
      </w:r>
      <w:r w:rsidR="00900D4D">
        <w:rPr>
          <w:noProof/>
        </w:rPr>
        <w:fldChar w:fldCharType="separate"/>
      </w:r>
      <w:r w:rsidR="00614CD5">
        <w:rPr>
          <w:noProof/>
        </w:rPr>
        <w:t>1</w:t>
      </w:r>
      <w:r w:rsidR="00900D4D">
        <w:rPr>
          <w:noProof/>
        </w:rPr>
        <w:fldChar w:fldCharType="end"/>
      </w:r>
      <w:bookmarkEnd w:id="48"/>
      <w:r>
        <w:t>: Non-fee private income accounts included in the Financial Questionnaire</w:t>
      </w:r>
      <w:bookmarkEnd w:id="49"/>
    </w:p>
    <w:tbl>
      <w:tblPr>
        <w:tblStyle w:val="TableGrid"/>
        <w:tblW w:w="0" w:type="auto"/>
        <w:tblLook w:val="04A0" w:firstRow="1" w:lastRow="0" w:firstColumn="1" w:lastColumn="0" w:noHBand="0" w:noVBand="1"/>
        <w:tblCaption w:val="Non-fee private income accounts included in the Financial Questionnaire"/>
        <w:tblDescription w:val="&#10;This is a table outlining the types of non-fee private income available to non-government schools that is included in the Financial Questionnaire. It is categorised by either private income or other capital income&#10;"/>
      </w:tblPr>
      <w:tblGrid>
        <w:gridCol w:w="4513"/>
        <w:gridCol w:w="4514"/>
      </w:tblGrid>
      <w:tr w:rsidR="00BA75EC" w:rsidRPr="00FB0E66" w14:paraId="0A61FE43"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4513" w:type="dxa"/>
          </w:tcPr>
          <w:p w14:paraId="4F8D8FF6" w14:textId="77777777" w:rsidR="00BA75EC" w:rsidRPr="00FB0E66" w:rsidRDefault="00BA75EC" w:rsidP="001B4F9D">
            <w:pPr>
              <w:pStyle w:val="Tablegridheading"/>
            </w:pPr>
            <w:r w:rsidRPr="00FB0E66">
              <w:t>Private income: Item RI.060 - Tuition</w:t>
            </w:r>
          </w:p>
        </w:tc>
        <w:tc>
          <w:tcPr>
            <w:tcW w:w="4514" w:type="dxa"/>
          </w:tcPr>
          <w:p w14:paraId="04D8C09D" w14:textId="77777777" w:rsidR="00BA75EC" w:rsidRPr="00FB0E66" w:rsidRDefault="00BA75EC" w:rsidP="001B4F9D">
            <w:pPr>
              <w:pStyle w:val="Tablegridheading"/>
            </w:pPr>
            <w:r w:rsidRPr="00FB0E66">
              <w:t>Other capital income: Item CI.050 - Tuition</w:t>
            </w:r>
          </w:p>
        </w:tc>
      </w:tr>
      <w:tr w:rsidR="00BA75EC" w:rsidRPr="00FB0E66" w14:paraId="58AE225F" w14:textId="77777777" w:rsidTr="001B4F9D">
        <w:tc>
          <w:tcPr>
            <w:tcW w:w="4513" w:type="dxa"/>
          </w:tcPr>
          <w:p w14:paraId="6C63FECB" w14:textId="54ADCD06" w:rsidR="00BA75EC" w:rsidRPr="00FB0E66" w:rsidRDefault="00BA75EC" w:rsidP="001B4F9D">
            <w:pPr>
              <w:pStyle w:val="Tablegridtext"/>
            </w:pPr>
            <w:r w:rsidRPr="00FB0E66">
              <w:t xml:space="preserve">Income from </w:t>
            </w:r>
            <w:r w:rsidR="00EA2ECF">
              <w:t>t</w:t>
            </w:r>
            <w:r w:rsidRPr="00FB0E66">
              <w:t xml:space="preserve">elephone </w:t>
            </w:r>
            <w:r w:rsidR="00EA2ECF">
              <w:t>c</w:t>
            </w:r>
            <w:r w:rsidRPr="00FB0E66">
              <w:t>alls</w:t>
            </w:r>
          </w:p>
        </w:tc>
        <w:tc>
          <w:tcPr>
            <w:tcW w:w="4514" w:type="dxa"/>
          </w:tcPr>
          <w:p w14:paraId="5332A343" w14:textId="77777777" w:rsidR="00BA75EC" w:rsidRPr="00FB0E66" w:rsidRDefault="00BA75EC" w:rsidP="001B4F9D">
            <w:pPr>
              <w:pStyle w:val="Tablegridtext"/>
            </w:pPr>
            <w:r w:rsidRPr="00FB0E66">
              <w:t>Cash donations for capital purposes</w:t>
            </w:r>
          </w:p>
        </w:tc>
      </w:tr>
      <w:tr w:rsidR="00BA75EC" w:rsidRPr="00FB0E66" w14:paraId="6257C6F6" w14:textId="77777777" w:rsidTr="001B4F9D">
        <w:tc>
          <w:tcPr>
            <w:tcW w:w="4513" w:type="dxa"/>
          </w:tcPr>
          <w:p w14:paraId="2B6978F8" w14:textId="2A9F30A1" w:rsidR="00BA75EC" w:rsidRPr="00FB0E66" w:rsidRDefault="00BA75EC" w:rsidP="001B4F9D">
            <w:pPr>
              <w:pStyle w:val="Tablegridtext"/>
            </w:pPr>
            <w:r w:rsidRPr="00FB0E66">
              <w:t xml:space="preserve">Income for </w:t>
            </w:r>
            <w:r w:rsidR="00EA2ECF">
              <w:t>p</w:t>
            </w:r>
            <w:r w:rsidRPr="00FB0E66">
              <w:t>hotocopying</w:t>
            </w:r>
          </w:p>
        </w:tc>
        <w:tc>
          <w:tcPr>
            <w:tcW w:w="4514" w:type="dxa"/>
          </w:tcPr>
          <w:p w14:paraId="08528F80" w14:textId="3EDDAF0C" w:rsidR="00BA75EC" w:rsidRPr="00FB0E66" w:rsidRDefault="00BA75EC" w:rsidP="001B4F9D">
            <w:pPr>
              <w:pStyle w:val="Tablegridtext"/>
            </w:pPr>
            <w:r w:rsidRPr="00FB0E66">
              <w:t xml:space="preserve">Other </w:t>
            </w:r>
            <w:r w:rsidR="00EA2ECF">
              <w:t>c</w:t>
            </w:r>
            <w:r w:rsidRPr="00FB0E66">
              <w:t xml:space="preserve">apital </w:t>
            </w:r>
            <w:r w:rsidR="00EA2ECF">
              <w:t>r</w:t>
            </w:r>
            <w:r w:rsidRPr="00FB0E66">
              <w:t>eceipts</w:t>
            </w:r>
          </w:p>
        </w:tc>
      </w:tr>
      <w:tr w:rsidR="00BA75EC" w:rsidRPr="00FB0E66" w14:paraId="39971E91" w14:textId="77777777" w:rsidTr="001B4F9D">
        <w:tc>
          <w:tcPr>
            <w:tcW w:w="4513" w:type="dxa"/>
          </w:tcPr>
          <w:p w14:paraId="5C78C4AD" w14:textId="2C600260" w:rsidR="00BA75EC" w:rsidRPr="00FB0E66" w:rsidRDefault="00BA75EC" w:rsidP="00ED2003">
            <w:pPr>
              <w:pStyle w:val="Tablegridtext"/>
            </w:pPr>
            <w:r w:rsidRPr="00FB0E66">
              <w:t xml:space="preserve">Non-refundable enrolment </w:t>
            </w:r>
            <w:r w:rsidR="00ED2003">
              <w:t>and</w:t>
            </w:r>
            <w:r w:rsidRPr="00FB0E66">
              <w:t xml:space="preserve"> application fees</w:t>
            </w:r>
          </w:p>
        </w:tc>
        <w:tc>
          <w:tcPr>
            <w:tcW w:w="4514" w:type="dxa"/>
          </w:tcPr>
          <w:p w14:paraId="201DFD9C" w14:textId="77777777" w:rsidR="00BA75EC" w:rsidRPr="00FB0E66" w:rsidRDefault="00BA75EC" w:rsidP="001B4F9D">
            <w:pPr>
              <w:pStyle w:val="Tablegridtext"/>
            </w:pPr>
            <w:r w:rsidRPr="00FB0E66">
              <w:t>Gain on sale of land</w:t>
            </w:r>
          </w:p>
        </w:tc>
      </w:tr>
      <w:tr w:rsidR="00BA75EC" w:rsidRPr="00FB0E66" w14:paraId="192B97DB" w14:textId="77777777" w:rsidTr="001B4F9D">
        <w:tc>
          <w:tcPr>
            <w:tcW w:w="4513" w:type="dxa"/>
          </w:tcPr>
          <w:p w14:paraId="757C72CB" w14:textId="77777777" w:rsidR="00BA75EC" w:rsidRPr="00FB0E66" w:rsidRDefault="00BA75EC" w:rsidP="001B4F9D">
            <w:pPr>
              <w:pStyle w:val="Tablegridtext"/>
            </w:pPr>
            <w:r w:rsidRPr="00FB0E66">
              <w:t>Revenue from supporting groups (e.g. Church/Parish)</w:t>
            </w:r>
          </w:p>
        </w:tc>
        <w:tc>
          <w:tcPr>
            <w:tcW w:w="4514" w:type="dxa"/>
          </w:tcPr>
          <w:p w14:paraId="424CD8F2" w14:textId="77777777" w:rsidR="00BA75EC" w:rsidRPr="00FB0E66" w:rsidRDefault="00BA75EC" w:rsidP="001B4F9D">
            <w:pPr>
              <w:pStyle w:val="Tablegridtext"/>
            </w:pPr>
            <w:r w:rsidRPr="00FB0E66">
              <w:t>Gain on sale of buildings</w:t>
            </w:r>
          </w:p>
        </w:tc>
      </w:tr>
      <w:tr w:rsidR="00BA75EC" w:rsidRPr="00FB0E66" w14:paraId="3771B60C" w14:textId="77777777" w:rsidTr="001B4F9D">
        <w:tc>
          <w:tcPr>
            <w:tcW w:w="4513" w:type="dxa"/>
          </w:tcPr>
          <w:p w14:paraId="386D5B2A" w14:textId="77777777" w:rsidR="00BA75EC" w:rsidRPr="00FB0E66" w:rsidRDefault="00BA75EC" w:rsidP="001B4F9D">
            <w:pPr>
              <w:pStyle w:val="Tablegridtext"/>
            </w:pPr>
            <w:r w:rsidRPr="00FB0E66">
              <w:t>Rents for school facilities</w:t>
            </w:r>
          </w:p>
        </w:tc>
        <w:tc>
          <w:tcPr>
            <w:tcW w:w="4514" w:type="dxa"/>
          </w:tcPr>
          <w:p w14:paraId="564F3359" w14:textId="04EAC6B7" w:rsidR="00BA75EC" w:rsidRPr="00FB0E66" w:rsidRDefault="00BA75EC" w:rsidP="00ED2003">
            <w:pPr>
              <w:pStyle w:val="Tablegridtext"/>
            </w:pPr>
            <w:r w:rsidRPr="00FB0E66">
              <w:t xml:space="preserve">Gain on sale of plant </w:t>
            </w:r>
            <w:r w:rsidR="00ED2003">
              <w:t>and</w:t>
            </w:r>
            <w:r w:rsidRPr="00FB0E66">
              <w:t xml:space="preserve"> equipment</w:t>
            </w:r>
          </w:p>
        </w:tc>
      </w:tr>
      <w:tr w:rsidR="00BA75EC" w:rsidRPr="00FB0E66" w14:paraId="1A4B7C6C" w14:textId="77777777" w:rsidTr="001B4F9D">
        <w:tc>
          <w:tcPr>
            <w:tcW w:w="4513" w:type="dxa"/>
          </w:tcPr>
          <w:p w14:paraId="2061C699" w14:textId="77777777" w:rsidR="00BA75EC" w:rsidRPr="00FB0E66" w:rsidRDefault="00BA75EC" w:rsidP="001B4F9D">
            <w:pPr>
              <w:pStyle w:val="Tablegridtext"/>
            </w:pPr>
            <w:r w:rsidRPr="00FB0E66">
              <w:t>Interest/dividends</w:t>
            </w:r>
          </w:p>
        </w:tc>
        <w:tc>
          <w:tcPr>
            <w:tcW w:w="4514" w:type="dxa"/>
          </w:tcPr>
          <w:p w14:paraId="620CA60F" w14:textId="77777777" w:rsidR="00BA75EC" w:rsidRPr="00FB0E66" w:rsidRDefault="00BA75EC" w:rsidP="001B4F9D">
            <w:pPr>
              <w:pStyle w:val="Tablegridtext"/>
            </w:pPr>
            <w:r w:rsidRPr="00FB0E66">
              <w:t>Gain on sale of shares</w:t>
            </w:r>
          </w:p>
        </w:tc>
      </w:tr>
      <w:tr w:rsidR="00BA75EC" w:rsidRPr="00FB0E66" w14:paraId="7E666939" w14:textId="77777777" w:rsidTr="001B4F9D">
        <w:tc>
          <w:tcPr>
            <w:tcW w:w="4513" w:type="dxa"/>
          </w:tcPr>
          <w:p w14:paraId="5CF0EF15" w14:textId="77777777" w:rsidR="00BA75EC" w:rsidRPr="00FB0E66" w:rsidRDefault="00BA75EC" w:rsidP="001B4F9D">
            <w:pPr>
              <w:pStyle w:val="Tablegridtext"/>
            </w:pPr>
            <w:r w:rsidRPr="00FB0E66">
              <w:t>Donations for recurrent purposes (including income from fund raising)</w:t>
            </w:r>
          </w:p>
        </w:tc>
        <w:tc>
          <w:tcPr>
            <w:tcW w:w="4514" w:type="dxa"/>
          </w:tcPr>
          <w:p w14:paraId="2210ED25" w14:textId="77777777" w:rsidR="00BA75EC" w:rsidRPr="00FB0E66" w:rsidRDefault="00BA75EC" w:rsidP="001B4F9D">
            <w:pPr>
              <w:pStyle w:val="Tablegridtext"/>
            </w:pPr>
            <w:r w:rsidRPr="00FB0E66">
              <w:t>Gain on sale of other investments</w:t>
            </w:r>
          </w:p>
        </w:tc>
      </w:tr>
      <w:tr w:rsidR="00BA75EC" w:rsidRPr="00FB0E66" w14:paraId="376CC9E7" w14:textId="77777777" w:rsidTr="001B4F9D">
        <w:tc>
          <w:tcPr>
            <w:tcW w:w="4513" w:type="dxa"/>
          </w:tcPr>
          <w:p w14:paraId="39DFA62B" w14:textId="77777777" w:rsidR="00BA75EC" w:rsidRPr="00FB0E66" w:rsidRDefault="00BA75EC" w:rsidP="001B4F9D">
            <w:pPr>
              <w:pStyle w:val="Tablegridtext"/>
            </w:pPr>
            <w:r w:rsidRPr="00FB0E66">
              <w:t>Liabilities forgiven</w:t>
            </w:r>
          </w:p>
        </w:tc>
        <w:tc>
          <w:tcPr>
            <w:tcW w:w="4514" w:type="dxa"/>
          </w:tcPr>
          <w:p w14:paraId="53F6A034" w14:textId="77777777" w:rsidR="00BA75EC" w:rsidRPr="00FB0E66" w:rsidRDefault="00BA75EC" w:rsidP="001B4F9D">
            <w:pPr>
              <w:pStyle w:val="Tablegridtext"/>
            </w:pPr>
            <w:r w:rsidRPr="00FB0E66">
              <w:t>Gain on sale of other assets</w:t>
            </w:r>
          </w:p>
        </w:tc>
      </w:tr>
      <w:tr w:rsidR="00BA75EC" w:rsidRPr="00FB0E66" w14:paraId="32B1C93F" w14:textId="77777777" w:rsidTr="001B4F9D">
        <w:tc>
          <w:tcPr>
            <w:tcW w:w="4513" w:type="dxa"/>
          </w:tcPr>
          <w:p w14:paraId="638A62AE" w14:textId="77777777" w:rsidR="00BA75EC" w:rsidRPr="00FB0E66" w:rsidRDefault="00BA75EC" w:rsidP="001B4F9D">
            <w:pPr>
              <w:pStyle w:val="Tablegridtext"/>
            </w:pPr>
            <w:r w:rsidRPr="00FB0E66">
              <w:t>Other income</w:t>
            </w:r>
          </w:p>
        </w:tc>
        <w:tc>
          <w:tcPr>
            <w:tcW w:w="4514" w:type="dxa"/>
          </w:tcPr>
          <w:p w14:paraId="4EF89D27" w14:textId="77777777" w:rsidR="00BA75EC" w:rsidRPr="00FB0E66" w:rsidRDefault="00BA75EC" w:rsidP="001B4F9D">
            <w:pPr>
              <w:pStyle w:val="Tablegridtext"/>
            </w:pPr>
          </w:p>
        </w:tc>
      </w:tr>
      <w:tr w:rsidR="00BA75EC" w:rsidRPr="00FB0E66" w14:paraId="5B08F92A" w14:textId="77777777" w:rsidTr="001B4F9D">
        <w:tc>
          <w:tcPr>
            <w:tcW w:w="4513" w:type="dxa"/>
          </w:tcPr>
          <w:p w14:paraId="698234D3" w14:textId="77777777" w:rsidR="00BA75EC" w:rsidRPr="00FB0E66" w:rsidRDefault="00BA75EC" w:rsidP="001B4F9D">
            <w:pPr>
              <w:pStyle w:val="Tablegridtext"/>
            </w:pPr>
            <w:r w:rsidRPr="00FB0E66">
              <w:t>Bad debts recovered</w:t>
            </w:r>
          </w:p>
        </w:tc>
        <w:tc>
          <w:tcPr>
            <w:tcW w:w="4514" w:type="dxa"/>
          </w:tcPr>
          <w:p w14:paraId="433172AC" w14:textId="77777777" w:rsidR="00BA75EC" w:rsidRPr="00FB0E66" w:rsidRDefault="00BA75EC" w:rsidP="001B4F9D">
            <w:pPr>
              <w:pStyle w:val="Tablegridtext"/>
            </w:pPr>
          </w:p>
        </w:tc>
      </w:tr>
    </w:tbl>
    <w:p w14:paraId="024BA172" w14:textId="30BA3428" w:rsidR="00BA75EC" w:rsidRDefault="00D301B0" w:rsidP="00D301B0">
      <w:pPr>
        <w:pStyle w:val="Datasource"/>
      </w:pPr>
      <w:r>
        <w:t xml:space="preserve">Source: </w:t>
      </w:r>
      <w:r w:rsidR="0032796B">
        <w:rPr>
          <w:noProof/>
        </w:rPr>
        <w:t>Australian Government Department of Education and Training</w:t>
      </w:r>
      <w:sdt>
        <w:sdtPr>
          <w:rPr>
            <w:noProof/>
          </w:rPr>
          <w:id w:val="-49546672"/>
          <w:citation/>
        </w:sdtPr>
        <w:sdtEndPr/>
        <w:sdtContent>
          <w:r w:rsidR="00ED2003">
            <w:rPr>
              <w:noProof/>
            </w:rPr>
            <w:fldChar w:fldCharType="begin"/>
          </w:r>
          <w:r w:rsidR="00ED2003">
            <w:rPr>
              <w:noProof/>
            </w:rPr>
            <w:instrText xml:space="preserve">CITATION Aus17 \n  \t  \l 3081 </w:instrText>
          </w:r>
          <w:r w:rsidR="00ED2003">
            <w:rPr>
              <w:noProof/>
            </w:rPr>
            <w:fldChar w:fldCharType="separate"/>
          </w:r>
          <w:r w:rsidR="00FB7B8B">
            <w:rPr>
              <w:noProof/>
            </w:rPr>
            <w:t xml:space="preserve"> (2017)</w:t>
          </w:r>
          <w:r w:rsidR="00ED2003">
            <w:rPr>
              <w:noProof/>
            </w:rPr>
            <w:fldChar w:fldCharType="end"/>
          </w:r>
        </w:sdtContent>
      </w:sdt>
      <w:r w:rsidR="00EA2ECF">
        <w:rPr>
          <w:noProof/>
        </w:rPr>
        <w:t>.</w:t>
      </w:r>
    </w:p>
    <w:p w14:paraId="2A7D3615" w14:textId="77777777" w:rsidR="00BA75EC" w:rsidRDefault="00BA75EC" w:rsidP="00BA75EC">
      <w:pPr>
        <w:pStyle w:val="Heading3"/>
      </w:pPr>
      <w:bookmarkStart w:id="50" w:name="_Toc517982751"/>
      <w:r>
        <w:t>Schools in</w:t>
      </w:r>
      <w:r w:rsidR="00D301B0">
        <w:t>cluded</w:t>
      </w:r>
      <w:r>
        <w:t xml:space="preserve"> </w:t>
      </w:r>
      <w:r w:rsidR="009C14D5">
        <w:t xml:space="preserve">within </w:t>
      </w:r>
      <w:r>
        <w:t>analysis</w:t>
      </w:r>
      <w:bookmarkEnd w:id="50"/>
    </w:p>
    <w:p w14:paraId="209088CB" w14:textId="037ED061" w:rsidR="00BA75EC" w:rsidRPr="00FB0E66" w:rsidRDefault="00D301B0" w:rsidP="0032796B">
      <w:pPr>
        <w:spacing w:after="0"/>
      </w:pPr>
      <w:r>
        <w:t xml:space="preserve">To reduce the risk of outliers and other distortions, </w:t>
      </w:r>
      <w:r w:rsidR="00ED2003">
        <w:t xml:space="preserve">non-government schools were required to meet </w:t>
      </w:r>
      <w:r>
        <w:t xml:space="preserve">three conditions to be included </w:t>
      </w:r>
      <w:r w:rsidR="00ED2003">
        <w:t>in</w:t>
      </w:r>
      <w:r>
        <w:t xml:space="preserve"> the analysis reported in section </w:t>
      </w:r>
      <w:r>
        <w:fldChar w:fldCharType="begin"/>
      </w:r>
      <w:r>
        <w:instrText xml:space="preserve"> REF _Ref517945965 \r \h </w:instrText>
      </w:r>
      <w:r>
        <w:fldChar w:fldCharType="separate"/>
      </w:r>
      <w:r w:rsidR="00614CD5">
        <w:t>4</w:t>
      </w:r>
      <w:r>
        <w:fldChar w:fldCharType="end"/>
      </w:r>
      <w:r w:rsidR="00BA75EC" w:rsidRPr="00FB0E66">
        <w:t>:</w:t>
      </w:r>
    </w:p>
    <w:p w14:paraId="63DC90F6" w14:textId="77777777" w:rsidR="00BA75EC" w:rsidRPr="00FB0E66" w:rsidRDefault="00D301B0" w:rsidP="00D301B0">
      <w:pPr>
        <w:pStyle w:val="Dotpoints"/>
      </w:pPr>
      <w:r>
        <w:t>h</w:t>
      </w:r>
      <w:r w:rsidR="00BA75EC" w:rsidRPr="00FB0E66">
        <w:t>ave a 2016 SES score</w:t>
      </w:r>
      <w:r>
        <w:t xml:space="preserve">—this requirement omitted schools exempt from having an SES score, comprising </w:t>
      </w:r>
      <w:r w:rsidR="00BA75EC" w:rsidRPr="00FB0E66">
        <w:t xml:space="preserve">majority Aboriginal and Torres Strait Islander schools, special assistance schools </w:t>
      </w:r>
      <w:r>
        <w:t xml:space="preserve">and </w:t>
      </w:r>
      <w:r w:rsidR="00BA75EC" w:rsidRPr="00FB0E66">
        <w:t>special schools</w:t>
      </w:r>
    </w:p>
    <w:p w14:paraId="1FB21692" w14:textId="77777777" w:rsidR="00BA75EC" w:rsidRPr="00FB0E66" w:rsidRDefault="009C14D5" w:rsidP="00D301B0">
      <w:pPr>
        <w:pStyle w:val="Dotpoints"/>
      </w:pPr>
      <w:r>
        <w:t xml:space="preserve">not have any </w:t>
      </w:r>
      <w:r w:rsidR="00BA75EC" w:rsidRPr="00FB0E66">
        <w:t>distance education students</w:t>
      </w:r>
    </w:p>
    <w:p w14:paraId="0E18936B" w14:textId="77777777" w:rsidR="00BA75EC" w:rsidRPr="00FB0E66" w:rsidRDefault="009C14D5" w:rsidP="00D301B0">
      <w:pPr>
        <w:pStyle w:val="Dotpoints"/>
      </w:pPr>
      <w:proofErr w:type="gramStart"/>
      <w:r>
        <w:t>there</w:t>
      </w:r>
      <w:proofErr w:type="gramEnd"/>
      <w:r>
        <w:t xml:space="preserve"> is FQ data for at least three years (the period </w:t>
      </w:r>
      <w:r w:rsidR="00BA75EC" w:rsidRPr="00FB0E66">
        <w:t>2014 to 2016</w:t>
      </w:r>
      <w:r>
        <w:t>)</w:t>
      </w:r>
      <w:r w:rsidR="00BA75EC" w:rsidRPr="00FB0E66">
        <w:t>.</w:t>
      </w:r>
    </w:p>
    <w:p w14:paraId="5FDC2212" w14:textId="0F5B0008" w:rsidR="00BA75EC" w:rsidRDefault="009C14D5" w:rsidP="00BA75EC">
      <w:r>
        <w:t xml:space="preserve">These three requirements meant that 2,503 schools are included in the section </w:t>
      </w:r>
      <w:r>
        <w:fldChar w:fldCharType="begin"/>
      </w:r>
      <w:r>
        <w:instrText xml:space="preserve"> REF _Ref517945965 \r \h </w:instrText>
      </w:r>
      <w:r>
        <w:fldChar w:fldCharType="separate"/>
      </w:r>
      <w:r w:rsidR="00614CD5">
        <w:t>4</w:t>
      </w:r>
      <w:r>
        <w:fldChar w:fldCharType="end"/>
      </w:r>
      <w:r>
        <w:t xml:space="preserve"> analysis. </w:t>
      </w:r>
    </w:p>
    <w:p w14:paraId="1B140134" w14:textId="1A7F1050" w:rsidR="00BA75EC" w:rsidRDefault="00BA75EC" w:rsidP="00BA75EC">
      <w:pPr>
        <w:pStyle w:val="Heading3"/>
      </w:pPr>
      <w:bookmarkStart w:id="51" w:name="_Toc517982753"/>
      <w:r>
        <w:t xml:space="preserve">Data adjustments: </w:t>
      </w:r>
      <w:r w:rsidR="00EA2ECF">
        <w:t>I</w:t>
      </w:r>
      <w:r>
        <w:t>ndexation</w:t>
      </w:r>
      <w:bookmarkEnd w:id="51"/>
    </w:p>
    <w:p w14:paraId="697EFA9C" w14:textId="5D624007" w:rsidR="00BA75EC" w:rsidRDefault="009C14D5" w:rsidP="00BA75EC">
      <w:r>
        <w:t>With average non-fee private income per student estimate</w:t>
      </w:r>
      <w:r w:rsidR="00EA2ECF">
        <w:t>s</w:t>
      </w:r>
      <w:r>
        <w:t xml:space="preserve"> using up to five years of data, it was necessary to index data to be in 2016 dollars. The indexation rates </w:t>
      </w:r>
      <w:proofErr w:type="gramStart"/>
      <w:r>
        <w:t xml:space="preserve">were </w:t>
      </w:r>
      <w:r w:rsidR="00BA75EC" w:rsidRPr="008D584A">
        <w:t>estimated</w:t>
      </w:r>
      <w:proofErr w:type="gramEnd"/>
      <w:r w:rsidR="00BA75EC" w:rsidRPr="008D584A">
        <w:t xml:space="preserve"> after first turning quarterly consumer price index (CPI) change </w:t>
      </w:r>
      <w:r>
        <w:t xml:space="preserve">data </w:t>
      </w:r>
      <w:r w:rsidR="00BA75EC" w:rsidRPr="008D584A">
        <w:t xml:space="preserve">into </w:t>
      </w:r>
      <w:r>
        <w:t>annual values</w:t>
      </w:r>
      <w:r w:rsidR="00EA2ECF">
        <w:t>. The</w:t>
      </w:r>
      <w:r>
        <w:t xml:space="preserve"> resulting </w:t>
      </w:r>
      <w:r w:rsidR="00ED2003">
        <w:t>rates</w:t>
      </w:r>
      <w:r>
        <w:t xml:space="preserve"> </w:t>
      </w:r>
      <w:proofErr w:type="gramStart"/>
      <w:r w:rsidR="00EA2ECF">
        <w:t xml:space="preserve">are </w:t>
      </w:r>
      <w:r>
        <w:t>listed</w:t>
      </w:r>
      <w:proofErr w:type="gramEnd"/>
      <w:r>
        <w:t xml:space="preserve"> in </w:t>
      </w:r>
      <w:r>
        <w:fldChar w:fldCharType="begin"/>
      </w:r>
      <w:r>
        <w:instrText xml:space="preserve"> REF _Ref518018030 \h </w:instrText>
      </w:r>
      <w:r>
        <w:fldChar w:fldCharType="separate"/>
      </w:r>
      <w:r w:rsidR="00614CD5">
        <w:t xml:space="preserve">Table </w:t>
      </w:r>
      <w:r w:rsidR="00614CD5">
        <w:rPr>
          <w:noProof/>
        </w:rPr>
        <w:t>3</w:t>
      </w:r>
      <w:r w:rsidR="00614CD5">
        <w:noBreakHyphen/>
      </w:r>
      <w:r w:rsidR="00614CD5">
        <w:rPr>
          <w:noProof/>
        </w:rPr>
        <w:t>2</w:t>
      </w:r>
      <w:r>
        <w:fldChar w:fldCharType="end"/>
      </w:r>
      <w:r>
        <w:t>.</w:t>
      </w:r>
    </w:p>
    <w:p w14:paraId="476120E4" w14:textId="6207E3E2" w:rsidR="00BA75EC" w:rsidRPr="008D584A" w:rsidRDefault="00BA75EC" w:rsidP="00BA75EC">
      <w:pPr>
        <w:pStyle w:val="Caption"/>
      </w:pPr>
      <w:bookmarkStart w:id="52" w:name="_Ref518018030"/>
      <w:bookmarkStart w:id="53" w:name="_Ref518018033"/>
      <w:bookmarkStart w:id="54" w:name="_Toc518646008"/>
      <w:r>
        <w:t xml:space="preserve">Table </w:t>
      </w:r>
      <w:r w:rsidR="00900D4D">
        <w:rPr>
          <w:noProof/>
        </w:rPr>
        <w:fldChar w:fldCharType="begin"/>
      </w:r>
      <w:r w:rsidR="00900D4D">
        <w:rPr>
          <w:noProof/>
        </w:rPr>
        <w:instrText xml:space="preserve"> STYLEREF 1 \s </w:instrText>
      </w:r>
      <w:r w:rsidR="00900D4D">
        <w:rPr>
          <w:noProof/>
        </w:rPr>
        <w:fldChar w:fldCharType="separate"/>
      </w:r>
      <w:r w:rsidR="00614CD5">
        <w:rPr>
          <w:noProof/>
        </w:rPr>
        <w:t>3</w:t>
      </w:r>
      <w:r w:rsidR="00900D4D">
        <w:rPr>
          <w:noProof/>
        </w:rPr>
        <w:fldChar w:fldCharType="end"/>
      </w:r>
      <w:r w:rsidR="004D57A4">
        <w:noBreakHyphen/>
      </w:r>
      <w:r w:rsidR="00900D4D">
        <w:rPr>
          <w:noProof/>
        </w:rPr>
        <w:fldChar w:fldCharType="begin"/>
      </w:r>
      <w:r w:rsidR="00900D4D">
        <w:rPr>
          <w:noProof/>
        </w:rPr>
        <w:instrText xml:space="preserve"> SEQ Table \* ARABIC \s 1 </w:instrText>
      </w:r>
      <w:r w:rsidR="00900D4D">
        <w:rPr>
          <w:noProof/>
        </w:rPr>
        <w:fldChar w:fldCharType="separate"/>
      </w:r>
      <w:r w:rsidR="00614CD5">
        <w:rPr>
          <w:noProof/>
        </w:rPr>
        <w:t>2</w:t>
      </w:r>
      <w:r w:rsidR="00900D4D">
        <w:rPr>
          <w:noProof/>
        </w:rPr>
        <w:fldChar w:fldCharType="end"/>
      </w:r>
      <w:bookmarkEnd w:id="52"/>
      <w:r>
        <w:t>: Indexation rates</w:t>
      </w:r>
      <w:bookmarkEnd w:id="53"/>
      <w:bookmarkEnd w:id="54"/>
    </w:p>
    <w:tbl>
      <w:tblPr>
        <w:tblStyle w:val="TableGrid"/>
        <w:tblW w:w="0" w:type="auto"/>
        <w:tblLook w:val="04A0" w:firstRow="1" w:lastRow="0" w:firstColumn="1" w:lastColumn="0" w:noHBand="0" w:noVBand="1"/>
        <w:tblCaption w:val="Indexation rates"/>
        <w:tblDescription w:val="&#10;This table shows the indexation rates from 2012 to 2016&#10;"/>
      </w:tblPr>
      <w:tblGrid>
        <w:gridCol w:w="4513"/>
        <w:gridCol w:w="4514"/>
      </w:tblGrid>
      <w:tr w:rsidR="00BA75EC" w:rsidRPr="00FB0E66" w14:paraId="01E70964"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4513" w:type="dxa"/>
          </w:tcPr>
          <w:p w14:paraId="7437AC15" w14:textId="77777777" w:rsidR="00BA75EC" w:rsidRPr="00FB0E66" w:rsidRDefault="00BA75EC" w:rsidP="001B4F9D">
            <w:pPr>
              <w:pStyle w:val="Tablegridheading"/>
            </w:pPr>
            <w:r w:rsidRPr="00FB0E66">
              <w:t>Year</w:t>
            </w:r>
          </w:p>
        </w:tc>
        <w:tc>
          <w:tcPr>
            <w:tcW w:w="4514" w:type="dxa"/>
          </w:tcPr>
          <w:p w14:paraId="16D198FE" w14:textId="77777777" w:rsidR="00BA75EC" w:rsidRPr="00FB0E66" w:rsidRDefault="00BA75EC" w:rsidP="001B4F9D">
            <w:pPr>
              <w:pStyle w:val="Tablegridheading"/>
            </w:pPr>
            <w:r w:rsidRPr="00FB0E66">
              <w:t>Index</w:t>
            </w:r>
          </w:p>
        </w:tc>
      </w:tr>
      <w:tr w:rsidR="00BA75EC" w:rsidRPr="00FB0E66" w14:paraId="2BDF4242" w14:textId="77777777" w:rsidTr="001B4F9D">
        <w:tc>
          <w:tcPr>
            <w:tcW w:w="4513" w:type="dxa"/>
          </w:tcPr>
          <w:p w14:paraId="175FEEE3" w14:textId="77777777" w:rsidR="00BA75EC" w:rsidRPr="00FB0E66" w:rsidRDefault="00BA75EC" w:rsidP="001B4F9D">
            <w:pPr>
              <w:pStyle w:val="Tablegridtext"/>
            </w:pPr>
            <w:r w:rsidRPr="00FB0E66">
              <w:t>2012</w:t>
            </w:r>
          </w:p>
        </w:tc>
        <w:tc>
          <w:tcPr>
            <w:tcW w:w="4514" w:type="dxa"/>
          </w:tcPr>
          <w:p w14:paraId="565C3EBA" w14:textId="77777777" w:rsidR="00BA75EC" w:rsidRPr="00FB0E66" w:rsidRDefault="00BA75EC" w:rsidP="001B4F9D">
            <w:pPr>
              <w:pStyle w:val="Tablegridtext"/>
            </w:pPr>
            <w:r w:rsidRPr="00FB0E66">
              <w:t>1.10592</w:t>
            </w:r>
          </w:p>
        </w:tc>
      </w:tr>
      <w:tr w:rsidR="00BA75EC" w:rsidRPr="00FB0E66" w14:paraId="47F2685B" w14:textId="77777777" w:rsidTr="001B4F9D">
        <w:tc>
          <w:tcPr>
            <w:tcW w:w="4513" w:type="dxa"/>
          </w:tcPr>
          <w:p w14:paraId="2EFDABE7" w14:textId="77777777" w:rsidR="00BA75EC" w:rsidRPr="00FB0E66" w:rsidRDefault="00BA75EC" w:rsidP="001B4F9D">
            <w:pPr>
              <w:pStyle w:val="Tablegridtext"/>
            </w:pPr>
            <w:r w:rsidRPr="00FB0E66">
              <w:t>2013</w:t>
            </w:r>
          </w:p>
        </w:tc>
        <w:tc>
          <w:tcPr>
            <w:tcW w:w="4514" w:type="dxa"/>
          </w:tcPr>
          <w:p w14:paraId="54B89329" w14:textId="77777777" w:rsidR="00BA75EC" w:rsidRPr="00FB0E66" w:rsidRDefault="00BA75EC" w:rsidP="001B4F9D">
            <w:pPr>
              <w:pStyle w:val="Tablegridtext"/>
            </w:pPr>
            <w:r w:rsidRPr="00FB0E66">
              <w:t>1.06670</w:t>
            </w:r>
          </w:p>
        </w:tc>
      </w:tr>
      <w:tr w:rsidR="00BA75EC" w:rsidRPr="00FB0E66" w14:paraId="3AC70F5F" w14:textId="77777777" w:rsidTr="001B4F9D">
        <w:tc>
          <w:tcPr>
            <w:tcW w:w="4513" w:type="dxa"/>
          </w:tcPr>
          <w:p w14:paraId="399A4A71" w14:textId="77777777" w:rsidR="00BA75EC" w:rsidRPr="00FB0E66" w:rsidRDefault="00BA75EC" w:rsidP="001B4F9D">
            <w:pPr>
              <w:pStyle w:val="Tablegridtext"/>
            </w:pPr>
            <w:r w:rsidRPr="00FB0E66">
              <w:t>2014</w:t>
            </w:r>
          </w:p>
        </w:tc>
        <w:tc>
          <w:tcPr>
            <w:tcW w:w="4514" w:type="dxa"/>
          </w:tcPr>
          <w:p w14:paraId="6F26B3A7" w14:textId="77777777" w:rsidR="00BA75EC" w:rsidRPr="00FB0E66" w:rsidRDefault="00BA75EC" w:rsidP="001B4F9D">
            <w:pPr>
              <w:pStyle w:val="Tablegridtext"/>
            </w:pPr>
            <w:r w:rsidRPr="00FB0E66">
              <w:t>1.04275</w:t>
            </w:r>
          </w:p>
        </w:tc>
      </w:tr>
      <w:tr w:rsidR="00BA75EC" w:rsidRPr="00FB0E66" w14:paraId="11F066E8" w14:textId="77777777" w:rsidTr="001B4F9D">
        <w:tc>
          <w:tcPr>
            <w:tcW w:w="4513" w:type="dxa"/>
          </w:tcPr>
          <w:p w14:paraId="01A5732D" w14:textId="77777777" w:rsidR="00BA75EC" w:rsidRPr="00FB0E66" w:rsidRDefault="00BA75EC" w:rsidP="001B4F9D">
            <w:pPr>
              <w:pStyle w:val="Tablegridtext"/>
            </w:pPr>
            <w:r w:rsidRPr="00FB0E66">
              <w:t>2015</w:t>
            </w:r>
          </w:p>
        </w:tc>
        <w:tc>
          <w:tcPr>
            <w:tcW w:w="4514" w:type="dxa"/>
          </w:tcPr>
          <w:p w14:paraId="434039A6" w14:textId="77777777" w:rsidR="00BA75EC" w:rsidRPr="00FB0E66" w:rsidRDefault="00BA75EC" w:rsidP="001B4F9D">
            <w:pPr>
              <w:pStyle w:val="Tablegridtext"/>
            </w:pPr>
            <w:r w:rsidRPr="00FB0E66">
              <w:t>1.01973</w:t>
            </w:r>
          </w:p>
        </w:tc>
      </w:tr>
      <w:tr w:rsidR="00BA75EC" w:rsidRPr="00FB0E66" w14:paraId="5B7E224A" w14:textId="77777777" w:rsidTr="001B4F9D">
        <w:tc>
          <w:tcPr>
            <w:tcW w:w="4513" w:type="dxa"/>
          </w:tcPr>
          <w:p w14:paraId="4EA889CD" w14:textId="77777777" w:rsidR="00BA75EC" w:rsidRPr="00FB0E66" w:rsidRDefault="00BA75EC" w:rsidP="001B4F9D">
            <w:pPr>
              <w:pStyle w:val="Tablegridtext"/>
            </w:pPr>
            <w:r>
              <w:t>2016</w:t>
            </w:r>
          </w:p>
        </w:tc>
        <w:tc>
          <w:tcPr>
            <w:tcW w:w="4514" w:type="dxa"/>
          </w:tcPr>
          <w:p w14:paraId="32BB6E2A" w14:textId="77777777" w:rsidR="00BA75EC" w:rsidRPr="00FB0E66" w:rsidRDefault="00BA75EC" w:rsidP="001B4F9D">
            <w:pPr>
              <w:pStyle w:val="Tablegridtext"/>
            </w:pPr>
            <w:r>
              <w:t>1.0</w:t>
            </w:r>
          </w:p>
        </w:tc>
      </w:tr>
    </w:tbl>
    <w:p w14:paraId="10F65357" w14:textId="77777777" w:rsidR="00BA75EC" w:rsidRDefault="00BA75EC" w:rsidP="000329C1">
      <w:pPr>
        <w:pStyle w:val="Datasource"/>
      </w:pPr>
      <w:r>
        <w:t xml:space="preserve">Source: </w:t>
      </w:r>
      <w:r w:rsidR="0032796B">
        <w:rPr>
          <w:noProof/>
        </w:rPr>
        <w:t>Australian Bureau of Statistics (2018)</w:t>
      </w:r>
    </w:p>
    <w:p w14:paraId="54E7FE01" w14:textId="77777777" w:rsidR="008B58D3" w:rsidRDefault="008B58D3" w:rsidP="008B58D3">
      <w:pPr>
        <w:pStyle w:val="Heading2"/>
      </w:pPr>
      <w:bookmarkStart w:id="55" w:name="_Toc517982754"/>
      <w:bookmarkStart w:id="56" w:name="_Ref518018130"/>
      <w:bookmarkStart w:id="57" w:name="_Ref518018135"/>
      <w:r>
        <w:t>Gaps in the financial data collection</w:t>
      </w:r>
      <w:bookmarkEnd w:id="55"/>
      <w:bookmarkEnd w:id="56"/>
      <w:bookmarkEnd w:id="57"/>
    </w:p>
    <w:p w14:paraId="63085E8D" w14:textId="73C382B6" w:rsidR="008B58D3" w:rsidRDefault="00ED2003" w:rsidP="008B58D3">
      <w:r>
        <w:t>M</w:t>
      </w:r>
      <w:r w:rsidR="00343F92">
        <w:t xml:space="preserve">argins derived by schools from overseas students and boarding </w:t>
      </w:r>
      <w:r w:rsidRPr="00ED2003">
        <w:t>are</w:t>
      </w:r>
      <w:r w:rsidR="00343F92">
        <w:t xml:space="preserve"> considered as non-fee private income. </w:t>
      </w:r>
      <w:r>
        <w:t xml:space="preserve">However, this specific information is not available. </w:t>
      </w:r>
      <w:r w:rsidR="00343F92">
        <w:t xml:space="preserve">The magnitude of the gross revenues derived by schools from these two activities </w:t>
      </w:r>
      <w:proofErr w:type="gramStart"/>
      <w:r w:rsidR="00343F92">
        <w:t>are discussed</w:t>
      </w:r>
      <w:proofErr w:type="gramEnd"/>
      <w:r w:rsidR="00343F92">
        <w:t xml:space="preserve"> below to provide some indication </w:t>
      </w:r>
      <w:r w:rsidR="00EA2ECF">
        <w:t xml:space="preserve">of </w:t>
      </w:r>
      <w:r w:rsidR="00343F92">
        <w:t xml:space="preserve">the magnitude of this omission. </w:t>
      </w:r>
      <w:r w:rsidR="0032796B">
        <w:t xml:space="preserve">This analysis uses 2016 data only. </w:t>
      </w:r>
    </w:p>
    <w:p w14:paraId="53204088" w14:textId="77777777" w:rsidR="00343F92" w:rsidRDefault="00421534" w:rsidP="00343F92">
      <w:pPr>
        <w:pStyle w:val="Heading3"/>
      </w:pPr>
      <w:r>
        <w:t>Income from o</w:t>
      </w:r>
      <w:r w:rsidR="00343F92">
        <w:t>verseas students</w:t>
      </w:r>
    </w:p>
    <w:p w14:paraId="4C83A067" w14:textId="20A972D6" w:rsidR="00ED2003" w:rsidRDefault="00343F92" w:rsidP="00421534">
      <w:r>
        <w:t xml:space="preserve">In 2016, among the 2,819 non-government schools reporting data in the FQ, 572 schools reported receiving a total of $235 million in overseas student income (comprising both tuition and boarding income). In 71 non-government schools, overseas student income comprised 5 per cent or higher of the school’s total income, with </w:t>
      </w:r>
      <w:r w:rsidR="008B58D3" w:rsidRPr="008B58D3">
        <w:t>78 schools receiv</w:t>
      </w:r>
      <w:r>
        <w:t>ing</w:t>
      </w:r>
      <w:r w:rsidR="008B58D3" w:rsidRPr="008B58D3">
        <w:t xml:space="preserve"> $1 million or more</w:t>
      </w:r>
      <w:r>
        <w:t xml:space="preserve">, and </w:t>
      </w:r>
      <w:proofErr w:type="gramStart"/>
      <w:r w:rsidR="008B58D3" w:rsidRPr="008B58D3">
        <w:t>7</w:t>
      </w:r>
      <w:proofErr w:type="gramEnd"/>
      <w:r w:rsidR="008B58D3" w:rsidRPr="008B58D3">
        <w:t xml:space="preserve"> schools $4 million or more. For schools with overseas student income, </w:t>
      </w:r>
      <w:r w:rsidR="001E3C10">
        <w:t xml:space="preserve">the </w:t>
      </w:r>
      <w:r w:rsidR="008B58D3" w:rsidRPr="008B58D3">
        <w:t xml:space="preserve">average income </w:t>
      </w:r>
      <w:r w:rsidR="00ED2003">
        <w:t>was</w:t>
      </w:r>
      <w:r w:rsidR="008B58D3" w:rsidRPr="008B58D3">
        <w:t xml:space="preserve"> $</w:t>
      </w:r>
      <w:r w:rsidR="007F509D">
        <w:t>410,182</w:t>
      </w:r>
      <w:r>
        <w:t xml:space="preserve"> (see </w:t>
      </w:r>
      <w:r>
        <w:fldChar w:fldCharType="begin"/>
      </w:r>
      <w:r>
        <w:instrText xml:space="preserve"> REF _Ref518018821 \h </w:instrText>
      </w:r>
      <w:r>
        <w:fldChar w:fldCharType="separate"/>
      </w:r>
      <w:r w:rsidR="00614CD5">
        <w:t xml:space="preserve">Figure </w:t>
      </w:r>
      <w:r w:rsidR="00614CD5">
        <w:rPr>
          <w:noProof/>
        </w:rPr>
        <w:t>3</w:t>
      </w:r>
      <w:r w:rsidR="00614CD5">
        <w:noBreakHyphen/>
      </w:r>
      <w:r w:rsidR="00614CD5">
        <w:rPr>
          <w:noProof/>
        </w:rPr>
        <w:t>5</w:t>
      </w:r>
      <w:r>
        <w:fldChar w:fldCharType="end"/>
      </w:r>
      <w:r>
        <w:t>)</w:t>
      </w:r>
      <w:r w:rsidR="008B58D3" w:rsidRPr="008B58D3">
        <w:t xml:space="preserve">. </w:t>
      </w:r>
    </w:p>
    <w:p w14:paraId="3AB65ACE" w14:textId="77777777" w:rsidR="00ED2003" w:rsidRPr="00421534" w:rsidRDefault="00ED2003" w:rsidP="00ED2003">
      <w:pPr>
        <w:pStyle w:val="Heading3"/>
      </w:pPr>
      <w:r w:rsidRPr="00421534">
        <w:t xml:space="preserve">Income from boarding </w:t>
      </w:r>
    </w:p>
    <w:p w14:paraId="00C65866" w14:textId="77777777" w:rsidR="00ED2003" w:rsidRDefault="00ED2003" w:rsidP="00ED2003">
      <w:r>
        <w:t xml:space="preserve">In 2016, 173 schools received a total of $388 million in boarding income for both </w:t>
      </w:r>
      <w:r w:rsidRPr="00301F6F">
        <w:t>Australian and overseas students.</w:t>
      </w:r>
      <w:r>
        <w:t xml:space="preserve"> In 63 schools boarding income </w:t>
      </w:r>
      <w:r w:rsidRPr="00301F6F">
        <w:t xml:space="preserve">accounts for 10 per cent or more of total income, and 20 per cent or more in 14 schools. </w:t>
      </w:r>
      <w:proofErr w:type="gramStart"/>
      <w:r>
        <w:t xml:space="preserve">A total of </w:t>
      </w:r>
      <w:r w:rsidRPr="00301F6F">
        <w:t>72</w:t>
      </w:r>
      <w:proofErr w:type="gramEnd"/>
      <w:r w:rsidRPr="00301F6F">
        <w:t xml:space="preserve"> schools received $2 million or more, and 8 schools $5 million or more. </w:t>
      </w:r>
    </w:p>
    <w:p w14:paraId="17587E2C" w14:textId="24103419" w:rsidR="00421534" w:rsidRDefault="00ED2003" w:rsidP="00421534">
      <w:r>
        <w:t xml:space="preserve">Although boarding generates a significant income in schools—an average of $2.2 million in the 173 schools reporting this income—the extent to which boarding generates a margin for schools is unknown. It </w:t>
      </w:r>
      <w:proofErr w:type="gramStart"/>
      <w:r>
        <w:t>is understood</w:t>
      </w:r>
      <w:proofErr w:type="gramEnd"/>
      <w:r>
        <w:t xml:space="preserve"> from consultation undertaken by the Board that boarding is costly to provide, and margins are likely to be relatively low. </w:t>
      </w:r>
    </w:p>
    <w:p w14:paraId="38ED0C84" w14:textId="0A70875D" w:rsidR="008B58D3" w:rsidRDefault="008B58D3" w:rsidP="008B58D3">
      <w:pPr>
        <w:pStyle w:val="Caption"/>
      </w:pPr>
      <w:bookmarkStart w:id="58" w:name="_Ref518018821"/>
      <w:bookmarkStart w:id="59" w:name="_Ref518018817"/>
      <w:bookmarkStart w:id="60" w:name="_Toc518645998"/>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3</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5</w:t>
      </w:r>
      <w:r w:rsidR="001D45B7">
        <w:rPr>
          <w:noProof/>
        </w:rPr>
        <w:fldChar w:fldCharType="end"/>
      </w:r>
      <w:bookmarkEnd w:id="58"/>
      <w:r>
        <w:t xml:space="preserve">: Income </w:t>
      </w:r>
      <w:r w:rsidR="00491191">
        <w:t xml:space="preserve">received by schools </w:t>
      </w:r>
      <w:r>
        <w:t>from overseas students</w:t>
      </w:r>
      <w:bookmarkEnd w:id="59"/>
      <w:bookmarkEnd w:id="60"/>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Caption w:val="Income received by schools from overseas students"/>
        <w:tblDescription w:val="&#10;These charts depicts 572 schools that received income from overseas students in 2016. In a small number of schools the income generated was considerable (either 5% of higher of their total income, or $1,000,000 or more). The average income generated was $410,182&#10;"/>
      </w:tblPr>
      <w:tblGrid>
        <w:gridCol w:w="9027"/>
      </w:tblGrid>
      <w:tr w:rsidR="008B58D3" w14:paraId="74BE13BC"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90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05F612" w14:textId="2AE586DC" w:rsidR="008B58D3" w:rsidRDefault="00ED2003" w:rsidP="00ED2003">
            <w:pPr>
              <w:pStyle w:val="Tablegridheading"/>
              <w:jc w:val="center"/>
            </w:pPr>
            <w:r>
              <w:t>Income received by schools from overseas students</w:t>
            </w:r>
          </w:p>
        </w:tc>
      </w:tr>
      <w:tr w:rsidR="008B58D3" w14:paraId="403163A0" w14:textId="77777777" w:rsidTr="008B58D3">
        <w:tc>
          <w:tcPr>
            <w:tcW w:w="9027" w:type="dxa"/>
          </w:tcPr>
          <w:p w14:paraId="3B081599" w14:textId="77777777" w:rsidR="008B58D3" w:rsidRDefault="00624854" w:rsidP="007F509D">
            <w:pPr>
              <w:pStyle w:val="Tablegridtext"/>
              <w:tabs>
                <w:tab w:val="left" w:pos="7185"/>
              </w:tabs>
              <w:jc w:val="center"/>
            </w:pPr>
            <w:r>
              <w:pict w14:anchorId="1BFB4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297.75pt">
                  <v:imagedata r:id="rId24" o:title="OS_Student_Income_millions"/>
                </v:shape>
              </w:pict>
            </w:r>
          </w:p>
        </w:tc>
      </w:tr>
      <w:tr w:rsidR="008B58D3" w14:paraId="29B0CCAC" w14:textId="77777777" w:rsidTr="008B58D3">
        <w:tc>
          <w:tcPr>
            <w:tcW w:w="9027" w:type="dxa"/>
          </w:tcPr>
          <w:p w14:paraId="41C7D12F" w14:textId="42457AD4" w:rsidR="00ED2003" w:rsidRPr="00ED2003" w:rsidRDefault="00ED2003" w:rsidP="00343F92">
            <w:pPr>
              <w:pStyle w:val="Tablegridheading"/>
              <w:jc w:val="center"/>
              <w:rPr>
                <w:b w:val="0"/>
              </w:rPr>
            </w:pPr>
            <w:r>
              <w:t>Reliance on overseas student income: per cent of total school income</w:t>
            </w:r>
          </w:p>
        </w:tc>
      </w:tr>
      <w:tr w:rsidR="008B58D3" w14:paraId="24F82B42" w14:textId="77777777" w:rsidTr="008B58D3">
        <w:tc>
          <w:tcPr>
            <w:tcW w:w="9027" w:type="dxa"/>
          </w:tcPr>
          <w:p w14:paraId="7EA898BB" w14:textId="77777777" w:rsidR="008B58D3" w:rsidRDefault="007F509D" w:rsidP="008B58D3">
            <w:pPr>
              <w:pStyle w:val="Tablegridtext"/>
              <w:jc w:val="center"/>
            </w:pPr>
            <w:r>
              <w:rPr>
                <w:noProof/>
                <w:lang w:eastAsia="en-AU"/>
              </w:rPr>
              <w:drawing>
                <wp:inline distT="0" distB="0" distL="0" distR="0" wp14:anchorId="130FB13E" wp14:editId="46DE5467">
                  <wp:extent cx="5219700" cy="3781425"/>
                  <wp:effectExtent l="0" t="0" r="0" b="9525"/>
                  <wp:docPr id="7" name="Picture 7" descr="This chart depicts 572 schools that received income from overseas students in 2016. In a small number of schools the income generated was considerable (either 5% of higher of their total income, or $1,000,000 or more). The average income generated was $410,182&#10;" title="Income received by schools from overseas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e5108742\AppData\Local\Microsoft\Windows\INetCache\Content.Word\OS_Student_Income_pc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9700" cy="3781425"/>
                          </a:xfrm>
                          <a:prstGeom prst="rect">
                            <a:avLst/>
                          </a:prstGeom>
                          <a:noFill/>
                          <a:ln>
                            <a:noFill/>
                          </a:ln>
                        </pic:spPr>
                      </pic:pic>
                    </a:graphicData>
                  </a:graphic>
                </wp:inline>
              </w:drawing>
            </w:r>
          </w:p>
        </w:tc>
      </w:tr>
    </w:tbl>
    <w:p w14:paraId="5FA0370D" w14:textId="5C4B0887" w:rsidR="008B58D3" w:rsidRDefault="00421534" w:rsidP="00421534">
      <w:pPr>
        <w:pStyle w:val="Datasource"/>
        <w:tabs>
          <w:tab w:val="clear" w:pos="720"/>
          <w:tab w:val="left" w:pos="0"/>
        </w:tabs>
        <w:ind w:left="0" w:firstLine="0"/>
        <w:jc w:val="left"/>
      </w:pPr>
      <w:r>
        <w:t>Source: Analysis of the 2016 Financial Questionnaire data collection. Account codes used to identify income from overseas students comprise</w:t>
      </w:r>
      <w:r w:rsidR="009F2906">
        <w:t xml:space="preserve"> </w:t>
      </w:r>
      <w:r w:rsidRPr="00421534">
        <w:t>RI_050T</w:t>
      </w:r>
      <w:r>
        <w:t xml:space="preserve">, </w:t>
      </w:r>
      <w:r w:rsidRPr="00421534">
        <w:t>RI_050B</w:t>
      </w:r>
      <w:r>
        <w:t>,</w:t>
      </w:r>
      <w:r w:rsidRPr="00421534">
        <w:t xml:space="preserve"> RI_050S</w:t>
      </w:r>
      <w:r>
        <w:t xml:space="preserve">, </w:t>
      </w:r>
      <w:r w:rsidRPr="00421534">
        <w:t>CI_040T</w:t>
      </w:r>
      <w:r>
        <w:t xml:space="preserve">, </w:t>
      </w:r>
      <w:r w:rsidRPr="00421534">
        <w:t xml:space="preserve">CI_040B </w:t>
      </w:r>
      <w:r>
        <w:t xml:space="preserve">and </w:t>
      </w:r>
      <w:r w:rsidRPr="00421534">
        <w:t>CI_040S</w:t>
      </w:r>
      <w:r>
        <w:t>.</w:t>
      </w:r>
    </w:p>
    <w:p w14:paraId="46B5A5A6" w14:textId="3ED5A868" w:rsidR="008B58D3" w:rsidRDefault="008B58D3" w:rsidP="008B58D3">
      <w:pPr>
        <w:pStyle w:val="Caption"/>
      </w:pPr>
      <w:bookmarkStart w:id="61" w:name="_Ref518018183"/>
      <w:bookmarkStart w:id="62" w:name="_Toc518645999"/>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3</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6</w:t>
      </w:r>
      <w:r w:rsidR="001D45B7">
        <w:rPr>
          <w:noProof/>
        </w:rPr>
        <w:fldChar w:fldCharType="end"/>
      </w:r>
      <w:r>
        <w:t>: Income</w:t>
      </w:r>
      <w:r w:rsidR="00491191">
        <w:t xml:space="preserve"> received by schools</w:t>
      </w:r>
      <w:r>
        <w:t xml:space="preserve"> from </w:t>
      </w:r>
      <w:r w:rsidR="00301F6F">
        <w:t>boarding</w:t>
      </w:r>
      <w:r>
        <w:t xml:space="preserve"> students</w:t>
      </w:r>
      <w:bookmarkEnd w:id="61"/>
      <w:bookmarkEnd w:id="62"/>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Caption w:val="Income received by schools from boarding students"/>
        <w:tblDescription w:val="&#10;These charts show that 173 schools received income from boarding students in 2016. In 63 schools boarding income accounts for 10 per cent or more of total income, and 20 per cent or more in 14 schools. A total of 72 schools received $2 million or more, and 8 schools $5 million or more. &#10;"/>
      </w:tblPr>
      <w:tblGrid>
        <w:gridCol w:w="9027"/>
      </w:tblGrid>
      <w:tr w:rsidR="008B58D3" w14:paraId="495FD84E"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90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A09ACF" w14:textId="77777777" w:rsidR="008B58D3" w:rsidRDefault="008B58D3" w:rsidP="00067EBE">
            <w:pPr>
              <w:pStyle w:val="Tablegridheading"/>
              <w:jc w:val="center"/>
            </w:pPr>
            <w:r>
              <w:t xml:space="preserve">Reliance on </w:t>
            </w:r>
            <w:r w:rsidR="00301F6F">
              <w:t>boarding</w:t>
            </w:r>
            <w:r>
              <w:t xml:space="preserve"> student income</w:t>
            </w:r>
          </w:p>
        </w:tc>
      </w:tr>
      <w:tr w:rsidR="008B58D3" w14:paraId="20882F1F" w14:textId="77777777" w:rsidTr="00671A4E">
        <w:tc>
          <w:tcPr>
            <w:tcW w:w="9027" w:type="dxa"/>
          </w:tcPr>
          <w:p w14:paraId="7CFA11C2" w14:textId="77777777" w:rsidR="008B58D3" w:rsidRDefault="00421534" w:rsidP="00671A4E">
            <w:pPr>
              <w:pStyle w:val="Tablegridtext"/>
              <w:jc w:val="center"/>
            </w:pPr>
            <w:r>
              <w:rPr>
                <w:noProof/>
                <w:lang w:eastAsia="en-AU"/>
              </w:rPr>
              <w:drawing>
                <wp:inline distT="0" distB="0" distL="0" distR="0" wp14:anchorId="532A203F" wp14:editId="0088FFB3">
                  <wp:extent cx="5220000" cy="3804260"/>
                  <wp:effectExtent l="0" t="0" r="0" b="6350"/>
                  <wp:docPr id="4" name="Picture 4" descr="These charts show that 173 schools received income from boarding students in 2016. In 63 schools boarding income accounts for 10 per cent or more of total income, and 20 per cent or more in 14 schools.  &#10;" title="Income received by schools from boarding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0000" cy="3804260"/>
                          </a:xfrm>
                          <a:prstGeom prst="rect">
                            <a:avLst/>
                          </a:prstGeom>
                          <a:noFill/>
                          <a:ln>
                            <a:noFill/>
                          </a:ln>
                        </pic:spPr>
                      </pic:pic>
                    </a:graphicData>
                  </a:graphic>
                </wp:inline>
              </w:drawing>
            </w:r>
          </w:p>
        </w:tc>
      </w:tr>
      <w:tr w:rsidR="008B58D3" w14:paraId="2DE05866" w14:textId="77777777" w:rsidTr="00671A4E">
        <w:tc>
          <w:tcPr>
            <w:tcW w:w="9027" w:type="dxa"/>
          </w:tcPr>
          <w:p w14:paraId="2384849E" w14:textId="77777777" w:rsidR="008B58D3" w:rsidRDefault="008B58D3" w:rsidP="00067EBE">
            <w:pPr>
              <w:pStyle w:val="Tablegridheading"/>
              <w:jc w:val="center"/>
            </w:pPr>
            <w:r>
              <w:t xml:space="preserve">Income received by schools from </w:t>
            </w:r>
            <w:r w:rsidR="00301F6F">
              <w:t>boarding</w:t>
            </w:r>
            <w:r>
              <w:t xml:space="preserve"> students</w:t>
            </w:r>
          </w:p>
        </w:tc>
      </w:tr>
      <w:tr w:rsidR="008B58D3" w14:paraId="6BAE019C" w14:textId="77777777" w:rsidTr="00671A4E">
        <w:tc>
          <w:tcPr>
            <w:tcW w:w="9027" w:type="dxa"/>
          </w:tcPr>
          <w:p w14:paraId="12AC00F9" w14:textId="77777777" w:rsidR="008B58D3" w:rsidRDefault="00421534" w:rsidP="00671A4E">
            <w:pPr>
              <w:pStyle w:val="Tablegridtext"/>
              <w:jc w:val="center"/>
            </w:pPr>
            <w:r>
              <w:rPr>
                <w:noProof/>
                <w:lang w:eastAsia="en-AU"/>
              </w:rPr>
              <w:drawing>
                <wp:inline distT="0" distB="0" distL="0" distR="0" wp14:anchorId="08ED7C5B" wp14:editId="55407230">
                  <wp:extent cx="5220000" cy="3804260"/>
                  <wp:effectExtent l="0" t="0" r="0" b="6350"/>
                  <wp:docPr id="6" name="Picture 6" descr="These charts show that 173 schools received income from boarding students in 2016&#10;A total of 72 schools received $2 million or more, and 8 schools $5 million or more." title="Income received by schools from boarding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0000" cy="3804260"/>
                          </a:xfrm>
                          <a:prstGeom prst="rect">
                            <a:avLst/>
                          </a:prstGeom>
                          <a:noFill/>
                          <a:ln>
                            <a:noFill/>
                          </a:ln>
                        </pic:spPr>
                      </pic:pic>
                    </a:graphicData>
                  </a:graphic>
                </wp:inline>
              </w:drawing>
            </w:r>
          </w:p>
        </w:tc>
      </w:tr>
    </w:tbl>
    <w:p w14:paraId="0D809D82" w14:textId="77777777" w:rsidR="008B58D3" w:rsidRDefault="0032796B" w:rsidP="0032796B">
      <w:pPr>
        <w:pStyle w:val="Datasource"/>
      </w:pPr>
      <w:r>
        <w:t>Source: Analysis of the 2016 Financial Questionnaire data collection.</w:t>
      </w:r>
    </w:p>
    <w:p w14:paraId="1A2743FE" w14:textId="77777777" w:rsidR="00727B13" w:rsidRDefault="00727B13" w:rsidP="00727B13">
      <w:pPr>
        <w:pStyle w:val="Heading1"/>
      </w:pPr>
      <w:bookmarkStart w:id="63" w:name="_Ref517945965"/>
      <w:bookmarkStart w:id="64" w:name="_Ref517966754"/>
      <w:bookmarkStart w:id="65" w:name="_Toc517982755"/>
      <w:r w:rsidRPr="00301F6F">
        <w:t xml:space="preserve">Estimating school wealth using </w:t>
      </w:r>
      <w:r>
        <w:t>Financial Questionnaire</w:t>
      </w:r>
      <w:r w:rsidRPr="00301F6F">
        <w:t xml:space="preserve"> data</w:t>
      </w:r>
      <w:bookmarkEnd w:id="63"/>
      <w:bookmarkEnd w:id="64"/>
      <w:bookmarkEnd w:id="65"/>
    </w:p>
    <w:p w14:paraId="6F6830DA" w14:textId="0C2255D9" w:rsidR="00491191" w:rsidRDefault="00491191" w:rsidP="00491191">
      <w:r>
        <w:t>This section details the estimat</w:t>
      </w:r>
      <w:r w:rsidR="00DF264D">
        <w:t xml:space="preserve">ion of school wealth score </w:t>
      </w:r>
      <w:r>
        <w:t>using non-fee private income received by school</w:t>
      </w:r>
      <w:r w:rsidR="00ED2003">
        <w:t>s</w:t>
      </w:r>
      <w:r>
        <w:t xml:space="preserve">. As identified in section </w:t>
      </w:r>
      <w:r>
        <w:fldChar w:fldCharType="begin"/>
      </w:r>
      <w:r>
        <w:instrText xml:space="preserve"> REF _Ref517945960 \r \h </w:instrText>
      </w:r>
      <w:r>
        <w:fldChar w:fldCharType="separate"/>
      </w:r>
      <w:r w:rsidR="00614CD5">
        <w:t>3</w:t>
      </w:r>
      <w:r>
        <w:fldChar w:fldCharType="end"/>
      </w:r>
      <w:r>
        <w:t xml:space="preserve">, two </w:t>
      </w:r>
      <w:r w:rsidR="0032796B">
        <w:t>methods using</w:t>
      </w:r>
      <w:r>
        <w:t xml:space="preserve"> non-fee private income per student </w:t>
      </w:r>
      <w:proofErr w:type="gramStart"/>
      <w:r>
        <w:t>are explored</w:t>
      </w:r>
      <w:proofErr w:type="gramEnd"/>
      <w:r w:rsidR="00DF264D">
        <w:t xml:space="preserve"> for generating a wealth score</w:t>
      </w:r>
      <w:r>
        <w:t xml:space="preserve">. The first relates to the absolute value, the second to the difference from the </w:t>
      </w:r>
      <w:r w:rsidR="00F25C19">
        <w:t>base SRS</w:t>
      </w:r>
      <w:r>
        <w:t xml:space="preserve">. </w:t>
      </w:r>
    </w:p>
    <w:p w14:paraId="0B270346" w14:textId="324FB431" w:rsidR="00900D4D" w:rsidRPr="0023014D" w:rsidRDefault="00900D4D" w:rsidP="00491191">
      <w:r>
        <w:t xml:space="preserve">The analysis below first uses kernel density graphs to compare the </w:t>
      </w:r>
      <w:r w:rsidRPr="0023014D">
        <w:t xml:space="preserve">distribution of the </w:t>
      </w:r>
      <w:r w:rsidR="00B87B4D" w:rsidRPr="0023014D">
        <w:t>Absolute value</w:t>
      </w:r>
      <w:r w:rsidRPr="0023014D">
        <w:t xml:space="preserve"> and difference from </w:t>
      </w:r>
      <w:r w:rsidR="00F25C19" w:rsidRPr="0023014D">
        <w:t>base SRS</w:t>
      </w:r>
      <w:r w:rsidRPr="0023014D">
        <w:t xml:space="preserve"> dollar amounts.</w:t>
      </w:r>
      <w:r w:rsidRPr="0023014D">
        <w:rPr>
          <w:rStyle w:val="FootnoteReference"/>
        </w:rPr>
        <w:footnoteReference w:id="5"/>
      </w:r>
      <w:r w:rsidRPr="0023014D">
        <w:t xml:space="preserve"> This examination compares Catholic and independent schools.</w:t>
      </w:r>
    </w:p>
    <w:p w14:paraId="72B55371" w14:textId="77777777" w:rsidR="00727B13" w:rsidRDefault="00727B13" w:rsidP="00727B13">
      <w:pPr>
        <w:pStyle w:val="Heading2"/>
      </w:pPr>
      <w:bookmarkStart w:id="66" w:name="_Toc517982756"/>
      <w:r w:rsidRPr="00301F6F">
        <w:t>Non-fee private income per student</w:t>
      </w:r>
      <w:bookmarkEnd w:id="66"/>
      <w:r w:rsidR="00491191">
        <w:t>: Absolute value</w:t>
      </w:r>
    </w:p>
    <w:p w14:paraId="314F0D0A" w14:textId="44FC703E" w:rsidR="00F3039E" w:rsidRDefault="00E81B91" w:rsidP="00096F1B">
      <w:r>
        <w:t xml:space="preserve">The estimate of non-fee private income per student was generated using data from up to five years (2011 to 2016). An average </w:t>
      </w:r>
      <w:proofErr w:type="gramStart"/>
      <w:r>
        <w:t>was generated</w:t>
      </w:r>
      <w:proofErr w:type="gramEnd"/>
      <w:r>
        <w:t xml:space="preserve"> after first indexing the values to 2016 dollars. The resulting </w:t>
      </w:r>
      <w:r w:rsidR="00096F1B">
        <w:t xml:space="preserve">distribution of non-fee private income per student </w:t>
      </w:r>
      <w:proofErr w:type="gramStart"/>
      <w:r w:rsidR="00096F1B">
        <w:t>is presented</w:t>
      </w:r>
      <w:proofErr w:type="gramEnd"/>
      <w:r w:rsidR="00096F1B">
        <w:t xml:space="preserve"> in</w:t>
      </w:r>
      <w:r w:rsidR="00FC17F7">
        <w:t xml:space="preserve"> </w:t>
      </w:r>
      <w:r w:rsidR="00FC17F7">
        <w:fldChar w:fldCharType="begin"/>
      </w:r>
      <w:r w:rsidR="00FC17F7">
        <w:instrText xml:space="preserve"> REF _Ref518299213 \h </w:instrText>
      </w:r>
      <w:r w:rsidR="00FC17F7">
        <w:fldChar w:fldCharType="separate"/>
      </w:r>
      <w:r w:rsidR="00614CD5">
        <w:t xml:space="preserve">Figure </w:t>
      </w:r>
      <w:r w:rsidR="00614CD5">
        <w:rPr>
          <w:noProof/>
        </w:rPr>
        <w:t>4</w:t>
      </w:r>
      <w:r w:rsidR="00614CD5">
        <w:noBreakHyphen/>
      </w:r>
      <w:r w:rsidR="00614CD5">
        <w:rPr>
          <w:noProof/>
        </w:rPr>
        <w:t>1</w:t>
      </w:r>
      <w:r w:rsidR="00FC17F7">
        <w:fldChar w:fldCharType="end"/>
      </w:r>
      <w:r w:rsidR="00FC17F7">
        <w:t xml:space="preserve"> (upper), </w:t>
      </w:r>
      <w:r w:rsidR="009F2906">
        <w:t xml:space="preserve">in which </w:t>
      </w:r>
      <w:r w:rsidR="00096F1B" w:rsidRPr="00715E36">
        <w:t>90</w:t>
      </w:r>
      <w:r w:rsidR="00096F1B">
        <w:t xml:space="preserve"> per cent of schools have </w:t>
      </w:r>
      <w:r w:rsidR="00096F1B" w:rsidRPr="00715E36">
        <w:t>values between $143 and $1,961 per student</w:t>
      </w:r>
      <w:r w:rsidR="00096F1B">
        <w:t xml:space="preserve">. </w:t>
      </w:r>
    </w:p>
    <w:p w14:paraId="40B3FD31" w14:textId="27433332" w:rsidR="00096F1B" w:rsidRDefault="00096F1B" w:rsidP="00096F1B">
      <w:r>
        <w:t xml:space="preserve">The median </w:t>
      </w:r>
      <w:r w:rsidRPr="00715E36">
        <w:t>value</w:t>
      </w:r>
      <w:r>
        <w:t xml:space="preserve"> for Catholic schools is </w:t>
      </w:r>
      <w:r w:rsidRPr="00715E36">
        <w:t>$394 per student</w:t>
      </w:r>
      <w:r>
        <w:t xml:space="preserve">, with the median value for independent schools </w:t>
      </w:r>
      <w:r w:rsidRPr="00715E36">
        <w:t>$564 per student</w:t>
      </w:r>
      <w:r>
        <w:t>.</w:t>
      </w:r>
      <w:r w:rsidR="00F3039E">
        <w:t xml:space="preserve"> The long red dashed line representing independent schools stretches far to the right, </w:t>
      </w:r>
      <w:r w:rsidR="00DA3FED">
        <w:t xml:space="preserve">denoting there are </w:t>
      </w:r>
      <w:proofErr w:type="gramStart"/>
      <w:r w:rsidR="00DA3FED">
        <w:t>7</w:t>
      </w:r>
      <w:proofErr w:type="gramEnd"/>
      <w:r w:rsidR="00DA3FED">
        <w:t xml:space="preserve"> </w:t>
      </w:r>
      <w:r w:rsidR="00F3039E">
        <w:t xml:space="preserve">schools with non-fee private income per students of greater than $10,000 per student. </w:t>
      </w:r>
    </w:p>
    <w:p w14:paraId="5405225B" w14:textId="736B5F76" w:rsidR="00B81C7F" w:rsidRDefault="001A6FDE" w:rsidP="00B71589">
      <w:r>
        <w:t xml:space="preserve">The distribution of the </w:t>
      </w:r>
      <w:r w:rsidR="009E0BE8">
        <w:t xml:space="preserve">2016 SES scores </w:t>
      </w:r>
      <w:r>
        <w:t>and the standardised non-fee private income per student values are quite different. As the non-fee private income values have a long upper tail, the standardised values extend to over 200, with the lowest value at 95</w:t>
      </w:r>
      <w:r w:rsidR="009F2906">
        <w:t xml:space="preserve">, </w:t>
      </w:r>
      <w:r>
        <w:t xml:space="preserve">even </w:t>
      </w:r>
      <w:r w:rsidR="00BF5E8C">
        <w:t>though</w:t>
      </w:r>
      <w:r>
        <w:t xml:space="preserve"> the average is 100. In contrast, the 2016 SES score for all schools ranges from 73 to 132. </w:t>
      </w:r>
    </w:p>
    <w:p w14:paraId="6403E9ED" w14:textId="3FFA7BDF" w:rsidR="00B71589" w:rsidRDefault="001A6FDE" w:rsidP="00B71589">
      <w:pPr>
        <w:rPr>
          <w:b/>
          <w:color w:val="000080"/>
        </w:rPr>
      </w:pPr>
      <w:r>
        <w:t xml:space="preserve">The implication of this situation </w:t>
      </w:r>
      <w:proofErr w:type="gramStart"/>
      <w:r>
        <w:t>is shown</w:t>
      </w:r>
      <w:proofErr w:type="gramEnd"/>
      <w:r>
        <w:t xml:space="preserve"> in</w:t>
      </w:r>
      <w:r w:rsidR="00FC17F7">
        <w:t xml:space="preserve"> </w:t>
      </w:r>
      <w:r w:rsidR="00FC17F7">
        <w:fldChar w:fldCharType="begin"/>
      </w:r>
      <w:r w:rsidR="00FC17F7">
        <w:instrText xml:space="preserve"> REF _Ref518299213 \h </w:instrText>
      </w:r>
      <w:r w:rsidR="00FC17F7">
        <w:fldChar w:fldCharType="separate"/>
      </w:r>
      <w:r w:rsidR="00614CD5">
        <w:t xml:space="preserve">Figure </w:t>
      </w:r>
      <w:r w:rsidR="00614CD5">
        <w:rPr>
          <w:noProof/>
        </w:rPr>
        <w:t>4</w:t>
      </w:r>
      <w:r w:rsidR="00614CD5">
        <w:noBreakHyphen/>
      </w:r>
      <w:r w:rsidR="00614CD5">
        <w:rPr>
          <w:noProof/>
        </w:rPr>
        <w:t>1</w:t>
      </w:r>
      <w:r w:rsidR="00FC17F7">
        <w:fldChar w:fldCharType="end"/>
      </w:r>
      <w:r w:rsidR="00FC17F7">
        <w:t xml:space="preserve"> (lower)</w:t>
      </w:r>
      <w:r>
        <w:t>, which plots the standardised values of non-fee private income per student against the 2016 SES score for each school.</w:t>
      </w:r>
      <w:r>
        <w:rPr>
          <w:rStyle w:val="FootnoteReference"/>
        </w:rPr>
        <w:footnoteReference w:id="6"/>
      </w:r>
      <w:r>
        <w:t xml:space="preserve"> </w:t>
      </w:r>
      <w:r w:rsidR="00B71589">
        <w:t xml:space="preserve">Once the standardised non-fee private income per student values exceed 120, they are </w:t>
      </w:r>
      <w:proofErr w:type="gramStart"/>
      <w:r w:rsidR="00B71589">
        <w:t>more disparate</w:t>
      </w:r>
      <w:proofErr w:type="gramEnd"/>
      <w:r w:rsidR="00B71589">
        <w:t xml:space="preserve"> than the SES scores. As a </w:t>
      </w:r>
      <w:proofErr w:type="gramStart"/>
      <w:r w:rsidR="0032796B">
        <w:t>result</w:t>
      </w:r>
      <w:proofErr w:type="gramEnd"/>
      <w:r w:rsidR="00B71589">
        <w:t xml:space="preserve"> there is a weak relationship between the two values</w:t>
      </w:r>
      <w:r w:rsidR="009F2906">
        <w:t>. A</w:t>
      </w:r>
      <w:r w:rsidR="00B71589">
        <w:t xml:space="preserve"> strong</w:t>
      </w:r>
      <w:r w:rsidR="007361B1">
        <w:t xml:space="preserve"> </w:t>
      </w:r>
      <w:r w:rsidR="0023014D">
        <w:t xml:space="preserve">relationship </w:t>
      </w:r>
      <w:r w:rsidR="00B71589">
        <w:t xml:space="preserve">would see the dots in </w:t>
      </w:r>
      <w:r w:rsidR="00FC17F7">
        <w:fldChar w:fldCharType="begin"/>
      </w:r>
      <w:r w:rsidR="00FC17F7">
        <w:instrText xml:space="preserve"> REF _Ref518299213 \h </w:instrText>
      </w:r>
      <w:r w:rsidR="00FC17F7">
        <w:fldChar w:fldCharType="separate"/>
      </w:r>
      <w:r w:rsidR="00614CD5">
        <w:t xml:space="preserve">Figure </w:t>
      </w:r>
      <w:r w:rsidR="00614CD5">
        <w:rPr>
          <w:noProof/>
        </w:rPr>
        <w:t>4</w:t>
      </w:r>
      <w:r w:rsidR="00614CD5">
        <w:noBreakHyphen/>
      </w:r>
      <w:r w:rsidR="00614CD5">
        <w:rPr>
          <w:noProof/>
        </w:rPr>
        <w:t>1</w:t>
      </w:r>
      <w:r w:rsidR="00FC17F7">
        <w:fldChar w:fldCharType="end"/>
      </w:r>
      <w:r w:rsidR="00FC17F7">
        <w:t xml:space="preserve"> (lower) </w:t>
      </w:r>
      <w:r w:rsidR="00B71589">
        <w:t xml:space="preserve">closely aligned </w:t>
      </w:r>
      <w:r w:rsidR="00ED2003">
        <w:t xml:space="preserve">in </w:t>
      </w:r>
      <w:r w:rsidR="00B71589">
        <w:t>a line.</w:t>
      </w:r>
      <w:bookmarkStart w:id="67" w:name="_Ref518068222"/>
      <w:r w:rsidR="00FC17F7">
        <w:t xml:space="preserve"> </w:t>
      </w:r>
    </w:p>
    <w:p w14:paraId="05322662" w14:textId="14B479A4" w:rsidR="00715E36" w:rsidRDefault="00715E36" w:rsidP="00715E36">
      <w:pPr>
        <w:pStyle w:val="Caption"/>
      </w:pPr>
      <w:bookmarkStart w:id="68" w:name="_Ref518299213"/>
      <w:bookmarkStart w:id="69" w:name="_Toc518646000"/>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4</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1</w:t>
      </w:r>
      <w:r w:rsidR="001D45B7">
        <w:rPr>
          <w:noProof/>
        </w:rPr>
        <w:fldChar w:fldCharType="end"/>
      </w:r>
      <w:bookmarkEnd w:id="67"/>
      <w:bookmarkEnd w:id="68"/>
      <w:r>
        <w:t xml:space="preserve">: </w:t>
      </w:r>
      <w:r w:rsidRPr="00301F6F">
        <w:t>Non-fee private income per student</w:t>
      </w:r>
      <w:r w:rsidR="00491191">
        <w:t>-</w:t>
      </w:r>
      <w:r w:rsidR="00B87B4D">
        <w:t>A</w:t>
      </w:r>
      <w:r w:rsidR="00491191">
        <w:t>bsolute value</w:t>
      </w:r>
      <w:bookmarkEnd w:id="69"/>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Caption w:val="Non-fee private income per student-absolute value"/>
        <w:tblDescription w:val="This is a chart depicting the non-fee income per student, in absolute values. &#10;The data shows that 90 per cent of schools have values between $143 and $1,961 per student. &#10;The median value for Catholic schools is $394 per student, with the median value for independent schools being $564 per student. There is a very long tail in independent schools, denoting there are 7 schools with non-fee private income of greater than $10,000 per student.&#10;&#10;&#10;This is a scatter plot showing the standardised values of non-fee private income per student against the 2016 SES score for each school.&#10;There is a weak relationship between the two values.&#10;"/>
      </w:tblPr>
      <w:tblGrid>
        <w:gridCol w:w="9027"/>
      </w:tblGrid>
      <w:tr w:rsidR="00DA3FED" w:rsidRPr="00DA3FED" w14:paraId="776DB198"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9027" w:type="dxa"/>
            <w:tcBorders>
              <w:top w:val="none" w:sz="0" w:space="0" w:color="auto"/>
              <w:bottom w:val="none" w:sz="0" w:space="0" w:color="auto"/>
            </w:tcBorders>
          </w:tcPr>
          <w:p w14:paraId="6FF725B0" w14:textId="77777777" w:rsidR="00DA3FED" w:rsidRDefault="00DA3FED" w:rsidP="00DA3FED">
            <w:pPr>
              <w:pStyle w:val="Tablegridheading"/>
              <w:jc w:val="center"/>
            </w:pPr>
            <w:r>
              <w:t>Distribution</w:t>
            </w:r>
          </w:p>
        </w:tc>
      </w:tr>
      <w:tr w:rsidR="00715E36" w14:paraId="128AF1FD" w14:textId="77777777" w:rsidTr="00DA3FED">
        <w:tc>
          <w:tcPr>
            <w:tcW w:w="9027" w:type="dxa"/>
          </w:tcPr>
          <w:p w14:paraId="4642FA59" w14:textId="77777777" w:rsidR="00715E36" w:rsidRDefault="00DA3FED" w:rsidP="00671A4E">
            <w:pPr>
              <w:pStyle w:val="Tablegridtext"/>
              <w:jc w:val="center"/>
            </w:pPr>
            <w:r>
              <w:rPr>
                <w:noProof/>
                <w:lang w:eastAsia="en-AU"/>
              </w:rPr>
              <w:drawing>
                <wp:inline distT="0" distB="0" distL="0" distR="0" wp14:anchorId="37539520" wp14:editId="38D59433">
                  <wp:extent cx="5219700" cy="3800475"/>
                  <wp:effectExtent l="0" t="0" r="0" b="9525"/>
                  <wp:docPr id="14" name="Picture 14" descr="This is a chart depicting the non-fee income per student, in absolute values. &#10;The data shows that 90 per cent of schools have values between $143 and $1,961 per student. &#10;The median value for Catholic schools is $394 per student, with the median value for independent schools being $564 per student. There is a very long tail in independent schools, denoting there are 7 schools with non-fee private income of greater than $10,000 per student. &#10;" title="Non-fee private income per student-absolute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Kensity_NonFeePriTotInc_ps_mean_27042018_Unweigh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9700" cy="3800475"/>
                          </a:xfrm>
                          <a:prstGeom prst="rect">
                            <a:avLst/>
                          </a:prstGeom>
                          <a:noFill/>
                          <a:ln>
                            <a:noFill/>
                          </a:ln>
                        </pic:spPr>
                      </pic:pic>
                    </a:graphicData>
                  </a:graphic>
                </wp:inline>
              </w:drawing>
            </w:r>
          </w:p>
        </w:tc>
      </w:tr>
      <w:tr w:rsidR="00715E36" w14:paraId="74FE6509" w14:textId="77777777" w:rsidTr="00671A4E">
        <w:tc>
          <w:tcPr>
            <w:tcW w:w="9027" w:type="dxa"/>
          </w:tcPr>
          <w:p w14:paraId="77723F96" w14:textId="77777777" w:rsidR="00715E36" w:rsidRDefault="00715E36" w:rsidP="00DA3FED">
            <w:pPr>
              <w:pStyle w:val="Tablegridheading"/>
              <w:jc w:val="center"/>
            </w:pPr>
            <w:r>
              <w:t>Standardised values vs. SES score (2016)</w:t>
            </w:r>
          </w:p>
        </w:tc>
      </w:tr>
      <w:tr w:rsidR="00715E36" w14:paraId="157DF0DD" w14:textId="77777777" w:rsidTr="00671A4E">
        <w:tc>
          <w:tcPr>
            <w:tcW w:w="9027" w:type="dxa"/>
          </w:tcPr>
          <w:p w14:paraId="5E76FABC" w14:textId="77777777" w:rsidR="00715E36" w:rsidRDefault="00092CF2" w:rsidP="00671A4E">
            <w:pPr>
              <w:pStyle w:val="Tablegridtext"/>
              <w:jc w:val="center"/>
            </w:pPr>
            <w:r>
              <w:rPr>
                <w:noProof/>
                <w:lang w:eastAsia="en-AU"/>
              </w:rPr>
              <w:drawing>
                <wp:inline distT="0" distB="0" distL="0" distR="0" wp14:anchorId="5C1D1DA3" wp14:editId="5EFCE83B">
                  <wp:extent cx="5220000" cy="3804263"/>
                  <wp:effectExtent l="0" t="0" r="0" b="6350"/>
                  <wp:docPr id="1" name="Picture 1" descr="This is a scatter plot showing the standardised values of non-fee private income per student against the 2016 SES score for each school.&#10;There is a weak relationship between the two values.&#10;This is a scatter plot that plots the standardised values of the difference from base ‘SRS’ against the 2016 SES score for each school. &#10;&#10;This plot is far more dispersed than that for the Absolute values reported in Figure 4 1, with 90 per cent of the standardised values falling between 85 and 109. There is no relationship between the 2016 SES scores and the standardised difference from base SRS values.&#10;" title="Non-fee private income per student-difference from base 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0000" cy="3804263"/>
                          </a:xfrm>
                          <a:prstGeom prst="rect">
                            <a:avLst/>
                          </a:prstGeom>
                          <a:noFill/>
                          <a:ln>
                            <a:noFill/>
                          </a:ln>
                        </pic:spPr>
                      </pic:pic>
                    </a:graphicData>
                  </a:graphic>
                </wp:inline>
              </w:drawing>
            </w:r>
          </w:p>
        </w:tc>
      </w:tr>
    </w:tbl>
    <w:p w14:paraId="1B8E1DB6" w14:textId="48F5D1DD" w:rsidR="00E81B91" w:rsidRDefault="00E81B91" w:rsidP="00E81B91">
      <w:bookmarkStart w:id="70" w:name="_Toc517982757"/>
      <w:r>
        <w:t xml:space="preserve">The weak </w:t>
      </w:r>
      <w:r w:rsidR="00AC7688">
        <w:t xml:space="preserve">relationship </w:t>
      </w:r>
      <w:r>
        <w:t xml:space="preserve">implies that the standardised non-fee private income per student values contains different information to that </w:t>
      </w:r>
      <w:r w:rsidR="007361B1">
        <w:t xml:space="preserve">which is </w:t>
      </w:r>
      <w:r>
        <w:t xml:space="preserve">within the SES score, and if used to measure CTC, would generate </w:t>
      </w:r>
      <w:r w:rsidR="007361B1">
        <w:t xml:space="preserve">alternative </w:t>
      </w:r>
      <w:r>
        <w:t>funding allocations to schools.</w:t>
      </w:r>
    </w:p>
    <w:p w14:paraId="36169746" w14:textId="04BA4A5F" w:rsidR="00B81C7F" w:rsidRPr="0023014D" w:rsidRDefault="00B81C7F" w:rsidP="00E81B91">
      <w:r w:rsidRPr="0023014D">
        <w:t xml:space="preserve">This weak relationship </w:t>
      </w:r>
      <w:proofErr w:type="gramStart"/>
      <w:r w:rsidRPr="0023014D">
        <w:t xml:space="preserve">is </w:t>
      </w:r>
      <w:r w:rsidR="00ED2003">
        <w:t>explored</w:t>
      </w:r>
      <w:proofErr w:type="gramEnd"/>
      <w:r w:rsidRPr="0023014D">
        <w:t xml:space="preserve"> by looking at the distribution of the original </w:t>
      </w:r>
      <w:r w:rsidR="00B87B4D" w:rsidRPr="0023014D">
        <w:t>Absolute value</w:t>
      </w:r>
      <w:r w:rsidRPr="0023014D">
        <w:t>s for schools with similar SES scores. There are 277 school</w:t>
      </w:r>
      <w:r w:rsidR="0046035A" w:rsidRPr="0023014D">
        <w:t>s</w:t>
      </w:r>
      <w:r w:rsidRPr="0023014D">
        <w:t xml:space="preserve"> with an SES score of between 99 and 101, with a median </w:t>
      </w:r>
      <w:r w:rsidR="00B87B4D" w:rsidRPr="0023014D">
        <w:t>Absolute value</w:t>
      </w:r>
      <w:r w:rsidRPr="0023014D">
        <w:t xml:space="preserve"> of $349. However, the distribution of the </w:t>
      </w:r>
      <w:r w:rsidR="00B87B4D" w:rsidRPr="0023014D">
        <w:t>Absolute value</w:t>
      </w:r>
      <w:r w:rsidRPr="0023014D">
        <w:t xml:space="preserve">s is wide, with 90 per cent of values falling between </w:t>
      </w:r>
      <w:r w:rsidR="0046035A" w:rsidRPr="0023014D">
        <w:t>$54 and $8,852 per student.</w:t>
      </w:r>
      <w:r w:rsidRPr="0023014D">
        <w:t xml:space="preserve"> </w:t>
      </w:r>
    </w:p>
    <w:p w14:paraId="1BB62F33" w14:textId="77777777" w:rsidR="00727B13" w:rsidRPr="0023014D" w:rsidRDefault="00383145" w:rsidP="0023014D">
      <w:pPr>
        <w:pStyle w:val="Heading2"/>
      </w:pPr>
      <w:r w:rsidRPr="0023014D">
        <w:t xml:space="preserve">Non-fee private income per student: </w:t>
      </w:r>
      <w:r w:rsidR="00727B13" w:rsidRPr="0023014D">
        <w:t xml:space="preserve">Difference from </w:t>
      </w:r>
      <w:r w:rsidR="00F25C19" w:rsidRPr="0023014D">
        <w:t>base SRS</w:t>
      </w:r>
      <w:bookmarkEnd w:id="70"/>
      <w:r w:rsidR="00727B13" w:rsidRPr="0023014D">
        <w:t xml:space="preserve"> </w:t>
      </w:r>
    </w:p>
    <w:p w14:paraId="373D780B" w14:textId="42B76455" w:rsidR="00715E36" w:rsidRPr="0023014D" w:rsidRDefault="00341895" w:rsidP="00CB525C">
      <w:r w:rsidRPr="0023014D">
        <w:t xml:space="preserve">Estimates of the difference from </w:t>
      </w:r>
      <w:r w:rsidR="00F25C19" w:rsidRPr="0023014D">
        <w:t>base SRS</w:t>
      </w:r>
      <w:r w:rsidRPr="0023014D">
        <w:t xml:space="preserve"> </w:t>
      </w:r>
      <w:proofErr w:type="gramStart"/>
      <w:r w:rsidRPr="0023014D">
        <w:t>were generated</w:t>
      </w:r>
      <w:proofErr w:type="gramEnd"/>
      <w:r w:rsidRPr="0023014D">
        <w:t xml:space="preserve"> by first taking the school-level </w:t>
      </w:r>
      <w:r w:rsidR="00B87B4D" w:rsidRPr="0023014D">
        <w:t>Absolute value</w:t>
      </w:r>
      <w:r w:rsidRPr="0023014D">
        <w:t xml:space="preserve">s, and deducting the relevant base SRS amount. The 2016 base SRS values were $9,951 for primary </w:t>
      </w:r>
      <w:proofErr w:type="gramStart"/>
      <w:r w:rsidRPr="0023014D">
        <w:t>students,</w:t>
      </w:r>
      <w:proofErr w:type="gramEnd"/>
      <w:r w:rsidRPr="0023014D">
        <w:t xml:space="preserve"> and $13,087 for secondary students. There is far greater variability in the resulting ‘difference’ values to that reported above for the </w:t>
      </w:r>
      <w:r w:rsidR="00B87B4D" w:rsidRPr="0023014D">
        <w:t>Absolute value</w:t>
      </w:r>
      <w:r w:rsidRPr="0023014D">
        <w:t>s</w:t>
      </w:r>
      <w:r w:rsidR="007361B1" w:rsidRPr="0023014D">
        <w:t xml:space="preserve">. This is </w:t>
      </w:r>
      <w:r w:rsidRPr="0023014D">
        <w:t xml:space="preserve">largely </w:t>
      </w:r>
      <w:r w:rsidR="00ED2003">
        <w:t xml:space="preserve">due </w:t>
      </w:r>
      <w:r w:rsidRPr="0023014D">
        <w:t xml:space="preserve">to the $3,000 difference between the primary and secondary base SRS amounts. </w:t>
      </w:r>
    </w:p>
    <w:p w14:paraId="4C330088" w14:textId="4958ED58" w:rsidR="00341895" w:rsidRDefault="00F8646B" w:rsidP="00CB525C">
      <w:r>
        <w:t xml:space="preserve">The distribution of the ‘difference’ values is presented in </w:t>
      </w:r>
      <w:r>
        <w:fldChar w:fldCharType="begin"/>
      </w:r>
      <w:r>
        <w:instrText xml:space="preserve"> REF _Ref518143588 \h </w:instrText>
      </w:r>
      <w:r>
        <w:fldChar w:fldCharType="separate"/>
      </w:r>
      <w:r w:rsidR="00614CD5">
        <w:t xml:space="preserve">Figure </w:t>
      </w:r>
      <w:r w:rsidR="00614CD5">
        <w:rPr>
          <w:noProof/>
        </w:rPr>
        <w:t>4</w:t>
      </w:r>
      <w:r w:rsidR="00614CD5">
        <w:noBreakHyphen/>
      </w:r>
      <w:r w:rsidR="00614CD5">
        <w:rPr>
          <w:noProof/>
        </w:rPr>
        <w:t>2</w:t>
      </w:r>
      <w:r>
        <w:fldChar w:fldCharType="end"/>
      </w:r>
      <w:r>
        <w:t xml:space="preserve">, with the </w:t>
      </w:r>
      <w:r w:rsidR="00ED2003">
        <w:t xml:space="preserve">varying </w:t>
      </w:r>
      <w:r>
        <w:t xml:space="preserve">results for Catholic and independent schools reflecting the characteristics of each sector. </w:t>
      </w:r>
      <w:r w:rsidR="00BF5E8C">
        <w:t>T</w:t>
      </w:r>
      <w:r>
        <w:t>he two sets of ‘peaks’ for Catholic system</w:t>
      </w:r>
      <w:r w:rsidR="00B87B4D">
        <w:t>ic</w:t>
      </w:r>
      <w:r>
        <w:t xml:space="preserve"> schools reflect that Catholic schools are either primary (represented by the right peak) or secondary (represented by the left peak). In contrast, most independent schools </w:t>
      </w:r>
      <w:proofErr w:type="gramStart"/>
      <w:r>
        <w:t>are combined</w:t>
      </w:r>
      <w:proofErr w:type="gramEnd"/>
      <w:r>
        <w:t xml:space="preserve">, resulting in a single peak for this sector. </w:t>
      </w:r>
      <w:r w:rsidR="00BF5E8C">
        <w:t>Ninety</w:t>
      </w:r>
      <w:r w:rsidR="00BF5E8C" w:rsidRPr="00F31221">
        <w:t xml:space="preserve"> per cent of values fall between </w:t>
      </w:r>
      <w:r w:rsidR="0023014D">
        <w:t>-</w:t>
      </w:r>
      <w:r w:rsidR="00BF5E8C" w:rsidRPr="00F31221">
        <w:t>$12,732 and -$8,844</w:t>
      </w:r>
      <w:r w:rsidR="00BF5E8C">
        <w:t>.</w:t>
      </w:r>
    </w:p>
    <w:p w14:paraId="5BA846A2" w14:textId="70F4F4D1" w:rsidR="00F31221" w:rsidRDefault="00F8646B" w:rsidP="00F8646B">
      <w:r>
        <w:t xml:space="preserve">The median value for Catholic schools is </w:t>
      </w:r>
      <w:r w:rsidR="0023014D">
        <w:t>-</w:t>
      </w:r>
      <w:r w:rsidR="00F31221" w:rsidRPr="00F31221">
        <w:t>$9,710 per student</w:t>
      </w:r>
      <w:r>
        <w:t xml:space="preserve">, and the median value for independent schools is </w:t>
      </w:r>
      <w:r w:rsidR="0023014D">
        <w:t>-</w:t>
      </w:r>
      <w:r w:rsidR="00F31221" w:rsidRPr="00F31221">
        <w:t>$10,764 per student</w:t>
      </w:r>
      <w:r>
        <w:t xml:space="preserve">. </w:t>
      </w:r>
      <w:r w:rsidR="00BF5E8C">
        <w:t xml:space="preserve">These values are much greater </w:t>
      </w:r>
      <w:proofErr w:type="gramStart"/>
      <w:r w:rsidR="00BF5E8C">
        <w:t>than those</w:t>
      </w:r>
      <w:proofErr w:type="gramEnd"/>
      <w:r w:rsidR="00BF5E8C">
        <w:t xml:space="preserve"> reported above for the </w:t>
      </w:r>
      <w:r w:rsidR="00B87B4D">
        <w:t>Absolute value</w:t>
      </w:r>
      <w:r w:rsidR="00BF5E8C">
        <w:t xml:space="preserve">s, due to the different </w:t>
      </w:r>
      <w:r w:rsidR="0023014D">
        <w:t xml:space="preserve">primary student </w:t>
      </w:r>
      <w:r w:rsidR="00BF5E8C">
        <w:t xml:space="preserve">composition of each sector. </w:t>
      </w:r>
    </w:p>
    <w:p w14:paraId="61AA9DE6" w14:textId="73785277" w:rsidR="00DF264D" w:rsidRDefault="00BF5E8C" w:rsidP="00DF264D">
      <w:r>
        <w:t xml:space="preserve">The second graph presented in </w:t>
      </w:r>
      <w:r>
        <w:fldChar w:fldCharType="begin"/>
      </w:r>
      <w:r>
        <w:instrText xml:space="preserve"> REF _Ref518143588 \h </w:instrText>
      </w:r>
      <w:r>
        <w:fldChar w:fldCharType="separate"/>
      </w:r>
      <w:r w:rsidR="00614CD5">
        <w:t xml:space="preserve">Figure </w:t>
      </w:r>
      <w:r w:rsidR="00614CD5">
        <w:rPr>
          <w:noProof/>
        </w:rPr>
        <w:t>4</w:t>
      </w:r>
      <w:r w:rsidR="00614CD5">
        <w:noBreakHyphen/>
      </w:r>
      <w:r w:rsidR="00614CD5">
        <w:rPr>
          <w:noProof/>
        </w:rPr>
        <w:t>2</w:t>
      </w:r>
      <w:r>
        <w:fldChar w:fldCharType="end"/>
      </w:r>
      <w:r>
        <w:t xml:space="preserve"> plots the standardised values of the difference from base ‘SRS’ against the 2016 SES score for each school. This plot is far more dispersed than that for the </w:t>
      </w:r>
      <w:r w:rsidR="00B87B4D">
        <w:t>Absolute value</w:t>
      </w:r>
      <w:r>
        <w:t>s reported in</w:t>
      </w:r>
      <w:r w:rsidR="00FC3A0C">
        <w:t xml:space="preserve"> </w:t>
      </w:r>
      <w:r w:rsidR="00FC3A0C">
        <w:fldChar w:fldCharType="begin"/>
      </w:r>
      <w:r w:rsidR="00FC3A0C">
        <w:instrText xml:space="preserve"> REF _Ref518299213 \h </w:instrText>
      </w:r>
      <w:r w:rsidR="00FC3A0C">
        <w:fldChar w:fldCharType="separate"/>
      </w:r>
      <w:r w:rsidR="00614CD5">
        <w:t xml:space="preserve">Figure </w:t>
      </w:r>
      <w:r w:rsidR="00614CD5">
        <w:rPr>
          <w:noProof/>
        </w:rPr>
        <w:t>4</w:t>
      </w:r>
      <w:r w:rsidR="00614CD5">
        <w:noBreakHyphen/>
      </w:r>
      <w:r w:rsidR="00614CD5">
        <w:rPr>
          <w:noProof/>
        </w:rPr>
        <w:t>1</w:t>
      </w:r>
      <w:r w:rsidR="00FC3A0C">
        <w:fldChar w:fldCharType="end"/>
      </w:r>
      <w:r w:rsidR="00DF264D">
        <w:t xml:space="preserve">, with 90 per cent of the standardised values falling between 85 and 109. There is no relationship between the 2016 SES scores and the standardised difference from base SRS values. </w:t>
      </w:r>
    </w:p>
    <w:p w14:paraId="697873B8" w14:textId="6DD2ABEC" w:rsidR="0046035A" w:rsidRDefault="0046035A" w:rsidP="0046035A">
      <w:r>
        <w:t xml:space="preserve">This weak relationship </w:t>
      </w:r>
      <w:proofErr w:type="gramStart"/>
      <w:r>
        <w:t>is also explained</w:t>
      </w:r>
      <w:proofErr w:type="gramEnd"/>
      <w:r>
        <w:t xml:space="preserve"> by looking at the distribution of the original difference from ‘base SRS values for schools with similar SES scores. For the 277 schools with an SES score of between 99 and 101, the median value </w:t>
      </w:r>
      <w:r w:rsidR="00C51627">
        <w:t>is</w:t>
      </w:r>
      <w:r w:rsidR="0023014D">
        <w:t xml:space="preserve"> -</w:t>
      </w:r>
      <w:r>
        <w:t xml:space="preserve">$10,525. However, the distribution of the </w:t>
      </w:r>
      <w:r w:rsidR="0023014D">
        <w:t xml:space="preserve">original </w:t>
      </w:r>
      <w:r w:rsidR="00B87B4D">
        <w:t>value</w:t>
      </w:r>
      <w:r>
        <w:t xml:space="preserve">s is also very wide, with 90 per cent of values falling between </w:t>
      </w:r>
      <w:r w:rsidR="0023014D">
        <w:t>-</w:t>
      </w:r>
      <w:r>
        <w:t xml:space="preserve">$12,748 and </w:t>
      </w:r>
      <w:r w:rsidR="0023014D">
        <w:t>-</w:t>
      </w:r>
      <w:r>
        <w:t xml:space="preserve">$9,187 per student. </w:t>
      </w:r>
    </w:p>
    <w:p w14:paraId="4CFC3AA7" w14:textId="3C624F1E" w:rsidR="00DF264D" w:rsidRDefault="00DF264D" w:rsidP="00DF264D">
      <w:r w:rsidRPr="00F31221">
        <w:t>The differences between school sectors</w:t>
      </w:r>
      <w:r>
        <w:t xml:space="preserve"> identified by the first chart within </w:t>
      </w:r>
      <w:r>
        <w:fldChar w:fldCharType="begin"/>
      </w:r>
      <w:r>
        <w:instrText xml:space="preserve"> REF _Ref518143588 \h </w:instrText>
      </w:r>
      <w:r>
        <w:fldChar w:fldCharType="separate"/>
      </w:r>
      <w:r w:rsidR="00614CD5">
        <w:t xml:space="preserve">Figure </w:t>
      </w:r>
      <w:r w:rsidR="00614CD5">
        <w:rPr>
          <w:noProof/>
        </w:rPr>
        <w:t>4</w:t>
      </w:r>
      <w:r w:rsidR="00614CD5">
        <w:noBreakHyphen/>
      </w:r>
      <w:r w:rsidR="00614CD5">
        <w:rPr>
          <w:noProof/>
        </w:rPr>
        <w:t>2</w:t>
      </w:r>
      <w:r>
        <w:fldChar w:fldCharType="end"/>
      </w:r>
      <w:r>
        <w:t xml:space="preserve"> </w:t>
      </w:r>
      <w:proofErr w:type="gramStart"/>
      <w:r w:rsidRPr="00F31221">
        <w:t xml:space="preserve">are </w:t>
      </w:r>
      <w:r w:rsidR="008E4F6A">
        <w:t>diminished</w:t>
      </w:r>
      <w:proofErr w:type="gramEnd"/>
      <w:r w:rsidRPr="00F31221">
        <w:t xml:space="preserve"> when </w:t>
      </w:r>
      <w:r w:rsidR="008046D2">
        <w:t>the analysis is separated by s</w:t>
      </w:r>
      <w:r w:rsidRPr="00F31221">
        <w:t>chool type</w:t>
      </w:r>
      <w:r w:rsidR="008E4F6A">
        <w:t xml:space="preserve"> (see </w:t>
      </w:r>
      <w:r>
        <w:fldChar w:fldCharType="begin"/>
      </w:r>
      <w:r>
        <w:instrText xml:space="preserve"> REF _Ref518145196 \h </w:instrText>
      </w:r>
      <w:r>
        <w:fldChar w:fldCharType="separate"/>
      </w:r>
      <w:r w:rsidR="00614CD5">
        <w:t xml:space="preserve">Figure </w:t>
      </w:r>
      <w:r w:rsidR="00614CD5">
        <w:rPr>
          <w:noProof/>
        </w:rPr>
        <w:t>4</w:t>
      </w:r>
      <w:r w:rsidR="00614CD5">
        <w:noBreakHyphen/>
      </w:r>
      <w:r w:rsidR="00614CD5">
        <w:rPr>
          <w:noProof/>
        </w:rPr>
        <w:t>3</w:t>
      </w:r>
      <w:r>
        <w:fldChar w:fldCharType="end"/>
      </w:r>
      <w:r w:rsidR="008E4F6A">
        <w:t xml:space="preserve">). </w:t>
      </w:r>
      <w:r w:rsidR="0046035A">
        <w:t xml:space="preserve">This additional analysis </w:t>
      </w:r>
      <w:r w:rsidR="00C51627">
        <w:t xml:space="preserve">pertains to </w:t>
      </w:r>
      <w:r w:rsidR="0046035A">
        <w:t>school type—primary, secondary and combined—</w:t>
      </w:r>
      <w:r w:rsidR="00C51627">
        <w:t xml:space="preserve">of which </w:t>
      </w:r>
      <w:r w:rsidR="0046035A">
        <w:t xml:space="preserve">there is a similar distribution between sectors. </w:t>
      </w:r>
      <w:r>
        <w:br w:type="page"/>
      </w:r>
    </w:p>
    <w:p w14:paraId="0362E639" w14:textId="7F21E688" w:rsidR="00F31221" w:rsidRDefault="00F31221" w:rsidP="00F31221">
      <w:pPr>
        <w:pStyle w:val="Caption"/>
      </w:pPr>
      <w:bookmarkStart w:id="71" w:name="_Ref518143588"/>
      <w:bookmarkStart w:id="72" w:name="_Toc518646001"/>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4</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2</w:t>
      </w:r>
      <w:r w:rsidR="001D45B7">
        <w:rPr>
          <w:noProof/>
        </w:rPr>
        <w:fldChar w:fldCharType="end"/>
      </w:r>
      <w:bookmarkEnd w:id="71"/>
      <w:r>
        <w:t xml:space="preserve">: </w:t>
      </w:r>
      <w:r w:rsidR="00DF264D" w:rsidRPr="00301F6F">
        <w:t>Non-fee private income per student</w:t>
      </w:r>
      <w:r w:rsidR="00DF264D">
        <w:t>-</w:t>
      </w:r>
      <w:r w:rsidR="00640A9C">
        <w:t>d</w:t>
      </w:r>
      <w:r w:rsidR="00DF264D">
        <w:t xml:space="preserve">ifference from </w:t>
      </w:r>
      <w:r w:rsidR="00F25C19">
        <w:t>base SRS</w:t>
      </w:r>
      <w:bookmarkEnd w:id="72"/>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Description w:val="This is a chart depicting the non-fee income per student, in absolute values. &#10;The data shows that 90 per cent of schools have values between $143 and $1,961 per student. &#10;The median value for Catholic schools is $394 per student, with the median value for independent schools being $564 per student. There is a very long tail in independent schools, denoting there are 7 schools with non-fee private income of greater than $10,000 per student. &#10;"/>
      </w:tblPr>
      <w:tblGrid>
        <w:gridCol w:w="9027"/>
      </w:tblGrid>
      <w:tr w:rsidR="00F31221" w14:paraId="5F7118E0" w14:textId="77777777" w:rsidTr="00513903">
        <w:trPr>
          <w:cnfStyle w:val="100000000000" w:firstRow="1" w:lastRow="0" w:firstColumn="0" w:lastColumn="0" w:oddVBand="0" w:evenVBand="0" w:oddHBand="0" w:evenHBand="0" w:firstRowFirstColumn="0" w:firstRowLastColumn="0" w:lastRowFirstColumn="0" w:lastRowLastColumn="0"/>
          <w:tblHeader/>
        </w:trPr>
        <w:tc>
          <w:tcPr>
            <w:tcW w:w="90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26CC1D" w14:textId="77777777" w:rsidR="00F31221" w:rsidRDefault="00F31221" w:rsidP="008252FC">
            <w:pPr>
              <w:pStyle w:val="Tablegridheading"/>
              <w:jc w:val="center"/>
            </w:pPr>
            <w:r>
              <w:t>Distribution of amount per student</w:t>
            </w:r>
          </w:p>
        </w:tc>
      </w:tr>
      <w:tr w:rsidR="00F31221" w14:paraId="35E4A051" w14:textId="77777777" w:rsidTr="00671A4E">
        <w:tc>
          <w:tcPr>
            <w:tcW w:w="9027" w:type="dxa"/>
          </w:tcPr>
          <w:p w14:paraId="10D426E4" w14:textId="77777777" w:rsidR="00F31221" w:rsidRDefault="00624854" w:rsidP="00671A4E">
            <w:pPr>
              <w:pStyle w:val="Tablegridtext"/>
              <w:jc w:val="center"/>
            </w:pPr>
            <w:r>
              <w:pict w14:anchorId="7928640D">
                <v:shape id="_x0000_i1026" type="#_x0000_t75" style="width:411pt;height:297.75pt">
                  <v:imagedata r:id="rId30" o:title="Kensity_NonFeePriTotInc_ps_mean_net_SRS_27042018_Unweighted"/>
                </v:shape>
              </w:pict>
            </w:r>
          </w:p>
        </w:tc>
      </w:tr>
      <w:tr w:rsidR="00F31221" w14:paraId="21C53D9D" w14:textId="77777777" w:rsidTr="00671A4E">
        <w:tc>
          <w:tcPr>
            <w:tcW w:w="9027" w:type="dxa"/>
          </w:tcPr>
          <w:p w14:paraId="1EE712B4" w14:textId="77777777" w:rsidR="00F31221" w:rsidRDefault="00F31221" w:rsidP="008252FC">
            <w:pPr>
              <w:pStyle w:val="Tablegridheading"/>
              <w:jc w:val="center"/>
            </w:pPr>
            <w:r>
              <w:t>Standardised values vs. SES score (2016)</w:t>
            </w:r>
          </w:p>
        </w:tc>
      </w:tr>
      <w:tr w:rsidR="00F31221" w14:paraId="7D91C156" w14:textId="77777777" w:rsidTr="00671A4E">
        <w:tc>
          <w:tcPr>
            <w:tcW w:w="9027" w:type="dxa"/>
          </w:tcPr>
          <w:p w14:paraId="26D968AF" w14:textId="77777777" w:rsidR="00F31221" w:rsidRDefault="00341895" w:rsidP="00671A4E">
            <w:pPr>
              <w:pStyle w:val="Tablegridtext"/>
              <w:jc w:val="center"/>
            </w:pPr>
            <w:r>
              <w:rPr>
                <w:noProof/>
                <w:lang w:eastAsia="en-AU"/>
              </w:rPr>
              <w:drawing>
                <wp:inline distT="0" distB="0" distL="0" distR="0" wp14:anchorId="1D93359E" wp14:editId="2BCFA117">
                  <wp:extent cx="5220000" cy="3803250"/>
                  <wp:effectExtent l="0" t="0" r="0" b="6985"/>
                  <wp:docPr id="19" name="Picture 19" descr="This is a scatter plot that plots the standardised values of the difference from base ‘SRS’ against the 2016 SES score for each school. &#10;&#10;This plot is far more dispersed than that for the Absolute values reported in Figure 4 1, with 90 per cent of the standardised values falling between 85 and 109. There is no relationship between the 2016 SES scores and the standardised difference from base SRS values.&#10;" title="Standardised values vs. SES sco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20000" cy="3803250"/>
                          </a:xfrm>
                          <a:prstGeom prst="rect">
                            <a:avLst/>
                          </a:prstGeom>
                          <a:noFill/>
                          <a:ln>
                            <a:noFill/>
                          </a:ln>
                        </pic:spPr>
                      </pic:pic>
                    </a:graphicData>
                  </a:graphic>
                </wp:inline>
              </w:drawing>
            </w:r>
          </w:p>
        </w:tc>
      </w:tr>
    </w:tbl>
    <w:p w14:paraId="5BB2F02F" w14:textId="77777777" w:rsidR="00F31221" w:rsidRPr="00F31221" w:rsidRDefault="00F31221" w:rsidP="00F31221"/>
    <w:p w14:paraId="12180DDA" w14:textId="35AEDA54" w:rsidR="00F31221" w:rsidRDefault="00F31221" w:rsidP="00F31221">
      <w:pPr>
        <w:pStyle w:val="Caption"/>
      </w:pPr>
      <w:bookmarkStart w:id="73" w:name="_Ref518145196"/>
      <w:bookmarkStart w:id="74" w:name="_Toc518646002"/>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4</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3</w:t>
      </w:r>
      <w:r w:rsidR="001D45B7">
        <w:rPr>
          <w:noProof/>
        </w:rPr>
        <w:fldChar w:fldCharType="end"/>
      </w:r>
      <w:bookmarkEnd w:id="73"/>
      <w:r>
        <w:t xml:space="preserve">: </w:t>
      </w:r>
      <w:r w:rsidR="00DF264D" w:rsidRPr="00301F6F">
        <w:t>Non-fee private income per student</w:t>
      </w:r>
      <w:r w:rsidR="00DF264D">
        <w:t>-</w:t>
      </w:r>
      <w:r w:rsidR="00640A9C">
        <w:t>d</w:t>
      </w:r>
      <w:r w:rsidR="00DF264D">
        <w:t xml:space="preserve">ifference from </w:t>
      </w:r>
      <w:r w:rsidR="00F25C19">
        <w:t>base SRS</w:t>
      </w:r>
      <w:r w:rsidR="00DF264D">
        <w:t>- school type</w:t>
      </w:r>
      <w:bookmarkEnd w:id="74"/>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Caption w:val="Non-fee private income per student-difference from base SRS- school type"/>
        <w:tblDescription w:val="These charts are of the non-fee private income per student-difference from base SRS- school type, and this is just of primary non-government schools. &#10;The differences between school sectors identified by the first chart within Figure 4 2 are diminished when the analysis is separated by school type—primary, secondary and combined—, as is done with these three charts. &#10;There is a similar distribution between sectors.&#10;"/>
      </w:tblPr>
      <w:tblGrid>
        <w:gridCol w:w="9027"/>
      </w:tblGrid>
      <w:tr w:rsidR="00F31221" w14:paraId="622D5AD7" w14:textId="77777777" w:rsidTr="0062346B">
        <w:trPr>
          <w:cnfStyle w:val="100000000000" w:firstRow="1" w:lastRow="0" w:firstColumn="0" w:lastColumn="0" w:oddVBand="0" w:evenVBand="0" w:oddHBand="0" w:evenHBand="0" w:firstRowFirstColumn="0" w:firstRowLastColumn="0" w:lastRowFirstColumn="0" w:lastRowLastColumn="0"/>
          <w:tblHeader/>
        </w:trPr>
        <w:tc>
          <w:tcPr>
            <w:tcW w:w="90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D825C2" w14:textId="77777777" w:rsidR="00F31221" w:rsidRDefault="00F31221" w:rsidP="008252FC">
            <w:pPr>
              <w:pStyle w:val="Tablegridheading"/>
              <w:jc w:val="center"/>
            </w:pPr>
            <w:r>
              <w:t>Primary</w:t>
            </w:r>
          </w:p>
        </w:tc>
      </w:tr>
      <w:tr w:rsidR="00F31221" w14:paraId="66B2F814" w14:textId="77777777" w:rsidTr="0062346B">
        <w:tc>
          <w:tcPr>
            <w:tcW w:w="9027" w:type="dxa"/>
          </w:tcPr>
          <w:p w14:paraId="0102E25F" w14:textId="443474F4" w:rsidR="00F31221" w:rsidRDefault="00624854" w:rsidP="00671A4E">
            <w:pPr>
              <w:pStyle w:val="Tablegridtext"/>
              <w:jc w:val="center"/>
            </w:pPr>
            <w:r>
              <w:pict w14:anchorId="541DA936">
                <v:shape id="_x0000_i1027" type="#_x0000_t75" style="width:305.25pt;height:189.75pt">
                  <v:imagedata r:id="rId32" o:title="Kensity_NonFeePriTotInc_ps_mean_net_SRS_27042018_Pri_Unweighted" cropbottom="8325f" cropright="-397f"/>
                </v:shape>
              </w:pict>
            </w:r>
          </w:p>
        </w:tc>
      </w:tr>
      <w:tr w:rsidR="00F31221" w14:paraId="17CD5D1E" w14:textId="77777777" w:rsidTr="0062346B">
        <w:tc>
          <w:tcPr>
            <w:tcW w:w="9027" w:type="dxa"/>
          </w:tcPr>
          <w:p w14:paraId="7AE3FF7D" w14:textId="77777777" w:rsidR="00F31221" w:rsidRDefault="00F31221" w:rsidP="008252FC">
            <w:pPr>
              <w:pStyle w:val="Tablegridheading"/>
              <w:jc w:val="center"/>
            </w:pPr>
            <w:r>
              <w:t>Secondary</w:t>
            </w:r>
          </w:p>
        </w:tc>
      </w:tr>
      <w:tr w:rsidR="00F31221" w14:paraId="2F935934" w14:textId="77777777" w:rsidTr="0062346B">
        <w:tc>
          <w:tcPr>
            <w:tcW w:w="9027" w:type="dxa"/>
          </w:tcPr>
          <w:p w14:paraId="3C7A015E" w14:textId="18C10073" w:rsidR="00F31221" w:rsidRDefault="00624854" w:rsidP="00671A4E">
            <w:pPr>
              <w:pStyle w:val="Tablegridtext"/>
              <w:jc w:val="center"/>
            </w:pPr>
            <w:r>
              <w:pict w14:anchorId="10F16765">
                <v:shape id="_x0000_i1028" type="#_x0000_t75" style="width:305.25pt;height:194.25pt">
                  <v:imagedata r:id="rId33" o:title="Kensity_NonFeePriTotInc_ps_mean_net_SRS_27042018_Sec_Unweighted" cropbottom="8059f"/>
                </v:shape>
              </w:pict>
            </w:r>
          </w:p>
        </w:tc>
      </w:tr>
      <w:tr w:rsidR="00F31221" w14:paraId="08EB34B3" w14:textId="77777777" w:rsidTr="0062346B">
        <w:tc>
          <w:tcPr>
            <w:tcW w:w="9027" w:type="dxa"/>
          </w:tcPr>
          <w:p w14:paraId="42D1E281" w14:textId="77777777" w:rsidR="00F31221" w:rsidRDefault="00F31221" w:rsidP="008252FC">
            <w:pPr>
              <w:pStyle w:val="Tablegridheading"/>
              <w:jc w:val="center"/>
            </w:pPr>
            <w:r>
              <w:t>Combined</w:t>
            </w:r>
          </w:p>
        </w:tc>
      </w:tr>
      <w:tr w:rsidR="00F31221" w14:paraId="4A191565" w14:textId="77777777" w:rsidTr="0062346B">
        <w:tc>
          <w:tcPr>
            <w:tcW w:w="9027" w:type="dxa"/>
          </w:tcPr>
          <w:p w14:paraId="42517598" w14:textId="7CB41AA6" w:rsidR="00F31221" w:rsidRDefault="00624854" w:rsidP="00671A4E">
            <w:pPr>
              <w:pStyle w:val="Tablegridtext"/>
              <w:jc w:val="center"/>
            </w:pPr>
            <w:r>
              <w:pict w14:anchorId="18183AF3">
                <v:shape id="_x0000_i1029" type="#_x0000_t75" style="width:305.25pt;height:225pt">
                  <v:imagedata r:id="rId34" o:title="Kensity_NonFeePriTotInc_ps_mean_net_SRS_27042018_Com_Unweighted"/>
                </v:shape>
              </w:pict>
            </w:r>
          </w:p>
        </w:tc>
      </w:tr>
    </w:tbl>
    <w:p w14:paraId="796A7620" w14:textId="77777777" w:rsidR="00F31221" w:rsidRDefault="00F31221" w:rsidP="00F31221">
      <w:pPr>
        <w:pStyle w:val="Heading2"/>
      </w:pPr>
      <w:bookmarkStart w:id="75" w:name="_Toc517982758"/>
      <w:r>
        <w:t>Wealth scores compared</w:t>
      </w:r>
      <w:bookmarkEnd w:id="75"/>
    </w:p>
    <w:p w14:paraId="0442ABA1" w14:textId="79D94DBB" w:rsidR="00FB0E66" w:rsidRDefault="00B020E2" w:rsidP="00FB0E66">
      <w:r>
        <w:t xml:space="preserve">The above analysis has compared </w:t>
      </w:r>
      <w:r w:rsidR="00D73787">
        <w:t>the two</w:t>
      </w:r>
      <w:r>
        <w:t xml:space="preserve"> wealth scores to the existing 2016 SES scores for individual schools. </w:t>
      </w:r>
      <w:r>
        <w:fldChar w:fldCharType="begin"/>
      </w:r>
      <w:r>
        <w:instrText xml:space="preserve"> REF _Ref518153374 \h </w:instrText>
      </w:r>
      <w:r>
        <w:fldChar w:fldCharType="separate"/>
      </w:r>
      <w:r w:rsidR="00614CD5">
        <w:t xml:space="preserve">Figure </w:t>
      </w:r>
      <w:r w:rsidR="00614CD5">
        <w:rPr>
          <w:noProof/>
        </w:rPr>
        <w:t>4</w:t>
      </w:r>
      <w:r w:rsidR="00614CD5">
        <w:noBreakHyphen/>
      </w:r>
      <w:r w:rsidR="00614CD5">
        <w:rPr>
          <w:noProof/>
        </w:rPr>
        <w:t>4</w:t>
      </w:r>
      <w:r>
        <w:fldChar w:fldCharType="end"/>
      </w:r>
      <w:r>
        <w:t xml:space="preserve"> compares the wealth scores generated for both approaches</w:t>
      </w:r>
      <w:proofErr w:type="gramStart"/>
      <w:r w:rsidR="00C51627">
        <w:t>;</w:t>
      </w:r>
      <w:proofErr w:type="gramEnd"/>
      <w:r w:rsidR="00C51627">
        <w:t xml:space="preserve"> the </w:t>
      </w:r>
      <w:r w:rsidR="00B87B4D">
        <w:t>Absolute value</w:t>
      </w:r>
      <w:r>
        <w:t xml:space="preserve"> of non-fee private income per student and the difference from </w:t>
      </w:r>
      <w:r w:rsidR="00F25C19">
        <w:t>base SRS</w:t>
      </w:r>
      <w:r>
        <w:t xml:space="preserve">. </w:t>
      </w:r>
    </w:p>
    <w:p w14:paraId="0CBEF8A9" w14:textId="31245E95" w:rsidR="00FB0E66" w:rsidRDefault="00B020E2" w:rsidP="00FB0E66">
      <w:r>
        <w:t xml:space="preserve">There is a correlation between both values, with no </w:t>
      </w:r>
      <w:r w:rsidR="00D73787">
        <w:t xml:space="preserve">sector-based </w:t>
      </w:r>
      <w:r>
        <w:t xml:space="preserve">pattern </w:t>
      </w:r>
      <w:r w:rsidR="00B17641">
        <w:t>observed</w:t>
      </w:r>
      <w:r>
        <w:t>.</w:t>
      </w:r>
      <w:r w:rsidR="00783F74">
        <w:t xml:space="preserve"> P</w:t>
      </w:r>
      <w:r>
        <w:t xml:space="preserve">atterns within </w:t>
      </w:r>
      <w:r>
        <w:fldChar w:fldCharType="begin"/>
      </w:r>
      <w:r>
        <w:instrText xml:space="preserve"> REF _Ref518153374 \h </w:instrText>
      </w:r>
      <w:r>
        <w:fldChar w:fldCharType="separate"/>
      </w:r>
      <w:r w:rsidR="00614CD5">
        <w:t xml:space="preserve">Figure </w:t>
      </w:r>
      <w:r w:rsidR="00614CD5">
        <w:rPr>
          <w:noProof/>
        </w:rPr>
        <w:t>4</w:t>
      </w:r>
      <w:r w:rsidR="00614CD5">
        <w:noBreakHyphen/>
      </w:r>
      <w:r w:rsidR="00614CD5">
        <w:rPr>
          <w:noProof/>
        </w:rPr>
        <w:t>4</w:t>
      </w:r>
      <w:r>
        <w:fldChar w:fldCharType="end"/>
      </w:r>
      <w:r>
        <w:t xml:space="preserve"> are attributable to whether a school is primary or secondary, </w:t>
      </w:r>
      <w:r w:rsidR="00F12DB3">
        <w:t>or</w:t>
      </w:r>
      <w:r>
        <w:t xml:space="preserve"> whether a school is from Western Australia</w:t>
      </w:r>
      <w:r w:rsidR="00783F74">
        <w:t>.</w:t>
      </w:r>
      <w:r w:rsidR="00F12DB3">
        <w:rPr>
          <w:rStyle w:val="FootnoteReference"/>
        </w:rPr>
        <w:footnoteReference w:id="7"/>
      </w:r>
      <w:r w:rsidR="00F12DB3">
        <w:t xml:space="preserve"> Other outliers are primary student only </w:t>
      </w:r>
      <w:r w:rsidR="00D73787">
        <w:t xml:space="preserve">and </w:t>
      </w:r>
      <w:r w:rsidR="00F12DB3">
        <w:t xml:space="preserve">secondary student only schools. </w:t>
      </w:r>
      <w:r w:rsidR="00DE39FC">
        <w:t xml:space="preserve">More generally, primary schools receive a higher wealth score when using the ‘difference from SRS’ approach, and vice-versa for secondary schools. </w:t>
      </w:r>
    </w:p>
    <w:p w14:paraId="15563594" w14:textId="28068775" w:rsidR="00F31221" w:rsidRDefault="00F17372" w:rsidP="00F17372">
      <w:pPr>
        <w:pStyle w:val="Caption"/>
      </w:pPr>
      <w:bookmarkStart w:id="76" w:name="_Ref518153374"/>
      <w:bookmarkStart w:id="77" w:name="_Toc518646003"/>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4</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4</w:t>
      </w:r>
      <w:r w:rsidR="001D45B7">
        <w:rPr>
          <w:noProof/>
        </w:rPr>
        <w:fldChar w:fldCharType="end"/>
      </w:r>
      <w:bookmarkEnd w:id="76"/>
      <w:r>
        <w:t xml:space="preserve">: Wealth </w:t>
      </w:r>
      <w:r w:rsidR="00B020E2">
        <w:t>scores</w:t>
      </w:r>
      <w:r>
        <w:t xml:space="preserve"> compared</w:t>
      </w:r>
      <w:bookmarkEnd w:id="77"/>
    </w:p>
    <w:p w14:paraId="27521B80" w14:textId="77777777" w:rsidR="00F31221" w:rsidRDefault="00DE39FC" w:rsidP="00F31221">
      <w:r>
        <w:rPr>
          <w:noProof/>
          <w:lang w:eastAsia="en-AU"/>
        </w:rPr>
        <mc:AlternateContent>
          <mc:Choice Requires="wps">
            <w:drawing>
              <wp:anchor distT="45720" distB="45720" distL="114300" distR="114300" simplePos="0" relativeHeight="251674624" behindDoc="0" locked="0" layoutInCell="1" allowOverlap="1" wp14:anchorId="749A4B06" wp14:editId="5E3D21B6">
                <wp:simplePos x="0" y="0"/>
                <wp:positionH relativeFrom="column">
                  <wp:posOffset>3434316</wp:posOffset>
                </wp:positionH>
                <wp:positionV relativeFrom="paragraph">
                  <wp:posOffset>2029238</wp:posOffset>
                </wp:positionV>
                <wp:extent cx="1446028" cy="244475"/>
                <wp:effectExtent l="0" t="0" r="20955" b="222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028" cy="244475"/>
                        </a:xfrm>
                        <a:prstGeom prst="rect">
                          <a:avLst/>
                        </a:prstGeom>
                        <a:solidFill>
                          <a:srgbClr val="053769"/>
                        </a:solidFill>
                        <a:ln w="9525">
                          <a:solidFill>
                            <a:srgbClr val="000000"/>
                          </a:solidFill>
                          <a:miter lim="800000"/>
                          <a:headEnd/>
                          <a:tailEnd/>
                        </a:ln>
                      </wps:spPr>
                      <wps:txbx>
                        <w:txbxContent>
                          <w:p w14:paraId="38FA8A63" w14:textId="77777777" w:rsidR="00E22F6D" w:rsidRPr="00BF54FF" w:rsidRDefault="00E22F6D" w:rsidP="00BF54FF">
                            <w:pPr>
                              <w:rPr>
                                <w:sz w:val="20"/>
                              </w:rPr>
                            </w:pPr>
                            <w:r>
                              <w:rPr>
                                <w:sz w:val="20"/>
                              </w:rPr>
                              <w:t>Secondary</w:t>
                            </w:r>
                            <w:r w:rsidRPr="00BF54FF">
                              <w:rPr>
                                <w:sz w:val="20"/>
                              </w:rPr>
                              <w:t xml:space="preserve"> only school</w:t>
                            </w:r>
                            <w:r>
                              <w:rPr>
                                <w:sz w:val="20"/>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A4B06" id="Text Box 2" o:spid="_x0000_s1029" type="#_x0000_t202" style="position:absolute;left:0;text-align:left;margin-left:270.4pt;margin-top:159.8pt;width:113.85pt;height:19.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" fillcolor="#053769">
                <v:textbox>
                  <w:txbxContent>
                    <w:p w14:paraId="38FA8A63" w14:textId="77777777" w:rsidR="00E22F6D" w:rsidRPr="00BF54FF" w:rsidRDefault="00E22F6D" w:rsidP="00BF54FF">
                      <w:pPr>
                        <w:rPr>
                          <w:sz w:val="20"/>
                        </w:rPr>
                      </w:pPr>
                      <w:r>
                        <w:rPr>
                          <w:sz w:val="20"/>
                        </w:rPr>
                        <w:t>Secondary</w:t>
                      </w:r>
                      <w:r w:rsidRPr="00BF54FF">
                        <w:rPr>
                          <w:sz w:val="20"/>
                        </w:rPr>
                        <w:t xml:space="preserve"> only school</w:t>
                      </w:r>
                      <w:r>
                        <w:rPr>
                          <w:sz w:val="20"/>
                        </w:rPr>
                        <w:t>s</w:t>
                      </w:r>
                    </w:p>
                  </w:txbxContent>
                </v:textbox>
              </v:shape>
            </w:pict>
          </mc:Fallback>
        </mc:AlternateContent>
      </w:r>
      <w:r>
        <w:rPr>
          <w:noProof/>
          <w:lang w:eastAsia="en-AU"/>
        </w:rPr>
        <mc:AlternateContent>
          <mc:Choice Requires="wps">
            <w:drawing>
              <wp:anchor distT="45720" distB="45720" distL="114300" distR="114300" simplePos="0" relativeHeight="251671552" behindDoc="0" locked="0" layoutInCell="1" allowOverlap="1" wp14:anchorId="6A4318C2" wp14:editId="2B19BBEB">
                <wp:simplePos x="0" y="0"/>
                <wp:positionH relativeFrom="column">
                  <wp:posOffset>1020726</wp:posOffset>
                </wp:positionH>
                <wp:positionV relativeFrom="paragraph">
                  <wp:posOffset>1104206</wp:posOffset>
                </wp:positionV>
                <wp:extent cx="1275907" cy="244475"/>
                <wp:effectExtent l="0" t="0" r="19685"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907" cy="244475"/>
                        </a:xfrm>
                        <a:prstGeom prst="rect">
                          <a:avLst/>
                        </a:prstGeom>
                        <a:solidFill>
                          <a:srgbClr val="053769"/>
                        </a:solidFill>
                        <a:ln w="9525">
                          <a:solidFill>
                            <a:srgbClr val="000000"/>
                          </a:solidFill>
                          <a:miter lim="800000"/>
                          <a:headEnd/>
                          <a:tailEnd/>
                        </a:ln>
                      </wps:spPr>
                      <wps:txbx>
                        <w:txbxContent>
                          <w:p w14:paraId="39D84880" w14:textId="77777777" w:rsidR="00E22F6D" w:rsidRPr="00BF54FF" w:rsidRDefault="00E22F6D">
                            <w:pPr>
                              <w:rPr>
                                <w:sz w:val="20"/>
                              </w:rPr>
                            </w:pPr>
                            <w:r w:rsidRPr="00BF54FF">
                              <w:rPr>
                                <w:sz w:val="20"/>
                              </w:rPr>
                              <w:t>Primary only school</w:t>
                            </w:r>
                            <w:r>
                              <w:rPr>
                                <w:sz w:val="20"/>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318C2" id="_x0000_s1030" type="#_x0000_t202" style="position:absolute;left:0;text-align:left;margin-left:80.35pt;margin-top:86.95pt;width:100.45pt;height:19.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" fillcolor="#053769">
                <v:textbox>
                  <w:txbxContent>
                    <w:p w14:paraId="39D84880" w14:textId="77777777" w:rsidR="00E22F6D" w:rsidRPr="00BF54FF" w:rsidRDefault="00E22F6D">
                      <w:pPr>
                        <w:rPr>
                          <w:sz w:val="20"/>
                        </w:rPr>
                      </w:pPr>
                      <w:r w:rsidRPr="00BF54FF">
                        <w:rPr>
                          <w:sz w:val="20"/>
                        </w:rPr>
                        <w:t>Primary only school</w:t>
                      </w:r>
                      <w:r>
                        <w:rPr>
                          <w:sz w:val="20"/>
                        </w:rPr>
                        <w:t>s</w:t>
                      </w:r>
                    </w:p>
                  </w:txbxContent>
                </v:textbox>
              </v:shape>
            </w:pict>
          </mc:Fallback>
        </mc:AlternateContent>
      </w:r>
      <w:bookmarkStart w:id="78" w:name="_GoBack"/>
      <w:r>
        <w:rPr>
          <w:noProof/>
          <w:lang w:eastAsia="en-AU"/>
        </w:rPr>
        <mc:AlternateContent>
          <mc:Choice Requires="wps">
            <w:drawing>
              <wp:anchor distT="0" distB="0" distL="114300" distR="114300" simplePos="0" relativeHeight="251680768" behindDoc="0" locked="0" layoutInCell="1" allowOverlap="1" wp14:anchorId="154B005D" wp14:editId="75BA5CE2">
                <wp:simplePos x="0" y="0"/>
                <wp:positionH relativeFrom="column">
                  <wp:posOffset>1864064</wp:posOffset>
                </wp:positionH>
                <wp:positionV relativeFrom="paragraph">
                  <wp:posOffset>2840340</wp:posOffset>
                </wp:positionV>
                <wp:extent cx="722763" cy="45719"/>
                <wp:effectExtent l="38100" t="38100" r="20320" b="88265"/>
                <wp:wrapNone/>
                <wp:docPr id="29" name="Straight Arrow Connector 29" descr="This is a decoreative line, pointing to WA schools&#10;"/>
                <wp:cNvGraphicFramePr/>
                <a:graphic xmlns:a="http://schemas.openxmlformats.org/drawingml/2006/main">
                  <a:graphicData uri="http://schemas.microsoft.com/office/word/2010/wordprocessingShape">
                    <wps:wsp>
                      <wps:cNvCnPr/>
                      <wps:spPr>
                        <a:xfrm flipH="1">
                          <a:off x="0" y="0"/>
                          <a:ext cx="722763"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CCAACF" id="_x0000_t32" coordsize="21600,21600" o:spt="32" o:oned="t" path="m,l21600,21600e" filled="f">
                <v:path arrowok="t" fillok="f" o:connecttype="none"/>
                <o:lock v:ext="edit" shapetype="t"/>
              </v:shapetype>
              <v:shape id="Straight Arrow Connector 29" o:spid="_x0000_s1026" type="#_x0000_t32" alt="This is a decoreative line, pointing to WA schools&#10;" style="position:absolute;margin-left:146.8pt;margin-top:223.65pt;width:56.9pt;height:3.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" strokecolor="black [3213]">
                <v:stroke endarrow="block"/>
              </v:shape>
            </w:pict>
          </mc:Fallback>
        </mc:AlternateContent>
      </w:r>
      <w:bookmarkEnd w:id="78"/>
      <w:r>
        <w:rPr>
          <w:noProof/>
          <w:lang w:eastAsia="en-AU"/>
        </w:rPr>
        <mc:AlternateContent>
          <mc:Choice Requires="wps">
            <w:drawing>
              <wp:anchor distT="45720" distB="45720" distL="114300" distR="114300" simplePos="0" relativeHeight="251678720" behindDoc="0" locked="0" layoutInCell="1" allowOverlap="1" wp14:anchorId="7FB6690D" wp14:editId="13E90D23">
                <wp:simplePos x="0" y="0"/>
                <wp:positionH relativeFrom="column">
                  <wp:posOffset>2618917</wp:posOffset>
                </wp:positionH>
                <wp:positionV relativeFrom="paragraph">
                  <wp:posOffset>2712853</wp:posOffset>
                </wp:positionV>
                <wp:extent cx="1743739" cy="244549"/>
                <wp:effectExtent l="0" t="0" r="27940" b="2222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39" cy="244549"/>
                        </a:xfrm>
                        <a:prstGeom prst="rect">
                          <a:avLst/>
                        </a:prstGeom>
                        <a:solidFill>
                          <a:srgbClr val="053769"/>
                        </a:solidFill>
                        <a:ln w="9525">
                          <a:solidFill>
                            <a:srgbClr val="000000"/>
                          </a:solidFill>
                          <a:miter lim="800000"/>
                          <a:headEnd/>
                          <a:tailEnd/>
                        </a:ln>
                      </wps:spPr>
                      <wps:txbx>
                        <w:txbxContent>
                          <w:p w14:paraId="07978343" w14:textId="77777777" w:rsidR="00E22F6D" w:rsidRPr="00BF54FF" w:rsidRDefault="00E22F6D" w:rsidP="00DE39FC">
                            <w:pPr>
                              <w:rPr>
                                <w:sz w:val="20"/>
                              </w:rPr>
                            </w:pPr>
                            <w:r>
                              <w:rPr>
                                <w:sz w:val="20"/>
                              </w:rPr>
                              <w:t>WA secondary only schools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6690D" id="_x0000_s1031" type="#_x0000_t202" style="position:absolute;left:0;text-align:left;margin-left:206.2pt;margin-top:213.6pt;width:137.3pt;height:19.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" fillcolor="#053769">
                <v:textbox>
                  <w:txbxContent>
                    <w:p w14:paraId="07978343" w14:textId="77777777" w:rsidR="00E22F6D" w:rsidRPr="00BF54FF" w:rsidRDefault="00E22F6D" w:rsidP="00DE39FC">
                      <w:pPr>
                        <w:rPr>
                          <w:sz w:val="20"/>
                        </w:rPr>
                      </w:pPr>
                      <w:r>
                        <w:rPr>
                          <w:sz w:val="20"/>
                        </w:rPr>
                        <w:t>WA secondary only schools</w:t>
                      </w:r>
                    </w:p>
                  </w:txbxContent>
                </v:textbox>
              </v:shape>
            </w:pict>
          </mc:Fallback>
        </mc:AlternateContent>
      </w:r>
      <w:r w:rsidR="00BF54FF">
        <w:rPr>
          <w:noProof/>
          <w:lang w:eastAsia="en-AU"/>
        </w:rPr>
        <mc:AlternateContent>
          <mc:Choice Requires="wps">
            <w:drawing>
              <wp:anchor distT="0" distB="0" distL="114300" distR="114300" simplePos="0" relativeHeight="251676672" behindDoc="0" locked="0" layoutInCell="1" allowOverlap="1" wp14:anchorId="6EA9C377" wp14:editId="79493023">
                <wp:simplePos x="0" y="0"/>
                <wp:positionH relativeFrom="column">
                  <wp:posOffset>2690036</wp:posOffset>
                </wp:positionH>
                <wp:positionV relativeFrom="paragraph">
                  <wp:posOffset>2188727</wp:posOffset>
                </wp:positionV>
                <wp:extent cx="722763" cy="45719"/>
                <wp:effectExtent l="38100" t="38100" r="20320" b="88265"/>
                <wp:wrapNone/>
                <wp:docPr id="27" name="Straight Arrow Connector 27" descr="This is a decorative line, pointing to secondary-only schools"/>
                <wp:cNvGraphicFramePr/>
                <a:graphic xmlns:a="http://schemas.openxmlformats.org/drawingml/2006/main">
                  <a:graphicData uri="http://schemas.microsoft.com/office/word/2010/wordprocessingShape">
                    <wps:wsp>
                      <wps:cNvCnPr/>
                      <wps:spPr>
                        <a:xfrm flipH="1">
                          <a:off x="0" y="0"/>
                          <a:ext cx="722763"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975B02" id="Straight Arrow Connector 27" o:spid="_x0000_s1026" type="#_x0000_t32" alt="This is a decorative line, pointing to secondary-only schools" style="position:absolute;margin-left:211.8pt;margin-top:172.35pt;width:56.9pt;height:3.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" strokecolor="black [3213]">
                <v:stroke endarrow="block"/>
              </v:shape>
            </w:pict>
          </mc:Fallback>
        </mc:AlternateContent>
      </w:r>
      <w:r w:rsidR="00BF54FF">
        <w:rPr>
          <w:noProof/>
          <w:lang w:eastAsia="en-AU"/>
        </w:rPr>
        <mc:AlternateContent>
          <mc:Choice Requires="wps">
            <w:drawing>
              <wp:anchor distT="0" distB="0" distL="114300" distR="114300" simplePos="0" relativeHeight="251672576" behindDoc="0" locked="0" layoutInCell="1" allowOverlap="1" wp14:anchorId="3C1C2812" wp14:editId="220FF74F">
                <wp:simplePos x="0" y="0"/>
                <wp:positionH relativeFrom="column">
                  <wp:posOffset>1870710</wp:posOffset>
                </wp:positionH>
                <wp:positionV relativeFrom="paragraph">
                  <wp:posOffset>1348061</wp:posOffset>
                </wp:positionV>
                <wp:extent cx="0" cy="468000"/>
                <wp:effectExtent l="76200" t="0" r="57150" b="65405"/>
                <wp:wrapNone/>
                <wp:docPr id="25" name="Straight Arrow Connector 25" descr="This is a decorative line, poiting to primary-only schools"/>
                <wp:cNvGraphicFramePr/>
                <a:graphic xmlns:a="http://schemas.openxmlformats.org/drawingml/2006/main">
                  <a:graphicData uri="http://schemas.microsoft.com/office/word/2010/wordprocessingShape">
                    <wps:wsp>
                      <wps:cNvCnPr/>
                      <wps:spPr>
                        <a:xfrm>
                          <a:off x="0" y="0"/>
                          <a:ext cx="0" cy="46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CE2E58" id="Straight Arrow Connector 25" o:spid="_x0000_s1026" type="#_x0000_t32" alt="This is a decorative line, poiting to primary-only schools" style="position:absolute;margin-left:147.3pt;margin-top:106.15pt;width:0;height:36.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" strokecolor="black [3213]">
                <v:stroke endarrow="block"/>
              </v:shape>
            </w:pict>
          </mc:Fallback>
        </mc:AlternateContent>
      </w:r>
      <w:r w:rsidR="00B020E2">
        <w:rPr>
          <w:noProof/>
          <w:lang w:eastAsia="en-AU"/>
        </w:rPr>
        <w:drawing>
          <wp:inline distT="0" distB="0" distL="0" distR="0" wp14:anchorId="1377470B" wp14:editId="07F83A48">
            <wp:extent cx="5732145" cy="4176395"/>
            <wp:effectExtent l="0" t="0" r="1905" b="0"/>
            <wp:docPr id="21" name="Picture 21" descr="This is a scatter plot that compares the wealth scores generated for both approaches; the absolute value of non-fee private income per student and the difference from base SRS. &#10;There is a correlation between both values, with no sector-based pattern observed. Patterns within this chart are attributable to whether a school is primary or secondary, or whether a school is from Western Australia due to an additional loading WA school received. More generally, primary schools receive a higher wealth score when using the ‘difference from SRS’ approach, and vice-versa for secondary schools. &#10;" title="Wealth scores comp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2145" cy="4176395"/>
                    </a:xfrm>
                    <a:prstGeom prst="rect">
                      <a:avLst/>
                    </a:prstGeom>
                    <a:noFill/>
                    <a:ln>
                      <a:noFill/>
                    </a:ln>
                  </pic:spPr>
                </pic:pic>
              </a:graphicData>
            </a:graphic>
          </wp:inline>
        </w:drawing>
      </w:r>
    </w:p>
    <w:p w14:paraId="13F5C1D6" w14:textId="03E7DA80" w:rsidR="00F31221" w:rsidRDefault="00D73787" w:rsidP="00F31221">
      <w:r>
        <w:t>The extent that the difference between the two wealth scores depend</w:t>
      </w:r>
      <w:r w:rsidR="00B17641">
        <w:t>s</w:t>
      </w:r>
      <w:r>
        <w:t xml:space="preserve"> upon the proportion of primary (or secondary) students in a </w:t>
      </w:r>
      <w:proofErr w:type="gramStart"/>
      <w:r>
        <w:t>school</w:t>
      </w:r>
      <w:r w:rsidR="00C51627">
        <w:t>,</w:t>
      </w:r>
      <w:proofErr w:type="gramEnd"/>
      <w:r>
        <w:t xml:space="preserve"> is displayed in </w:t>
      </w:r>
      <w:r>
        <w:fldChar w:fldCharType="begin"/>
      </w:r>
      <w:r>
        <w:instrText xml:space="preserve"> REF _Ref518192024 \h </w:instrText>
      </w:r>
      <w:r>
        <w:fldChar w:fldCharType="separate"/>
      </w:r>
      <w:r w:rsidR="00614CD5">
        <w:t xml:space="preserve">Figure </w:t>
      </w:r>
      <w:r w:rsidR="00614CD5">
        <w:rPr>
          <w:noProof/>
        </w:rPr>
        <w:t>4</w:t>
      </w:r>
      <w:r w:rsidR="00614CD5">
        <w:noBreakHyphen/>
      </w:r>
      <w:r w:rsidR="00614CD5">
        <w:rPr>
          <w:noProof/>
        </w:rPr>
        <w:t>5</w:t>
      </w:r>
      <w:r>
        <w:fldChar w:fldCharType="end"/>
      </w:r>
      <w:r>
        <w:t xml:space="preserve">. This </w:t>
      </w:r>
      <w:r w:rsidR="00B17641">
        <w:t xml:space="preserve">is </w:t>
      </w:r>
      <w:r>
        <w:t>particularly apparent in independent schools</w:t>
      </w:r>
      <w:r w:rsidR="00C51627">
        <w:t>,</w:t>
      </w:r>
      <w:r>
        <w:t xml:space="preserve"> where the straight line of maroon dots stretches between schools having a proportion of primary students of greater than zero and less than one. The impact of the higher Western Australian </w:t>
      </w:r>
      <w:proofErr w:type="gramStart"/>
      <w:r>
        <w:t>school</w:t>
      </w:r>
      <w:proofErr w:type="gramEnd"/>
      <w:r>
        <w:t xml:space="preserve"> loading is also apparent in </w:t>
      </w:r>
      <w:r>
        <w:fldChar w:fldCharType="begin"/>
      </w:r>
      <w:r>
        <w:instrText xml:space="preserve"> REF _Ref518192024 \h </w:instrText>
      </w:r>
      <w:r>
        <w:fldChar w:fldCharType="separate"/>
      </w:r>
      <w:r w:rsidR="00614CD5">
        <w:t xml:space="preserve">Figure </w:t>
      </w:r>
      <w:r w:rsidR="00614CD5">
        <w:rPr>
          <w:noProof/>
        </w:rPr>
        <w:t>4</w:t>
      </w:r>
      <w:r w:rsidR="00614CD5">
        <w:noBreakHyphen/>
      </w:r>
      <w:r w:rsidR="00614CD5">
        <w:rPr>
          <w:noProof/>
        </w:rPr>
        <w:t>5</w:t>
      </w:r>
      <w:r>
        <w:fldChar w:fldCharType="end"/>
      </w:r>
      <w:r>
        <w:t xml:space="preserve">. </w:t>
      </w:r>
    </w:p>
    <w:p w14:paraId="5619FB65" w14:textId="7B98ECC0" w:rsidR="00F17372" w:rsidRDefault="00F17372" w:rsidP="00F17372">
      <w:pPr>
        <w:pStyle w:val="Caption"/>
      </w:pPr>
      <w:bookmarkStart w:id="79" w:name="_Ref518192024"/>
      <w:bookmarkStart w:id="80" w:name="_Toc518646004"/>
      <w:r>
        <w:t xml:space="preserve">Figure </w:t>
      </w:r>
      <w:r w:rsidR="001D45B7">
        <w:rPr>
          <w:noProof/>
        </w:rPr>
        <w:fldChar w:fldCharType="begin"/>
      </w:r>
      <w:r w:rsidR="001D45B7">
        <w:rPr>
          <w:noProof/>
        </w:rPr>
        <w:instrText xml:space="preserve"> STYLEREF 1 \s </w:instrText>
      </w:r>
      <w:r w:rsidR="001D45B7">
        <w:rPr>
          <w:noProof/>
        </w:rPr>
        <w:fldChar w:fldCharType="separate"/>
      </w:r>
      <w:r w:rsidR="00614CD5">
        <w:rPr>
          <w:noProof/>
        </w:rPr>
        <w:t>4</w:t>
      </w:r>
      <w:r w:rsidR="001D45B7">
        <w:rPr>
          <w:noProof/>
        </w:rPr>
        <w:fldChar w:fldCharType="end"/>
      </w:r>
      <w:r w:rsidR="008D584A">
        <w:noBreakHyphen/>
      </w:r>
      <w:r w:rsidR="001D45B7">
        <w:rPr>
          <w:noProof/>
        </w:rPr>
        <w:fldChar w:fldCharType="begin"/>
      </w:r>
      <w:r w:rsidR="001D45B7">
        <w:rPr>
          <w:noProof/>
        </w:rPr>
        <w:instrText xml:space="preserve"> SEQ Figure \* ARABIC \s 1 </w:instrText>
      </w:r>
      <w:r w:rsidR="001D45B7">
        <w:rPr>
          <w:noProof/>
        </w:rPr>
        <w:fldChar w:fldCharType="separate"/>
      </w:r>
      <w:r w:rsidR="00614CD5">
        <w:rPr>
          <w:noProof/>
        </w:rPr>
        <w:t>5</w:t>
      </w:r>
      <w:r w:rsidR="001D45B7">
        <w:rPr>
          <w:noProof/>
        </w:rPr>
        <w:fldChar w:fldCharType="end"/>
      </w:r>
      <w:bookmarkEnd w:id="79"/>
      <w:r>
        <w:t xml:space="preserve">: Difference between the two </w:t>
      </w:r>
      <w:r w:rsidR="00DE39FC">
        <w:t xml:space="preserve">scores </w:t>
      </w:r>
      <w:r w:rsidR="00D87A25">
        <w:t>and</w:t>
      </w:r>
      <w:r>
        <w:t xml:space="preserve"> </w:t>
      </w:r>
      <w:r w:rsidR="00B87B4D">
        <w:t xml:space="preserve">the proportion of </w:t>
      </w:r>
      <w:r>
        <w:t>primary</w:t>
      </w:r>
      <w:r w:rsidR="00B87B4D">
        <w:t xml:space="preserve"> students</w:t>
      </w:r>
      <w:bookmarkEnd w:id="80"/>
    </w:p>
    <w:p w14:paraId="3DCE2490" w14:textId="77777777" w:rsidR="00F31221" w:rsidRDefault="00D73787" w:rsidP="00F31221">
      <w:r>
        <w:rPr>
          <w:noProof/>
          <w:lang w:eastAsia="en-AU"/>
        </w:rPr>
        <mc:AlternateContent>
          <mc:Choice Requires="wps">
            <w:drawing>
              <wp:anchor distT="45720" distB="45720" distL="114300" distR="114300" simplePos="0" relativeHeight="251682816" behindDoc="0" locked="0" layoutInCell="1" allowOverlap="1" wp14:anchorId="63E76D3F" wp14:editId="4056E693">
                <wp:simplePos x="0" y="0"/>
                <wp:positionH relativeFrom="column">
                  <wp:posOffset>3019647</wp:posOffset>
                </wp:positionH>
                <wp:positionV relativeFrom="paragraph">
                  <wp:posOffset>936773</wp:posOffset>
                </wp:positionV>
                <wp:extent cx="998855" cy="233916"/>
                <wp:effectExtent l="0" t="0" r="10795" b="1397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233916"/>
                        </a:xfrm>
                        <a:prstGeom prst="rect">
                          <a:avLst/>
                        </a:prstGeom>
                        <a:solidFill>
                          <a:srgbClr val="053769"/>
                        </a:solidFill>
                        <a:ln w="9525">
                          <a:solidFill>
                            <a:srgbClr val="000000"/>
                          </a:solidFill>
                          <a:miter lim="800000"/>
                          <a:headEnd/>
                          <a:tailEnd/>
                        </a:ln>
                      </wps:spPr>
                      <wps:txbx>
                        <w:txbxContent>
                          <w:p w14:paraId="630C91DE" w14:textId="77777777" w:rsidR="00E22F6D" w:rsidRPr="00BF54FF" w:rsidRDefault="00E22F6D" w:rsidP="00DE39FC">
                            <w:pPr>
                              <w:rPr>
                                <w:sz w:val="20"/>
                              </w:rPr>
                            </w:pPr>
                            <w:r>
                              <w:rPr>
                                <w:sz w:val="20"/>
                              </w:rPr>
                              <w:t>WA schools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76D3F" id="_x0000_s1032" type="#_x0000_t202" style="position:absolute;left:0;text-align:left;margin-left:237.75pt;margin-top:73.75pt;width:78.65pt;height:18.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" fillcolor="#053769">
                <v:textbox>
                  <w:txbxContent>
                    <w:p w14:paraId="630C91DE" w14:textId="77777777" w:rsidR="00E22F6D" w:rsidRPr="00BF54FF" w:rsidRDefault="00E22F6D" w:rsidP="00DE39FC">
                      <w:pPr>
                        <w:rPr>
                          <w:sz w:val="20"/>
                        </w:rPr>
                      </w:pPr>
                      <w:r>
                        <w:rPr>
                          <w:sz w:val="20"/>
                        </w:rPr>
                        <w:t>WA schools</w:t>
                      </w:r>
                    </w:p>
                  </w:txbxContent>
                </v:textbox>
              </v:shape>
            </w:pict>
          </mc:Fallback>
        </mc:AlternateContent>
      </w:r>
      <w:r w:rsidR="00DE39FC">
        <w:rPr>
          <w:noProof/>
          <w:lang w:eastAsia="en-AU"/>
        </w:rPr>
        <mc:AlternateContent>
          <mc:Choice Requires="wps">
            <w:drawing>
              <wp:anchor distT="0" distB="0" distL="114300" distR="114300" simplePos="0" relativeHeight="251684864" behindDoc="0" locked="0" layoutInCell="1" allowOverlap="1" wp14:anchorId="60D86353" wp14:editId="4F3C9C90">
                <wp:simplePos x="0" y="0"/>
                <wp:positionH relativeFrom="column">
                  <wp:posOffset>2551813</wp:posOffset>
                </wp:positionH>
                <wp:positionV relativeFrom="paragraph">
                  <wp:posOffset>1098358</wp:posOffset>
                </wp:positionV>
                <wp:extent cx="467449" cy="191386"/>
                <wp:effectExtent l="38100" t="0" r="27940" b="56515"/>
                <wp:wrapNone/>
                <wp:docPr id="31" name="Straight Arrow Connector 31" descr="This is a decorative line, pointing to WA schools"/>
                <wp:cNvGraphicFramePr/>
                <a:graphic xmlns:a="http://schemas.openxmlformats.org/drawingml/2006/main">
                  <a:graphicData uri="http://schemas.microsoft.com/office/word/2010/wordprocessingShape">
                    <wps:wsp>
                      <wps:cNvCnPr/>
                      <wps:spPr>
                        <a:xfrm flipH="1">
                          <a:off x="0" y="0"/>
                          <a:ext cx="467449" cy="1913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05857C" id="Straight Arrow Connector 31" o:spid="_x0000_s1026" type="#_x0000_t32" alt="This is a decorative line, pointing to WA schools" style="position:absolute;margin-left:200.95pt;margin-top:86.5pt;width:36.8pt;height:15.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" strokecolor="black [3213]">
                <v:stroke endarrow="block"/>
              </v:shape>
            </w:pict>
          </mc:Fallback>
        </mc:AlternateContent>
      </w:r>
      <w:r w:rsidR="00B020E2">
        <w:rPr>
          <w:noProof/>
          <w:lang w:eastAsia="en-AU"/>
        </w:rPr>
        <w:drawing>
          <wp:inline distT="0" distB="0" distL="0" distR="0" wp14:anchorId="616AE5F0" wp14:editId="56D30EDC">
            <wp:extent cx="5732145" cy="4176395"/>
            <wp:effectExtent l="0" t="0" r="1905" b="0"/>
            <wp:docPr id="23" name="Picture 23" descr="This is a scatter plot which shows the difference between the two scores and the proportion of primary students.&#10;The extent that the difference between the two wealth scores depends upon the proportion of primary (or secondary) students in a school. This is particularly apparent in independent schools. The impact of the higher Western Australian school loading is also apparent. &#10;" title="Difference between the two scores and the proportion of primar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2145" cy="4176395"/>
                    </a:xfrm>
                    <a:prstGeom prst="rect">
                      <a:avLst/>
                    </a:prstGeom>
                    <a:noFill/>
                    <a:ln>
                      <a:noFill/>
                    </a:ln>
                  </pic:spPr>
                </pic:pic>
              </a:graphicData>
            </a:graphic>
          </wp:inline>
        </w:drawing>
      </w:r>
    </w:p>
    <w:p w14:paraId="285D7E1B" w14:textId="77777777" w:rsidR="008B58D3" w:rsidRDefault="00FB0E66" w:rsidP="00FB0E66">
      <w:pPr>
        <w:pStyle w:val="Heading2"/>
      </w:pPr>
      <w:bookmarkStart w:id="81" w:name="_Toc517982759"/>
      <w:r w:rsidRPr="00FB0E66">
        <w:t>Selecting a preferred score</w:t>
      </w:r>
      <w:bookmarkEnd w:id="81"/>
    </w:p>
    <w:p w14:paraId="25BBAAD3" w14:textId="2BB4168E" w:rsidR="00D73787" w:rsidRPr="00D73787" w:rsidRDefault="004C064A" w:rsidP="004C064A">
      <w:r>
        <w:t xml:space="preserve">The above analysis has found </w:t>
      </w:r>
      <w:r w:rsidR="00C51627">
        <w:t xml:space="preserve">that </w:t>
      </w:r>
      <w:r w:rsidR="00B17641">
        <w:t>it</w:t>
      </w:r>
      <w:r>
        <w:t xml:space="preserve"> is technically feasible to estimate school wealth scores using data on non-fee private income per student. Both the estimated scores have a weak correlation with the 2016 SES score, indicating that the information on CTC contained in these two scores is additional to that in the SES score itself. </w:t>
      </w:r>
    </w:p>
    <w:p w14:paraId="2B953267" w14:textId="02CA9F31" w:rsidR="00FB0E66" w:rsidRDefault="00FB7B8B" w:rsidP="00FB0E66">
      <w:r>
        <w:t xml:space="preserve">Deciding which </w:t>
      </w:r>
      <w:r w:rsidR="00B7299F">
        <w:t>wealth score is preferred is dependent upon</w:t>
      </w:r>
      <w:r w:rsidR="00D87A25">
        <w:t xml:space="preserve"> an initial decision on </w:t>
      </w:r>
      <w:r w:rsidR="00EC424D">
        <w:t xml:space="preserve">how schools are to be treated </w:t>
      </w:r>
      <w:proofErr w:type="gramStart"/>
      <w:r w:rsidR="00EC424D">
        <w:t xml:space="preserve">on the basis </w:t>
      </w:r>
      <w:r w:rsidR="00C51627">
        <w:t>of</w:t>
      </w:r>
      <w:proofErr w:type="gramEnd"/>
      <w:r w:rsidR="00C51627">
        <w:t xml:space="preserve"> </w:t>
      </w:r>
      <w:r w:rsidR="00783F74">
        <w:t xml:space="preserve">the proportion of primary (or secondary) students. </w:t>
      </w:r>
      <w:r w:rsidR="00FB0E66" w:rsidRPr="00FB0E66">
        <w:t xml:space="preserve">In the </w:t>
      </w:r>
      <w:r w:rsidR="00783F74">
        <w:t>a</w:t>
      </w:r>
      <w:r w:rsidR="00FB0E66" w:rsidRPr="00FB0E66">
        <w:t xml:space="preserve">bsolute </w:t>
      </w:r>
      <w:r w:rsidR="00783F74">
        <w:t xml:space="preserve">wealth score </w:t>
      </w:r>
      <w:r w:rsidR="00FB0E66" w:rsidRPr="00FB0E66">
        <w:t xml:space="preserve">approach, all schools are treated the same, despite their </w:t>
      </w:r>
      <w:r w:rsidR="00B87B4D">
        <w:t xml:space="preserve">proportion of </w:t>
      </w:r>
      <w:r w:rsidR="00FB0E66" w:rsidRPr="00FB0E66">
        <w:t>primary student</w:t>
      </w:r>
      <w:r w:rsidR="00B87B4D">
        <w:t>s</w:t>
      </w:r>
      <w:r w:rsidR="00FB0E66" w:rsidRPr="00FB0E66">
        <w:t xml:space="preserve"> and different </w:t>
      </w:r>
      <w:r w:rsidR="00966593">
        <w:t>base</w:t>
      </w:r>
      <w:r w:rsidR="00FB0E66" w:rsidRPr="00FB0E66">
        <w:t xml:space="preserve"> resourcing requirements</w:t>
      </w:r>
      <w:r w:rsidR="00783F74">
        <w:t xml:space="preserve">. This approach has the added benefit of being relatively straightforward to explain. </w:t>
      </w:r>
    </w:p>
    <w:p w14:paraId="15BB536A" w14:textId="593D509B" w:rsidR="00FB0E66" w:rsidRDefault="00AC02A2" w:rsidP="00CB525C">
      <w:r>
        <w:t>I</w:t>
      </w:r>
      <w:r w:rsidR="00783F74">
        <w:t xml:space="preserve">f there is an intent to reflect the different resourcing requirements of primary compared to secondary students, the difference from </w:t>
      </w:r>
      <w:r w:rsidR="00F25C19">
        <w:t>base SRS</w:t>
      </w:r>
      <w:r w:rsidR="00783F74">
        <w:t xml:space="preserve"> is preferred. </w:t>
      </w:r>
      <w:r w:rsidR="00D87A25">
        <w:t>I</w:t>
      </w:r>
      <w:r w:rsidR="00783F74">
        <w:t xml:space="preserve">t </w:t>
      </w:r>
      <w:proofErr w:type="gramStart"/>
      <w:r w:rsidR="00783F74">
        <w:t>is noted</w:t>
      </w:r>
      <w:proofErr w:type="gramEnd"/>
      <w:r w:rsidR="00D87A25">
        <w:t>, however,</w:t>
      </w:r>
      <w:r w:rsidR="00783F74">
        <w:t xml:space="preserve"> that the approach used to develop this score is more complex than that using the </w:t>
      </w:r>
      <w:r w:rsidR="00B87B4D">
        <w:t>Absolute value</w:t>
      </w:r>
      <w:r w:rsidR="00783F74">
        <w:t>s. A</w:t>
      </w:r>
      <w:r w:rsidR="00FB0E66" w:rsidRPr="00FB0E66">
        <w:t xml:space="preserve">s primary and secondary students </w:t>
      </w:r>
      <w:proofErr w:type="gramStart"/>
      <w:r w:rsidR="00FB0E66" w:rsidRPr="00FB0E66">
        <w:t>are treated</w:t>
      </w:r>
      <w:proofErr w:type="gramEnd"/>
      <w:r w:rsidR="00FB0E66" w:rsidRPr="00FB0E66">
        <w:t xml:space="preserve"> differently in other elements of the </w:t>
      </w:r>
      <w:r w:rsidR="00783F74">
        <w:t>SRS</w:t>
      </w:r>
      <w:r w:rsidR="00FB0E66" w:rsidRPr="00FB0E66">
        <w:t xml:space="preserve"> funding model, it may be </w:t>
      </w:r>
      <w:r>
        <w:t xml:space="preserve">more </w:t>
      </w:r>
      <w:r w:rsidR="00FB0E66" w:rsidRPr="00FB0E66">
        <w:t xml:space="preserve">appropriate to maintain this </w:t>
      </w:r>
      <w:r w:rsidR="00D87A25">
        <w:t>differential treatment</w:t>
      </w:r>
      <w:r w:rsidR="00783F74">
        <w:t>.</w:t>
      </w:r>
    </w:p>
    <w:p w14:paraId="4E7BD39D" w14:textId="77777777" w:rsidR="00FB0E66" w:rsidRDefault="00FB0E66" w:rsidP="00FB0E66">
      <w:pPr>
        <w:pStyle w:val="Heading1"/>
      </w:pPr>
      <w:bookmarkStart w:id="82" w:name="_Ref517945969"/>
      <w:bookmarkStart w:id="83" w:name="_Toc517982760"/>
      <w:r>
        <w:t>Key findings and implications</w:t>
      </w:r>
      <w:bookmarkEnd w:id="82"/>
      <w:bookmarkEnd w:id="83"/>
    </w:p>
    <w:p w14:paraId="69F78C41" w14:textId="731B7F93" w:rsidR="00966593" w:rsidRDefault="007A06FE" w:rsidP="00966593">
      <w:r>
        <w:t xml:space="preserve">Conceptually, an ideal approach to incorporating school wealth into measuring CTC would draw upon </w:t>
      </w:r>
      <w:r w:rsidR="00966593">
        <w:t xml:space="preserve">school </w:t>
      </w:r>
      <w:r>
        <w:t xml:space="preserve">balance sheet data (school assets and liabilities). Unfortunately, this information is unavailable for </w:t>
      </w:r>
      <w:r w:rsidRPr="00FB0E66">
        <w:t>many Catholic systemic schools</w:t>
      </w:r>
      <w:r w:rsidR="00966593">
        <w:t>. In this light, an alternative approach, using</w:t>
      </w:r>
      <w:r w:rsidR="00F25C19" w:rsidRPr="00FB0E66">
        <w:t xml:space="preserve"> ‘non-fee private income’</w:t>
      </w:r>
      <w:r w:rsidR="00966593">
        <w:t xml:space="preserve"> data</w:t>
      </w:r>
      <w:r w:rsidR="00F25C19" w:rsidRPr="00FB0E66">
        <w:t xml:space="preserve">, is </w:t>
      </w:r>
      <w:r>
        <w:t xml:space="preserve">more comprehensive than </w:t>
      </w:r>
      <w:r w:rsidR="00F25C19" w:rsidRPr="00FB0E66">
        <w:t>an approach only measur</w:t>
      </w:r>
      <w:r w:rsidR="00966593">
        <w:t>ing</w:t>
      </w:r>
      <w:r w:rsidR="00F25C19" w:rsidRPr="00FB0E66">
        <w:t xml:space="preserve"> school family CTC (i.e. the SES score)</w:t>
      </w:r>
      <w:r w:rsidR="00966593">
        <w:t xml:space="preserve">. This measure </w:t>
      </w:r>
      <w:r>
        <w:t>can also reflect income from the broader community</w:t>
      </w:r>
      <w:r w:rsidR="00966593">
        <w:t xml:space="preserve">, distinct from the contribution made by families to meet tuition costs. </w:t>
      </w:r>
    </w:p>
    <w:p w14:paraId="5296E5B6" w14:textId="3516B188" w:rsidR="00FB0E66" w:rsidRPr="00FB0E66" w:rsidRDefault="00834F1C" w:rsidP="00FB0E66">
      <w:r>
        <w:t xml:space="preserve">This paper </w:t>
      </w:r>
      <w:r w:rsidR="00F25C19">
        <w:t>buil</w:t>
      </w:r>
      <w:r w:rsidR="00B17641">
        <w:t>ds</w:t>
      </w:r>
      <w:r w:rsidR="00F25C19">
        <w:t xml:space="preserve"> upon this </w:t>
      </w:r>
      <w:r w:rsidR="00966593">
        <w:t>observation</w:t>
      </w:r>
      <w:r w:rsidR="00F25C19">
        <w:t xml:space="preserve"> to </w:t>
      </w:r>
      <w:r>
        <w:t>explore</w:t>
      </w:r>
      <w:r w:rsidR="00F25C19">
        <w:t xml:space="preserve"> the feasibility of </w:t>
      </w:r>
      <w:r w:rsidR="00FB0E66" w:rsidRPr="00FB0E66">
        <w:t>us</w:t>
      </w:r>
      <w:r w:rsidR="00F25C19">
        <w:t>ing</w:t>
      </w:r>
      <w:r w:rsidR="00FB0E66" w:rsidRPr="00FB0E66">
        <w:t xml:space="preserve"> school financial data </w:t>
      </w:r>
      <w:r w:rsidR="00966593">
        <w:t>on non-fee private income per student</w:t>
      </w:r>
      <w:r w:rsidR="00966593" w:rsidRPr="00FB0E66">
        <w:t xml:space="preserve"> </w:t>
      </w:r>
      <w:r w:rsidR="00FB0E66" w:rsidRPr="00FB0E66">
        <w:t xml:space="preserve">to estimate a school wealth score. </w:t>
      </w:r>
    </w:p>
    <w:p w14:paraId="0BA3EDBE" w14:textId="17A775B8" w:rsidR="00117D9F" w:rsidRDefault="00117D9F" w:rsidP="00117D9F">
      <w:r>
        <w:t xml:space="preserve">Two different wealth scores </w:t>
      </w:r>
      <w:proofErr w:type="gramStart"/>
      <w:r>
        <w:t>have been developed</w:t>
      </w:r>
      <w:proofErr w:type="gramEnd"/>
      <w:r w:rsidR="004313F1">
        <w:t>. O</w:t>
      </w:r>
      <w:r>
        <w:t xml:space="preserve">ne using the </w:t>
      </w:r>
      <w:r w:rsidR="00B87B4D">
        <w:t>Absolute value</w:t>
      </w:r>
      <w:r>
        <w:t xml:space="preserve"> of non-fee private income per student, the other based on the difference between the </w:t>
      </w:r>
      <w:r w:rsidR="00B87B4D">
        <w:t>Absolute value</w:t>
      </w:r>
      <w:r>
        <w:t xml:space="preserve"> and the </w:t>
      </w:r>
      <w:r w:rsidR="00F25C19">
        <w:t>base SRS</w:t>
      </w:r>
      <w:r>
        <w:t xml:space="preserve"> amount received by schools. </w:t>
      </w:r>
    </w:p>
    <w:p w14:paraId="2AE451F1" w14:textId="43C5058C" w:rsidR="00FB0E66" w:rsidRPr="00FB0E66" w:rsidRDefault="00117D9F" w:rsidP="00117D9F">
      <w:r>
        <w:t xml:space="preserve">The resultant </w:t>
      </w:r>
      <w:r w:rsidR="00FB0E66" w:rsidRPr="00FB0E66">
        <w:t>school wealth scores differ markedly</w:t>
      </w:r>
      <w:r>
        <w:t xml:space="preserve"> from each other, </w:t>
      </w:r>
      <w:proofErr w:type="gramStart"/>
      <w:r>
        <w:t>and also</w:t>
      </w:r>
      <w:proofErr w:type="gramEnd"/>
      <w:r>
        <w:t xml:space="preserve"> from the </w:t>
      </w:r>
      <w:r w:rsidR="00FB0E66" w:rsidRPr="00FB0E66">
        <w:t>201</w:t>
      </w:r>
      <w:r>
        <w:t>6</w:t>
      </w:r>
      <w:r w:rsidR="00FB0E66" w:rsidRPr="00FB0E66">
        <w:t xml:space="preserve"> </w:t>
      </w:r>
      <w:r w:rsidR="00966593">
        <w:t xml:space="preserve">school </w:t>
      </w:r>
      <w:r w:rsidR="00FB0E66" w:rsidRPr="00FB0E66">
        <w:t>SES score.</w:t>
      </w:r>
      <w:r>
        <w:t xml:space="preserve"> These differences, particularly from the </w:t>
      </w:r>
      <w:r w:rsidR="00B87B4D">
        <w:t>2016 s</w:t>
      </w:r>
      <w:r>
        <w:t xml:space="preserve">chool SES score, indicate that the two wealth score contain different information on CTC to that in the SES score. If either of these wealth scores were used in the estimation of CTC, they would lead to a different funding amount </w:t>
      </w:r>
      <w:r w:rsidR="00966593">
        <w:t xml:space="preserve">being </w:t>
      </w:r>
      <w:r>
        <w:t xml:space="preserve">provided to schools than one based </w:t>
      </w:r>
      <w:r w:rsidR="00966593">
        <w:t xml:space="preserve">only </w:t>
      </w:r>
      <w:r>
        <w:t xml:space="preserve">on the SES score. </w:t>
      </w:r>
    </w:p>
    <w:p w14:paraId="142852B3" w14:textId="3C1F1580" w:rsidR="00B7299F" w:rsidRDefault="00F25C19" w:rsidP="00B7299F">
      <w:r>
        <w:t>T</w:t>
      </w:r>
      <w:r w:rsidR="005F2065">
        <w:t>h</w:t>
      </w:r>
      <w:r>
        <w:t xml:space="preserve">e methods for developing the two school wealth scores use FQ data for a purpose additional to its original intent. There is thus a need to </w:t>
      </w:r>
      <w:r w:rsidR="00966593">
        <w:t>confirm</w:t>
      </w:r>
      <w:r>
        <w:t xml:space="preserve"> whether the specific data used</w:t>
      </w:r>
      <w:r w:rsidR="00967578">
        <w:t xml:space="preserve"> (i.e. </w:t>
      </w:r>
      <w:r>
        <w:t>non-fee private income</w:t>
      </w:r>
      <w:r w:rsidR="00967578">
        <w:t xml:space="preserve">) </w:t>
      </w:r>
      <w:r>
        <w:t xml:space="preserve">is fit for purpose for this use. This includes </w:t>
      </w:r>
      <w:r w:rsidR="00FB0E66" w:rsidRPr="00FB0E66">
        <w:t>ensur</w:t>
      </w:r>
      <w:r>
        <w:t>ing</w:t>
      </w:r>
      <w:r w:rsidR="00FB0E66" w:rsidRPr="00FB0E66">
        <w:t xml:space="preserve"> schools are reporting consistently, examin</w:t>
      </w:r>
      <w:r>
        <w:t>ing</w:t>
      </w:r>
      <w:r w:rsidR="00FB0E66" w:rsidRPr="00FB0E66">
        <w:t xml:space="preserve"> outlier values</w:t>
      </w:r>
      <w:r>
        <w:t xml:space="preserve">, and </w:t>
      </w:r>
      <w:r w:rsidR="00966593">
        <w:t>assessing</w:t>
      </w:r>
      <w:r>
        <w:t xml:space="preserve"> whether non-fee private income is not predominantly from current school families also paying school fees. </w:t>
      </w:r>
      <w:bookmarkStart w:id="84" w:name="_Toc481431402"/>
      <w:bookmarkStart w:id="85" w:name="_Toc517982761"/>
      <w:r w:rsidR="00B7299F">
        <w:br w:type="page"/>
      </w:r>
    </w:p>
    <w:p w14:paraId="69F9648B" w14:textId="77777777" w:rsidR="00CB0FFA" w:rsidRDefault="00095D9E" w:rsidP="00A12411">
      <w:pPr>
        <w:pStyle w:val="HeadingTOC"/>
      </w:pPr>
      <w:r w:rsidRPr="006242E5">
        <w:t>References</w:t>
      </w:r>
      <w:bookmarkEnd w:id="84"/>
      <w:bookmarkEnd w:id="85"/>
    </w:p>
    <w:p w14:paraId="6F760D39" w14:textId="77777777" w:rsidR="00FB7B8B" w:rsidRDefault="00FB0E66" w:rsidP="00FB7B8B">
      <w:pPr>
        <w:pStyle w:val="Bibliography"/>
        <w:ind w:left="720" w:hanging="720"/>
        <w:rPr>
          <w:noProof/>
        </w:rPr>
      </w:pPr>
      <w:r>
        <w:fldChar w:fldCharType="begin"/>
      </w:r>
      <w:r>
        <w:instrText xml:space="preserve"> BIBLIOGRAPHY  \l 3081 </w:instrText>
      </w:r>
      <w:r>
        <w:fldChar w:fldCharType="separate"/>
      </w:r>
      <w:r w:rsidR="00FB7B8B">
        <w:rPr>
          <w:noProof/>
        </w:rPr>
        <w:t xml:space="preserve">Australian Bureau of Statistics. (2018). </w:t>
      </w:r>
      <w:r w:rsidR="00FB7B8B">
        <w:rPr>
          <w:i/>
          <w:iCs/>
          <w:noProof/>
        </w:rPr>
        <w:t>Consumer Price Index, Australia, Cat. No. 6401.0, December 2017.</w:t>
      </w:r>
      <w:r w:rsidR="00FB7B8B">
        <w:rPr>
          <w:noProof/>
        </w:rPr>
        <w:t xml:space="preserve"> Canberra: Australian Bureau of Statistics.</w:t>
      </w:r>
    </w:p>
    <w:p w14:paraId="1EE627D0" w14:textId="77777777" w:rsidR="00FB7B8B" w:rsidRDefault="00FB7B8B" w:rsidP="00FB7B8B">
      <w:pPr>
        <w:pStyle w:val="Bibliography"/>
        <w:ind w:left="720" w:hanging="720"/>
        <w:rPr>
          <w:noProof/>
        </w:rPr>
      </w:pPr>
      <w:r>
        <w:rPr>
          <w:noProof/>
        </w:rPr>
        <w:t xml:space="preserve">Australian Government Department of Education and Training. (2017). </w:t>
      </w:r>
      <w:r>
        <w:rPr>
          <w:i/>
          <w:iCs/>
          <w:noProof/>
        </w:rPr>
        <w:t>2017 (2016 Data) Financial Questionnaire (FQ) for Non-Government Schools Instructions.</w:t>
      </w:r>
      <w:r>
        <w:rPr>
          <w:noProof/>
        </w:rPr>
        <w:t xml:space="preserve"> Canberra: Australian Government Department of Education and Training.</w:t>
      </w:r>
    </w:p>
    <w:p w14:paraId="7E9223CF" w14:textId="77777777" w:rsidR="00FB7B8B" w:rsidRDefault="00FB7B8B" w:rsidP="00FB7B8B">
      <w:pPr>
        <w:pStyle w:val="Bibliography"/>
        <w:ind w:left="720" w:hanging="720"/>
        <w:rPr>
          <w:noProof/>
        </w:rPr>
      </w:pPr>
      <w:r>
        <w:rPr>
          <w:noProof/>
        </w:rPr>
        <w:t xml:space="preserve">Centre for International Research on Education Systems, Victoria University. (2017). </w:t>
      </w:r>
      <w:r>
        <w:rPr>
          <w:i/>
          <w:iCs/>
          <w:noProof/>
        </w:rPr>
        <w:t>The Socio-Economic Status (SES) score methodology used in recurrent school funding arrangements – Research Paper.</w:t>
      </w:r>
      <w:r>
        <w:rPr>
          <w:noProof/>
        </w:rPr>
        <w:t xml:space="preserve"> Canberra: Australian Government Department of Education and Training.</w:t>
      </w:r>
    </w:p>
    <w:p w14:paraId="4774C6D1" w14:textId="77777777" w:rsidR="00FB7B8B" w:rsidRDefault="00FB7B8B" w:rsidP="00FB7B8B">
      <w:pPr>
        <w:pStyle w:val="Bibliography"/>
        <w:ind w:left="720" w:hanging="720"/>
        <w:rPr>
          <w:noProof/>
        </w:rPr>
      </w:pPr>
      <w:r>
        <w:rPr>
          <w:noProof/>
        </w:rPr>
        <w:t xml:space="preserve">Department of Employment, Education, Training and Youth Affairs. (1997). </w:t>
      </w:r>
      <w:r>
        <w:rPr>
          <w:i/>
          <w:iCs/>
          <w:noProof/>
        </w:rPr>
        <w:t>Schools Funding: Consultation Report.</w:t>
      </w:r>
      <w:r>
        <w:rPr>
          <w:noProof/>
        </w:rPr>
        <w:t xml:space="preserve"> Canberra: Department of Employment, Education, Training and Youth Affairs.</w:t>
      </w:r>
    </w:p>
    <w:p w14:paraId="65FC1B43" w14:textId="77777777" w:rsidR="00FB7B8B" w:rsidRDefault="00FB7B8B" w:rsidP="00FB7B8B">
      <w:pPr>
        <w:pStyle w:val="Bibliography"/>
        <w:ind w:left="720" w:hanging="720"/>
        <w:rPr>
          <w:noProof/>
        </w:rPr>
      </w:pPr>
      <w:r>
        <w:rPr>
          <w:noProof/>
        </w:rPr>
        <w:t xml:space="preserve">Department of Employment, Education, Training and Youth Affairs. (1997). </w:t>
      </w:r>
      <w:r>
        <w:rPr>
          <w:i/>
          <w:iCs/>
          <w:noProof/>
        </w:rPr>
        <w:t>Schools Funding: Consultation Report.</w:t>
      </w:r>
      <w:r>
        <w:rPr>
          <w:noProof/>
        </w:rPr>
        <w:t xml:space="preserve"> Canberra: Department of Employment, Education, Training and Youth Affairs.</w:t>
      </w:r>
    </w:p>
    <w:p w14:paraId="13AEC34B" w14:textId="77777777" w:rsidR="00FB7B8B" w:rsidRDefault="00FB7B8B" w:rsidP="00FB7B8B">
      <w:pPr>
        <w:pStyle w:val="Bibliography"/>
        <w:ind w:left="720" w:hanging="720"/>
        <w:rPr>
          <w:noProof/>
        </w:rPr>
      </w:pPr>
      <w:r>
        <w:rPr>
          <w:noProof/>
        </w:rPr>
        <w:t xml:space="preserve">Independent Schools Council of Australia. (2011). </w:t>
      </w:r>
      <w:r>
        <w:rPr>
          <w:i/>
          <w:iCs/>
          <w:noProof/>
        </w:rPr>
        <w:t>Review of Funding for Schooling: Submission.</w:t>
      </w:r>
      <w:r>
        <w:rPr>
          <w:noProof/>
        </w:rPr>
        <w:t xml:space="preserve"> Canberra: Independent Schools Council of Australia.</w:t>
      </w:r>
    </w:p>
    <w:p w14:paraId="3286C194" w14:textId="77777777" w:rsidR="00FB7B8B" w:rsidRDefault="00FB7B8B" w:rsidP="00FB7B8B">
      <w:pPr>
        <w:pStyle w:val="Bibliography"/>
        <w:ind w:left="720" w:hanging="720"/>
        <w:rPr>
          <w:noProof/>
        </w:rPr>
      </w:pPr>
      <w:r>
        <w:rPr>
          <w:noProof/>
        </w:rPr>
        <w:t xml:space="preserve">Maddox, M. (2014). </w:t>
      </w:r>
      <w:r>
        <w:rPr>
          <w:i/>
          <w:iCs/>
          <w:noProof/>
        </w:rPr>
        <w:t>Taking God to School: The End of Australia's Egalitarian Education.</w:t>
      </w:r>
      <w:r>
        <w:rPr>
          <w:noProof/>
        </w:rPr>
        <w:t xml:space="preserve"> Crows Nest: Allen &amp; Unwin.</w:t>
      </w:r>
    </w:p>
    <w:p w14:paraId="76BD207B" w14:textId="77777777" w:rsidR="00FB7B8B" w:rsidRDefault="00FB7B8B" w:rsidP="00FB7B8B">
      <w:pPr>
        <w:pStyle w:val="Bibliography"/>
        <w:ind w:left="720" w:hanging="720"/>
        <w:rPr>
          <w:noProof/>
        </w:rPr>
      </w:pPr>
      <w:r>
        <w:rPr>
          <w:noProof/>
        </w:rPr>
        <w:t xml:space="preserve">National Catholic Education Commission. (2011). </w:t>
      </w:r>
      <w:r>
        <w:rPr>
          <w:i/>
          <w:iCs/>
          <w:noProof/>
        </w:rPr>
        <w:t>Submission to the Review of Funding for Schooling.</w:t>
      </w:r>
      <w:r>
        <w:rPr>
          <w:noProof/>
        </w:rPr>
        <w:t xml:space="preserve"> Canberra: National Catholic Education Commission.</w:t>
      </w:r>
    </w:p>
    <w:p w14:paraId="50940718" w14:textId="77777777" w:rsidR="00FB7B8B" w:rsidRDefault="00FB7B8B" w:rsidP="00FB7B8B">
      <w:pPr>
        <w:pStyle w:val="Bibliography"/>
        <w:ind w:left="720" w:hanging="720"/>
        <w:rPr>
          <w:noProof/>
        </w:rPr>
      </w:pPr>
      <w:r>
        <w:rPr>
          <w:noProof/>
        </w:rPr>
        <w:t xml:space="preserve">Watson, L. (2004). Don't Throw Out the Baby with the Bathwater: The Case for a Reformed SES Funding Scheme. </w:t>
      </w:r>
      <w:r>
        <w:rPr>
          <w:i/>
          <w:iCs/>
          <w:noProof/>
        </w:rPr>
        <w:t>Australian Journal of Education</w:t>
      </w:r>
      <w:r>
        <w:rPr>
          <w:noProof/>
        </w:rPr>
        <w:t>, 227-238.</w:t>
      </w:r>
    </w:p>
    <w:p w14:paraId="6741E159" w14:textId="77777777" w:rsidR="00CD5A74" w:rsidRDefault="00FB0E66" w:rsidP="00FB7B8B">
      <w:pPr>
        <w:pStyle w:val="Reference"/>
      </w:pPr>
      <w:r>
        <w:fldChar w:fldCharType="end"/>
      </w:r>
    </w:p>
    <w:p w14:paraId="656EEF6B" w14:textId="77777777" w:rsidR="00835CD9" w:rsidRPr="00CD5A74" w:rsidRDefault="00835CD9" w:rsidP="00CD5A74">
      <w:pPr>
        <w:pStyle w:val="Reference"/>
      </w:pPr>
    </w:p>
    <w:sectPr w:rsidR="00835CD9" w:rsidRPr="00CD5A74" w:rsidSect="00DA3FED">
      <w:headerReference w:type="default" r:id="rId37"/>
      <w:pgSz w:w="11907" w:h="16839"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A777E" w14:textId="77777777" w:rsidR="00E22F6D" w:rsidRDefault="00E22F6D" w:rsidP="00C44628">
      <w:r>
        <w:separator/>
      </w:r>
    </w:p>
  </w:endnote>
  <w:endnote w:type="continuationSeparator" w:id="0">
    <w:p w14:paraId="315D321C" w14:textId="77777777" w:rsidR="00E22F6D" w:rsidRDefault="00E22F6D" w:rsidP="00C4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ta-Normal">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5E0C" w14:textId="77777777" w:rsidR="00E22F6D" w:rsidRDefault="00E22F6D" w:rsidP="00C44628">
    <w:pPr>
      <w:pStyle w:val="Footer"/>
    </w:pPr>
    <w:r>
      <w:rPr>
        <w:noProof/>
        <w:lang w:val="en-AU" w:eastAsia="en-AU"/>
      </w:rPr>
      <w:drawing>
        <wp:anchor distT="0" distB="0" distL="114300" distR="114300" simplePos="0" relativeHeight="251686912" behindDoc="0" locked="1" layoutInCell="1" allowOverlap="1" wp14:anchorId="43B2E29A" wp14:editId="73002C45">
          <wp:simplePos x="0" y="0"/>
          <wp:positionH relativeFrom="column">
            <wp:posOffset>4914900</wp:posOffset>
          </wp:positionH>
          <wp:positionV relativeFrom="paragraph">
            <wp:posOffset>-211455</wp:posOffset>
          </wp:positionV>
          <wp:extent cx="1609090" cy="730250"/>
          <wp:effectExtent l="0" t="0" r="0" b="0"/>
          <wp:wrapNone/>
          <wp:docPr id="9" name="Picture 9" descr="this is decorative" 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RSED_CIRES big TRANS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090" cy="730250"/>
                  </a:xfrm>
                  <a:prstGeom prst="rect">
                    <a:avLst/>
                  </a:prstGeom>
                </pic:spPr>
              </pic:pic>
            </a:graphicData>
          </a:graphic>
          <wp14:sizeRelH relativeFrom="page">
            <wp14:pctWidth>0</wp14:pctWidth>
          </wp14:sizeRelH>
          <wp14:sizeRelV relativeFrom="page">
            <wp14:pctHeight>0</wp14:pctHeight>
          </wp14:sizeRelV>
        </wp:anchor>
      </w:drawing>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AB86" w14:textId="77777777" w:rsidR="003659A2" w:rsidRDefault="003659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B86E1" w14:textId="77777777" w:rsidR="00E22F6D" w:rsidRDefault="00E22F6D" w:rsidP="00C44628">
    <w:pPr>
      <w:rPr>
        <w:rFonts w:eastAsiaTheme="majorEastAsia"/>
        <w:noProof/>
      </w:rPr>
    </w:pPr>
    <w:r>
      <w:rPr>
        <w:noProof/>
        <w:lang w:eastAsia="en-AU"/>
      </w:rPr>
      <mc:AlternateContent>
        <mc:Choice Requires="wps">
          <w:drawing>
            <wp:anchor distT="0" distB="0" distL="114300" distR="114300" simplePos="0" relativeHeight="251693056" behindDoc="0" locked="1" layoutInCell="1" allowOverlap="1" wp14:anchorId="20CAD1AE" wp14:editId="438F2789">
              <wp:simplePos x="0" y="0"/>
              <wp:positionH relativeFrom="margin">
                <wp:posOffset>2865755</wp:posOffset>
              </wp:positionH>
              <wp:positionV relativeFrom="paragraph">
                <wp:posOffset>114935</wp:posOffset>
              </wp:positionV>
              <wp:extent cx="0" cy="604800"/>
              <wp:effectExtent l="0" t="0" r="19050" b="24130"/>
              <wp:wrapNone/>
              <wp:docPr id="8" name="Straight Connector 8" descr="this is decorative"/>
              <wp:cNvGraphicFramePr/>
              <a:graphic xmlns:a="http://schemas.openxmlformats.org/drawingml/2006/main">
                <a:graphicData uri="http://schemas.microsoft.com/office/word/2010/wordprocessingShape">
                  <wps:wsp>
                    <wps:cNvCnPr/>
                    <wps:spPr>
                      <a:xfrm>
                        <a:off x="0" y="0"/>
                        <a:ext cx="0" cy="604800"/>
                      </a:xfrm>
                      <a:prstGeom prst="line">
                        <a:avLst/>
                      </a:prstGeom>
                      <a:ln w="6350">
                        <a:solidFill>
                          <a:srgbClr val="00008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89C6DA" id="Straight Connector 8" o:spid="_x0000_s1026" alt="this is decorative" style="position:absolute;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25.65pt,9.05pt" to="225.6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" strokecolor="navy" strokeweight=".5pt">
              <w10:wrap anchorx="margin"/>
              <w10:anchorlock/>
            </v:line>
          </w:pict>
        </mc:Fallback>
      </mc:AlternateContent>
    </w:r>
    <w:r w:rsidRPr="002F0610">
      <w:rPr>
        <w:noProof/>
        <w:lang w:eastAsia="en-AU"/>
      </w:rPr>
      <w:drawing>
        <wp:anchor distT="0" distB="0" distL="114300" distR="114300" simplePos="0" relativeHeight="251692032" behindDoc="0" locked="1" layoutInCell="1" allowOverlap="1" wp14:anchorId="259C280F" wp14:editId="2E0CAF57">
          <wp:simplePos x="0" y="0"/>
          <wp:positionH relativeFrom="margin">
            <wp:posOffset>903605</wp:posOffset>
          </wp:positionH>
          <wp:positionV relativeFrom="paragraph">
            <wp:posOffset>79375</wp:posOffset>
          </wp:positionV>
          <wp:extent cx="1807200" cy="633600"/>
          <wp:effectExtent l="0" t="0" r="3175" b="0"/>
          <wp:wrapNone/>
          <wp:docPr id="11" name="Picture 11" descr="This is decorative, a logo from Victoria University">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University-logo-high-res-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7200" cy="6336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9984" behindDoc="0" locked="1" layoutInCell="1" allowOverlap="1" wp14:anchorId="520C57FE" wp14:editId="1106ABE3">
          <wp:simplePos x="0" y="0"/>
          <wp:positionH relativeFrom="margin">
            <wp:posOffset>3018134</wp:posOffset>
          </wp:positionH>
          <wp:positionV relativeFrom="paragraph">
            <wp:posOffset>114935</wp:posOffset>
          </wp:positionV>
          <wp:extent cx="1756800" cy="633600"/>
          <wp:effectExtent l="0" t="0" r="0" b="0"/>
          <wp:wrapNone/>
          <wp:docPr id="10" name="Picture 10" descr="This is decorative, a logo from C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ES big.jpg"/>
                  <pic:cNvPicPr/>
                </pic:nvPicPr>
                <pic:blipFill rotWithShape="1">
                  <a:blip r:embed="rId3" cstate="print">
                    <a:extLst>
                      <a:ext uri="{28A0092B-C50C-407E-A947-70E740481C1C}">
                        <a14:useLocalDpi xmlns:a14="http://schemas.microsoft.com/office/drawing/2010/main" val="0"/>
                      </a:ext>
                    </a:extLst>
                  </a:blip>
                  <a:srcRect l="2712" t="13613" r="7960" b="15745"/>
                  <a:stretch/>
                </pic:blipFill>
                <pic:spPr bwMode="auto">
                  <a:xfrm>
                    <a:off x="0" y="0"/>
                    <a:ext cx="1756800" cy="6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62194B" w14:textId="77777777" w:rsidR="00E22F6D" w:rsidRDefault="00E22F6D" w:rsidP="00C44628">
    <w:pPr>
      <w:rPr>
        <w:rFonts w:eastAsiaTheme="majorEastAsia"/>
        <w:noProof/>
      </w:rPr>
    </w:pPr>
  </w:p>
  <w:p w14:paraId="36710486" w14:textId="77777777" w:rsidR="00E22F6D" w:rsidRDefault="00E22F6D" w:rsidP="00C44628">
    <w:pPr>
      <w:rPr>
        <w:rFonts w:eastAsiaTheme="majorEastAsia"/>
        <w:noProof/>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9F3D5" w14:textId="77777777" w:rsidR="00E22F6D" w:rsidRDefault="00E22F6D" w:rsidP="00B742BC">
    <w:pPr>
      <w:pStyle w:val="InsideCoverHeading"/>
    </w:pPr>
    <w:r>
      <w:t>About CIRES</w:t>
    </w:r>
  </w:p>
  <w:p w14:paraId="1A8BEEC6" w14:textId="77777777" w:rsidR="00E22F6D" w:rsidRDefault="00E22F6D" w:rsidP="00B742BC">
    <w:pPr>
      <w:pStyle w:val="FootnoteText"/>
      <w:spacing w:after="0"/>
    </w:pPr>
    <w:r>
      <w:t>The Centre for International Research on Education Systems, located at Victoria University, conducts strategic research that identifies how well education systems work, for whom, and how they can be improved to work well for all. The Centre undertakes large-scale survey and policy-related projects covering every state and territory in Australia and every sector of education and training. It also undertakes international comparative research examining the features and performance of education systems around the world.</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A307A" w14:textId="77777777" w:rsidR="00E22F6D" w:rsidRPr="0087495B" w:rsidRDefault="00E22F6D"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ED643" w14:textId="77777777" w:rsidR="00E22F6D" w:rsidRDefault="00E22F6D" w:rsidP="00C44628">
      <w:r>
        <w:separator/>
      </w:r>
    </w:p>
  </w:footnote>
  <w:footnote w:type="continuationSeparator" w:id="0">
    <w:p w14:paraId="7DABA409" w14:textId="77777777" w:rsidR="00E22F6D" w:rsidRDefault="00E22F6D" w:rsidP="00C44628">
      <w:r>
        <w:continuationSeparator/>
      </w:r>
    </w:p>
  </w:footnote>
  <w:footnote w:id="1">
    <w:p w14:paraId="312CBCE2" w14:textId="01042345" w:rsidR="00E22F6D" w:rsidRDefault="00E22F6D">
      <w:pPr>
        <w:pStyle w:val="FootnoteText"/>
      </w:pPr>
      <w:r>
        <w:rPr>
          <w:rStyle w:val="FootnoteReference"/>
        </w:rPr>
        <w:footnoteRef/>
      </w:r>
      <w:r>
        <w:t xml:space="preserve"> </w:t>
      </w:r>
      <w:r w:rsidRPr="00CF322C">
        <w:t xml:space="preserve">These, and other concerns, </w:t>
      </w:r>
      <w:proofErr w:type="gramStart"/>
      <w:r w:rsidRPr="00CF322C">
        <w:t>are examined</w:t>
      </w:r>
      <w:proofErr w:type="gramEnd"/>
      <w:r w:rsidRPr="00CF322C">
        <w:t xml:space="preserve"> in further detail within Centre for International Research on Education Systems, Victoria University </w:t>
      </w:r>
      <w:sdt>
        <w:sdtPr>
          <w:id w:val="2017342657"/>
          <w:citation/>
        </w:sdtPr>
        <w:sdtEndPr/>
        <w:sdtContent>
          <w:r>
            <w:fldChar w:fldCharType="begin"/>
          </w:r>
          <w:r>
            <w:instrText xml:space="preserve">CITATION Cen17 \n  \t  \l 3081 </w:instrText>
          </w:r>
          <w:r>
            <w:fldChar w:fldCharType="separate"/>
          </w:r>
          <w:r>
            <w:rPr>
              <w:noProof/>
            </w:rPr>
            <w:t>(2017)</w:t>
          </w:r>
          <w:r>
            <w:fldChar w:fldCharType="end"/>
          </w:r>
        </w:sdtContent>
      </w:sdt>
      <w:r w:rsidRPr="00CF322C">
        <w:t>.</w:t>
      </w:r>
    </w:p>
  </w:footnote>
  <w:footnote w:id="2">
    <w:p w14:paraId="677CAFAB" w14:textId="7284A7A4" w:rsidR="00E22F6D" w:rsidRDefault="00E22F6D">
      <w:pPr>
        <w:pStyle w:val="FootnoteText"/>
      </w:pPr>
      <w:r>
        <w:rPr>
          <w:rStyle w:val="FootnoteReference"/>
        </w:rPr>
        <w:footnoteRef/>
      </w:r>
      <w:r>
        <w:t xml:space="preserve"> These, and other concerns, </w:t>
      </w:r>
      <w:proofErr w:type="gramStart"/>
      <w:r>
        <w:t>are examined</w:t>
      </w:r>
      <w:proofErr w:type="gramEnd"/>
      <w:r>
        <w:t xml:space="preserve"> in further detail within </w:t>
      </w:r>
      <w:r>
        <w:rPr>
          <w:noProof/>
        </w:rPr>
        <w:t xml:space="preserve">Centre for International Research on Education Systems, Victoria University (2017). This section draws extenisvely upon this previous report. </w:t>
      </w:r>
    </w:p>
  </w:footnote>
  <w:footnote w:id="3">
    <w:p w14:paraId="356C12A8" w14:textId="77777777" w:rsidR="00E22F6D" w:rsidRDefault="00E22F6D" w:rsidP="00CA4FCD">
      <w:pPr>
        <w:pStyle w:val="FootnoteText"/>
      </w:pPr>
      <w:r>
        <w:rPr>
          <w:rStyle w:val="FootnoteReference"/>
        </w:rPr>
        <w:footnoteRef/>
      </w:r>
      <w:r>
        <w:t xml:space="preserve"> The ‘community standard’ reflected judgements about standards required in all schools. These included desirable class sizes; time allowances for teacher professional duties; and the number of specialist and ancillary staff </w:t>
      </w:r>
      <w:sdt>
        <w:sdtPr>
          <w:id w:val="-984628323"/>
          <w:citation/>
        </w:sdtPr>
        <w:sdtEndPr/>
        <w:sdtContent>
          <w:r>
            <w:fldChar w:fldCharType="begin"/>
          </w:r>
          <w:r>
            <w:instrText xml:space="preserve"> CITATION Wil \l 3081 </w:instrText>
          </w:r>
          <w:r>
            <w:fldChar w:fldCharType="separate"/>
          </w:r>
          <w:r>
            <w:rPr>
              <w:noProof/>
            </w:rPr>
            <w:t>(Wilkinson, Caldwell, Selleck, Harris, &amp; Dettman, 2006)</w:t>
          </w:r>
          <w:r>
            <w:fldChar w:fldCharType="end"/>
          </w:r>
        </w:sdtContent>
      </w:sdt>
      <w:r>
        <w:t xml:space="preserve">. </w:t>
      </w:r>
    </w:p>
  </w:footnote>
  <w:footnote w:id="4">
    <w:p w14:paraId="0E148137" w14:textId="77777777" w:rsidR="00E22F6D" w:rsidRDefault="00E22F6D">
      <w:pPr>
        <w:pStyle w:val="FootnoteText"/>
      </w:pPr>
      <w:r>
        <w:rPr>
          <w:rStyle w:val="FootnoteReference"/>
        </w:rPr>
        <w:footnoteRef/>
      </w:r>
      <w:r>
        <w:t xml:space="preserve"> The FQ identifies whether income is for ‘tuition’ or ‘boarding’, and whether from Australian or overseas students. The analysis is limited to tuition income from Australian students. </w:t>
      </w:r>
    </w:p>
  </w:footnote>
  <w:footnote w:id="5">
    <w:p w14:paraId="43ADC7B6" w14:textId="4D8876A8" w:rsidR="00E22F6D" w:rsidRDefault="00E22F6D">
      <w:pPr>
        <w:pStyle w:val="FootnoteText"/>
      </w:pPr>
      <w:r>
        <w:rPr>
          <w:rStyle w:val="FootnoteReference"/>
        </w:rPr>
        <w:footnoteRef/>
      </w:r>
      <w:r>
        <w:t xml:space="preserve"> A kernel density graph is like a histogram showing the distribution of a variable. The key difference to a histogram is that a kernel density graph is smoothed, effectively averaging over variations in the data distribution. </w:t>
      </w:r>
    </w:p>
  </w:footnote>
  <w:footnote w:id="6">
    <w:p w14:paraId="7CD37BD0" w14:textId="77777777" w:rsidR="00E22F6D" w:rsidRDefault="00E22F6D" w:rsidP="001A6FDE">
      <w:pPr>
        <w:pStyle w:val="FootnoteText"/>
      </w:pPr>
      <w:r>
        <w:rPr>
          <w:rStyle w:val="FootnoteReference"/>
        </w:rPr>
        <w:footnoteRef/>
      </w:r>
      <w:r>
        <w:t xml:space="preserve"> The non-fee private income per student values are standardised to have an average of 100 and standard deviation of 15. Extreme outliers (greater than 160) of the standardised non-fee private income per student values </w:t>
      </w:r>
      <w:proofErr w:type="gramStart"/>
      <w:r>
        <w:t>are excluded</w:t>
      </w:r>
      <w:proofErr w:type="gramEnd"/>
      <w:r>
        <w:t xml:space="preserve"> from the scatterplot. This excluded seven schools. </w:t>
      </w:r>
    </w:p>
  </w:footnote>
  <w:footnote w:id="7">
    <w:p w14:paraId="5841CD94" w14:textId="51299069" w:rsidR="00E22F6D" w:rsidRDefault="00E22F6D">
      <w:pPr>
        <w:pStyle w:val="FootnoteText"/>
      </w:pPr>
      <w:r>
        <w:rPr>
          <w:rStyle w:val="FootnoteReference"/>
        </w:rPr>
        <w:footnoteRef/>
      </w:r>
      <w:r>
        <w:t xml:space="preserve"> . In 2016, Western Australian schools received an 11 per cent loading in their base SRS funding, meaning schools from this state, particularly secondary schools, are outliers in </w:t>
      </w:r>
      <w:r>
        <w:fldChar w:fldCharType="begin"/>
      </w:r>
      <w:r>
        <w:instrText xml:space="preserve"> REF _Ref518153374 \h </w:instrText>
      </w:r>
      <w:r>
        <w:fldChar w:fldCharType="separate"/>
      </w:r>
      <w:r>
        <w:t xml:space="preserve">Figure </w:t>
      </w:r>
      <w:r>
        <w:rPr>
          <w:noProof/>
        </w:rPr>
        <w:t>4</w:t>
      </w:r>
      <w:r>
        <w:noBreakHyphen/>
      </w:r>
      <w:r>
        <w:rPr>
          <w:noProof/>
        </w:rPr>
        <w:t>4</w:t>
      </w:r>
      <w:r>
        <w:fldChar w:fldCharType="end"/>
      </w:r>
      <w:r>
        <w:t xml:space="preserve">. This loading no longer exists from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97FA" w14:textId="77777777" w:rsidR="003659A2" w:rsidRDefault="00365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9773A" w14:textId="77777777" w:rsidR="003659A2" w:rsidRDefault="00365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26F9F" w14:textId="77777777" w:rsidR="003659A2" w:rsidRDefault="003659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01E2" w14:textId="77777777" w:rsidR="00E22F6D" w:rsidRPr="00BD17A3" w:rsidRDefault="00E22F6D" w:rsidP="00C44628"/>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EEDCF" w14:textId="77777777" w:rsidR="00E22F6D" w:rsidRDefault="00E22F6D" w:rsidP="00C44628">
    <w:r w:rsidRPr="00AA5264">
      <w:rPr>
        <w:rFonts w:eastAsiaTheme="majorEastAsia"/>
        <w:noProof/>
        <w:lang w:eastAsia="en-AU"/>
      </w:rPr>
      <mc:AlternateContent>
        <mc:Choice Requires="wps">
          <w:drawing>
            <wp:anchor distT="0" distB="0" distL="114300" distR="114300" simplePos="0" relativeHeight="251683840" behindDoc="0" locked="0" layoutInCell="0" allowOverlap="1" wp14:anchorId="7B8B02F7" wp14:editId="4759F810">
              <wp:simplePos x="0" y="0"/>
              <wp:positionH relativeFrom="page">
                <wp:posOffset>5732145</wp:posOffset>
              </wp:positionH>
              <wp:positionV relativeFrom="topMargin">
                <wp:posOffset>346710</wp:posOffset>
              </wp:positionV>
              <wp:extent cx="710565" cy="20880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208800"/>
                      </a:xfrm>
                      <a:prstGeom prst="rect">
                        <a:avLst/>
                      </a:prstGeom>
                      <a:solidFill>
                        <a:srgbClr val="C00000"/>
                      </a:solidFill>
                      <a:extLst/>
                    </wps:spPr>
                    <wps:txbx>
                      <w:txbxContent>
                        <w:p w14:paraId="4DE9FA51" w14:textId="4BCE5F33" w:rsidR="00E22F6D" w:rsidRPr="00D34B38" w:rsidRDefault="00E22F6D" w:rsidP="00D34B38">
                          <w:pPr>
                            <w:jc w:val="center"/>
                            <w:rPr>
                              <w:rStyle w:val="PageNumber"/>
                            </w:rPr>
                          </w:pPr>
                          <w:r w:rsidRPr="00D34B38">
                            <w:rPr>
                              <w:rStyle w:val="PageNumber"/>
                            </w:rPr>
                            <w:fldChar w:fldCharType="begin"/>
                          </w:r>
                          <w:r w:rsidRPr="00D34B38">
                            <w:rPr>
                              <w:rStyle w:val="PageNumber"/>
                            </w:rPr>
                            <w:instrText xml:space="preserve"> PAGE   \* MERGEFORMAT </w:instrText>
                          </w:r>
                          <w:r w:rsidRPr="00D34B38">
                            <w:rPr>
                              <w:rStyle w:val="PageNumber"/>
                            </w:rPr>
                            <w:fldChar w:fldCharType="separate"/>
                          </w:r>
                          <w:r w:rsidR="00624854">
                            <w:rPr>
                              <w:rStyle w:val="PageNumber"/>
                              <w:noProof/>
                            </w:rPr>
                            <w:t>iv</w:t>
                          </w:r>
                          <w:r w:rsidRPr="00D34B38">
                            <w:rPr>
                              <w:rStyle w:val="PageNumber"/>
                            </w:rPr>
                            <w:fldChar w:fldCharType="end"/>
                          </w:r>
                        </w:p>
                        <w:p w14:paraId="2434DEC7" w14:textId="77777777" w:rsidR="00E22F6D" w:rsidRDefault="00E22F6D" w:rsidP="00C44628"/>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7B8B02F7" id="_x0000_t202" coordsize="21600,21600" o:spt="202" path="m,l,21600r21600,l21600,xe">
              <v:stroke joinstyle="miter"/>
              <v:path gradientshapeok="t" o:connecttype="rect"/>
            </v:shapetype>
            <v:shape id="_x0000_s1033" type="#_x0000_t202" style="position:absolute;left:0;text-align:left;margin-left:451.35pt;margin-top:27.3pt;width:55.95pt;height:16.4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" o:allowincell="f" fillcolor="#c00000" stroked="f">
              <v:textbox inset=",0,,0">
                <w:txbxContent>
                  <w:p w14:paraId="4DE9FA51" w14:textId="4BCE5F33" w:rsidR="00E22F6D" w:rsidRPr="00D34B38" w:rsidRDefault="00E22F6D" w:rsidP="00D34B38">
                    <w:pPr>
                      <w:jc w:val="center"/>
                      <w:rPr>
                        <w:rStyle w:val="PageNumber"/>
                      </w:rPr>
                    </w:pPr>
                    <w:r w:rsidRPr="00D34B38">
                      <w:rPr>
                        <w:rStyle w:val="PageNumber"/>
                      </w:rPr>
                      <w:fldChar w:fldCharType="begin"/>
                    </w:r>
                    <w:r w:rsidRPr="00D34B38">
                      <w:rPr>
                        <w:rStyle w:val="PageNumber"/>
                      </w:rPr>
                      <w:instrText xml:space="preserve"> PAGE   \* MERGEFORMAT </w:instrText>
                    </w:r>
                    <w:r w:rsidRPr="00D34B38">
                      <w:rPr>
                        <w:rStyle w:val="PageNumber"/>
                      </w:rPr>
                      <w:fldChar w:fldCharType="separate"/>
                    </w:r>
                    <w:r w:rsidR="00624854">
                      <w:rPr>
                        <w:rStyle w:val="PageNumber"/>
                        <w:noProof/>
                      </w:rPr>
                      <w:t>iv</w:t>
                    </w:r>
                    <w:r w:rsidRPr="00D34B38">
                      <w:rPr>
                        <w:rStyle w:val="PageNumber"/>
                      </w:rPr>
                      <w:fldChar w:fldCharType="end"/>
                    </w:r>
                  </w:p>
                  <w:p w14:paraId="2434DEC7" w14:textId="77777777" w:rsidR="00E22F6D" w:rsidRDefault="00E22F6D" w:rsidP="00C44628"/>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126E8" w14:textId="77777777" w:rsidR="00E22F6D" w:rsidRDefault="00E22F6D" w:rsidP="00C44628">
    <w:r w:rsidRPr="00AA5264">
      <w:rPr>
        <w:rFonts w:eastAsiaTheme="majorEastAsia"/>
        <w:noProof/>
        <w:lang w:eastAsia="en-AU"/>
      </w:rPr>
      <mc:AlternateContent>
        <mc:Choice Requires="wps">
          <w:drawing>
            <wp:anchor distT="0" distB="0" distL="114300" distR="114300" simplePos="0" relativeHeight="251681792" behindDoc="0" locked="0" layoutInCell="0" allowOverlap="1" wp14:anchorId="042AB114" wp14:editId="74D80C1A">
              <wp:simplePos x="0" y="0"/>
              <wp:positionH relativeFrom="page">
                <wp:posOffset>5732145</wp:posOffset>
              </wp:positionH>
              <wp:positionV relativeFrom="topMargin">
                <wp:posOffset>346710</wp:posOffset>
              </wp:positionV>
              <wp:extent cx="620395" cy="208800"/>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62FC1CA1" w14:textId="245F0F39" w:rsidR="00E22F6D" w:rsidRPr="00C25C17" w:rsidRDefault="00E22F6D"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624854">
                            <w:rPr>
                              <w:rStyle w:val="PageNumber"/>
                              <w:noProof/>
                            </w:rPr>
                            <w:t>7</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042AB114" id="_x0000_t202" coordsize="21600,21600" o:spt="202" path="m,l,21600r21600,l21600,xe">
              <v:stroke joinstyle="miter"/>
              <v:path gradientshapeok="t" o:connecttype="rect"/>
            </v:shapetype>
            <v:shape id="Text Box 5" o:spid="_x0000_s1034" type="#_x0000_t202" style="position:absolute;left:0;text-align:left;margin-left:451.35pt;margin-top:27.3pt;width:48.85pt;height:16.4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" o:allowincell="f" fillcolor="#c00000" stroked="f">
              <v:textbox inset=",0,,0">
                <w:txbxContent>
                  <w:p w14:paraId="62FC1CA1" w14:textId="245F0F39" w:rsidR="00E22F6D" w:rsidRPr="00C25C17" w:rsidRDefault="00E22F6D"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624854">
                      <w:rPr>
                        <w:rStyle w:val="PageNumber"/>
                        <w:noProof/>
                      </w:rPr>
                      <w:t>7</w:t>
                    </w:r>
                    <w:r w:rsidRPr="00C25C17">
                      <w:rPr>
                        <w:rStyle w:val="PageNumber"/>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9C477" w14:textId="77777777" w:rsidR="00E22F6D" w:rsidRDefault="00E22F6D" w:rsidP="00C44628">
    <w:r w:rsidRPr="00AA5264">
      <w:rPr>
        <w:rFonts w:eastAsiaTheme="majorEastAsia"/>
        <w:noProof/>
        <w:lang w:eastAsia="en-AU"/>
      </w:rPr>
      <mc:AlternateContent>
        <mc:Choice Requires="wps">
          <w:drawing>
            <wp:anchor distT="0" distB="0" distL="114300" distR="114300" simplePos="0" relativeHeight="251695104" behindDoc="0" locked="0" layoutInCell="0" allowOverlap="1" wp14:anchorId="1F55385C" wp14:editId="235FDF17">
              <wp:simplePos x="0" y="0"/>
              <wp:positionH relativeFrom="page">
                <wp:posOffset>8837295</wp:posOffset>
              </wp:positionH>
              <wp:positionV relativeFrom="topMargin">
                <wp:posOffset>346710</wp:posOffset>
              </wp:positionV>
              <wp:extent cx="620395" cy="208800"/>
              <wp:effectExtent l="0" t="0" r="0" b="127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35640699" w14:textId="6EB90BD4" w:rsidR="00E22F6D" w:rsidRPr="00C25C17" w:rsidRDefault="00E22F6D"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624854">
                            <w:rPr>
                              <w:rStyle w:val="PageNumber"/>
                              <w:noProof/>
                            </w:rPr>
                            <w:t>8</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1F55385C" id="_x0000_t202" coordsize="21600,21600" o:spt="202" path="m,l,21600r21600,l21600,xe">
              <v:stroke joinstyle="miter"/>
              <v:path gradientshapeok="t" o:connecttype="rect"/>
            </v:shapetype>
            <v:shape id="Text Box 96" o:spid="_x0000_s1035" type="#_x0000_t202" style="position:absolute;left:0;text-align:left;margin-left:695.85pt;margin-top:27.3pt;width:48.85pt;height:16.45pt;z-index:25169510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" o:allowincell="f" fillcolor="#c00000" stroked="f">
              <v:textbox inset=",0,,0">
                <w:txbxContent>
                  <w:p w14:paraId="35640699" w14:textId="6EB90BD4" w:rsidR="00E22F6D" w:rsidRPr="00C25C17" w:rsidRDefault="00E22F6D"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624854">
                      <w:rPr>
                        <w:rStyle w:val="PageNumber"/>
                        <w:noProof/>
                      </w:rPr>
                      <w:t>8</w:t>
                    </w:r>
                    <w:r w:rsidRPr="00C25C17">
                      <w:rPr>
                        <w:rStyle w:val="PageNumber"/>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0AEB" w14:textId="77777777" w:rsidR="00E22F6D" w:rsidRDefault="00E22F6D" w:rsidP="00C44628">
    <w:r w:rsidRPr="00AA5264">
      <w:rPr>
        <w:rFonts w:eastAsiaTheme="majorEastAsia"/>
        <w:noProof/>
        <w:lang w:eastAsia="en-AU"/>
      </w:rPr>
      <mc:AlternateContent>
        <mc:Choice Requires="wps">
          <w:drawing>
            <wp:anchor distT="0" distB="0" distL="114300" distR="114300" simplePos="0" relativeHeight="251697152" behindDoc="0" locked="0" layoutInCell="0" allowOverlap="1" wp14:anchorId="2FFE3BA4" wp14:editId="4742C497">
              <wp:simplePos x="0" y="0"/>
              <wp:positionH relativeFrom="page">
                <wp:posOffset>5732145</wp:posOffset>
              </wp:positionH>
              <wp:positionV relativeFrom="topMargin">
                <wp:posOffset>346710</wp:posOffset>
              </wp:positionV>
              <wp:extent cx="620395" cy="208800"/>
              <wp:effectExtent l="0" t="0" r="0" b="127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14:paraId="0183A59B" w14:textId="36777E4B" w:rsidR="00E22F6D" w:rsidRPr="00C25C17" w:rsidRDefault="00E22F6D"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624854">
                            <w:rPr>
                              <w:rStyle w:val="PageNumber"/>
                              <w:noProof/>
                            </w:rPr>
                            <w:t>15</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2FFE3BA4" id="_x0000_t202" coordsize="21600,21600" o:spt="202" path="m,l,21600r21600,l21600,xe">
              <v:stroke joinstyle="miter"/>
              <v:path gradientshapeok="t" o:connecttype="rect"/>
            </v:shapetype>
            <v:shape id="Text Box 97" o:spid="_x0000_s1036" type="#_x0000_t202" style="position:absolute;left:0;text-align:left;margin-left:451.35pt;margin-top:27.3pt;width:48.85pt;height:16.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" o:allowincell="f" fillcolor="#c00000" stroked="f">
              <v:textbox inset=",0,,0">
                <w:txbxContent>
                  <w:p w14:paraId="0183A59B" w14:textId="36777E4B" w:rsidR="00E22F6D" w:rsidRPr="00C25C17" w:rsidRDefault="00E22F6D"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624854">
                      <w:rPr>
                        <w:rStyle w:val="PageNumber"/>
                        <w:noProof/>
                      </w:rPr>
                      <w:t>15</w:t>
                    </w:r>
                    <w:r w:rsidRPr="00C25C17">
                      <w:rPr>
                        <w:rStyle w:val="PageNumber"/>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764EF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A2E641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38B2C7F"/>
    <w:multiLevelType w:val="hybridMultilevel"/>
    <w:tmpl w:val="EDD49CC8"/>
    <w:lvl w:ilvl="0" w:tplc="21808DF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7C70955"/>
    <w:multiLevelType w:val="hybridMultilevel"/>
    <w:tmpl w:val="8AFC59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F268D7"/>
    <w:multiLevelType w:val="hybridMultilevel"/>
    <w:tmpl w:val="8AEE6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2A5929"/>
    <w:multiLevelType w:val="hybridMultilevel"/>
    <w:tmpl w:val="272C43EE"/>
    <w:lvl w:ilvl="0" w:tplc="5358C2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5329C5"/>
    <w:multiLevelType w:val="hybridMultilevel"/>
    <w:tmpl w:val="6E203304"/>
    <w:lvl w:ilvl="0" w:tplc="A3AEBDA2">
      <w:start w:val="1"/>
      <w:numFmt w:val="bullet"/>
      <w:lvlText w:val="•"/>
      <w:lvlJc w:val="left"/>
      <w:pPr>
        <w:tabs>
          <w:tab w:val="num" w:pos="720"/>
        </w:tabs>
        <w:ind w:left="720" w:hanging="360"/>
      </w:pPr>
      <w:rPr>
        <w:rFonts w:ascii="Arial" w:hAnsi="Arial" w:hint="default"/>
      </w:rPr>
    </w:lvl>
    <w:lvl w:ilvl="1" w:tplc="8C2E54DC" w:tentative="1">
      <w:start w:val="1"/>
      <w:numFmt w:val="bullet"/>
      <w:lvlText w:val="•"/>
      <w:lvlJc w:val="left"/>
      <w:pPr>
        <w:tabs>
          <w:tab w:val="num" w:pos="1440"/>
        </w:tabs>
        <w:ind w:left="1440" w:hanging="360"/>
      </w:pPr>
      <w:rPr>
        <w:rFonts w:ascii="Arial" w:hAnsi="Arial" w:hint="default"/>
      </w:rPr>
    </w:lvl>
    <w:lvl w:ilvl="2" w:tplc="E9842FAA" w:tentative="1">
      <w:start w:val="1"/>
      <w:numFmt w:val="bullet"/>
      <w:lvlText w:val="•"/>
      <w:lvlJc w:val="left"/>
      <w:pPr>
        <w:tabs>
          <w:tab w:val="num" w:pos="2160"/>
        </w:tabs>
        <w:ind w:left="2160" w:hanging="360"/>
      </w:pPr>
      <w:rPr>
        <w:rFonts w:ascii="Arial" w:hAnsi="Arial" w:hint="default"/>
      </w:rPr>
    </w:lvl>
    <w:lvl w:ilvl="3" w:tplc="DC2C201E" w:tentative="1">
      <w:start w:val="1"/>
      <w:numFmt w:val="bullet"/>
      <w:lvlText w:val="•"/>
      <w:lvlJc w:val="left"/>
      <w:pPr>
        <w:tabs>
          <w:tab w:val="num" w:pos="2880"/>
        </w:tabs>
        <w:ind w:left="2880" w:hanging="360"/>
      </w:pPr>
      <w:rPr>
        <w:rFonts w:ascii="Arial" w:hAnsi="Arial" w:hint="default"/>
      </w:rPr>
    </w:lvl>
    <w:lvl w:ilvl="4" w:tplc="6F4A0B34" w:tentative="1">
      <w:start w:val="1"/>
      <w:numFmt w:val="bullet"/>
      <w:lvlText w:val="•"/>
      <w:lvlJc w:val="left"/>
      <w:pPr>
        <w:tabs>
          <w:tab w:val="num" w:pos="3600"/>
        </w:tabs>
        <w:ind w:left="3600" w:hanging="360"/>
      </w:pPr>
      <w:rPr>
        <w:rFonts w:ascii="Arial" w:hAnsi="Arial" w:hint="default"/>
      </w:rPr>
    </w:lvl>
    <w:lvl w:ilvl="5" w:tplc="116228B6" w:tentative="1">
      <w:start w:val="1"/>
      <w:numFmt w:val="bullet"/>
      <w:lvlText w:val="•"/>
      <w:lvlJc w:val="left"/>
      <w:pPr>
        <w:tabs>
          <w:tab w:val="num" w:pos="4320"/>
        </w:tabs>
        <w:ind w:left="4320" w:hanging="360"/>
      </w:pPr>
      <w:rPr>
        <w:rFonts w:ascii="Arial" w:hAnsi="Arial" w:hint="default"/>
      </w:rPr>
    </w:lvl>
    <w:lvl w:ilvl="6" w:tplc="41C209FE" w:tentative="1">
      <w:start w:val="1"/>
      <w:numFmt w:val="bullet"/>
      <w:lvlText w:val="•"/>
      <w:lvlJc w:val="left"/>
      <w:pPr>
        <w:tabs>
          <w:tab w:val="num" w:pos="5040"/>
        </w:tabs>
        <w:ind w:left="5040" w:hanging="360"/>
      </w:pPr>
      <w:rPr>
        <w:rFonts w:ascii="Arial" w:hAnsi="Arial" w:hint="default"/>
      </w:rPr>
    </w:lvl>
    <w:lvl w:ilvl="7" w:tplc="BB9828D8" w:tentative="1">
      <w:start w:val="1"/>
      <w:numFmt w:val="bullet"/>
      <w:lvlText w:val="•"/>
      <w:lvlJc w:val="left"/>
      <w:pPr>
        <w:tabs>
          <w:tab w:val="num" w:pos="5760"/>
        </w:tabs>
        <w:ind w:left="5760" w:hanging="360"/>
      </w:pPr>
      <w:rPr>
        <w:rFonts w:ascii="Arial" w:hAnsi="Arial" w:hint="default"/>
      </w:rPr>
    </w:lvl>
    <w:lvl w:ilvl="8" w:tplc="4F10A0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DA6851"/>
    <w:multiLevelType w:val="hybridMultilevel"/>
    <w:tmpl w:val="60F85E18"/>
    <w:lvl w:ilvl="0" w:tplc="39BAFA54">
      <w:start w:val="1"/>
      <w:numFmt w:val="decimal"/>
      <w:pStyle w:val="Numberedlistwithspac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D7BB4"/>
    <w:multiLevelType w:val="multilevel"/>
    <w:tmpl w:val="410E2C24"/>
    <w:lvl w:ilvl="0">
      <w:start w:val="1"/>
      <w:numFmt w:val="decimal"/>
      <w:suff w:val="space"/>
      <w:lvlText w:val="Chapter %1"/>
      <w:lvlJc w:val="left"/>
      <w:rPr>
        <w:rFonts w:cs="Times New Roman" w:hint="default"/>
      </w:rPr>
    </w:lvl>
    <w:lvl w:ilvl="1">
      <w:start w:val="1"/>
      <w:numFmt w:val="decimal"/>
      <w:lvlText w:val="%2"/>
      <w:lvlJc w:val="left"/>
      <w:pPr>
        <w:tabs>
          <w:tab w:val="num" w:pos="567"/>
        </w:tabs>
        <w:ind w:left="567" w:hanging="567"/>
      </w:pPr>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9" w15:restartNumberingAfterBreak="0">
    <w:nsid w:val="1A835957"/>
    <w:multiLevelType w:val="hybridMultilevel"/>
    <w:tmpl w:val="331AC542"/>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0657AED"/>
    <w:multiLevelType w:val="hybridMultilevel"/>
    <w:tmpl w:val="F06AB0E4"/>
    <w:lvl w:ilvl="0" w:tplc="AA82C100">
      <w:start w:val="1"/>
      <w:numFmt w:val="bullet"/>
      <w:pStyle w:val="Tablegriddotpoints"/>
      <w:lvlText w:val=""/>
      <w:lvlJc w:val="left"/>
      <w:pPr>
        <w:tabs>
          <w:tab w:val="num" w:pos="567"/>
        </w:tabs>
        <w:ind w:left="567" w:hanging="283"/>
      </w:pPr>
      <w:rPr>
        <w:rFonts w:ascii="Symbol" w:hAnsi="Symbol" w:cs="Times New Roman" w:hint="default"/>
        <w:b w:val="0"/>
        <w:i w:val="0"/>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0178F8"/>
    <w:multiLevelType w:val="singleLevel"/>
    <w:tmpl w:val="E4FE8910"/>
    <w:lvl w:ilvl="0">
      <w:start w:val="1"/>
      <w:numFmt w:val="bullet"/>
      <w:lvlText w:val="•"/>
      <w:lvlJc w:val="left"/>
      <w:pPr>
        <w:tabs>
          <w:tab w:val="num" w:pos="340"/>
        </w:tabs>
        <w:ind w:left="340" w:hanging="340"/>
      </w:pPr>
      <w:rPr>
        <w:rFonts w:ascii="Times New Roman" w:hAnsi="Times New Roman" w:cs="Times New Roman" w:hint="default"/>
      </w:rPr>
    </w:lvl>
  </w:abstractNum>
  <w:abstractNum w:abstractNumId="12" w15:restartNumberingAfterBreak="0">
    <w:nsid w:val="2BB20D3F"/>
    <w:multiLevelType w:val="hybridMultilevel"/>
    <w:tmpl w:val="9E581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DB26D7"/>
    <w:multiLevelType w:val="hybridMultilevel"/>
    <w:tmpl w:val="101EAF1E"/>
    <w:lvl w:ilvl="0" w:tplc="986AA41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644493"/>
    <w:multiLevelType w:val="hybridMultilevel"/>
    <w:tmpl w:val="73305E94"/>
    <w:lvl w:ilvl="0" w:tplc="B2A4E106">
      <w:start w:val="1"/>
      <w:numFmt w:val="bullet"/>
      <w:pStyle w:val="Dotpoin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CD2064E"/>
    <w:multiLevelType w:val="hybridMultilevel"/>
    <w:tmpl w:val="2E9A1070"/>
    <w:lvl w:ilvl="0" w:tplc="B4AA8DF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7A2905"/>
    <w:multiLevelType w:val="hybridMultilevel"/>
    <w:tmpl w:val="85187E4A"/>
    <w:lvl w:ilvl="0" w:tplc="813AF5D6">
      <w:start w:val="1"/>
      <w:numFmt w:val="decimal"/>
      <w:pStyle w:val="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B87A63"/>
    <w:multiLevelType w:val="hybridMultilevel"/>
    <w:tmpl w:val="4EEAFAE6"/>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37531D1"/>
    <w:multiLevelType w:val="hybridMultilevel"/>
    <w:tmpl w:val="AE36D21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E3219E3"/>
    <w:multiLevelType w:val="hybridMultilevel"/>
    <w:tmpl w:val="B9462E56"/>
    <w:lvl w:ilvl="0" w:tplc="500E7A26">
      <w:start w:val="1"/>
      <w:numFmt w:val="bullet"/>
      <w:pStyle w:val="Dotpointswith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50434FC0"/>
    <w:multiLevelType w:val="hybridMultilevel"/>
    <w:tmpl w:val="585C544C"/>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B656E00"/>
    <w:multiLevelType w:val="hybridMultilevel"/>
    <w:tmpl w:val="BC0A81C4"/>
    <w:lvl w:ilvl="0" w:tplc="0C09000F">
      <w:start w:val="1"/>
      <w:numFmt w:val="decimal"/>
      <w:lvlText w:val="%1."/>
      <w:lvlJc w:val="left"/>
      <w:pPr>
        <w:tabs>
          <w:tab w:val="num" w:pos="900"/>
        </w:tabs>
        <w:ind w:left="900" w:hanging="360"/>
      </w:pPr>
    </w:lvl>
    <w:lvl w:ilvl="1" w:tplc="00FC3B0E">
      <w:start w:val="1"/>
      <w:numFmt w:val="bullet"/>
      <w:lvlText w:val=""/>
      <w:lvlJc w:val="left"/>
      <w:pPr>
        <w:tabs>
          <w:tab w:val="num" w:pos="567"/>
        </w:tabs>
        <w:ind w:left="567" w:hanging="283"/>
      </w:pPr>
      <w:rPr>
        <w:rFonts w:ascii="Symbol" w:hAnsi="Symbol" w:hint="default"/>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E4E2037"/>
    <w:multiLevelType w:val="hybridMultilevel"/>
    <w:tmpl w:val="08E46E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8844EF4"/>
    <w:multiLevelType w:val="hybridMultilevel"/>
    <w:tmpl w:val="A516AB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9367911"/>
    <w:multiLevelType w:val="hybridMultilevel"/>
    <w:tmpl w:val="867A770A"/>
    <w:lvl w:ilvl="0" w:tplc="37426540">
      <w:start w:val="1"/>
      <w:numFmt w:val="bullet"/>
      <w:lvlText w:val="•"/>
      <w:lvlJc w:val="left"/>
      <w:pPr>
        <w:tabs>
          <w:tab w:val="num" w:pos="720"/>
        </w:tabs>
        <w:ind w:left="720" w:hanging="360"/>
      </w:pPr>
      <w:rPr>
        <w:rFonts w:ascii="Arial" w:hAnsi="Arial" w:hint="default"/>
      </w:rPr>
    </w:lvl>
    <w:lvl w:ilvl="1" w:tplc="C1709D6A" w:tentative="1">
      <w:start w:val="1"/>
      <w:numFmt w:val="bullet"/>
      <w:lvlText w:val="•"/>
      <w:lvlJc w:val="left"/>
      <w:pPr>
        <w:tabs>
          <w:tab w:val="num" w:pos="1440"/>
        </w:tabs>
        <w:ind w:left="1440" w:hanging="360"/>
      </w:pPr>
      <w:rPr>
        <w:rFonts w:ascii="Arial" w:hAnsi="Arial" w:hint="default"/>
      </w:rPr>
    </w:lvl>
    <w:lvl w:ilvl="2" w:tplc="6A7ED418" w:tentative="1">
      <w:start w:val="1"/>
      <w:numFmt w:val="bullet"/>
      <w:lvlText w:val="•"/>
      <w:lvlJc w:val="left"/>
      <w:pPr>
        <w:tabs>
          <w:tab w:val="num" w:pos="2160"/>
        </w:tabs>
        <w:ind w:left="2160" w:hanging="360"/>
      </w:pPr>
      <w:rPr>
        <w:rFonts w:ascii="Arial" w:hAnsi="Arial" w:hint="default"/>
      </w:rPr>
    </w:lvl>
    <w:lvl w:ilvl="3" w:tplc="4EEE7FBC" w:tentative="1">
      <w:start w:val="1"/>
      <w:numFmt w:val="bullet"/>
      <w:lvlText w:val="•"/>
      <w:lvlJc w:val="left"/>
      <w:pPr>
        <w:tabs>
          <w:tab w:val="num" w:pos="2880"/>
        </w:tabs>
        <w:ind w:left="2880" w:hanging="360"/>
      </w:pPr>
      <w:rPr>
        <w:rFonts w:ascii="Arial" w:hAnsi="Arial" w:hint="default"/>
      </w:rPr>
    </w:lvl>
    <w:lvl w:ilvl="4" w:tplc="B994D3B2" w:tentative="1">
      <w:start w:val="1"/>
      <w:numFmt w:val="bullet"/>
      <w:lvlText w:val="•"/>
      <w:lvlJc w:val="left"/>
      <w:pPr>
        <w:tabs>
          <w:tab w:val="num" w:pos="3600"/>
        </w:tabs>
        <w:ind w:left="3600" w:hanging="360"/>
      </w:pPr>
      <w:rPr>
        <w:rFonts w:ascii="Arial" w:hAnsi="Arial" w:hint="default"/>
      </w:rPr>
    </w:lvl>
    <w:lvl w:ilvl="5" w:tplc="D5D83B20" w:tentative="1">
      <w:start w:val="1"/>
      <w:numFmt w:val="bullet"/>
      <w:lvlText w:val="•"/>
      <w:lvlJc w:val="left"/>
      <w:pPr>
        <w:tabs>
          <w:tab w:val="num" w:pos="4320"/>
        </w:tabs>
        <w:ind w:left="4320" w:hanging="360"/>
      </w:pPr>
      <w:rPr>
        <w:rFonts w:ascii="Arial" w:hAnsi="Arial" w:hint="default"/>
      </w:rPr>
    </w:lvl>
    <w:lvl w:ilvl="6" w:tplc="A4F27994" w:tentative="1">
      <w:start w:val="1"/>
      <w:numFmt w:val="bullet"/>
      <w:lvlText w:val="•"/>
      <w:lvlJc w:val="left"/>
      <w:pPr>
        <w:tabs>
          <w:tab w:val="num" w:pos="5040"/>
        </w:tabs>
        <w:ind w:left="5040" w:hanging="360"/>
      </w:pPr>
      <w:rPr>
        <w:rFonts w:ascii="Arial" w:hAnsi="Arial" w:hint="default"/>
      </w:rPr>
    </w:lvl>
    <w:lvl w:ilvl="7" w:tplc="8A00885A" w:tentative="1">
      <w:start w:val="1"/>
      <w:numFmt w:val="bullet"/>
      <w:lvlText w:val="•"/>
      <w:lvlJc w:val="left"/>
      <w:pPr>
        <w:tabs>
          <w:tab w:val="num" w:pos="5760"/>
        </w:tabs>
        <w:ind w:left="5760" w:hanging="360"/>
      </w:pPr>
      <w:rPr>
        <w:rFonts w:ascii="Arial" w:hAnsi="Arial" w:hint="default"/>
      </w:rPr>
    </w:lvl>
    <w:lvl w:ilvl="8" w:tplc="8D52EBD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7A0887"/>
    <w:multiLevelType w:val="hybridMultilevel"/>
    <w:tmpl w:val="934C547C"/>
    <w:lvl w:ilvl="0" w:tplc="ADD2E812">
      <w:start w:val="1"/>
      <w:numFmt w:val="bullet"/>
      <w:lvlText w:val="•"/>
      <w:lvlJc w:val="left"/>
      <w:pPr>
        <w:tabs>
          <w:tab w:val="num" w:pos="720"/>
        </w:tabs>
        <w:ind w:left="720" w:hanging="360"/>
      </w:pPr>
      <w:rPr>
        <w:rFonts w:ascii="Arial" w:hAnsi="Arial" w:hint="default"/>
      </w:rPr>
    </w:lvl>
    <w:lvl w:ilvl="1" w:tplc="A998B4C6" w:tentative="1">
      <w:start w:val="1"/>
      <w:numFmt w:val="bullet"/>
      <w:lvlText w:val="•"/>
      <w:lvlJc w:val="left"/>
      <w:pPr>
        <w:tabs>
          <w:tab w:val="num" w:pos="1440"/>
        </w:tabs>
        <w:ind w:left="1440" w:hanging="360"/>
      </w:pPr>
      <w:rPr>
        <w:rFonts w:ascii="Arial" w:hAnsi="Arial" w:hint="default"/>
      </w:rPr>
    </w:lvl>
    <w:lvl w:ilvl="2" w:tplc="B156B676" w:tentative="1">
      <w:start w:val="1"/>
      <w:numFmt w:val="bullet"/>
      <w:lvlText w:val="•"/>
      <w:lvlJc w:val="left"/>
      <w:pPr>
        <w:tabs>
          <w:tab w:val="num" w:pos="2160"/>
        </w:tabs>
        <w:ind w:left="2160" w:hanging="360"/>
      </w:pPr>
      <w:rPr>
        <w:rFonts w:ascii="Arial" w:hAnsi="Arial" w:hint="default"/>
      </w:rPr>
    </w:lvl>
    <w:lvl w:ilvl="3" w:tplc="473C3810" w:tentative="1">
      <w:start w:val="1"/>
      <w:numFmt w:val="bullet"/>
      <w:lvlText w:val="•"/>
      <w:lvlJc w:val="left"/>
      <w:pPr>
        <w:tabs>
          <w:tab w:val="num" w:pos="2880"/>
        </w:tabs>
        <w:ind w:left="2880" w:hanging="360"/>
      </w:pPr>
      <w:rPr>
        <w:rFonts w:ascii="Arial" w:hAnsi="Arial" w:hint="default"/>
      </w:rPr>
    </w:lvl>
    <w:lvl w:ilvl="4" w:tplc="3D2AC5C4" w:tentative="1">
      <w:start w:val="1"/>
      <w:numFmt w:val="bullet"/>
      <w:lvlText w:val="•"/>
      <w:lvlJc w:val="left"/>
      <w:pPr>
        <w:tabs>
          <w:tab w:val="num" w:pos="3600"/>
        </w:tabs>
        <w:ind w:left="3600" w:hanging="360"/>
      </w:pPr>
      <w:rPr>
        <w:rFonts w:ascii="Arial" w:hAnsi="Arial" w:hint="default"/>
      </w:rPr>
    </w:lvl>
    <w:lvl w:ilvl="5" w:tplc="8188C2AE" w:tentative="1">
      <w:start w:val="1"/>
      <w:numFmt w:val="bullet"/>
      <w:lvlText w:val="•"/>
      <w:lvlJc w:val="left"/>
      <w:pPr>
        <w:tabs>
          <w:tab w:val="num" w:pos="4320"/>
        </w:tabs>
        <w:ind w:left="4320" w:hanging="360"/>
      </w:pPr>
      <w:rPr>
        <w:rFonts w:ascii="Arial" w:hAnsi="Arial" w:hint="default"/>
      </w:rPr>
    </w:lvl>
    <w:lvl w:ilvl="6" w:tplc="25A827DC" w:tentative="1">
      <w:start w:val="1"/>
      <w:numFmt w:val="bullet"/>
      <w:lvlText w:val="•"/>
      <w:lvlJc w:val="left"/>
      <w:pPr>
        <w:tabs>
          <w:tab w:val="num" w:pos="5040"/>
        </w:tabs>
        <w:ind w:left="5040" w:hanging="360"/>
      </w:pPr>
      <w:rPr>
        <w:rFonts w:ascii="Arial" w:hAnsi="Arial" w:hint="default"/>
      </w:rPr>
    </w:lvl>
    <w:lvl w:ilvl="7" w:tplc="8152A6E0" w:tentative="1">
      <w:start w:val="1"/>
      <w:numFmt w:val="bullet"/>
      <w:lvlText w:val="•"/>
      <w:lvlJc w:val="left"/>
      <w:pPr>
        <w:tabs>
          <w:tab w:val="num" w:pos="5760"/>
        </w:tabs>
        <w:ind w:left="5760" w:hanging="360"/>
      </w:pPr>
      <w:rPr>
        <w:rFonts w:ascii="Arial" w:hAnsi="Arial" w:hint="default"/>
      </w:rPr>
    </w:lvl>
    <w:lvl w:ilvl="8" w:tplc="9342D60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422773"/>
    <w:multiLevelType w:val="hybridMultilevel"/>
    <w:tmpl w:val="1DFE014A"/>
    <w:lvl w:ilvl="0" w:tplc="DC98468C">
      <w:start w:val="1"/>
      <w:numFmt w:val="bullet"/>
      <w:lvlText w:val="•"/>
      <w:lvlJc w:val="left"/>
      <w:pPr>
        <w:tabs>
          <w:tab w:val="num" w:pos="720"/>
        </w:tabs>
        <w:ind w:left="720" w:hanging="360"/>
      </w:pPr>
      <w:rPr>
        <w:rFonts w:ascii="Arial" w:hAnsi="Arial" w:hint="default"/>
      </w:rPr>
    </w:lvl>
    <w:lvl w:ilvl="1" w:tplc="D9E0E1F0" w:tentative="1">
      <w:start w:val="1"/>
      <w:numFmt w:val="bullet"/>
      <w:lvlText w:val="•"/>
      <w:lvlJc w:val="left"/>
      <w:pPr>
        <w:tabs>
          <w:tab w:val="num" w:pos="1440"/>
        </w:tabs>
        <w:ind w:left="1440" w:hanging="360"/>
      </w:pPr>
      <w:rPr>
        <w:rFonts w:ascii="Arial" w:hAnsi="Arial" w:hint="default"/>
      </w:rPr>
    </w:lvl>
    <w:lvl w:ilvl="2" w:tplc="3C584A70" w:tentative="1">
      <w:start w:val="1"/>
      <w:numFmt w:val="bullet"/>
      <w:lvlText w:val="•"/>
      <w:lvlJc w:val="left"/>
      <w:pPr>
        <w:tabs>
          <w:tab w:val="num" w:pos="2160"/>
        </w:tabs>
        <w:ind w:left="2160" w:hanging="360"/>
      </w:pPr>
      <w:rPr>
        <w:rFonts w:ascii="Arial" w:hAnsi="Arial" w:hint="default"/>
      </w:rPr>
    </w:lvl>
    <w:lvl w:ilvl="3" w:tplc="0240AC3A" w:tentative="1">
      <w:start w:val="1"/>
      <w:numFmt w:val="bullet"/>
      <w:lvlText w:val="•"/>
      <w:lvlJc w:val="left"/>
      <w:pPr>
        <w:tabs>
          <w:tab w:val="num" w:pos="2880"/>
        </w:tabs>
        <w:ind w:left="2880" w:hanging="360"/>
      </w:pPr>
      <w:rPr>
        <w:rFonts w:ascii="Arial" w:hAnsi="Arial" w:hint="default"/>
      </w:rPr>
    </w:lvl>
    <w:lvl w:ilvl="4" w:tplc="AD9CBBC0" w:tentative="1">
      <w:start w:val="1"/>
      <w:numFmt w:val="bullet"/>
      <w:lvlText w:val="•"/>
      <w:lvlJc w:val="left"/>
      <w:pPr>
        <w:tabs>
          <w:tab w:val="num" w:pos="3600"/>
        </w:tabs>
        <w:ind w:left="3600" w:hanging="360"/>
      </w:pPr>
      <w:rPr>
        <w:rFonts w:ascii="Arial" w:hAnsi="Arial" w:hint="default"/>
      </w:rPr>
    </w:lvl>
    <w:lvl w:ilvl="5" w:tplc="3AA41FD6" w:tentative="1">
      <w:start w:val="1"/>
      <w:numFmt w:val="bullet"/>
      <w:lvlText w:val="•"/>
      <w:lvlJc w:val="left"/>
      <w:pPr>
        <w:tabs>
          <w:tab w:val="num" w:pos="4320"/>
        </w:tabs>
        <w:ind w:left="4320" w:hanging="360"/>
      </w:pPr>
      <w:rPr>
        <w:rFonts w:ascii="Arial" w:hAnsi="Arial" w:hint="default"/>
      </w:rPr>
    </w:lvl>
    <w:lvl w:ilvl="6" w:tplc="D6BEDC26" w:tentative="1">
      <w:start w:val="1"/>
      <w:numFmt w:val="bullet"/>
      <w:lvlText w:val="•"/>
      <w:lvlJc w:val="left"/>
      <w:pPr>
        <w:tabs>
          <w:tab w:val="num" w:pos="5040"/>
        </w:tabs>
        <w:ind w:left="5040" w:hanging="360"/>
      </w:pPr>
      <w:rPr>
        <w:rFonts w:ascii="Arial" w:hAnsi="Arial" w:hint="default"/>
      </w:rPr>
    </w:lvl>
    <w:lvl w:ilvl="7" w:tplc="393AEFB8" w:tentative="1">
      <w:start w:val="1"/>
      <w:numFmt w:val="bullet"/>
      <w:lvlText w:val="•"/>
      <w:lvlJc w:val="left"/>
      <w:pPr>
        <w:tabs>
          <w:tab w:val="num" w:pos="5760"/>
        </w:tabs>
        <w:ind w:left="5760" w:hanging="360"/>
      </w:pPr>
      <w:rPr>
        <w:rFonts w:ascii="Arial" w:hAnsi="Arial" w:hint="default"/>
      </w:rPr>
    </w:lvl>
    <w:lvl w:ilvl="8" w:tplc="FFB424F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61C62DB"/>
    <w:multiLevelType w:val="hybridMultilevel"/>
    <w:tmpl w:val="3C1C5C2A"/>
    <w:lvl w:ilvl="0" w:tplc="52C01E10">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1"/>
  </w:num>
  <w:num w:numId="2">
    <w:abstractNumId w:val="8"/>
  </w:num>
  <w:num w:numId="3">
    <w:abstractNumId w:val="21"/>
  </w:num>
  <w:num w:numId="4">
    <w:abstractNumId w:val="10"/>
  </w:num>
  <w:num w:numId="5">
    <w:abstractNumId w:val="5"/>
  </w:num>
  <w:num w:numId="6">
    <w:abstractNumId w:val="23"/>
  </w:num>
  <w:num w:numId="7">
    <w:abstractNumId w:val="27"/>
  </w:num>
  <w:num w:numId="8">
    <w:abstractNumId w:val="22"/>
  </w:num>
  <w:num w:numId="9">
    <w:abstractNumId w:val="15"/>
  </w:num>
  <w:num w:numId="10">
    <w:abstractNumId w:val="20"/>
  </w:num>
  <w:num w:numId="11">
    <w:abstractNumId w:val="17"/>
  </w:num>
  <w:num w:numId="12">
    <w:abstractNumId w:val="2"/>
  </w:num>
  <w:num w:numId="13">
    <w:abstractNumId w:val="18"/>
  </w:num>
  <w:num w:numId="14">
    <w:abstractNumId w:val="9"/>
  </w:num>
  <w:num w:numId="15">
    <w:abstractNumId w:val="4"/>
  </w:num>
  <w:num w:numId="16">
    <w:abstractNumId w:val="3"/>
  </w:num>
  <w:num w:numId="17">
    <w:abstractNumId w:val="16"/>
  </w:num>
  <w:num w:numId="18">
    <w:abstractNumId w:val="13"/>
  </w:num>
  <w:num w:numId="19">
    <w:abstractNumId w:val="1"/>
  </w:num>
  <w:num w:numId="20">
    <w:abstractNumId w:val="0"/>
  </w:num>
  <w:num w:numId="21">
    <w:abstractNumId w:val="16"/>
    <w:lvlOverride w:ilvl="0">
      <w:startOverride w:val="1"/>
    </w:lvlOverride>
  </w:num>
  <w:num w:numId="22">
    <w:abstractNumId w:val="16"/>
    <w:lvlOverride w:ilvl="0">
      <w:startOverride w:val="1"/>
    </w:lvlOverride>
  </w:num>
  <w:num w:numId="23">
    <w:abstractNumId w:val="14"/>
  </w:num>
  <w:num w:numId="24">
    <w:abstractNumId w:val="12"/>
  </w:num>
  <w:num w:numId="25">
    <w:abstractNumId w:val="14"/>
  </w:num>
  <w:num w:numId="26">
    <w:abstractNumId w:val="19"/>
  </w:num>
  <w:num w:numId="27">
    <w:abstractNumId w:val="7"/>
  </w:num>
  <w:num w:numId="28">
    <w:abstractNumId w:val="14"/>
  </w:num>
  <w:num w:numId="29">
    <w:abstractNumId w:val="26"/>
  </w:num>
  <w:num w:numId="30">
    <w:abstractNumId w:val="24"/>
  </w:num>
  <w:num w:numId="31">
    <w:abstractNumId w:val="6"/>
  </w:num>
  <w:num w:numId="32">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800"/>
    <w:rsid w:val="000014A2"/>
    <w:rsid w:val="00001C3B"/>
    <w:rsid w:val="00002986"/>
    <w:rsid w:val="00002F91"/>
    <w:rsid w:val="00002FEB"/>
    <w:rsid w:val="0000576A"/>
    <w:rsid w:val="0001294F"/>
    <w:rsid w:val="0001382C"/>
    <w:rsid w:val="000167B7"/>
    <w:rsid w:val="00021284"/>
    <w:rsid w:val="000222E8"/>
    <w:rsid w:val="00022539"/>
    <w:rsid w:val="000225A6"/>
    <w:rsid w:val="000251DE"/>
    <w:rsid w:val="0002703F"/>
    <w:rsid w:val="00027AEA"/>
    <w:rsid w:val="0003258A"/>
    <w:rsid w:val="000329C1"/>
    <w:rsid w:val="0003419B"/>
    <w:rsid w:val="00034CAE"/>
    <w:rsid w:val="00035AC6"/>
    <w:rsid w:val="000363F2"/>
    <w:rsid w:val="00037526"/>
    <w:rsid w:val="00040164"/>
    <w:rsid w:val="00041829"/>
    <w:rsid w:val="000420D6"/>
    <w:rsid w:val="00042598"/>
    <w:rsid w:val="00042FD0"/>
    <w:rsid w:val="0004336B"/>
    <w:rsid w:val="000435E4"/>
    <w:rsid w:val="000436B2"/>
    <w:rsid w:val="0004436B"/>
    <w:rsid w:val="00046A55"/>
    <w:rsid w:val="0004746F"/>
    <w:rsid w:val="000478EF"/>
    <w:rsid w:val="0005183E"/>
    <w:rsid w:val="00052686"/>
    <w:rsid w:val="000534D5"/>
    <w:rsid w:val="00053B68"/>
    <w:rsid w:val="00055EFE"/>
    <w:rsid w:val="0005735E"/>
    <w:rsid w:val="000632B6"/>
    <w:rsid w:val="00067EBE"/>
    <w:rsid w:val="00071B0A"/>
    <w:rsid w:val="00072B27"/>
    <w:rsid w:val="00072FD4"/>
    <w:rsid w:val="00075286"/>
    <w:rsid w:val="00076418"/>
    <w:rsid w:val="0007663E"/>
    <w:rsid w:val="00077F0B"/>
    <w:rsid w:val="00080B4A"/>
    <w:rsid w:val="00082DE8"/>
    <w:rsid w:val="00084F95"/>
    <w:rsid w:val="00091182"/>
    <w:rsid w:val="00091C65"/>
    <w:rsid w:val="00091C96"/>
    <w:rsid w:val="00092CF2"/>
    <w:rsid w:val="00093B83"/>
    <w:rsid w:val="00095D9E"/>
    <w:rsid w:val="00096F1B"/>
    <w:rsid w:val="0009792A"/>
    <w:rsid w:val="000A2EB7"/>
    <w:rsid w:val="000A396E"/>
    <w:rsid w:val="000A3F11"/>
    <w:rsid w:val="000A5920"/>
    <w:rsid w:val="000A6916"/>
    <w:rsid w:val="000B025E"/>
    <w:rsid w:val="000B05FB"/>
    <w:rsid w:val="000B2870"/>
    <w:rsid w:val="000B2ABA"/>
    <w:rsid w:val="000C0400"/>
    <w:rsid w:val="000C0F1E"/>
    <w:rsid w:val="000C106C"/>
    <w:rsid w:val="000C312E"/>
    <w:rsid w:val="000C4543"/>
    <w:rsid w:val="000D19C4"/>
    <w:rsid w:val="000D5998"/>
    <w:rsid w:val="000D5F35"/>
    <w:rsid w:val="000D62E5"/>
    <w:rsid w:val="000D6353"/>
    <w:rsid w:val="000D6E76"/>
    <w:rsid w:val="000D7AEE"/>
    <w:rsid w:val="000E10EE"/>
    <w:rsid w:val="000E7E40"/>
    <w:rsid w:val="000F0499"/>
    <w:rsid w:val="000F2A7E"/>
    <w:rsid w:val="000F3C9A"/>
    <w:rsid w:val="000F4F33"/>
    <w:rsid w:val="000F5226"/>
    <w:rsid w:val="00102C19"/>
    <w:rsid w:val="00103CBD"/>
    <w:rsid w:val="0010658C"/>
    <w:rsid w:val="00106F4A"/>
    <w:rsid w:val="0011393A"/>
    <w:rsid w:val="00116D87"/>
    <w:rsid w:val="00117617"/>
    <w:rsid w:val="00117B5F"/>
    <w:rsid w:val="00117D9F"/>
    <w:rsid w:val="001220DD"/>
    <w:rsid w:val="00123A11"/>
    <w:rsid w:val="00124008"/>
    <w:rsid w:val="0012475B"/>
    <w:rsid w:val="00124D32"/>
    <w:rsid w:val="001260DE"/>
    <w:rsid w:val="00127643"/>
    <w:rsid w:val="00127972"/>
    <w:rsid w:val="00127C05"/>
    <w:rsid w:val="00130A17"/>
    <w:rsid w:val="00137BB6"/>
    <w:rsid w:val="00144023"/>
    <w:rsid w:val="00144762"/>
    <w:rsid w:val="00144EA1"/>
    <w:rsid w:val="0015026D"/>
    <w:rsid w:val="00150738"/>
    <w:rsid w:val="00155C7F"/>
    <w:rsid w:val="0016289A"/>
    <w:rsid w:val="00165B66"/>
    <w:rsid w:val="001670E2"/>
    <w:rsid w:val="0017015D"/>
    <w:rsid w:val="00170474"/>
    <w:rsid w:val="00170741"/>
    <w:rsid w:val="00173F7E"/>
    <w:rsid w:val="001741AE"/>
    <w:rsid w:val="00176F02"/>
    <w:rsid w:val="00180218"/>
    <w:rsid w:val="00180B0E"/>
    <w:rsid w:val="0018225B"/>
    <w:rsid w:val="0018337E"/>
    <w:rsid w:val="00184C6E"/>
    <w:rsid w:val="001863B1"/>
    <w:rsid w:val="0018673C"/>
    <w:rsid w:val="00187A04"/>
    <w:rsid w:val="00190386"/>
    <w:rsid w:val="00191C5E"/>
    <w:rsid w:val="00195BB1"/>
    <w:rsid w:val="001968B1"/>
    <w:rsid w:val="0019713F"/>
    <w:rsid w:val="001A0499"/>
    <w:rsid w:val="001A1DC5"/>
    <w:rsid w:val="001A44E6"/>
    <w:rsid w:val="001A6FDE"/>
    <w:rsid w:val="001B2EAA"/>
    <w:rsid w:val="001B4F9D"/>
    <w:rsid w:val="001B6C04"/>
    <w:rsid w:val="001B7678"/>
    <w:rsid w:val="001C0011"/>
    <w:rsid w:val="001C0F44"/>
    <w:rsid w:val="001C4A24"/>
    <w:rsid w:val="001C6D35"/>
    <w:rsid w:val="001C7FCC"/>
    <w:rsid w:val="001D19A8"/>
    <w:rsid w:val="001D2002"/>
    <w:rsid w:val="001D3493"/>
    <w:rsid w:val="001D45B7"/>
    <w:rsid w:val="001E006A"/>
    <w:rsid w:val="001E2871"/>
    <w:rsid w:val="001E2B91"/>
    <w:rsid w:val="001E3C10"/>
    <w:rsid w:val="001E5F86"/>
    <w:rsid w:val="001F2DC9"/>
    <w:rsid w:val="001F3291"/>
    <w:rsid w:val="001F7CD2"/>
    <w:rsid w:val="00202408"/>
    <w:rsid w:val="002110C5"/>
    <w:rsid w:val="002160A7"/>
    <w:rsid w:val="0021790A"/>
    <w:rsid w:val="00223C6C"/>
    <w:rsid w:val="00223E72"/>
    <w:rsid w:val="00224510"/>
    <w:rsid w:val="002245BA"/>
    <w:rsid w:val="002252F3"/>
    <w:rsid w:val="00226E35"/>
    <w:rsid w:val="0023014D"/>
    <w:rsid w:val="0023018E"/>
    <w:rsid w:val="00233DC7"/>
    <w:rsid w:val="002345A3"/>
    <w:rsid w:val="0023468B"/>
    <w:rsid w:val="00234D9B"/>
    <w:rsid w:val="00234F2C"/>
    <w:rsid w:val="002377E0"/>
    <w:rsid w:val="002379E2"/>
    <w:rsid w:val="0024178B"/>
    <w:rsid w:val="00243BF6"/>
    <w:rsid w:val="00244234"/>
    <w:rsid w:val="00247BEC"/>
    <w:rsid w:val="002528F7"/>
    <w:rsid w:val="002537F1"/>
    <w:rsid w:val="0025390A"/>
    <w:rsid w:val="002561EB"/>
    <w:rsid w:val="00256908"/>
    <w:rsid w:val="00260469"/>
    <w:rsid w:val="002609E3"/>
    <w:rsid w:val="00260B35"/>
    <w:rsid w:val="0026232E"/>
    <w:rsid w:val="002623BE"/>
    <w:rsid w:val="00262D0B"/>
    <w:rsid w:val="00262DAB"/>
    <w:rsid w:val="002638FC"/>
    <w:rsid w:val="00265011"/>
    <w:rsid w:val="0026546F"/>
    <w:rsid w:val="002655CC"/>
    <w:rsid w:val="002677C2"/>
    <w:rsid w:val="002704B0"/>
    <w:rsid w:val="00270AB0"/>
    <w:rsid w:val="00270AD5"/>
    <w:rsid w:val="00271A4C"/>
    <w:rsid w:val="002742D1"/>
    <w:rsid w:val="0027471C"/>
    <w:rsid w:val="0027734E"/>
    <w:rsid w:val="0028067D"/>
    <w:rsid w:val="00285921"/>
    <w:rsid w:val="0028684D"/>
    <w:rsid w:val="0029101D"/>
    <w:rsid w:val="0029324D"/>
    <w:rsid w:val="00294443"/>
    <w:rsid w:val="00294EC3"/>
    <w:rsid w:val="00295AC1"/>
    <w:rsid w:val="002963B5"/>
    <w:rsid w:val="002A0C07"/>
    <w:rsid w:val="002A57C0"/>
    <w:rsid w:val="002A7EF5"/>
    <w:rsid w:val="002B49D7"/>
    <w:rsid w:val="002B4DB0"/>
    <w:rsid w:val="002B5338"/>
    <w:rsid w:val="002B69DE"/>
    <w:rsid w:val="002C0244"/>
    <w:rsid w:val="002C05C9"/>
    <w:rsid w:val="002C0C85"/>
    <w:rsid w:val="002C379D"/>
    <w:rsid w:val="002C6067"/>
    <w:rsid w:val="002C60AC"/>
    <w:rsid w:val="002C6A39"/>
    <w:rsid w:val="002C70A0"/>
    <w:rsid w:val="002C7421"/>
    <w:rsid w:val="002C7CEB"/>
    <w:rsid w:val="002D1252"/>
    <w:rsid w:val="002D22C9"/>
    <w:rsid w:val="002D3285"/>
    <w:rsid w:val="002D46A9"/>
    <w:rsid w:val="002D51A4"/>
    <w:rsid w:val="002E0459"/>
    <w:rsid w:val="002E073F"/>
    <w:rsid w:val="002E0DFF"/>
    <w:rsid w:val="002E1368"/>
    <w:rsid w:val="002E3A1A"/>
    <w:rsid w:val="002E3A6A"/>
    <w:rsid w:val="002E459A"/>
    <w:rsid w:val="002E68B2"/>
    <w:rsid w:val="002E6D6D"/>
    <w:rsid w:val="002F17E6"/>
    <w:rsid w:val="002F2C6F"/>
    <w:rsid w:val="002F4413"/>
    <w:rsid w:val="002F5DBB"/>
    <w:rsid w:val="0030028B"/>
    <w:rsid w:val="00301878"/>
    <w:rsid w:val="00301F6F"/>
    <w:rsid w:val="0030289D"/>
    <w:rsid w:val="003030B1"/>
    <w:rsid w:val="00303180"/>
    <w:rsid w:val="003056B4"/>
    <w:rsid w:val="0030638D"/>
    <w:rsid w:val="0030646E"/>
    <w:rsid w:val="00306963"/>
    <w:rsid w:val="00307BDF"/>
    <w:rsid w:val="003109E4"/>
    <w:rsid w:val="00312120"/>
    <w:rsid w:val="00312405"/>
    <w:rsid w:val="00316288"/>
    <w:rsid w:val="0031719B"/>
    <w:rsid w:val="00317D9E"/>
    <w:rsid w:val="003204CF"/>
    <w:rsid w:val="0032076F"/>
    <w:rsid w:val="003207BE"/>
    <w:rsid w:val="00323127"/>
    <w:rsid w:val="00323297"/>
    <w:rsid w:val="0032796B"/>
    <w:rsid w:val="00330BB0"/>
    <w:rsid w:val="0033152D"/>
    <w:rsid w:val="00331754"/>
    <w:rsid w:val="00334DCE"/>
    <w:rsid w:val="00335258"/>
    <w:rsid w:val="0033620C"/>
    <w:rsid w:val="00337AAE"/>
    <w:rsid w:val="003409B3"/>
    <w:rsid w:val="00341895"/>
    <w:rsid w:val="00343F92"/>
    <w:rsid w:val="00343FE2"/>
    <w:rsid w:val="00346B77"/>
    <w:rsid w:val="003478DF"/>
    <w:rsid w:val="003479F1"/>
    <w:rsid w:val="00352198"/>
    <w:rsid w:val="00352F74"/>
    <w:rsid w:val="00354230"/>
    <w:rsid w:val="00354591"/>
    <w:rsid w:val="003557B8"/>
    <w:rsid w:val="00355C89"/>
    <w:rsid w:val="00355E6D"/>
    <w:rsid w:val="00356DDA"/>
    <w:rsid w:val="003574AF"/>
    <w:rsid w:val="003574E0"/>
    <w:rsid w:val="00357AF0"/>
    <w:rsid w:val="003659A2"/>
    <w:rsid w:val="00365E51"/>
    <w:rsid w:val="0036728F"/>
    <w:rsid w:val="0037083C"/>
    <w:rsid w:val="00371126"/>
    <w:rsid w:val="003712EF"/>
    <w:rsid w:val="00371E69"/>
    <w:rsid w:val="00373635"/>
    <w:rsid w:val="00374637"/>
    <w:rsid w:val="00375481"/>
    <w:rsid w:val="00375BDB"/>
    <w:rsid w:val="0037617F"/>
    <w:rsid w:val="003767B4"/>
    <w:rsid w:val="0038036B"/>
    <w:rsid w:val="00383145"/>
    <w:rsid w:val="00384E93"/>
    <w:rsid w:val="00385CBB"/>
    <w:rsid w:val="0038641B"/>
    <w:rsid w:val="00391FC9"/>
    <w:rsid w:val="00392B17"/>
    <w:rsid w:val="00392CB5"/>
    <w:rsid w:val="00393546"/>
    <w:rsid w:val="003948EA"/>
    <w:rsid w:val="00396E30"/>
    <w:rsid w:val="003A4438"/>
    <w:rsid w:val="003A5047"/>
    <w:rsid w:val="003B0FD8"/>
    <w:rsid w:val="003B172C"/>
    <w:rsid w:val="003B5BE4"/>
    <w:rsid w:val="003C1F03"/>
    <w:rsid w:val="003C34F4"/>
    <w:rsid w:val="003C46AD"/>
    <w:rsid w:val="003C6AB3"/>
    <w:rsid w:val="003D07C5"/>
    <w:rsid w:val="003D26F4"/>
    <w:rsid w:val="003D40EC"/>
    <w:rsid w:val="003D7B9B"/>
    <w:rsid w:val="003E0263"/>
    <w:rsid w:val="003E13F3"/>
    <w:rsid w:val="003E36F7"/>
    <w:rsid w:val="003E44DF"/>
    <w:rsid w:val="003E4BE3"/>
    <w:rsid w:val="003E66B2"/>
    <w:rsid w:val="003F17C1"/>
    <w:rsid w:val="003F1A8D"/>
    <w:rsid w:val="003F1B0F"/>
    <w:rsid w:val="003F1F43"/>
    <w:rsid w:val="003F2344"/>
    <w:rsid w:val="003F2A7E"/>
    <w:rsid w:val="003F2DBC"/>
    <w:rsid w:val="003F36DC"/>
    <w:rsid w:val="003F7B7D"/>
    <w:rsid w:val="00401E19"/>
    <w:rsid w:val="00401E74"/>
    <w:rsid w:val="00402EFB"/>
    <w:rsid w:val="004042F5"/>
    <w:rsid w:val="00404343"/>
    <w:rsid w:val="00404CFF"/>
    <w:rsid w:val="004057AF"/>
    <w:rsid w:val="00405EEC"/>
    <w:rsid w:val="0040751A"/>
    <w:rsid w:val="00410713"/>
    <w:rsid w:val="00410FEF"/>
    <w:rsid w:val="00411007"/>
    <w:rsid w:val="00412681"/>
    <w:rsid w:val="004147AB"/>
    <w:rsid w:val="00421534"/>
    <w:rsid w:val="004237B7"/>
    <w:rsid w:val="004241D7"/>
    <w:rsid w:val="0042448D"/>
    <w:rsid w:val="00424AF5"/>
    <w:rsid w:val="00425B2A"/>
    <w:rsid w:val="00430D43"/>
    <w:rsid w:val="004313F1"/>
    <w:rsid w:val="004323A0"/>
    <w:rsid w:val="00434629"/>
    <w:rsid w:val="00435B41"/>
    <w:rsid w:val="00437620"/>
    <w:rsid w:val="0044034A"/>
    <w:rsid w:val="00440E15"/>
    <w:rsid w:val="00441604"/>
    <w:rsid w:val="004419B5"/>
    <w:rsid w:val="00443529"/>
    <w:rsid w:val="00444309"/>
    <w:rsid w:val="00446245"/>
    <w:rsid w:val="0044699F"/>
    <w:rsid w:val="00447158"/>
    <w:rsid w:val="00447FE2"/>
    <w:rsid w:val="00451456"/>
    <w:rsid w:val="00453C61"/>
    <w:rsid w:val="0045481C"/>
    <w:rsid w:val="00455044"/>
    <w:rsid w:val="0045687B"/>
    <w:rsid w:val="004571D4"/>
    <w:rsid w:val="004576FA"/>
    <w:rsid w:val="0046035A"/>
    <w:rsid w:val="00461462"/>
    <w:rsid w:val="00461F65"/>
    <w:rsid w:val="004637F4"/>
    <w:rsid w:val="00466873"/>
    <w:rsid w:val="00467554"/>
    <w:rsid w:val="004679D9"/>
    <w:rsid w:val="0047078E"/>
    <w:rsid w:val="004716C3"/>
    <w:rsid w:val="00472572"/>
    <w:rsid w:val="00473B90"/>
    <w:rsid w:val="00475681"/>
    <w:rsid w:val="00482E9E"/>
    <w:rsid w:val="0049074F"/>
    <w:rsid w:val="0049083D"/>
    <w:rsid w:val="00491191"/>
    <w:rsid w:val="00493150"/>
    <w:rsid w:val="0049381A"/>
    <w:rsid w:val="00493924"/>
    <w:rsid w:val="00493FC3"/>
    <w:rsid w:val="004948F9"/>
    <w:rsid w:val="00496569"/>
    <w:rsid w:val="00497801"/>
    <w:rsid w:val="00497BD0"/>
    <w:rsid w:val="00497C75"/>
    <w:rsid w:val="004A0F3B"/>
    <w:rsid w:val="004A1595"/>
    <w:rsid w:val="004A1CC8"/>
    <w:rsid w:val="004A1EAC"/>
    <w:rsid w:val="004A240E"/>
    <w:rsid w:val="004A291C"/>
    <w:rsid w:val="004A37BD"/>
    <w:rsid w:val="004A4CB5"/>
    <w:rsid w:val="004A4F79"/>
    <w:rsid w:val="004A7FDC"/>
    <w:rsid w:val="004B0E50"/>
    <w:rsid w:val="004B3478"/>
    <w:rsid w:val="004B38FE"/>
    <w:rsid w:val="004B4D12"/>
    <w:rsid w:val="004B5771"/>
    <w:rsid w:val="004B6C06"/>
    <w:rsid w:val="004B7CF3"/>
    <w:rsid w:val="004C060A"/>
    <w:rsid w:val="004C064A"/>
    <w:rsid w:val="004C1E0B"/>
    <w:rsid w:val="004C334D"/>
    <w:rsid w:val="004C5440"/>
    <w:rsid w:val="004C6288"/>
    <w:rsid w:val="004D27E4"/>
    <w:rsid w:val="004D48DF"/>
    <w:rsid w:val="004D546A"/>
    <w:rsid w:val="004D57A4"/>
    <w:rsid w:val="004D5BDD"/>
    <w:rsid w:val="004D7504"/>
    <w:rsid w:val="004D7743"/>
    <w:rsid w:val="004D7B46"/>
    <w:rsid w:val="004E2F54"/>
    <w:rsid w:val="004E45F6"/>
    <w:rsid w:val="004E476B"/>
    <w:rsid w:val="004E536E"/>
    <w:rsid w:val="004E64D1"/>
    <w:rsid w:val="004E6C64"/>
    <w:rsid w:val="004E6E3F"/>
    <w:rsid w:val="004F0FA3"/>
    <w:rsid w:val="004F1ACF"/>
    <w:rsid w:val="004F1FC8"/>
    <w:rsid w:val="004F267D"/>
    <w:rsid w:val="004F4CEE"/>
    <w:rsid w:val="004F633E"/>
    <w:rsid w:val="004F7C5F"/>
    <w:rsid w:val="00500828"/>
    <w:rsid w:val="00501E62"/>
    <w:rsid w:val="00503170"/>
    <w:rsid w:val="00505FAC"/>
    <w:rsid w:val="00506A56"/>
    <w:rsid w:val="00506DEB"/>
    <w:rsid w:val="00507052"/>
    <w:rsid w:val="00512879"/>
    <w:rsid w:val="00513903"/>
    <w:rsid w:val="00520154"/>
    <w:rsid w:val="0052121C"/>
    <w:rsid w:val="0052518F"/>
    <w:rsid w:val="00526F57"/>
    <w:rsid w:val="0052713E"/>
    <w:rsid w:val="0053042F"/>
    <w:rsid w:val="00530800"/>
    <w:rsid w:val="00530A3F"/>
    <w:rsid w:val="00533251"/>
    <w:rsid w:val="00533A73"/>
    <w:rsid w:val="00535AC9"/>
    <w:rsid w:val="00535E25"/>
    <w:rsid w:val="00536C0C"/>
    <w:rsid w:val="00540682"/>
    <w:rsid w:val="00541DD4"/>
    <w:rsid w:val="00544F86"/>
    <w:rsid w:val="0054785F"/>
    <w:rsid w:val="0055081A"/>
    <w:rsid w:val="00552B69"/>
    <w:rsid w:val="00556011"/>
    <w:rsid w:val="005568A6"/>
    <w:rsid w:val="0055698F"/>
    <w:rsid w:val="0056339D"/>
    <w:rsid w:val="00563589"/>
    <w:rsid w:val="0056592B"/>
    <w:rsid w:val="00565A2A"/>
    <w:rsid w:val="005665A0"/>
    <w:rsid w:val="005670AE"/>
    <w:rsid w:val="005672A0"/>
    <w:rsid w:val="005705A5"/>
    <w:rsid w:val="00571321"/>
    <w:rsid w:val="00572763"/>
    <w:rsid w:val="00573764"/>
    <w:rsid w:val="00573803"/>
    <w:rsid w:val="005749F2"/>
    <w:rsid w:val="00575A08"/>
    <w:rsid w:val="00575CD0"/>
    <w:rsid w:val="0058387F"/>
    <w:rsid w:val="00585AFE"/>
    <w:rsid w:val="005931DE"/>
    <w:rsid w:val="00593D46"/>
    <w:rsid w:val="00594FF9"/>
    <w:rsid w:val="005961AB"/>
    <w:rsid w:val="0059681E"/>
    <w:rsid w:val="00596E70"/>
    <w:rsid w:val="0059758C"/>
    <w:rsid w:val="005B3B4D"/>
    <w:rsid w:val="005B3EBE"/>
    <w:rsid w:val="005B5496"/>
    <w:rsid w:val="005B5C6E"/>
    <w:rsid w:val="005B606D"/>
    <w:rsid w:val="005B688F"/>
    <w:rsid w:val="005B6A91"/>
    <w:rsid w:val="005B709C"/>
    <w:rsid w:val="005C01C3"/>
    <w:rsid w:val="005C23B3"/>
    <w:rsid w:val="005C2BCC"/>
    <w:rsid w:val="005C7493"/>
    <w:rsid w:val="005C7DED"/>
    <w:rsid w:val="005D1FDE"/>
    <w:rsid w:val="005D2743"/>
    <w:rsid w:val="005D3B16"/>
    <w:rsid w:val="005D51AF"/>
    <w:rsid w:val="005D6B2E"/>
    <w:rsid w:val="005E0C13"/>
    <w:rsid w:val="005E266A"/>
    <w:rsid w:val="005E2836"/>
    <w:rsid w:val="005E2DE9"/>
    <w:rsid w:val="005E3D0C"/>
    <w:rsid w:val="005E4289"/>
    <w:rsid w:val="005E4D0F"/>
    <w:rsid w:val="005E647F"/>
    <w:rsid w:val="005E6675"/>
    <w:rsid w:val="005F01D2"/>
    <w:rsid w:val="005F0256"/>
    <w:rsid w:val="005F0266"/>
    <w:rsid w:val="005F0A1B"/>
    <w:rsid w:val="005F1EB8"/>
    <w:rsid w:val="005F2065"/>
    <w:rsid w:val="005F5B1A"/>
    <w:rsid w:val="005F68CE"/>
    <w:rsid w:val="005F6E3F"/>
    <w:rsid w:val="00600613"/>
    <w:rsid w:val="00601910"/>
    <w:rsid w:val="00601F59"/>
    <w:rsid w:val="00603FE6"/>
    <w:rsid w:val="00604481"/>
    <w:rsid w:val="00604530"/>
    <w:rsid w:val="00604DE1"/>
    <w:rsid w:val="006058A4"/>
    <w:rsid w:val="006073FB"/>
    <w:rsid w:val="00612555"/>
    <w:rsid w:val="00612E07"/>
    <w:rsid w:val="00614CD5"/>
    <w:rsid w:val="006216DC"/>
    <w:rsid w:val="0062346B"/>
    <w:rsid w:val="0062351E"/>
    <w:rsid w:val="00623C0D"/>
    <w:rsid w:val="006242E5"/>
    <w:rsid w:val="00624854"/>
    <w:rsid w:val="00624CF0"/>
    <w:rsid w:val="00625D5F"/>
    <w:rsid w:val="00626D7B"/>
    <w:rsid w:val="00627F13"/>
    <w:rsid w:val="00630380"/>
    <w:rsid w:val="0063237B"/>
    <w:rsid w:val="00632768"/>
    <w:rsid w:val="0063468B"/>
    <w:rsid w:val="00635DC6"/>
    <w:rsid w:val="006402FB"/>
    <w:rsid w:val="00640A9C"/>
    <w:rsid w:val="00641042"/>
    <w:rsid w:val="00641195"/>
    <w:rsid w:val="00641D26"/>
    <w:rsid w:val="00645A75"/>
    <w:rsid w:val="00646636"/>
    <w:rsid w:val="006477FD"/>
    <w:rsid w:val="00650F15"/>
    <w:rsid w:val="0065708A"/>
    <w:rsid w:val="00660B86"/>
    <w:rsid w:val="00660E38"/>
    <w:rsid w:val="00661BAB"/>
    <w:rsid w:val="00662CDF"/>
    <w:rsid w:val="00664661"/>
    <w:rsid w:val="0066508F"/>
    <w:rsid w:val="00671A4E"/>
    <w:rsid w:val="006736F4"/>
    <w:rsid w:val="0068127C"/>
    <w:rsid w:val="00683467"/>
    <w:rsid w:val="006846F4"/>
    <w:rsid w:val="006850E5"/>
    <w:rsid w:val="006859ED"/>
    <w:rsid w:val="00685B52"/>
    <w:rsid w:val="00687702"/>
    <w:rsid w:val="006922EB"/>
    <w:rsid w:val="0069285D"/>
    <w:rsid w:val="006928C8"/>
    <w:rsid w:val="00692D15"/>
    <w:rsid w:val="00692E57"/>
    <w:rsid w:val="006934AB"/>
    <w:rsid w:val="00693D5E"/>
    <w:rsid w:val="00695AB4"/>
    <w:rsid w:val="006965DF"/>
    <w:rsid w:val="006A18BC"/>
    <w:rsid w:val="006A3EBB"/>
    <w:rsid w:val="006A4781"/>
    <w:rsid w:val="006A5C8F"/>
    <w:rsid w:val="006A726A"/>
    <w:rsid w:val="006B6BFF"/>
    <w:rsid w:val="006C40A6"/>
    <w:rsid w:val="006C4AFC"/>
    <w:rsid w:val="006C740A"/>
    <w:rsid w:val="006C7684"/>
    <w:rsid w:val="006C7BC0"/>
    <w:rsid w:val="006D11A3"/>
    <w:rsid w:val="006D177D"/>
    <w:rsid w:val="006D2747"/>
    <w:rsid w:val="006D2851"/>
    <w:rsid w:val="006D2950"/>
    <w:rsid w:val="006D3632"/>
    <w:rsid w:val="006D3904"/>
    <w:rsid w:val="006D3B53"/>
    <w:rsid w:val="006D70DE"/>
    <w:rsid w:val="006E2C2A"/>
    <w:rsid w:val="006E35FA"/>
    <w:rsid w:val="006E4282"/>
    <w:rsid w:val="006E584B"/>
    <w:rsid w:val="006E7EDB"/>
    <w:rsid w:val="006F0073"/>
    <w:rsid w:val="006F0BAB"/>
    <w:rsid w:val="006F1193"/>
    <w:rsid w:val="006F44B6"/>
    <w:rsid w:val="006F5408"/>
    <w:rsid w:val="006F6020"/>
    <w:rsid w:val="0070050F"/>
    <w:rsid w:val="0070116D"/>
    <w:rsid w:val="0070216C"/>
    <w:rsid w:val="00705071"/>
    <w:rsid w:val="00705DA6"/>
    <w:rsid w:val="00710C09"/>
    <w:rsid w:val="00712424"/>
    <w:rsid w:val="00712E62"/>
    <w:rsid w:val="00714462"/>
    <w:rsid w:val="00715E36"/>
    <w:rsid w:val="00716531"/>
    <w:rsid w:val="00717D20"/>
    <w:rsid w:val="00722B7E"/>
    <w:rsid w:val="0072448D"/>
    <w:rsid w:val="007250C6"/>
    <w:rsid w:val="007256FC"/>
    <w:rsid w:val="0072602C"/>
    <w:rsid w:val="00726570"/>
    <w:rsid w:val="00727B13"/>
    <w:rsid w:val="00731081"/>
    <w:rsid w:val="007334C7"/>
    <w:rsid w:val="00734E7D"/>
    <w:rsid w:val="00734F18"/>
    <w:rsid w:val="007355BC"/>
    <w:rsid w:val="007355D8"/>
    <w:rsid w:val="00735642"/>
    <w:rsid w:val="00735E41"/>
    <w:rsid w:val="007361B1"/>
    <w:rsid w:val="007365EF"/>
    <w:rsid w:val="00742C1C"/>
    <w:rsid w:val="00742E76"/>
    <w:rsid w:val="00743AC8"/>
    <w:rsid w:val="0074560C"/>
    <w:rsid w:val="00747C3E"/>
    <w:rsid w:val="00747DB7"/>
    <w:rsid w:val="007531A4"/>
    <w:rsid w:val="007543C1"/>
    <w:rsid w:val="007600E4"/>
    <w:rsid w:val="00760EDE"/>
    <w:rsid w:val="00761DF3"/>
    <w:rsid w:val="00762CE7"/>
    <w:rsid w:val="007642B7"/>
    <w:rsid w:val="0076472A"/>
    <w:rsid w:val="00764DE8"/>
    <w:rsid w:val="007664E4"/>
    <w:rsid w:val="007672ED"/>
    <w:rsid w:val="00770215"/>
    <w:rsid w:val="00772193"/>
    <w:rsid w:val="00772761"/>
    <w:rsid w:val="00772D38"/>
    <w:rsid w:val="00773F6C"/>
    <w:rsid w:val="00774D34"/>
    <w:rsid w:val="0077688F"/>
    <w:rsid w:val="00781929"/>
    <w:rsid w:val="007820C8"/>
    <w:rsid w:val="00783C63"/>
    <w:rsid w:val="00783F74"/>
    <w:rsid w:val="0078509C"/>
    <w:rsid w:val="0079097A"/>
    <w:rsid w:val="0079456A"/>
    <w:rsid w:val="00794EC3"/>
    <w:rsid w:val="00796081"/>
    <w:rsid w:val="007975E6"/>
    <w:rsid w:val="007A06FE"/>
    <w:rsid w:val="007A20AF"/>
    <w:rsid w:val="007A226F"/>
    <w:rsid w:val="007A5C0B"/>
    <w:rsid w:val="007B0806"/>
    <w:rsid w:val="007B0B05"/>
    <w:rsid w:val="007B1662"/>
    <w:rsid w:val="007B1CD6"/>
    <w:rsid w:val="007B356F"/>
    <w:rsid w:val="007B4089"/>
    <w:rsid w:val="007B5CCD"/>
    <w:rsid w:val="007B6708"/>
    <w:rsid w:val="007B6BD5"/>
    <w:rsid w:val="007B6CF4"/>
    <w:rsid w:val="007B74A0"/>
    <w:rsid w:val="007C4749"/>
    <w:rsid w:val="007C6650"/>
    <w:rsid w:val="007D068F"/>
    <w:rsid w:val="007D07C6"/>
    <w:rsid w:val="007D2955"/>
    <w:rsid w:val="007D310B"/>
    <w:rsid w:val="007E1197"/>
    <w:rsid w:val="007E2118"/>
    <w:rsid w:val="007E5400"/>
    <w:rsid w:val="007E5EE9"/>
    <w:rsid w:val="007F10A8"/>
    <w:rsid w:val="007F10A9"/>
    <w:rsid w:val="007F21D7"/>
    <w:rsid w:val="007F22C7"/>
    <w:rsid w:val="007F509D"/>
    <w:rsid w:val="007F5A13"/>
    <w:rsid w:val="00802E40"/>
    <w:rsid w:val="00802F60"/>
    <w:rsid w:val="008046D2"/>
    <w:rsid w:val="008047A2"/>
    <w:rsid w:val="00806112"/>
    <w:rsid w:val="00806F12"/>
    <w:rsid w:val="00810A34"/>
    <w:rsid w:val="00813EA4"/>
    <w:rsid w:val="00814797"/>
    <w:rsid w:val="008160EF"/>
    <w:rsid w:val="00816627"/>
    <w:rsid w:val="008252FC"/>
    <w:rsid w:val="0083447F"/>
    <w:rsid w:val="00834A1C"/>
    <w:rsid w:val="00834F1C"/>
    <w:rsid w:val="00835CD9"/>
    <w:rsid w:val="00837A41"/>
    <w:rsid w:val="008438CD"/>
    <w:rsid w:val="00843D85"/>
    <w:rsid w:val="00844263"/>
    <w:rsid w:val="00847565"/>
    <w:rsid w:val="00847711"/>
    <w:rsid w:val="00852849"/>
    <w:rsid w:val="00853553"/>
    <w:rsid w:val="0085404A"/>
    <w:rsid w:val="008548BF"/>
    <w:rsid w:val="00857425"/>
    <w:rsid w:val="00857CE2"/>
    <w:rsid w:val="00857EF2"/>
    <w:rsid w:val="00860C2D"/>
    <w:rsid w:val="008627EA"/>
    <w:rsid w:val="008637B0"/>
    <w:rsid w:val="00864090"/>
    <w:rsid w:val="00864228"/>
    <w:rsid w:val="008647D6"/>
    <w:rsid w:val="00870B08"/>
    <w:rsid w:val="00870BD0"/>
    <w:rsid w:val="008711A2"/>
    <w:rsid w:val="008720FA"/>
    <w:rsid w:val="0087495B"/>
    <w:rsid w:val="00880A1F"/>
    <w:rsid w:val="00883940"/>
    <w:rsid w:val="0088499C"/>
    <w:rsid w:val="00886DEF"/>
    <w:rsid w:val="0089038E"/>
    <w:rsid w:val="008919DF"/>
    <w:rsid w:val="0089489F"/>
    <w:rsid w:val="00895A8D"/>
    <w:rsid w:val="00896501"/>
    <w:rsid w:val="008967A2"/>
    <w:rsid w:val="00897CCE"/>
    <w:rsid w:val="008A42C7"/>
    <w:rsid w:val="008A47ED"/>
    <w:rsid w:val="008A6453"/>
    <w:rsid w:val="008A7D8D"/>
    <w:rsid w:val="008B0995"/>
    <w:rsid w:val="008B15E5"/>
    <w:rsid w:val="008B58D3"/>
    <w:rsid w:val="008C1F95"/>
    <w:rsid w:val="008C290F"/>
    <w:rsid w:val="008C343F"/>
    <w:rsid w:val="008C7A53"/>
    <w:rsid w:val="008C7B6C"/>
    <w:rsid w:val="008D1D3A"/>
    <w:rsid w:val="008D2F69"/>
    <w:rsid w:val="008D30E1"/>
    <w:rsid w:val="008D37DC"/>
    <w:rsid w:val="008D4207"/>
    <w:rsid w:val="008D459B"/>
    <w:rsid w:val="008D584A"/>
    <w:rsid w:val="008D6BDD"/>
    <w:rsid w:val="008E0481"/>
    <w:rsid w:val="008E0E74"/>
    <w:rsid w:val="008E18B0"/>
    <w:rsid w:val="008E1C8D"/>
    <w:rsid w:val="008E38CC"/>
    <w:rsid w:val="008E4F6A"/>
    <w:rsid w:val="008E535E"/>
    <w:rsid w:val="008E577B"/>
    <w:rsid w:val="008E598F"/>
    <w:rsid w:val="008E5D97"/>
    <w:rsid w:val="008E71D2"/>
    <w:rsid w:val="008F231E"/>
    <w:rsid w:val="008F2FEE"/>
    <w:rsid w:val="008F38C6"/>
    <w:rsid w:val="008F6306"/>
    <w:rsid w:val="00900D4D"/>
    <w:rsid w:val="00901966"/>
    <w:rsid w:val="009059DB"/>
    <w:rsid w:val="0090721B"/>
    <w:rsid w:val="00913067"/>
    <w:rsid w:val="0091442E"/>
    <w:rsid w:val="00914AF1"/>
    <w:rsid w:val="00915CF0"/>
    <w:rsid w:val="00915E63"/>
    <w:rsid w:val="00916430"/>
    <w:rsid w:val="00916A37"/>
    <w:rsid w:val="00916FA4"/>
    <w:rsid w:val="0092208C"/>
    <w:rsid w:val="00925DC8"/>
    <w:rsid w:val="00930A43"/>
    <w:rsid w:val="0093142B"/>
    <w:rsid w:val="00931B60"/>
    <w:rsid w:val="00931F95"/>
    <w:rsid w:val="00934169"/>
    <w:rsid w:val="009341AB"/>
    <w:rsid w:val="0093663C"/>
    <w:rsid w:val="00937804"/>
    <w:rsid w:val="00937FB9"/>
    <w:rsid w:val="00940DEE"/>
    <w:rsid w:val="009410DA"/>
    <w:rsid w:val="009436A9"/>
    <w:rsid w:val="00946E0B"/>
    <w:rsid w:val="009502F8"/>
    <w:rsid w:val="009506E4"/>
    <w:rsid w:val="00950AEE"/>
    <w:rsid w:val="0095384A"/>
    <w:rsid w:val="009560A9"/>
    <w:rsid w:val="00956178"/>
    <w:rsid w:val="00962854"/>
    <w:rsid w:val="00963133"/>
    <w:rsid w:val="009651C5"/>
    <w:rsid w:val="00966593"/>
    <w:rsid w:val="0096676B"/>
    <w:rsid w:val="00967578"/>
    <w:rsid w:val="00970A36"/>
    <w:rsid w:val="0097421A"/>
    <w:rsid w:val="00974EFB"/>
    <w:rsid w:val="00982174"/>
    <w:rsid w:val="00982189"/>
    <w:rsid w:val="00983ADE"/>
    <w:rsid w:val="0098443C"/>
    <w:rsid w:val="00985C61"/>
    <w:rsid w:val="00985E81"/>
    <w:rsid w:val="0098666D"/>
    <w:rsid w:val="00986FD5"/>
    <w:rsid w:val="009904F0"/>
    <w:rsid w:val="00991195"/>
    <w:rsid w:val="00994D72"/>
    <w:rsid w:val="00995374"/>
    <w:rsid w:val="0099632B"/>
    <w:rsid w:val="009A1F84"/>
    <w:rsid w:val="009A2A90"/>
    <w:rsid w:val="009A6738"/>
    <w:rsid w:val="009B09C2"/>
    <w:rsid w:val="009B5CB0"/>
    <w:rsid w:val="009B6144"/>
    <w:rsid w:val="009B7A55"/>
    <w:rsid w:val="009C07BA"/>
    <w:rsid w:val="009C14D5"/>
    <w:rsid w:val="009C294F"/>
    <w:rsid w:val="009C4F77"/>
    <w:rsid w:val="009D01A2"/>
    <w:rsid w:val="009D16BA"/>
    <w:rsid w:val="009D1821"/>
    <w:rsid w:val="009D1D40"/>
    <w:rsid w:val="009D634C"/>
    <w:rsid w:val="009E0BE8"/>
    <w:rsid w:val="009E0FFA"/>
    <w:rsid w:val="009E2277"/>
    <w:rsid w:val="009E3F94"/>
    <w:rsid w:val="009E3FC5"/>
    <w:rsid w:val="009E4A01"/>
    <w:rsid w:val="009E4B64"/>
    <w:rsid w:val="009E507E"/>
    <w:rsid w:val="009E75C0"/>
    <w:rsid w:val="009E7989"/>
    <w:rsid w:val="009F118C"/>
    <w:rsid w:val="009F1FE4"/>
    <w:rsid w:val="009F2906"/>
    <w:rsid w:val="009F42CA"/>
    <w:rsid w:val="009F7718"/>
    <w:rsid w:val="00A00DE1"/>
    <w:rsid w:val="00A0185A"/>
    <w:rsid w:val="00A022AF"/>
    <w:rsid w:val="00A044DB"/>
    <w:rsid w:val="00A055DF"/>
    <w:rsid w:val="00A1040F"/>
    <w:rsid w:val="00A107C0"/>
    <w:rsid w:val="00A11179"/>
    <w:rsid w:val="00A12411"/>
    <w:rsid w:val="00A15332"/>
    <w:rsid w:val="00A16352"/>
    <w:rsid w:val="00A232CC"/>
    <w:rsid w:val="00A3392D"/>
    <w:rsid w:val="00A352B4"/>
    <w:rsid w:val="00A35581"/>
    <w:rsid w:val="00A35F76"/>
    <w:rsid w:val="00A3612E"/>
    <w:rsid w:val="00A36C5B"/>
    <w:rsid w:val="00A37A40"/>
    <w:rsid w:val="00A40773"/>
    <w:rsid w:val="00A452C6"/>
    <w:rsid w:val="00A45931"/>
    <w:rsid w:val="00A47EFB"/>
    <w:rsid w:val="00A5327E"/>
    <w:rsid w:val="00A53CA5"/>
    <w:rsid w:val="00A557D4"/>
    <w:rsid w:val="00A56957"/>
    <w:rsid w:val="00A56964"/>
    <w:rsid w:val="00A60760"/>
    <w:rsid w:val="00A60A47"/>
    <w:rsid w:val="00A62D46"/>
    <w:rsid w:val="00A67187"/>
    <w:rsid w:val="00A673C1"/>
    <w:rsid w:val="00A67EAD"/>
    <w:rsid w:val="00A72477"/>
    <w:rsid w:val="00A72883"/>
    <w:rsid w:val="00A73C8D"/>
    <w:rsid w:val="00A74153"/>
    <w:rsid w:val="00A743A1"/>
    <w:rsid w:val="00A74929"/>
    <w:rsid w:val="00A75212"/>
    <w:rsid w:val="00A756B3"/>
    <w:rsid w:val="00A808DE"/>
    <w:rsid w:val="00A813C0"/>
    <w:rsid w:val="00A818F1"/>
    <w:rsid w:val="00A842FB"/>
    <w:rsid w:val="00A84C2D"/>
    <w:rsid w:val="00A853BD"/>
    <w:rsid w:val="00A85E42"/>
    <w:rsid w:val="00A862A8"/>
    <w:rsid w:val="00A8688C"/>
    <w:rsid w:val="00A90CBA"/>
    <w:rsid w:val="00A93162"/>
    <w:rsid w:val="00A9375D"/>
    <w:rsid w:val="00A944C0"/>
    <w:rsid w:val="00A94E87"/>
    <w:rsid w:val="00A970D4"/>
    <w:rsid w:val="00AA1EA4"/>
    <w:rsid w:val="00AA3F61"/>
    <w:rsid w:val="00AA4262"/>
    <w:rsid w:val="00AA5264"/>
    <w:rsid w:val="00AB09A5"/>
    <w:rsid w:val="00AB0AA0"/>
    <w:rsid w:val="00AB1198"/>
    <w:rsid w:val="00AB187A"/>
    <w:rsid w:val="00AB2A7C"/>
    <w:rsid w:val="00AB3C5F"/>
    <w:rsid w:val="00AB3CB9"/>
    <w:rsid w:val="00AB40D9"/>
    <w:rsid w:val="00AB43CD"/>
    <w:rsid w:val="00AB58B7"/>
    <w:rsid w:val="00AB7E0F"/>
    <w:rsid w:val="00AC02A2"/>
    <w:rsid w:val="00AC7688"/>
    <w:rsid w:val="00AD1A23"/>
    <w:rsid w:val="00AD2FB0"/>
    <w:rsid w:val="00AD4449"/>
    <w:rsid w:val="00AD4613"/>
    <w:rsid w:val="00AD4946"/>
    <w:rsid w:val="00AD52C2"/>
    <w:rsid w:val="00AE19B7"/>
    <w:rsid w:val="00AE2606"/>
    <w:rsid w:val="00AE4647"/>
    <w:rsid w:val="00AE6F2B"/>
    <w:rsid w:val="00AE76B3"/>
    <w:rsid w:val="00AF4592"/>
    <w:rsid w:val="00AF5C28"/>
    <w:rsid w:val="00AF5DD0"/>
    <w:rsid w:val="00B013CC"/>
    <w:rsid w:val="00B01A09"/>
    <w:rsid w:val="00B020E2"/>
    <w:rsid w:val="00B10B9C"/>
    <w:rsid w:val="00B10C4C"/>
    <w:rsid w:val="00B12C17"/>
    <w:rsid w:val="00B153FE"/>
    <w:rsid w:val="00B17641"/>
    <w:rsid w:val="00B17655"/>
    <w:rsid w:val="00B17C78"/>
    <w:rsid w:val="00B2155E"/>
    <w:rsid w:val="00B219D6"/>
    <w:rsid w:val="00B21FA3"/>
    <w:rsid w:val="00B225A8"/>
    <w:rsid w:val="00B22711"/>
    <w:rsid w:val="00B252C8"/>
    <w:rsid w:val="00B25A4E"/>
    <w:rsid w:val="00B272BA"/>
    <w:rsid w:val="00B27AFD"/>
    <w:rsid w:val="00B33ADF"/>
    <w:rsid w:val="00B34434"/>
    <w:rsid w:val="00B36776"/>
    <w:rsid w:val="00B377E8"/>
    <w:rsid w:val="00B40CA6"/>
    <w:rsid w:val="00B40DDB"/>
    <w:rsid w:val="00B42AEB"/>
    <w:rsid w:val="00B50404"/>
    <w:rsid w:val="00B508F7"/>
    <w:rsid w:val="00B562C1"/>
    <w:rsid w:val="00B64639"/>
    <w:rsid w:val="00B64B87"/>
    <w:rsid w:val="00B66601"/>
    <w:rsid w:val="00B71589"/>
    <w:rsid w:val="00B7299F"/>
    <w:rsid w:val="00B742BC"/>
    <w:rsid w:val="00B74AEB"/>
    <w:rsid w:val="00B7687F"/>
    <w:rsid w:val="00B77381"/>
    <w:rsid w:val="00B775AF"/>
    <w:rsid w:val="00B77935"/>
    <w:rsid w:val="00B80E0F"/>
    <w:rsid w:val="00B814A9"/>
    <w:rsid w:val="00B81C7F"/>
    <w:rsid w:val="00B82587"/>
    <w:rsid w:val="00B82CC6"/>
    <w:rsid w:val="00B85CC4"/>
    <w:rsid w:val="00B863F8"/>
    <w:rsid w:val="00B87B4D"/>
    <w:rsid w:val="00B919F3"/>
    <w:rsid w:val="00B937A2"/>
    <w:rsid w:val="00B93B6F"/>
    <w:rsid w:val="00BA36FF"/>
    <w:rsid w:val="00BA75EC"/>
    <w:rsid w:val="00BB2122"/>
    <w:rsid w:val="00BB799A"/>
    <w:rsid w:val="00BC2535"/>
    <w:rsid w:val="00BC711D"/>
    <w:rsid w:val="00BC7DA5"/>
    <w:rsid w:val="00BC7FF0"/>
    <w:rsid w:val="00BD1321"/>
    <w:rsid w:val="00BD17A3"/>
    <w:rsid w:val="00BD51C2"/>
    <w:rsid w:val="00BD686A"/>
    <w:rsid w:val="00BD68EC"/>
    <w:rsid w:val="00BD748D"/>
    <w:rsid w:val="00BD751C"/>
    <w:rsid w:val="00BD7F8F"/>
    <w:rsid w:val="00BE1304"/>
    <w:rsid w:val="00BE1660"/>
    <w:rsid w:val="00BE1E6B"/>
    <w:rsid w:val="00BE5399"/>
    <w:rsid w:val="00BE6440"/>
    <w:rsid w:val="00BE698C"/>
    <w:rsid w:val="00BF409A"/>
    <w:rsid w:val="00BF40CB"/>
    <w:rsid w:val="00BF422E"/>
    <w:rsid w:val="00BF54FF"/>
    <w:rsid w:val="00BF5E8C"/>
    <w:rsid w:val="00C00EA7"/>
    <w:rsid w:val="00C01FDA"/>
    <w:rsid w:val="00C03613"/>
    <w:rsid w:val="00C03A22"/>
    <w:rsid w:val="00C04B6F"/>
    <w:rsid w:val="00C12141"/>
    <w:rsid w:val="00C128E9"/>
    <w:rsid w:val="00C12EC1"/>
    <w:rsid w:val="00C14026"/>
    <w:rsid w:val="00C21836"/>
    <w:rsid w:val="00C21EDA"/>
    <w:rsid w:val="00C22DD5"/>
    <w:rsid w:val="00C24EA1"/>
    <w:rsid w:val="00C25795"/>
    <w:rsid w:val="00C25C17"/>
    <w:rsid w:val="00C26AC2"/>
    <w:rsid w:val="00C32A67"/>
    <w:rsid w:val="00C334D5"/>
    <w:rsid w:val="00C43BD4"/>
    <w:rsid w:val="00C43DBF"/>
    <w:rsid w:val="00C44628"/>
    <w:rsid w:val="00C46BD5"/>
    <w:rsid w:val="00C514FD"/>
    <w:rsid w:val="00C51627"/>
    <w:rsid w:val="00C52506"/>
    <w:rsid w:val="00C60AD0"/>
    <w:rsid w:val="00C61CC7"/>
    <w:rsid w:val="00C64892"/>
    <w:rsid w:val="00C70F85"/>
    <w:rsid w:val="00C717CE"/>
    <w:rsid w:val="00C719E5"/>
    <w:rsid w:val="00C74168"/>
    <w:rsid w:val="00C74952"/>
    <w:rsid w:val="00C74E9C"/>
    <w:rsid w:val="00C75061"/>
    <w:rsid w:val="00C81557"/>
    <w:rsid w:val="00C8271E"/>
    <w:rsid w:val="00C83805"/>
    <w:rsid w:val="00C86CBC"/>
    <w:rsid w:val="00C8794F"/>
    <w:rsid w:val="00C87B10"/>
    <w:rsid w:val="00C920DA"/>
    <w:rsid w:val="00C9228E"/>
    <w:rsid w:val="00C925BE"/>
    <w:rsid w:val="00C93C2A"/>
    <w:rsid w:val="00C94799"/>
    <w:rsid w:val="00C94948"/>
    <w:rsid w:val="00C96143"/>
    <w:rsid w:val="00CA13E6"/>
    <w:rsid w:val="00CA43B9"/>
    <w:rsid w:val="00CA4E6D"/>
    <w:rsid w:val="00CA4FCD"/>
    <w:rsid w:val="00CB00A9"/>
    <w:rsid w:val="00CB0FFA"/>
    <w:rsid w:val="00CB1699"/>
    <w:rsid w:val="00CB4888"/>
    <w:rsid w:val="00CB525C"/>
    <w:rsid w:val="00CB6803"/>
    <w:rsid w:val="00CC0B2A"/>
    <w:rsid w:val="00CC206A"/>
    <w:rsid w:val="00CC40FA"/>
    <w:rsid w:val="00CC586F"/>
    <w:rsid w:val="00CC7FB6"/>
    <w:rsid w:val="00CD1092"/>
    <w:rsid w:val="00CD2F20"/>
    <w:rsid w:val="00CD48BB"/>
    <w:rsid w:val="00CD4AE1"/>
    <w:rsid w:val="00CD5A74"/>
    <w:rsid w:val="00CD6599"/>
    <w:rsid w:val="00CD7ACC"/>
    <w:rsid w:val="00CE0D30"/>
    <w:rsid w:val="00CE1B78"/>
    <w:rsid w:val="00CE3BBD"/>
    <w:rsid w:val="00CE4F78"/>
    <w:rsid w:val="00CE69E7"/>
    <w:rsid w:val="00CF191C"/>
    <w:rsid w:val="00CF322C"/>
    <w:rsid w:val="00CF3508"/>
    <w:rsid w:val="00CF543E"/>
    <w:rsid w:val="00CF620E"/>
    <w:rsid w:val="00CF62B6"/>
    <w:rsid w:val="00CF6551"/>
    <w:rsid w:val="00CF7787"/>
    <w:rsid w:val="00CF7BFD"/>
    <w:rsid w:val="00CF7E15"/>
    <w:rsid w:val="00D012BD"/>
    <w:rsid w:val="00D02096"/>
    <w:rsid w:val="00D02C0F"/>
    <w:rsid w:val="00D03611"/>
    <w:rsid w:val="00D04B68"/>
    <w:rsid w:val="00D05040"/>
    <w:rsid w:val="00D07A12"/>
    <w:rsid w:val="00D12817"/>
    <w:rsid w:val="00D138DB"/>
    <w:rsid w:val="00D14F1F"/>
    <w:rsid w:val="00D16919"/>
    <w:rsid w:val="00D16F5A"/>
    <w:rsid w:val="00D170D9"/>
    <w:rsid w:val="00D1787E"/>
    <w:rsid w:val="00D205C1"/>
    <w:rsid w:val="00D210BC"/>
    <w:rsid w:val="00D210FB"/>
    <w:rsid w:val="00D21917"/>
    <w:rsid w:val="00D21DC2"/>
    <w:rsid w:val="00D2252A"/>
    <w:rsid w:val="00D22FF3"/>
    <w:rsid w:val="00D256E6"/>
    <w:rsid w:val="00D260BB"/>
    <w:rsid w:val="00D301B0"/>
    <w:rsid w:val="00D30535"/>
    <w:rsid w:val="00D30D9B"/>
    <w:rsid w:val="00D30FEE"/>
    <w:rsid w:val="00D31ED6"/>
    <w:rsid w:val="00D33AA9"/>
    <w:rsid w:val="00D33FDA"/>
    <w:rsid w:val="00D3466F"/>
    <w:rsid w:val="00D3484E"/>
    <w:rsid w:val="00D34B38"/>
    <w:rsid w:val="00D37531"/>
    <w:rsid w:val="00D40EBD"/>
    <w:rsid w:val="00D421BE"/>
    <w:rsid w:val="00D42A08"/>
    <w:rsid w:val="00D44280"/>
    <w:rsid w:val="00D44413"/>
    <w:rsid w:val="00D45F67"/>
    <w:rsid w:val="00D469CF"/>
    <w:rsid w:val="00D46B67"/>
    <w:rsid w:val="00D50726"/>
    <w:rsid w:val="00D51C70"/>
    <w:rsid w:val="00D53BFD"/>
    <w:rsid w:val="00D545E6"/>
    <w:rsid w:val="00D55B27"/>
    <w:rsid w:val="00D57CEB"/>
    <w:rsid w:val="00D6010F"/>
    <w:rsid w:val="00D60BAE"/>
    <w:rsid w:val="00D60EB9"/>
    <w:rsid w:val="00D61CB6"/>
    <w:rsid w:val="00D6782A"/>
    <w:rsid w:val="00D71191"/>
    <w:rsid w:val="00D71A99"/>
    <w:rsid w:val="00D73026"/>
    <w:rsid w:val="00D73787"/>
    <w:rsid w:val="00D74F89"/>
    <w:rsid w:val="00D7517F"/>
    <w:rsid w:val="00D756E4"/>
    <w:rsid w:val="00D776E9"/>
    <w:rsid w:val="00D77D45"/>
    <w:rsid w:val="00D80ADC"/>
    <w:rsid w:val="00D8246E"/>
    <w:rsid w:val="00D82F4E"/>
    <w:rsid w:val="00D83985"/>
    <w:rsid w:val="00D86571"/>
    <w:rsid w:val="00D87A25"/>
    <w:rsid w:val="00D95F7A"/>
    <w:rsid w:val="00D97B16"/>
    <w:rsid w:val="00DA0393"/>
    <w:rsid w:val="00DA0A23"/>
    <w:rsid w:val="00DA0A31"/>
    <w:rsid w:val="00DA1FDA"/>
    <w:rsid w:val="00DA255E"/>
    <w:rsid w:val="00DA3000"/>
    <w:rsid w:val="00DA3B07"/>
    <w:rsid w:val="00DA3FED"/>
    <w:rsid w:val="00DA5EA7"/>
    <w:rsid w:val="00DA6CDB"/>
    <w:rsid w:val="00DB0B19"/>
    <w:rsid w:val="00DB32DC"/>
    <w:rsid w:val="00DB37FF"/>
    <w:rsid w:val="00DB450C"/>
    <w:rsid w:val="00DB727F"/>
    <w:rsid w:val="00DB79A4"/>
    <w:rsid w:val="00DC11AF"/>
    <w:rsid w:val="00DC25D0"/>
    <w:rsid w:val="00DC2ECA"/>
    <w:rsid w:val="00DC4CC1"/>
    <w:rsid w:val="00DC5A2F"/>
    <w:rsid w:val="00DC5D0F"/>
    <w:rsid w:val="00DC66E3"/>
    <w:rsid w:val="00DC6776"/>
    <w:rsid w:val="00DC6F5D"/>
    <w:rsid w:val="00DD0B08"/>
    <w:rsid w:val="00DD4394"/>
    <w:rsid w:val="00DD480E"/>
    <w:rsid w:val="00DE39FC"/>
    <w:rsid w:val="00DE43EC"/>
    <w:rsid w:val="00DE4F94"/>
    <w:rsid w:val="00DE557E"/>
    <w:rsid w:val="00DE7B51"/>
    <w:rsid w:val="00DF09E9"/>
    <w:rsid w:val="00DF0BF4"/>
    <w:rsid w:val="00DF264D"/>
    <w:rsid w:val="00DF7378"/>
    <w:rsid w:val="00DF7CAE"/>
    <w:rsid w:val="00E01463"/>
    <w:rsid w:val="00E02CCC"/>
    <w:rsid w:val="00E0613C"/>
    <w:rsid w:val="00E07C74"/>
    <w:rsid w:val="00E07C7C"/>
    <w:rsid w:val="00E10CB1"/>
    <w:rsid w:val="00E12394"/>
    <w:rsid w:val="00E1345A"/>
    <w:rsid w:val="00E1706E"/>
    <w:rsid w:val="00E17507"/>
    <w:rsid w:val="00E21C23"/>
    <w:rsid w:val="00E229BC"/>
    <w:rsid w:val="00E22F6D"/>
    <w:rsid w:val="00E25277"/>
    <w:rsid w:val="00E271ED"/>
    <w:rsid w:val="00E31105"/>
    <w:rsid w:val="00E32922"/>
    <w:rsid w:val="00E33A74"/>
    <w:rsid w:val="00E348DB"/>
    <w:rsid w:val="00E3508C"/>
    <w:rsid w:val="00E35311"/>
    <w:rsid w:val="00E354A2"/>
    <w:rsid w:val="00E3593E"/>
    <w:rsid w:val="00E36F5F"/>
    <w:rsid w:val="00E37E27"/>
    <w:rsid w:val="00E402EA"/>
    <w:rsid w:val="00E408CC"/>
    <w:rsid w:val="00E40F44"/>
    <w:rsid w:val="00E41246"/>
    <w:rsid w:val="00E4310A"/>
    <w:rsid w:val="00E436B9"/>
    <w:rsid w:val="00E45F86"/>
    <w:rsid w:val="00E503BC"/>
    <w:rsid w:val="00E50C4E"/>
    <w:rsid w:val="00E53DD0"/>
    <w:rsid w:val="00E53EED"/>
    <w:rsid w:val="00E54FB0"/>
    <w:rsid w:val="00E56824"/>
    <w:rsid w:val="00E57157"/>
    <w:rsid w:val="00E572D8"/>
    <w:rsid w:val="00E60C67"/>
    <w:rsid w:val="00E61D9F"/>
    <w:rsid w:val="00E61ECC"/>
    <w:rsid w:val="00E63510"/>
    <w:rsid w:val="00E65C87"/>
    <w:rsid w:val="00E661FA"/>
    <w:rsid w:val="00E71BD0"/>
    <w:rsid w:val="00E7324C"/>
    <w:rsid w:val="00E74523"/>
    <w:rsid w:val="00E819D7"/>
    <w:rsid w:val="00E81B91"/>
    <w:rsid w:val="00E82BD5"/>
    <w:rsid w:val="00E877C1"/>
    <w:rsid w:val="00E879A0"/>
    <w:rsid w:val="00E91E81"/>
    <w:rsid w:val="00E93897"/>
    <w:rsid w:val="00E941FD"/>
    <w:rsid w:val="00E962E3"/>
    <w:rsid w:val="00E9730F"/>
    <w:rsid w:val="00E97C5D"/>
    <w:rsid w:val="00EA089C"/>
    <w:rsid w:val="00EA1481"/>
    <w:rsid w:val="00EA275A"/>
    <w:rsid w:val="00EA27EA"/>
    <w:rsid w:val="00EA2ECF"/>
    <w:rsid w:val="00EA48D0"/>
    <w:rsid w:val="00EA5095"/>
    <w:rsid w:val="00EB15D4"/>
    <w:rsid w:val="00EB5EA8"/>
    <w:rsid w:val="00EB5FDE"/>
    <w:rsid w:val="00EB63F9"/>
    <w:rsid w:val="00EC102A"/>
    <w:rsid w:val="00EC155B"/>
    <w:rsid w:val="00EC424D"/>
    <w:rsid w:val="00EC45D1"/>
    <w:rsid w:val="00EC5F86"/>
    <w:rsid w:val="00EC7537"/>
    <w:rsid w:val="00ED1A2C"/>
    <w:rsid w:val="00ED1D6D"/>
    <w:rsid w:val="00ED2003"/>
    <w:rsid w:val="00ED26DF"/>
    <w:rsid w:val="00ED3927"/>
    <w:rsid w:val="00ED5B32"/>
    <w:rsid w:val="00ED6BCA"/>
    <w:rsid w:val="00EE009E"/>
    <w:rsid w:val="00EE1114"/>
    <w:rsid w:val="00EE1593"/>
    <w:rsid w:val="00EE28BF"/>
    <w:rsid w:val="00EE3B28"/>
    <w:rsid w:val="00EE46BD"/>
    <w:rsid w:val="00EE7971"/>
    <w:rsid w:val="00EF05AA"/>
    <w:rsid w:val="00EF1F73"/>
    <w:rsid w:val="00EF2E41"/>
    <w:rsid w:val="00EF314D"/>
    <w:rsid w:val="00EF33A6"/>
    <w:rsid w:val="00EF3EF3"/>
    <w:rsid w:val="00EF43B8"/>
    <w:rsid w:val="00EF62F4"/>
    <w:rsid w:val="00EF7AB0"/>
    <w:rsid w:val="00F003C5"/>
    <w:rsid w:val="00F0049D"/>
    <w:rsid w:val="00F03BC1"/>
    <w:rsid w:val="00F03D44"/>
    <w:rsid w:val="00F058BA"/>
    <w:rsid w:val="00F07B7E"/>
    <w:rsid w:val="00F10AF9"/>
    <w:rsid w:val="00F127FB"/>
    <w:rsid w:val="00F12DB3"/>
    <w:rsid w:val="00F131DD"/>
    <w:rsid w:val="00F140A2"/>
    <w:rsid w:val="00F14A88"/>
    <w:rsid w:val="00F16767"/>
    <w:rsid w:val="00F17372"/>
    <w:rsid w:val="00F21145"/>
    <w:rsid w:val="00F25C19"/>
    <w:rsid w:val="00F268F1"/>
    <w:rsid w:val="00F2736A"/>
    <w:rsid w:val="00F3039E"/>
    <w:rsid w:val="00F31221"/>
    <w:rsid w:val="00F40A51"/>
    <w:rsid w:val="00F4219B"/>
    <w:rsid w:val="00F463F6"/>
    <w:rsid w:val="00F47327"/>
    <w:rsid w:val="00F50E90"/>
    <w:rsid w:val="00F515DC"/>
    <w:rsid w:val="00F52082"/>
    <w:rsid w:val="00F52149"/>
    <w:rsid w:val="00F5258B"/>
    <w:rsid w:val="00F52645"/>
    <w:rsid w:val="00F54136"/>
    <w:rsid w:val="00F54D36"/>
    <w:rsid w:val="00F554F1"/>
    <w:rsid w:val="00F56C69"/>
    <w:rsid w:val="00F56FF7"/>
    <w:rsid w:val="00F57385"/>
    <w:rsid w:val="00F57B67"/>
    <w:rsid w:val="00F61754"/>
    <w:rsid w:val="00F6447D"/>
    <w:rsid w:val="00F658BF"/>
    <w:rsid w:val="00F672EA"/>
    <w:rsid w:val="00F708AB"/>
    <w:rsid w:val="00F72CB9"/>
    <w:rsid w:val="00F74284"/>
    <w:rsid w:val="00F75AEA"/>
    <w:rsid w:val="00F763A6"/>
    <w:rsid w:val="00F8035B"/>
    <w:rsid w:val="00F83D8D"/>
    <w:rsid w:val="00F83F8B"/>
    <w:rsid w:val="00F84A04"/>
    <w:rsid w:val="00F85007"/>
    <w:rsid w:val="00F85684"/>
    <w:rsid w:val="00F8646B"/>
    <w:rsid w:val="00F90BFA"/>
    <w:rsid w:val="00F91503"/>
    <w:rsid w:val="00F916D1"/>
    <w:rsid w:val="00F9238D"/>
    <w:rsid w:val="00F92B40"/>
    <w:rsid w:val="00F945A2"/>
    <w:rsid w:val="00F947B9"/>
    <w:rsid w:val="00F963AB"/>
    <w:rsid w:val="00F96C65"/>
    <w:rsid w:val="00F96CB8"/>
    <w:rsid w:val="00FA0742"/>
    <w:rsid w:val="00FA0A59"/>
    <w:rsid w:val="00FA0F2E"/>
    <w:rsid w:val="00FA13E9"/>
    <w:rsid w:val="00FA1CF4"/>
    <w:rsid w:val="00FA2ABD"/>
    <w:rsid w:val="00FA2CCB"/>
    <w:rsid w:val="00FA4279"/>
    <w:rsid w:val="00FA42A5"/>
    <w:rsid w:val="00FA4583"/>
    <w:rsid w:val="00FA4D0B"/>
    <w:rsid w:val="00FA7DAE"/>
    <w:rsid w:val="00FB0510"/>
    <w:rsid w:val="00FB0E66"/>
    <w:rsid w:val="00FB0F0F"/>
    <w:rsid w:val="00FB419A"/>
    <w:rsid w:val="00FB4B6D"/>
    <w:rsid w:val="00FB6CD6"/>
    <w:rsid w:val="00FB6D07"/>
    <w:rsid w:val="00FB7B8B"/>
    <w:rsid w:val="00FB7D73"/>
    <w:rsid w:val="00FC17F7"/>
    <w:rsid w:val="00FC2839"/>
    <w:rsid w:val="00FC3A0C"/>
    <w:rsid w:val="00FC43EA"/>
    <w:rsid w:val="00FC6C20"/>
    <w:rsid w:val="00FC733F"/>
    <w:rsid w:val="00FC77E1"/>
    <w:rsid w:val="00FD100B"/>
    <w:rsid w:val="00FD3086"/>
    <w:rsid w:val="00FD3A01"/>
    <w:rsid w:val="00FD6632"/>
    <w:rsid w:val="00FD76B2"/>
    <w:rsid w:val="00FD7F9F"/>
    <w:rsid w:val="00FE1479"/>
    <w:rsid w:val="00FE67DA"/>
    <w:rsid w:val="00FF1E77"/>
    <w:rsid w:val="00FF1ED8"/>
    <w:rsid w:val="00FF3DD9"/>
    <w:rsid w:val="00FF61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87493FF"/>
  <w15:docId w15:val="{040D4FC1-C0EF-4DDE-AC82-4E596A10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n-AU" w:eastAsia="en-US" w:bidi="ar-SA"/>
      </w:rPr>
    </w:rPrDefault>
    <w:pPrDefault>
      <w:pPr>
        <w:jc w:val="both"/>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8EF"/>
    <w:pPr>
      <w:spacing w:after="288"/>
    </w:pPr>
  </w:style>
  <w:style w:type="paragraph" w:styleId="Heading1">
    <w:name w:val="heading 1"/>
    <w:basedOn w:val="Normal"/>
    <w:next w:val="Normal"/>
    <w:link w:val="Heading1Char"/>
    <w:uiPriority w:val="9"/>
    <w:qFormat/>
    <w:rsid w:val="006242E5"/>
    <w:pPr>
      <w:pageBreakBefore/>
      <w:numPr>
        <w:numId w:val="7"/>
      </w:numPr>
      <w:pBdr>
        <w:bottom w:val="single" w:sz="8" w:space="1" w:color="000080"/>
      </w:pBdr>
      <w:spacing w:after="576"/>
      <w:ind w:left="357" w:hanging="357"/>
      <w:jc w:val="right"/>
      <w:outlineLvl w:val="0"/>
    </w:pPr>
    <w:rPr>
      <w:rFonts w:cstheme="minorHAnsi"/>
      <w:b/>
      <w:color w:val="000080"/>
      <w:sz w:val="40"/>
      <w:szCs w:val="40"/>
    </w:rPr>
  </w:style>
  <w:style w:type="paragraph" w:styleId="Heading2">
    <w:name w:val="heading 2"/>
    <w:basedOn w:val="Normal"/>
    <w:next w:val="Normal"/>
    <w:link w:val="Heading2Char"/>
    <w:qFormat/>
    <w:rsid w:val="00093B83"/>
    <w:pPr>
      <w:keepNext/>
      <w:outlineLvl w:val="1"/>
    </w:pPr>
    <w:rPr>
      <w:rFonts w:cstheme="minorHAnsi"/>
      <w:b/>
      <w:color w:val="000080"/>
      <w:sz w:val="28"/>
    </w:rPr>
  </w:style>
  <w:style w:type="paragraph" w:styleId="Heading3">
    <w:name w:val="heading 3"/>
    <w:basedOn w:val="Normal"/>
    <w:next w:val="Normal"/>
    <w:qFormat/>
    <w:rsid w:val="00093B83"/>
    <w:pPr>
      <w:keepNext/>
      <w:outlineLvl w:val="2"/>
    </w:pPr>
    <w:rPr>
      <w:rFonts w:cstheme="minorHAnsi"/>
      <w:b/>
      <w:color w:val="000080"/>
    </w:rPr>
  </w:style>
  <w:style w:type="paragraph" w:styleId="Heading4">
    <w:name w:val="heading 4"/>
    <w:basedOn w:val="Normal"/>
    <w:next w:val="Normal"/>
    <w:qFormat/>
    <w:rsid w:val="00093B83"/>
    <w:pPr>
      <w:keepNext/>
      <w:outlineLvl w:val="3"/>
    </w:pPr>
    <w:rPr>
      <w:bCs/>
      <w:i/>
      <w:color w:val="000080"/>
      <w:szCs w:val="28"/>
    </w:rPr>
  </w:style>
  <w:style w:type="paragraph" w:styleId="Heading5">
    <w:name w:val="heading 5"/>
    <w:basedOn w:val="Normal"/>
    <w:next w:val="Normal"/>
    <w:link w:val="Heading5Char"/>
    <w:unhideWhenUsed/>
    <w:qFormat/>
    <w:rsid w:val="00A12411"/>
    <w:pPr>
      <w:keepNext/>
      <w:keepLines/>
      <w:spacing w:after="0"/>
      <w:outlineLvl w:val="4"/>
    </w:pPr>
    <w:rPr>
      <w:rFonts w:eastAsiaTheme="majorEastAsia" w:cstheme="majorBidi"/>
      <w:i/>
      <w:color w:val="000080"/>
    </w:rPr>
  </w:style>
  <w:style w:type="paragraph" w:styleId="Heading6">
    <w:name w:val="heading 6"/>
    <w:basedOn w:val="Normal"/>
    <w:next w:val="Normal"/>
    <w:link w:val="Heading6Char"/>
    <w:semiHidden/>
    <w:unhideWhenUsed/>
    <w:qFormat/>
    <w:rsid w:val="00661BAB"/>
    <w:pPr>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2E5"/>
    <w:rPr>
      <w:rFonts w:cstheme="minorHAnsi"/>
      <w:b/>
      <w:color w:val="000080"/>
      <w:sz w:val="40"/>
      <w:szCs w:val="40"/>
    </w:rPr>
  </w:style>
  <w:style w:type="character" w:customStyle="1" w:styleId="Heading2Char">
    <w:name w:val="Heading 2 Char"/>
    <w:basedOn w:val="DefaultParagraphFont"/>
    <w:link w:val="Heading2"/>
    <w:rsid w:val="00093B83"/>
    <w:rPr>
      <w:rFonts w:cstheme="minorHAnsi"/>
      <w:b/>
      <w:color w:val="000080"/>
      <w:sz w:val="28"/>
    </w:rPr>
  </w:style>
  <w:style w:type="character" w:customStyle="1" w:styleId="Heading6Char">
    <w:name w:val="Heading 6 Char"/>
    <w:basedOn w:val="DefaultParagraphFont"/>
    <w:link w:val="Heading6"/>
    <w:semiHidden/>
    <w:rsid w:val="00661BAB"/>
    <w:rPr>
      <w:rFonts w:asciiTheme="majorHAnsi" w:eastAsiaTheme="majorEastAsia" w:hAnsiTheme="majorHAnsi" w:cstheme="majorBidi"/>
      <w:color w:val="243F60" w:themeColor="accent1" w:themeShade="7F"/>
      <w:sz w:val="24"/>
      <w:szCs w:val="24"/>
      <w:lang w:eastAsia="en-US"/>
    </w:rPr>
  </w:style>
  <w:style w:type="paragraph" w:styleId="Footer">
    <w:name w:val="footer"/>
    <w:basedOn w:val="Normal"/>
    <w:link w:val="FooterChar"/>
    <w:uiPriority w:val="99"/>
    <w:rsid w:val="00B742BC"/>
    <w:pPr>
      <w:tabs>
        <w:tab w:val="center" w:pos="4153"/>
        <w:tab w:val="right" w:pos="9027"/>
      </w:tabs>
      <w:spacing w:after="0"/>
      <w:jc w:val="left"/>
    </w:pPr>
    <w:rPr>
      <w:b/>
      <w:color w:val="C0504D"/>
      <w:sz w:val="20"/>
      <w:szCs w:val="20"/>
      <w:lang w:val="en-US"/>
    </w:rPr>
  </w:style>
  <w:style w:type="character" w:customStyle="1" w:styleId="FooterChar">
    <w:name w:val="Footer Char"/>
    <w:basedOn w:val="DefaultParagraphFont"/>
    <w:link w:val="Footer"/>
    <w:uiPriority w:val="99"/>
    <w:rsid w:val="00B742BC"/>
    <w:rPr>
      <w:b/>
      <w:color w:val="C0504D"/>
      <w:sz w:val="20"/>
      <w:szCs w:val="20"/>
      <w:lang w:val="en-US"/>
    </w:rPr>
  </w:style>
  <w:style w:type="character" w:styleId="Hyperlink">
    <w:name w:val="Hyperlink"/>
    <w:basedOn w:val="DefaultParagraphFont"/>
    <w:uiPriority w:val="99"/>
    <w:rsid w:val="00CE69E7"/>
    <w:rPr>
      <w:color w:val="0000FF"/>
      <w:u w:val="single"/>
    </w:rPr>
  </w:style>
  <w:style w:type="table" w:styleId="TableGrid">
    <w:name w:val="Table Grid"/>
    <w:aliases w:val="CIRES table"/>
    <w:basedOn w:val="TableNormal"/>
    <w:uiPriority w:val="59"/>
    <w:rsid w:val="00EC155B"/>
    <w:rPr>
      <w:sz w:val="22"/>
    </w:rPr>
    <w:tblPr>
      <w:tblBorders>
        <w:top w:val="single" w:sz="4" w:space="0" w:color="auto"/>
        <w:bottom w:val="single" w:sz="4" w:space="0" w:color="auto"/>
        <w:insideH w:val="single" w:sz="4" w:space="0" w:color="auto"/>
        <w:insideV w:val="single" w:sz="4" w:space="0" w:color="auto"/>
      </w:tblBorders>
    </w:tblPr>
    <w:tcPr>
      <w:vAlign w:val="center"/>
    </w:tcPr>
    <w:tblStylePr w:type="firstRow">
      <w:pPr>
        <w:wordWrap/>
        <w:jc w:val="left"/>
      </w:pPr>
      <w:rPr>
        <w:rFonts w:ascii="Calibri" w:hAnsi="Calibri"/>
        <w:b w:val="0"/>
        <w:sz w:val="22"/>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table" w:styleId="LightShading-Accent2">
    <w:name w:val="Light Shading Accent 2"/>
    <w:basedOn w:val="TableNormal"/>
    <w:uiPriority w:val="60"/>
    <w:rsid w:val="00D42A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Dotpoints">
    <w:name w:val="Dot points"/>
    <w:basedOn w:val="Normal"/>
    <w:link w:val="DotpointsChar"/>
    <w:uiPriority w:val="2"/>
    <w:qFormat/>
    <w:rsid w:val="0038036B"/>
    <w:pPr>
      <w:numPr>
        <w:numId w:val="23"/>
      </w:numPr>
      <w:contextualSpacing/>
    </w:pPr>
    <w:rPr>
      <w:rFonts w:asciiTheme="minorHAnsi" w:hAnsiTheme="minorHAnsi" w:cs="Meta-Normal"/>
      <w:szCs w:val="32"/>
    </w:rPr>
  </w:style>
  <w:style w:type="character" w:customStyle="1" w:styleId="DotpointsChar">
    <w:name w:val="Dot points Char"/>
    <w:basedOn w:val="DefaultParagraphFont"/>
    <w:link w:val="Dotpoints"/>
    <w:uiPriority w:val="2"/>
    <w:rsid w:val="00C03A22"/>
    <w:rPr>
      <w:rFonts w:asciiTheme="minorHAnsi" w:hAnsiTheme="minorHAnsi" w:cs="Meta-Normal"/>
      <w:szCs w:val="32"/>
    </w:rPr>
  </w:style>
  <w:style w:type="paragraph" w:customStyle="1" w:styleId="Reference">
    <w:name w:val="Reference"/>
    <w:basedOn w:val="Normal"/>
    <w:uiPriority w:val="3"/>
    <w:qFormat/>
    <w:rsid w:val="00CD5A74"/>
    <w:pPr>
      <w:ind w:left="851" w:hanging="851"/>
      <w:contextualSpacing/>
    </w:pPr>
    <w:rPr>
      <w:noProof/>
    </w:rPr>
  </w:style>
  <w:style w:type="character" w:customStyle="1" w:styleId="TOC1Char">
    <w:name w:val="TOC 1 Char"/>
    <w:basedOn w:val="DefaultParagraphFont"/>
    <w:link w:val="TOC1"/>
    <w:uiPriority w:val="39"/>
    <w:rsid w:val="006859ED"/>
    <w:rPr>
      <w:b/>
      <w:noProof/>
      <w:sz w:val="24"/>
    </w:rPr>
  </w:style>
  <w:style w:type="paragraph" w:styleId="TOC1">
    <w:name w:val="toc 1"/>
    <w:basedOn w:val="Normal"/>
    <w:next w:val="Normal"/>
    <w:link w:val="TOC1Char"/>
    <w:autoRedefine/>
    <w:uiPriority w:val="39"/>
    <w:unhideWhenUsed/>
    <w:rsid w:val="006859ED"/>
    <w:pPr>
      <w:tabs>
        <w:tab w:val="left" w:pos="440"/>
        <w:tab w:val="right" w:leader="dot" w:pos="9017"/>
      </w:tabs>
      <w:spacing w:after="100"/>
    </w:pPr>
    <w:rPr>
      <w:b/>
      <w:noProof/>
    </w:rPr>
  </w:style>
  <w:style w:type="character" w:styleId="PageNumber">
    <w:name w:val="page number"/>
    <w:uiPriority w:val="3"/>
    <w:rsid w:val="00D34B38"/>
  </w:style>
  <w:style w:type="character" w:styleId="FollowedHyperlink">
    <w:name w:val="FollowedHyperlink"/>
    <w:basedOn w:val="DefaultParagraphFont"/>
    <w:rsid w:val="00B10C4C"/>
    <w:rPr>
      <w:color w:val="606420"/>
      <w:u w:val="single"/>
    </w:rPr>
  </w:style>
  <w:style w:type="paragraph" w:styleId="FootnoteText">
    <w:name w:val="footnote text"/>
    <w:basedOn w:val="Normal"/>
    <w:link w:val="FootnoteTextChar"/>
    <w:uiPriority w:val="3"/>
    <w:qFormat/>
    <w:rsid w:val="004A1CC8"/>
    <w:rPr>
      <w:sz w:val="20"/>
      <w:szCs w:val="20"/>
    </w:rPr>
  </w:style>
  <w:style w:type="character" w:customStyle="1" w:styleId="FootnoteTextChar">
    <w:name w:val="Footnote Text Char"/>
    <w:basedOn w:val="DefaultParagraphFont"/>
    <w:link w:val="FootnoteText"/>
    <w:uiPriority w:val="3"/>
    <w:rsid w:val="000478EF"/>
    <w:rPr>
      <w:sz w:val="20"/>
      <w:szCs w:val="20"/>
    </w:rPr>
  </w:style>
  <w:style w:type="character" w:styleId="FootnoteReference">
    <w:name w:val="footnote reference"/>
    <w:basedOn w:val="DefaultParagraphFont"/>
    <w:uiPriority w:val="99"/>
    <w:semiHidden/>
    <w:rsid w:val="004A1CC8"/>
    <w:rPr>
      <w:vertAlign w:val="superscript"/>
    </w:rPr>
  </w:style>
  <w:style w:type="character" w:styleId="CommentReference">
    <w:name w:val="annotation reference"/>
    <w:basedOn w:val="DefaultParagraphFont"/>
    <w:semiHidden/>
    <w:rsid w:val="00F72CB9"/>
    <w:rPr>
      <w:sz w:val="16"/>
      <w:szCs w:val="16"/>
    </w:rPr>
  </w:style>
  <w:style w:type="paragraph" w:styleId="CommentText">
    <w:name w:val="annotation text"/>
    <w:basedOn w:val="Normal"/>
    <w:semiHidden/>
    <w:rsid w:val="00F72CB9"/>
    <w:rPr>
      <w:sz w:val="20"/>
      <w:szCs w:val="20"/>
    </w:rPr>
  </w:style>
  <w:style w:type="paragraph" w:styleId="CommentSubject">
    <w:name w:val="annotation subject"/>
    <w:basedOn w:val="CommentText"/>
    <w:next w:val="CommentText"/>
    <w:semiHidden/>
    <w:rsid w:val="00F72CB9"/>
    <w:rPr>
      <w:b/>
      <w:bCs/>
    </w:rPr>
  </w:style>
  <w:style w:type="paragraph" w:styleId="BalloonText">
    <w:name w:val="Balloon Text"/>
    <w:basedOn w:val="Normal"/>
    <w:semiHidden/>
    <w:rsid w:val="00F72CB9"/>
    <w:rPr>
      <w:rFonts w:ascii="Tahoma" w:hAnsi="Tahoma"/>
      <w:sz w:val="16"/>
      <w:szCs w:val="16"/>
    </w:rPr>
  </w:style>
  <w:style w:type="paragraph" w:customStyle="1" w:styleId="Tablegriddotpoints">
    <w:name w:val="Table grid dot points"/>
    <w:basedOn w:val="Normal"/>
    <w:link w:val="TablegriddotpointsChar"/>
    <w:uiPriority w:val="4"/>
    <w:qFormat/>
    <w:rsid w:val="004E45F6"/>
    <w:pPr>
      <w:numPr>
        <w:numId w:val="4"/>
      </w:numPr>
      <w:tabs>
        <w:tab w:val="clear" w:pos="567"/>
      </w:tabs>
      <w:spacing w:after="0"/>
      <w:ind w:left="568" w:hanging="284"/>
    </w:pPr>
    <w:rPr>
      <w:sz w:val="22"/>
    </w:rPr>
  </w:style>
  <w:style w:type="paragraph" w:customStyle="1" w:styleId="FrontPagesub-heading">
    <w:name w:val="Front Page sub-heading"/>
    <w:basedOn w:val="Normal"/>
    <w:next w:val="Normal"/>
    <w:link w:val="FrontPagesub-headingChar"/>
    <w:uiPriority w:val="1"/>
    <w:rsid w:val="00B742BC"/>
    <w:pPr>
      <w:spacing w:after="0"/>
      <w:jc w:val="right"/>
    </w:pPr>
    <w:rPr>
      <w:color w:val="EEECE1" w:themeColor="background2"/>
      <w:sz w:val="44"/>
    </w:rPr>
  </w:style>
  <w:style w:type="paragraph" w:styleId="TableofFigures">
    <w:name w:val="table of figures"/>
    <w:basedOn w:val="Normal"/>
    <w:next w:val="Normal"/>
    <w:uiPriority w:val="99"/>
    <w:unhideWhenUsed/>
    <w:rsid w:val="00CE69E7"/>
    <w:pPr>
      <w:tabs>
        <w:tab w:val="right" w:leader="dot" w:pos="9015"/>
      </w:tabs>
      <w:spacing w:after="0"/>
      <w:ind w:left="1440" w:right="567" w:hanging="1440"/>
    </w:pPr>
    <w:rPr>
      <w:noProof/>
    </w:rPr>
  </w:style>
  <w:style w:type="table" w:styleId="LightShading-Accent1">
    <w:name w:val="Light Shading Accent 1"/>
    <w:basedOn w:val="TableNormal"/>
    <w:uiPriority w:val="60"/>
    <w:rsid w:val="000D5998"/>
    <w:rPr>
      <w:rFonts w:asciiTheme="minorHAnsi" w:eastAsiaTheme="minorEastAsia" w:hAnsiTheme="minorHAnsi" w:cstheme="minorBidi"/>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0D59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List-Accent2">
    <w:name w:val="Colorful List Accent 2"/>
    <w:basedOn w:val="TableNormal"/>
    <w:uiPriority w:val="72"/>
    <w:rsid w:val="00915CF0"/>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NoSpacing">
    <w:name w:val="No Spacing"/>
    <w:link w:val="NoSpacingChar"/>
    <w:qFormat/>
    <w:rsid w:val="00176F02"/>
    <w:rPr>
      <w:rFonts w:asciiTheme="minorHAnsi" w:eastAsiaTheme="minorEastAsia" w:hAnsiTheme="minorHAnsi" w:cstheme="minorBidi"/>
      <w:lang w:val="en-US"/>
    </w:rPr>
  </w:style>
  <w:style w:type="character" w:customStyle="1" w:styleId="NoSpacingChar">
    <w:name w:val="No Spacing Char"/>
    <w:basedOn w:val="DefaultParagraphFont"/>
    <w:link w:val="NoSpacing"/>
    <w:rsid w:val="00847565"/>
    <w:rPr>
      <w:rFonts w:asciiTheme="minorHAnsi" w:eastAsiaTheme="minorEastAsia" w:hAnsiTheme="minorHAnsi" w:cstheme="minorBidi"/>
      <w:lang w:val="en-US"/>
    </w:rPr>
  </w:style>
  <w:style w:type="table" w:styleId="ColorfulList-Accent1">
    <w:name w:val="Colorful List Accent 1"/>
    <w:basedOn w:val="TableNormal"/>
    <w:uiPriority w:val="72"/>
    <w:rsid w:val="00914AF1"/>
    <w:rPr>
      <w:rFonts w:eastAsiaTheme="minorHAnsi"/>
      <w:color w:val="000000" w:themeColor="text1"/>
      <w:lang w:val="en-US" w:bidi="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Caption">
    <w:name w:val="caption"/>
    <w:basedOn w:val="Normal"/>
    <w:next w:val="Normal"/>
    <w:uiPriority w:val="3"/>
    <w:qFormat/>
    <w:rsid w:val="00897CCE"/>
    <w:pPr>
      <w:tabs>
        <w:tab w:val="left" w:pos="1440"/>
      </w:tabs>
      <w:ind w:left="1440" w:hanging="1440"/>
    </w:pPr>
    <w:rPr>
      <w:b/>
      <w:color w:val="000080"/>
    </w:rPr>
  </w:style>
  <w:style w:type="paragraph" w:customStyle="1" w:styleId="Tablegridheading">
    <w:name w:val="Table grid heading"/>
    <w:basedOn w:val="Normal"/>
    <w:link w:val="TablegridheadingChar"/>
    <w:uiPriority w:val="4"/>
    <w:qFormat/>
    <w:rsid w:val="00027AEA"/>
    <w:pPr>
      <w:spacing w:before="60" w:after="60"/>
      <w:jc w:val="left"/>
    </w:pPr>
    <w:rPr>
      <w:b/>
      <w:bCs/>
      <w:sz w:val="22"/>
      <w:szCs w:val="20"/>
    </w:rPr>
  </w:style>
  <w:style w:type="table" w:styleId="ColorfulShading-Accent5">
    <w:name w:val="Colorful Shading Accent 5"/>
    <w:basedOn w:val="TableNormal"/>
    <w:uiPriority w:val="71"/>
    <w:rsid w:val="00D30FE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1">
    <w:name w:val="Medium Shading 1 Accent 1"/>
    <w:basedOn w:val="TableNormal"/>
    <w:uiPriority w:val="63"/>
    <w:rsid w:val="00D30FE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A9375D"/>
    <w:pPr>
      <w:keepLines/>
      <w:numPr>
        <w:numId w:val="0"/>
      </w:numPr>
      <w:spacing w:before="480" w:line="276" w:lineRule="auto"/>
      <w:jc w:val="left"/>
      <w:outlineLvl w:val="9"/>
    </w:pPr>
    <w:rPr>
      <w:rFonts w:eastAsiaTheme="majorEastAsia" w:cstheme="majorBidi"/>
      <w:bCs/>
      <w:color w:val="365F91" w:themeColor="accent1" w:themeShade="BF"/>
      <w:sz w:val="28"/>
      <w:lang w:val="en-US" w:eastAsia="ja-JP"/>
    </w:rPr>
  </w:style>
  <w:style w:type="paragraph" w:styleId="TOC2">
    <w:name w:val="toc 2"/>
    <w:basedOn w:val="Normal"/>
    <w:next w:val="Normal"/>
    <w:autoRedefine/>
    <w:uiPriority w:val="39"/>
    <w:unhideWhenUsed/>
    <w:rsid w:val="004948F9"/>
    <w:pPr>
      <w:tabs>
        <w:tab w:val="right" w:leader="dot" w:pos="9017"/>
      </w:tabs>
      <w:spacing w:after="100"/>
      <w:ind w:left="442"/>
    </w:pPr>
  </w:style>
  <w:style w:type="paragraph" w:styleId="TOC3">
    <w:name w:val="toc 3"/>
    <w:basedOn w:val="Normal"/>
    <w:next w:val="Normal"/>
    <w:autoRedefine/>
    <w:uiPriority w:val="39"/>
    <w:unhideWhenUsed/>
    <w:rsid w:val="00323127"/>
    <w:pPr>
      <w:tabs>
        <w:tab w:val="right" w:leader="dot" w:pos="9015"/>
      </w:tabs>
      <w:spacing w:after="100"/>
      <w:ind w:left="720"/>
    </w:pPr>
    <w:rPr>
      <w:noProof/>
    </w:rPr>
  </w:style>
  <w:style w:type="paragraph" w:styleId="TOC4">
    <w:name w:val="toc 4"/>
    <w:basedOn w:val="Normal"/>
    <w:next w:val="Normal"/>
    <w:autoRedefine/>
    <w:semiHidden/>
    <w:unhideWhenUsed/>
    <w:rsid w:val="003056B4"/>
    <w:pPr>
      <w:spacing w:after="100"/>
      <w:ind w:left="660"/>
    </w:pPr>
  </w:style>
  <w:style w:type="character" w:customStyle="1" w:styleId="FrontPagesub-headingChar">
    <w:name w:val="Front Page sub-heading Char"/>
    <w:basedOn w:val="DefaultParagraphFont"/>
    <w:link w:val="FrontPagesub-heading"/>
    <w:uiPriority w:val="1"/>
    <w:rsid w:val="00B742BC"/>
    <w:rPr>
      <w:color w:val="EEECE1" w:themeColor="background2"/>
      <w:sz w:val="44"/>
    </w:rPr>
  </w:style>
  <w:style w:type="paragraph" w:customStyle="1" w:styleId="FrontPagesub-heading2">
    <w:name w:val="Front Page sub-heading 2"/>
    <w:basedOn w:val="Normal"/>
    <w:link w:val="FrontPagesub-heading2Char"/>
    <w:uiPriority w:val="1"/>
    <w:rsid w:val="00B742BC"/>
    <w:pPr>
      <w:spacing w:after="0"/>
      <w:jc w:val="center"/>
    </w:pPr>
    <w:rPr>
      <w:rFonts w:asciiTheme="minorHAnsi" w:hAnsiTheme="minorHAnsi" w:cstheme="minorHAnsi"/>
      <w:color w:val="000080"/>
      <w:sz w:val="28"/>
      <w:szCs w:val="28"/>
    </w:rPr>
  </w:style>
  <w:style w:type="character" w:customStyle="1" w:styleId="FrontPagesub-heading2Char">
    <w:name w:val="Front Page sub-heading 2 Char"/>
    <w:basedOn w:val="DefaultParagraphFont"/>
    <w:link w:val="FrontPagesub-heading2"/>
    <w:uiPriority w:val="1"/>
    <w:rsid w:val="00B742BC"/>
    <w:rPr>
      <w:rFonts w:asciiTheme="minorHAnsi" w:hAnsiTheme="minorHAnsi" w:cstheme="minorHAnsi"/>
      <w:color w:val="000080"/>
      <w:sz w:val="28"/>
      <w:szCs w:val="28"/>
    </w:rPr>
  </w:style>
  <w:style w:type="paragraph" w:customStyle="1" w:styleId="Numberedlist">
    <w:name w:val="Numbered list"/>
    <w:basedOn w:val="Normal"/>
    <w:link w:val="NumberedlistChar"/>
    <w:uiPriority w:val="2"/>
    <w:qFormat/>
    <w:rsid w:val="003F17C1"/>
    <w:pPr>
      <w:numPr>
        <w:numId w:val="17"/>
      </w:numPr>
      <w:ind w:left="714" w:hanging="357"/>
      <w:contextualSpacing/>
    </w:pPr>
    <w:rPr>
      <w:rFonts w:asciiTheme="minorHAnsi" w:hAnsiTheme="minorHAnsi" w:cs="Meta-Normal"/>
      <w:szCs w:val="32"/>
    </w:rPr>
  </w:style>
  <w:style w:type="character" w:customStyle="1" w:styleId="NumberedlistChar">
    <w:name w:val="Numbered list Char"/>
    <w:basedOn w:val="DefaultParagraphFont"/>
    <w:link w:val="Numberedlist"/>
    <w:uiPriority w:val="2"/>
    <w:rsid w:val="00C03A22"/>
    <w:rPr>
      <w:rFonts w:asciiTheme="minorHAnsi" w:hAnsiTheme="minorHAnsi" w:cs="Meta-Normal"/>
      <w:szCs w:val="32"/>
    </w:rPr>
  </w:style>
  <w:style w:type="paragraph" w:customStyle="1" w:styleId="FrontPagereporttitle">
    <w:name w:val="Front Page report title"/>
    <w:basedOn w:val="Normal"/>
    <w:link w:val="FrontPagereporttitleChar"/>
    <w:uiPriority w:val="1"/>
    <w:rsid w:val="00B742BC"/>
    <w:pPr>
      <w:spacing w:after="0"/>
      <w:jc w:val="center"/>
    </w:pPr>
    <w:rPr>
      <w:rFonts w:asciiTheme="minorHAnsi" w:eastAsiaTheme="majorEastAsia" w:hAnsiTheme="minorHAnsi" w:cstheme="majorBidi"/>
      <w:noProof/>
      <w:color w:val="C0504D"/>
      <w:sz w:val="72"/>
      <w:szCs w:val="72"/>
      <w:lang w:eastAsia="en-AU"/>
    </w:rPr>
  </w:style>
  <w:style w:type="character" w:customStyle="1" w:styleId="FrontPagereporttitleChar">
    <w:name w:val="Front Page report title Char"/>
    <w:basedOn w:val="DefaultParagraphFont"/>
    <w:link w:val="FrontPagereporttitle"/>
    <w:uiPriority w:val="1"/>
    <w:rsid w:val="00B742BC"/>
    <w:rPr>
      <w:rFonts w:asciiTheme="minorHAnsi" w:eastAsiaTheme="majorEastAsia" w:hAnsiTheme="minorHAnsi" w:cstheme="majorBidi"/>
      <w:noProof/>
      <w:color w:val="C0504D"/>
      <w:sz w:val="72"/>
      <w:szCs w:val="72"/>
      <w:lang w:eastAsia="en-AU"/>
    </w:rPr>
  </w:style>
  <w:style w:type="character" w:customStyle="1" w:styleId="BoldText">
    <w:name w:val="Bold Text"/>
    <w:basedOn w:val="DefaultParagraphFont"/>
    <w:uiPriority w:val="1"/>
    <w:qFormat/>
    <w:rsid w:val="00D260BB"/>
    <w:rPr>
      <w:b/>
    </w:rPr>
  </w:style>
  <w:style w:type="character" w:customStyle="1" w:styleId="Italics">
    <w:name w:val="Italics"/>
    <w:basedOn w:val="DefaultParagraphFont"/>
    <w:uiPriority w:val="1"/>
    <w:qFormat/>
    <w:rsid w:val="002377E0"/>
    <w:rPr>
      <w:i/>
      <w:iCs/>
    </w:rPr>
  </w:style>
  <w:style w:type="paragraph" w:styleId="Quote">
    <w:name w:val="Quote"/>
    <w:basedOn w:val="Normal"/>
    <w:next w:val="Normal"/>
    <w:link w:val="QuoteChar"/>
    <w:uiPriority w:val="3"/>
    <w:qFormat/>
    <w:rsid w:val="00247BEC"/>
    <w:pPr>
      <w:ind w:left="567" w:right="567"/>
    </w:pPr>
    <w:rPr>
      <w:i/>
      <w:sz w:val="22"/>
    </w:rPr>
  </w:style>
  <w:style w:type="character" w:customStyle="1" w:styleId="QuoteChar">
    <w:name w:val="Quote Char"/>
    <w:basedOn w:val="DefaultParagraphFont"/>
    <w:link w:val="Quote"/>
    <w:uiPriority w:val="3"/>
    <w:rsid w:val="00C03A22"/>
    <w:rPr>
      <w:i/>
      <w:sz w:val="22"/>
    </w:rPr>
  </w:style>
  <w:style w:type="paragraph" w:customStyle="1" w:styleId="InsideCoverHeading">
    <w:name w:val="Inside Cover Heading"/>
    <w:basedOn w:val="Normal"/>
    <w:next w:val="Normal"/>
    <w:uiPriority w:val="1"/>
    <w:rsid w:val="007F21D7"/>
    <w:rPr>
      <w:b/>
      <w:color w:val="C0504D"/>
      <w:sz w:val="26"/>
    </w:rPr>
  </w:style>
  <w:style w:type="paragraph" w:customStyle="1" w:styleId="HeadingTOC">
    <w:name w:val="Heading TOC"/>
    <w:basedOn w:val="Heading2"/>
    <w:next w:val="Normal"/>
    <w:link w:val="HeadingTOCChar"/>
    <w:qFormat/>
    <w:rsid w:val="00A12411"/>
    <w:pPr>
      <w:jc w:val="center"/>
    </w:pPr>
    <w:rPr>
      <w:sz w:val="36"/>
    </w:rPr>
  </w:style>
  <w:style w:type="character" w:customStyle="1" w:styleId="HeadingTOCChar">
    <w:name w:val="Heading TOC Char"/>
    <w:basedOn w:val="Heading2Char"/>
    <w:link w:val="HeadingTOC"/>
    <w:rsid w:val="00847565"/>
    <w:rPr>
      <w:rFonts w:cstheme="minorHAnsi"/>
      <w:b/>
      <w:color w:val="000080"/>
      <w:sz w:val="36"/>
    </w:rPr>
  </w:style>
  <w:style w:type="paragraph" w:customStyle="1" w:styleId="Datasource">
    <w:name w:val="Data source"/>
    <w:basedOn w:val="Normal"/>
    <w:next w:val="Normal"/>
    <w:uiPriority w:val="3"/>
    <w:qFormat/>
    <w:rsid w:val="000329C1"/>
    <w:pPr>
      <w:tabs>
        <w:tab w:val="left" w:pos="720"/>
      </w:tabs>
      <w:spacing w:before="60"/>
      <w:ind w:left="720" w:hanging="720"/>
    </w:pPr>
    <w:rPr>
      <w:sz w:val="20"/>
    </w:rPr>
  </w:style>
  <w:style w:type="paragraph" w:styleId="Header">
    <w:name w:val="header"/>
    <w:basedOn w:val="Normal"/>
    <w:link w:val="HeaderChar"/>
    <w:uiPriority w:val="99"/>
    <w:unhideWhenUsed/>
    <w:rsid w:val="00D46B67"/>
    <w:pPr>
      <w:tabs>
        <w:tab w:val="center" w:pos="4513"/>
        <w:tab w:val="right" w:pos="9026"/>
      </w:tabs>
    </w:pPr>
  </w:style>
  <w:style w:type="character" w:customStyle="1" w:styleId="HeaderChar">
    <w:name w:val="Header Char"/>
    <w:basedOn w:val="DefaultParagraphFont"/>
    <w:link w:val="Header"/>
    <w:uiPriority w:val="99"/>
    <w:rsid w:val="00D46B67"/>
    <w:rPr>
      <w:sz w:val="24"/>
    </w:rPr>
  </w:style>
  <w:style w:type="table" w:customStyle="1" w:styleId="Calendar1">
    <w:name w:val="Calendar 1"/>
    <w:basedOn w:val="TableNormal"/>
    <w:uiPriority w:val="99"/>
    <w:qFormat/>
    <w:rsid w:val="00A60760"/>
    <w:rPr>
      <w:rFonts w:asciiTheme="minorHAnsi" w:eastAsiaTheme="minorEastAsia" w:hAnsiTheme="minorHAnsi" w:cstheme="minorBidi"/>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12475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ablegridheadingChar">
    <w:name w:val="Table grid heading Char"/>
    <w:basedOn w:val="DefaultParagraphFont"/>
    <w:link w:val="Tablegridheading"/>
    <w:uiPriority w:val="4"/>
    <w:rsid w:val="00C03A22"/>
    <w:rPr>
      <w:b/>
      <w:bCs/>
      <w:sz w:val="22"/>
      <w:szCs w:val="20"/>
    </w:rPr>
  </w:style>
  <w:style w:type="paragraph" w:customStyle="1" w:styleId="Tablegridheading2">
    <w:name w:val="Table grid heading 2"/>
    <w:basedOn w:val="Normal"/>
    <w:link w:val="Tablegridheading2Char"/>
    <w:uiPriority w:val="4"/>
    <w:qFormat/>
    <w:rsid w:val="00027AEA"/>
    <w:pPr>
      <w:spacing w:before="60" w:after="60"/>
      <w:jc w:val="left"/>
    </w:pPr>
    <w:rPr>
      <w:bCs/>
      <w:sz w:val="22"/>
    </w:rPr>
  </w:style>
  <w:style w:type="paragraph" w:customStyle="1" w:styleId="Tablegridtextdecimalaligned">
    <w:name w:val="Table grid text decimal aligned"/>
    <w:basedOn w:val="Normal"/>
    <w:link w:val="TablegridtextdecimalalignedChar"/>
    <w:uiPriority w:val="4"/>
    <w:qFormat/>
    <w:rsid w:val="004E45F6"/>
    <w:pPr>
      <w:tabs>
        <w:tab w:val="decimal" w:pos="284"/>
      </w:tabs>
      <w:spacing w:after="0"/>
      <w:jc w:val="left"/>
    </w:pPr>
    <w:rPr>
      <w:bCs/>
      <w:sz w:val="22"/>
      <w:szCs w:val="20"/>
    </w:rPr>
  </w:style>
  <w:style w:type="character" w:customStyle="1" w:styleId="Tablegridheading2Char">
    <w:name w:val="Table grid heading 2 Char"/>
    <w:basedOn w:val="DefaultParagraphFont"/>
    <w:link w:val="Tablegridheading2"/>
    <w:uiPriority w:val="4"/>
    <w:rsid w:val="00C03A22"/>
    <w:rPr>
      <w:bCs/>
      <w:sz w:val="22"/>
    </w:rPr>
  </w:style>
  <w:style w:type="character" w:customStyle="1" w:styleId="TablegriddotpointsChar">
    <w:name w:val="Table grid dot points Char"/>
    <w:basedOn w:val="DefaultParagraphFont"/>
    <w:link w:val="Tablegriddotpoints"/>
    <w:uiPriority w:val="4"/>
    <w:rsid w:val="00C03A22"/>
    <w:rPr>
      <w:sz w:val="22"/>
    </w:rPr>
  </w:style>
  <w:style w:type="character" w:customStyle="1" w:styleId="TablegridtextdecimalalignedChar">
    <w:name w:val="Table grid text decimal aligned Char"/>
    <w:basedOn w:val="DefaultParagraphFont"/>
    <w:link w:val="Tablegridtextdecimalaligned"/>
    <w:uiPriority w:val="4"/>
    <w:rsid w:val="00C03A22"/>
    <w:rPr>
      <w:bCs/>
      <w:sz w:val="22"/>
      <w:szCs w:val="20"/>
    </w:rPr>
  </w:style>
  <w:style w:type="table" w:styleId="MediumShading2-Accent2">
    <w:name w:val="Medium Shading 2 Accent 2"/>
    <w:basedOn w:val="TableNormal"/>
    <w:uiPriority w:val="64"/>
    <w:rsid w:val="00D42A0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ablegridtext">
    <w:name w:val="Table grid text"/>
    <w:basedOn w:val="Normal"/>
    <w:link w:val="TablegridtextChar"/>
    <w:uiPriority w:val="4"/>
    <w:qFormat/>
    <w:rsid w:val="004E45F6"/>
    <w:pPr>
      <w:spacing w:after="0"/>
    </w:pPr>
    <w:rPr>
      <w:sz w:val="22"/>
    </w:rPr>
  </w:style>
  <w:style w:type="character" w:customStyle="1" w:styleId="TablegridtextChar">
    <w:name w:val="Table grid text Char"/>
    <w:basedOn w:val="DefaultParagraphFont"/>
    <w:link w:val="Tablegridtext"/>
    <w:uiPriority w:val="4"/>
    <w:rsid w:val="00C03A22"/>
    <w:rPr>
      <w:sz w:val="22"/>
    </w:rPr>
  </w:style>
  <w:style w:type="character" w:customStyle="1" w:styleId="Heading5Char">
    <w:name w:val="Heading 5 Char"/>
    <w:basedOn w:val="DefaultParagraphFont"/>
    <w:link w:val="Heading5"/>
    <w:rsid w:val="00A12411"/>
    <w:rPr>
      <w:rFonts w:eastAsiaTheme="majorEastAsia" w:cstheme="majorBidi"/>
      <w:i/>
      <w:color w:val="000080"/>
    </w:rPr>
  </w:style>
  <w:style w:type="paragraph" w:customStyle="1" w:styleId="Dotpointswithspacing">
    <w:name w:val="Dot points with spacing"/>
    <w:basedOn w:val="Normal"/>
    <w:link w:val="DotpointswithspacingChar"/>
    <w:uiPriority w:val="2"/>
    <w:qFormat/>
    <w:rsid w:val="0038036B"/>
    <w:pPr>
      <w:numPr>
        <w:numId w:val="26"/>
      </w:numPr>
      <w:ind w:left="714" w:hanging="357"/>
    </w:pPr>
  </w:style>
  <w:style w:type="character" w:customStyle="1" w:styleId="DotpointswithspacingChar">
    <w:name w:val="Dot points with spacing Char"/>
    <w:basedOn w:val="DefaultParagraphFont"/>
    <w:link w:val="Dotpointswithspacing"/>
    <w:uiPriority w:val="2"/>
    <w:rsid w:val="00C03A22"/>
  </w:style>
  <w:style w:type="paragraph" w:customStyle="1" w:styleId="Numberedlistwithspacing">
    <w:name w:val="Numbered list with spacing"/>
    <w:basedOn w:val="Normal"/>
    <w:link w:val="NumberedlistwithspacingChar"/>
    <w:uiPriority w:val="2"/>
    <w:qFormat/>
    <w:rsid w:val="0038036B"/>
    <w:pPr>
      <w:numPr>
        <w:numId w:val="27"/>
      </w:numPr>
      <w:ind w:left="714" w:hanging="357"/>
    </w:pPr>
  </w:style>
  <w:style w:type="character" w:customStyle="1" w:styleId="NumberedlistwithspacingChar">
    <w:name w:val="Numbered list with spacing Char"/>
    <w:basedOn w:val="DefaultParagraphFont"/>
    <w:link w:val="Numberedlistwithspacing"/>
    <w:uiPriority w:val="2"/>
    <w:rsid w:val="00C03A22"/>
  </w:style>
  <w:style w:type="paragraph" w:styleId="Bibliography">
    <w:name w:val="Bibliography"/>
    <w:basedOn w:val="Normal"/>
    <w:next w:val="Normal"/>
    <w:uiPriority w:val="37"/>
    <w:unhideWhenUsed/>
    <w:rsid w:val="00FB0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6488">
      <w:bodyDiv w:val="1"/>
      <w:marLeft w:val="0"/>
      <w:marRight w:val="0"/>
      <w:marTop w:val="0"/>
      <w:marBottom w:val="0"/>
      <w:divBdr>
        <w:top w:val="none" w:sz="0" w:space="0" w:color="auto"/>
        <w:left w:val="none" w:sz="0" w:space="0" w:color="auto"/>
        <w:bottom w:val="none" w:sz="0" w:space="0" w:color="auto"/>
        <w:right w:val="none" w:sz="0" w:space="0" w:color="auto"/>
      </w:divBdr>
    </w:div>
    <w:div w:id="61370360">
      <w:bodyDiv w:val="1"/>
      <w:marLeft w:val="0"/>
      <w:marRight w:val="0"/>
      <w:marTop w:val="0"/>
      <w:marBottom w:val="0"/>
      <w:divBdr>
        <w:top w:val="none" w:sz="0" w:space="0" w:color="auto"/>
        <w:left w:val="none" w:sz="0" w:space="0" w:color="auto"/>
        <w:bottom w:val="none" w:sz="0" w:space="0" w:color="auto"/>
        <w:right w:val="none" w:sz="0" w:space="0" w:color="auto"/>
      </w:divBdr>
    </w:div>
    <w:div w:id="77099978">
      <w:bodyDiv w:val="1"/>
      <w:marLeft w:val="0"/>
      <w:marRight w:val="0"/>
      <w:marTop w:val="0"/>
      <w:marBottom w:val="0"/>
      <w:divBdr>
        <w:top w:val="none" w:sz="0" w:space="0" w:color="auto"/>
        <w:left w:val="none" w:sz="0" w:space="0" w:color="auto"/>
        <w:bottom w:val="none" w:sz="0" w:space="0" w:color="auto"/>
        <w:right w:val="none" w:sz="0" w:space="0" w:color="auto"/>
      </w:divBdr>
    </w:div>
    <w:div w:id="77797590">
      <w:bodyDiv w:val="1"/>
      <w:marLeft w:val="0"/>
      <w:marRight w:val="0"/>
      <w:marTop w:val="0"/>
      <w:marBottom w:val="0"/>
      <w:divBdr>
        <w:top w:val="none" w:sz="0" w:space="0" w:color="auto"/>
        <w:left w:val="none" w:sz="0" w:space="0" w:color="auto"/>
        <w:bottom w:val="none" w:sz="0" w:space="0" w:color="auto"/>
        <w:right w:val="none" w:sz="0" w:space="0" w:color="auto"/>
      </w:divBdr>
    </w:div>
    <w:div w:id="87428881">
      <w:bodyDiv w:val="1"/>
      <w:marLeft w:val="0"/>
      <w:marRight w:val="0"/>
      <w:marTop w:val="0"/>
      <w:marBottom w:val="0"/>
      <w:divBdr>
        <w:top w:val="none" w:sz="0" w:space="0" w:color="auto"/>
        <w:left w:val="none" w:sz="0" w:space="0" w:color="auto"/>
        <w:bottom w:val="none" w:sz="0" w:space="0" w:color="auto"/>
        <w:right w:val="none" w:sz="0" w:space="0" w:color="auto"/>
      </w:divBdr>
    </w:div>
    <w:div w:id="108204996">
      <w:bodyDiv w:val="1"/>
      <w:marLeft w:val="0"/>
      <w:marRight w:val="0"/>
      <w:marTop w:val="0"/>
      <w:marBottom w:val="0"/>
      <w:divBdr>
        <w:top w:val="none" w:sz="0" w:space="0" w:color="auto"/>
        <w:left w:val="none" w:sz="0" w:space="0" w:color="auto"/>
        <w:bottom w:val="none" w:sz="0" w:space="0" w:color="auto"/>
        <w:right w:val="none" w:sz="0" w:space="0" w:color="auto"/>
      </w:divBdr>
    </w:div>
    <w:div w:id="108278268">
      <w:bodyDiv w:val="1"/>
      <w:marLeft w:val="0"/>
      <w:marRight w:val="0"/>
      <w:marTop w:val="0"/>
      <w:marBottom w:val="0"/>
      <w:divBdr>
        <w:top w:val="none" w:sz="0" w:space="0" w:color="auto"/>
        <w:left w:val="none" w:sz="0" w:space="0" w:color="auto"/>
        <w:bottom w:val="none" w:sz="0" w:space="0" w:color="auto"/>
        <w:right w:val="none" w:sz="0" w:space="0" w:color="auto"/>
      </w:divBdr>
    </w:div>
    <w:div w:id="122965546">
      <w:bodyDiv w:val="1"/>
      <w:marLeft w:val="0"/>
      <w:marRight w:val="0"/>
      <w:marTop w:val="0"/>
      <w:marBottom w:val="0"/>
      <w:divBdr>
        <w:top w:val="none" w:sz="0" w:space="0" w:color="auto"/>
        <w:left w:val="none" w:sz="0" w:space="0" w:color="auto"/>
        <w:bottom w:val="none" w:sz="0" w:space="0" w:color="auto"/>
        <w:right w:val="none" w:sz="0" w:space="0" w:color="auto"/>
      </w:divBdr>
    </w:div>
    <w:div w:id="137649944">
      <w:bodyDiv w:val="1"/>
      <w:marLeft w:val="0"/>
      <w:marRight w:val="0"/>
      <w:marTop w:val="0"/>
      <w:marBottom w:val="0"/>
      <w:divBdr>
        <w:top w:val="none" w:sz="0" w:space="0" w:color="auto"/>
        <w:left w:val="none" w:sz="0" w:space="0" w:color="auto"/>
        <w:bottom w:val="none" w:sz="0" w:space="0" w:color="auto"/>
        <w:right w:val="none" w:sz="0" w:space="0" w:color="auto"/>
      </w:divBdr>
    </w:div>
    <w:div w:id="155079545">
      <w:bodyDiv w:val="1"/>
      <w:marLeft w:val="0"/>
      <w:marRight w:val="0"/>
      <w:marTop w:val="0"/>
      <w:marBottom w:val="0"/>
      <w:divBdr>
        <w:top w:val="none" w:sz="0" w:space="0" w:color="auto"/>
        <w:left w:val="none" w:sz="0" w:space="0" w:color="auto"/>
        <w:bottom w:val="none" w:sz="0" w:space="0" w:color="auto"/>
        <w:right w:val="none" w:sz="0" w:space="0" w:color="auto"/>
      </w:divBdr>
    </w:div>
    <w:div w:id="164706878">
      <w:bodyDiv w:val="1"/>
      <w:marLeft w:val="0"/>
      <w:marRight w:val="0"/>
      <w:marTop w:val="0"/>
      <w:marBottom w:val="0"/>
      <w:divBdr>
        <w:top w:val="none" w:sz="0" w:space="0" w:color="auto"/>
        <w:left w:val="none" w:sz="0" w:space="0" w:color="auto"/>
        <w:bottom w:val="none" w:sz="0" w:space="0" w:color="auto"/>
        <w:right w:val="none" w:sz="0" w:space="0" w:color="auto"/>
      </w:divBdr>
    </w:div>
    <w:div w:id="188951559">
      <w:bodyDiv w:val="1"/>
      <w:marLeft w:val="0"/>
      <w:marRight w:val="0"/>
      <w:marTop w:val="0"/>
      <w:marBottom w:val="0"/>
      <w:divBdr>
        <w:top w:val="none" w:sz="0" w:space="0" w:color="auto"/>
        <w:left w:val="none" w:sz="0" w:space="0" w:color="auto"/>
        <w:bottom w:val="none" w:sz="0" w:space="0" w:color="auto"/>
        <w:right w:val="none" w:sz="0" w:space="0" w:color="auto"/>
      </w:divBdr>
    </w:div>
    <w:div w:id="239680729">
      <w:bodyDiv w:val="1"/>
      <w:marLeft w:val="0"/>
      <w:marRight w:val="0"/>
      <w:marTop w:val="0"/>
      <w:marBottom w:val="0"/>
      <w:divBdr>
        <w:top w:val="none" w:sz="0" w:space="0" w:color="auto"/>
        <w:left w:val="none" w:sz="0" w:space="0" w:color="auto"/>
        <w:bottom w:val="none" w:sz="0" w:space="0" w:color="auto"/>
        <w:right w:val="none" w:sz="0" w:space="0" w:color="auto"/>
      </w:divBdr>
    </w:div>
    <w:div w:id="244071598">
      <w:bodyDiv w:val="1"/>
      <w:marLeft w:val="0"/>
      <w:marRight w:val="0"/>
      <w:marTop w:val="0"/>
      <w:marBottom w:val="0"/>
      <w:divBdr>
        <w:top w:val="none" w:sz="0" w:space="0" w:color="auto"/>
        <w:left w:val="none" w:sz="0" w:space="0" w:color="auto"/>
        <w:bottom w:val="none" w:sz="0" w:space="0" w:color="auto"/>
        <w:right w:val="none" w:sz="0" w:space="0" w:color="auto"/>
      </w:divBdr>
    </w:div>
    <w:div w:id="282660664">
      <w:bodyDiv w:val="1"/>
      <w:marLeft w:val="0"/>
      <w:marRight w:val="0"/>
      <w:marTop w:val="0"/>
      <w:marBottom w:val="0"/>
      <w:divBdr>
        <w:top w:val="none" w:sz="0" w:space="0" w:color="auto"/>
        <w:left w:val="none" w:sz="0" w:space="0" w:color="auto"/>
        <w:bottom w:val="none" w:sz="0" w:space="0" w:color="auto"/>
        <w:right w:val="none" w:sz="0" w:space="0" w:color="auto"/>
      </w:divBdr>
    </w:div>
    <w:div w:id="288557506">
      <w:bodyDiv w:val="1"/>
      <w:marLeft w:val="0"/>
      <w:marRight w:val="0"/>
      <w:marTop w:val="0"/>
      <w:marBottom w:val="0"/>
      <w:divBdr>
        <w:top w:val="none" w:sz="0" w:space="0" w:color="auto"/>
        <w:left w:val="none" w:sz="0" w:space="0" w:color="auto"/>
        <w:bottom w:val="none" w:sz="0" w:space="0" w:color="auto"/>
        <w:right w:val="none" w:sz="0" w:space="0" w:color="auto"/>
      </w:divBdr>
    </w:div>
    <w:div w:id="300576935">
      <w:bodyDiv w:val="1"/>
      <w:marLeft w:val="0"/>
      <w:marRight w:val="0"/>
      <w:marTop w:val="0"/>
      <w:marBottom w:val="0"/>
      <w:divBdr>
        <w:top w:val="none" w:sz="0" w:space="0" w:color="auto"/>
        <w:left w:val="none" w:sz="0" w:space="0" w:color="auto"/>
        <w:bottom w:val="none" w:sz="0" w:space="0" w:color="auto"/>
        <w:right w:val="none" w:sz="0" w:space="0" w:color="auto"/>
      </w:divBdr>
    </w:div>
    <w:div w:id="304699846">
      <w:bodyDiv w:val="1"/>
      <w:marLeft w:val="0"/>
      <w:marRight w:val="0"/>
      <w:marTop w:val="0"/>
      <w:marBottom w:val="0"/>
      <w:divBdr>
        <w:top w:val="none" w:sz="0" w:space="0" w:color="auto"/>
        <w:left w:val="none" w:sz="0" w:space="0" w:color="auto"/>
        <w:bottom w:val="none" w:sz="0" w:space="0" w:color="auto"/>
        <w:right w:val="none" w:sz="0" w:space="0" w:color="auto"/>
      </w:divBdr>
    </w:div>
    <w:div w:id="317730611">
      <w:bodyDiv w:val="1"/>
      <w:marLeft w:val="0"/>
      <w:marRight w:val="0"/>
      <w:marTop w:val="0"/>
      <w:marBottom w:val="0"/>
      <w:divBdr>
        <w:top w:val="none" w:sz="0" w:space="0" w:color="auto"/>
        <w:left w:val="none" w:sz="0" w:space="0" w:color="auto"/>
        <w:bottom w:val="none" w:sz="0" w:space="0" w:color="auto"/>
        <w:right w:val="none" w:sz="0" w:space="0" w:color="auto"/>
      </w:divBdr>
    </w:div>
    <w:div w:id="319044717">
      <w:bodyDiv w:val="1"/>
      <w:marLeft w:val="0"/>
      <w:marRight w:val="0"/>
      <w:marTop w:val="0"/>
      <w:marBottom w:val="0"/>
      <w:divBdr>
        <w:top w:val="none" w:sz="0" w:space="0" w:color="auto"/>
        <w:left w:val="none" w:sz="0" w:space="0" w:color="auto"/>
        <w:bottom w:val="none" w:sz="0" w:space="0" w:color="auto"/>
        <w:right w:val="none" w:sz="0" w:space="0" w:color="auto"/>
      </w:divBdr>
    </w:div>
    <w:div w:id="351078828">
      <w:bodyDiv w:val="1"/>
      <w:marLeft w:val="0"/>
      <w:marRight w:val="0"/>
      <w:marTop w:val="0"/>
      <w:marBottom w:val="0"/>
      <w:divBdr>
        <w:top w:val="none" w:sz="0" w:space="0" w:color="auto"/>
        <w:left w:val="none" w:sz="0" w:space="0" w:color="auto"/>
        <w:bottom w:val="none" w:sz="0" w:space="0" w:color="auto"/>
        <w:right w:val="none" w:sz="0" w:space="0" w:color="auto"/>
      </w:divBdr>
    </w:div>
    <w:div w:id="373043223">
      <w:bodyDiv w:val="1"/>
      <w:marLeft w:val="0"/>
      <w:marRight w:val="0"/>
      <w:marTop w:val="0"/>
      <w:marBottom w:val="0"/>
      <w:divBdr>
        <w:top w:val="none" w:sz="0" w:space="0" w:color="auto"/>
        <w:left w:val="none" w:sz="0" w:space="0" w:color="auto"/>
        <w:bottom w:val="none" w:sz="0" w:space="0" w:color="auto"/>
        <w:right w:val="none" w:sz="0" w:space="0" w:color="auto"/>
      </w:divBdr>
    </w:div>
    <w:div w:id="384136609">
      <w:bodyDiv w:val="1"/>
      <w:marLeft w:val="0"/>
      <w:marRight w:val="0"/>
      <w:marTop w:val="0"/>
      <w:marBottom w:val="0"/>
      <w:divBdr>
        <w:top w:val="none" w:sz="0" w:space="0" w:color="auto"/>
        <w:left w:val="none" w:sz="0" w:space="0" w:color="auto"/>
        <w:bottom w:val="none" w:sz="0" w:space="0" w:color="auto"/>
        <w:right w:val="none" w:sz="0" w:space="0" w:color="auto"/>
      </w:divBdr>
    </w:div>
    <w:div w:id="400255373">
      <w:bodyDiv w:val="1"/>
      <w:marLeft w:val="0"/>
      <w:marRight w:val="0"/>
      <w:marTop w:val="0"/>
      <w:marBottom w:val="0"/>
      <w:divBdr>
        <w:top w:val="none" w:sz="0" w:space="0" w:color="auto"/>
        <w:left w:val="none" w:sz="0" w:space="0" w:color="auto"/>
        <w:bottom w:val="none" w:sz="0" w:space="0" w:color="auto"/>
        <w:right w:val="none" w:sz="0" w:space="0" w:color="auto"/>
      </w:divBdr>
    </w:div>
    <w:div w:id="413206468">
      <w:bodyDiv w:val="1"/>
      <w:marLeft w:val="0"/>
      <w:marRight w:val="0"/>
      <w:marTop w:val="0"/>
      <w:marBottom w:val="0"/>
      <w:divBdr>
        <w:top w:val="none" w:sz="0" w:space="0" w:color="auto"/>
        <w:left w:val="none" w:sz="0" w:space="0" w:color="auto"/>
        <w:bottom w:val="none" w:sz="0" w:space="0" w:color="auto"/>
        <w:right w:val="none" w:sz="0" w:space="0" w:color="auto"/>
      </w:divBdr>
    </w:div>
    <w:div w:id="446975733">
      <w:bodyDiv w:val="1"/>
      <w:marLeft w:val="0"/>
      <w:marRight w:val="0"/>
      <w:marTop w:val="0"/>
      <w:marBottom w:val="0"/>
      <w:divBdr>
        <w:top w:val="none" w:sz="0" w:space="0" w:color="auto"/>
        <w:left w:val="none" w:sz="0" w:space="0" w:color="auto"/>
        <w:bottom w:val="none" w:sz="0" w:space="0" w:color="auto"/>
        <w:right w:val="none" w:sz="0" w:space="0" w:color="auto"/>
      </w:divBdr>
      <w:divsChild>
        <w:div w:id="526333138">
          <w:marLeft w:val="547"/>
          <w:marRight w:val="0"/>
          <w:marTop w:val="58"/>
          <w:marBottom w:val="0"/>
          <w:divBdr>
            <w:top w:val="none" w:sz="0" w:space="0" w:color="auto"/>
            <w:left w:val="none" w:sz="0" w:space="0" w:color="auto"/>
            <w:bottom w:val="none" w:sz="0" w:space="0" w:color="auto"/>
            <w:right w:val="none" w:sz="0" w:space="0" w:color="auto"/>
          </w:divBdr>
        </w:div>
        <w:div w:id="330958318">
          <w:marLeft w:val="547"/>
          <w:marRight w:val="0"/>
          <w:marTop w:val="58"/>
          <w:marBottom w:val="0"/>
          <w:divBdr>
            <w:top w:val="none" w:sz="0" w:space="0" w:color="auto"/>
            <w:left w:val="none" w:sz="0" w:space="0" w:color="auto"/>
            <w:bottom w:val="none" w:sz="0" w:space="0" w:color="auto"/>
            <w:right w:val="none" w:sz="0" w:space="0" w:color="auto"/>
          </w:divBdr>
        </w:div>
        <w:div w:id="473910885">
          <w:marLeft w:val="547"/>
          <w:marRight w:val="0"/>
          <w:marTop w:val="58"/>
          <w:marBottom w:val="0"/>
          <w:divBdr>
            <w:top w:val="none" w:sz="0" w:space="0" w:color="auto"/>
            <w:left w:val="none" w:sz="0" w:space="0" w:color="auto"/>
            <w:bottom w:val="none" w:sz="0" w:space="0" w:color="auto"/>
            <w:right w:val="none" w:sz="0" w:space="0" w:color="auto"/>
          </w:divBdr>
        </w:div>
      </w:divsChild>
    </w:div>
    <w:div w:id="453525362">
      <w:bodyDiv w:val="1"/>
      <w:marLeft w:val="0"/>
      <w:marRight w:val="0"/>
      <w:marTop w:val="0"/>
      <w:marBottom w:val="0"/>
      <w:divBdr>
        <w:top w:val="none" w:sz="0" w:space="0" w:color="auto"/>
        <w:left w:val="none" w:sz="0" w:space="0" w:color="auto"/>
        <w:bottom w:val="none" w:sz="0" w:space="0" w:color="auto"/>
        <w:right w:val="none" w:sz="0" w:space="0" w:color="auto"/>
      </w:divBdr>
    </w:div>
    <w:div w:id="464927625">
      <w:bodyDiv w:val="1"/>
      <w:marLeft w:val="0"/>
      <w:marRight w:val="0"/>
      <w:marTop w:val="0"/>
      <w:marBottom w:val="0"/>
      <w:divBdr>
        <w:top w:val="none" w:sz="0" w:space="0" w:color="auto"/>
        <w:left w:val="none" w:sz="0" w:space="0" w:color="auto"/>
        <w:bottom w:val="none" w:sz="0" w:space="0" w:color="auto"/>
        <w:right w:val="none" w:sz="0" w:space="0" w:color="auto"/>
      </w:divBdr>
    </w:div>
    <w:div w:id="471098431">
      <w:bodyDiv w:val="1"/>
      <w:marLeft w:val="0"/>
      <w:marRight w:val="0"/>
      <w:marTop w:val="0"/>
      <w:marBottom w:val="0"/>
      <w:divBdr>
        <w:top w:val="none" w:sz="0" w:space="0" w:color="auto"/>
        <w:left w:val="none" w:sz="0" w:space="0" w:color="auto"/>
        <w:bottom w:val="none" w:sz="0" w:space="0" w:color="auto"/>
        <w:right w:val="none" w:sz="0" w:space="0" w:color="auto"/>
      </w:divBdr>
    </w:div>
    <w:div w:id="499659404">
      <w:bodyDiv w:val="1"/>
      <w:marLeft w:val="0"/>
      <w:marRight w:val="0"/>
      <w:marTop w:val="0"/>
      <w:marBottom w:val="0"/>
      <w:divBdr>
        <w:top w:val="none" w:sz="0" w:space="0" w:color="auto"/>
        <w:left w:val="none" w:sz="0" w:space="0" w:color="auto"/>
        <w:bottom w:val="none" w:sz="0" w:space="0" w:color="auto"/>
        <w:right w:val="none" w:sz="0" w:space="0" w:color="auto"/>
      </w:divBdr>
    </w:div>
    <w:div w:id="511140677">
      <w:bodyDiv w:val="1"/>
      <w:marLeft w:val="0"/>
      <w:marRight w:val="0"/>
      <w:marTop w:val="0"/>
      <w:marBottom w:val="0"/>
      <w:divBdr>
        <w:top w:val="none" w:sz="0" w:space="0" w:color="auto"/>
        <w:left w:val="none" w:sz="0" w:space="0" w:color="auto"/>
        <w:bottom w:val="none" w:sz="0" w:space="0" w:color="auto"/>
        <w:right w:val="none" w:sz="0" w:space="0" w:color="auto"/>
      </w:divBdr>
    </w:div>
    <w:div w:id="520700788">
      <w:bodyDiv w:val="1"/>
      <w:marLeft w:val="0"/>
      <w:marRight w:val="0"/>
      <w:marTop w:val="0"/>
      <w:marBottom w:val="0"/>
      <w:divBdr>
        <w:top w:val="none" w:sz="0" w:space="0" w:color="auto"/>
        <w:left w:val="none" w:sz="0" w:space="0" w:color="auto"/>
        <w:bottom w:val="none" w:sz="0" w:space="0" w:color="auto"/>
        <w:right w:val="none" w:sz="0" w:space="0" w:color="auto"/>
      </w:divBdr>
    </w:div>
    <w:div w:id="546381108">
      <w:bodyDiv w:val="1"/>
      <w:marLeft w:val="0"/>
      <w:marRight w:val="0"/>
      <w:marTop w:val="0"/>
      <w:marBottom w:val="0"/>
      <w:divBdr>
        <w:top w:val="none" w:sz="0" w:space="0" w:color="auto"/>
        <w:left w:val="none" w:sz="0" w:space="0" w:color="auto"/>
        <w:bottom w:val="none" w:sz="0" w:space="0" w:color="auto"/>
        <w:right w:val="none" w:sz="0" w:space="0" w:color="auto"/>
      </w:divBdr>
    </w:div>
    <w:div w:id="552087122">
      <w:bodyDiv w:val="1"/>
      <w:marLeft w:val="0"/>
      <w:marRight w:val="0"/>
      <w:marTop w:val="0"/>
      <w:marBottom w:val="0"/>
      <w:divBdr>
        <w:top w:val="none" w:sz="0" w:space="0" w:color="auto"/>
        <w:left w:val="none" w:sz="0" w:space="0" w:color="auto"/>
        <w:bottom w:val="none" w:sz="0" w:space="0" w:color="auto"/>
        <w:right w:val="none" w:sz="0" w:space="0" w:color="auto"/>
      </w:divBdr>
    </w:div>
    <w:div w:id="586041377">
      <w:bodyDiv w:val="1"/>
      <w:marLeft w:val="0"/>
      <w:marRight w:val="0"/>
      <w:marTop w:val="0"/>
      <w:marBottom w:val="0"/>
      <w:divBdr>
        <w:top w:val="none" w:sz="0" w:space="0" w:color="auto"/>
        <w:left w:val="none" w:sz="0" w:space="0" w:color="auto"/>
        <w:bottom w:val="none" w:sz="0" w:space="0" w:color="auto"/>
        <w:right w:val="none" w:sz="0" w:space="0" w:color="auto"/>
      </w:divBdr>
    </w:div>
    <w:div w:id="618336188">
      <w:bodyDiv w:val="1"/>
      <w:marLeft w:val="0"/>
      <w:marRight w:val="0"/>
      <w:marTop w:val="0"/>
      <w:marBottom w:val="0"/>
      <w:divBdr>
        <w:top w:val="none" w:sz="0" w:space="0" w:color="auto"/>
        <w:left w:val="none" w:sz="0" w:space="0" w:color="auto"/>
        <w:bottom w:val="none" w:sz="0" w:space="0" w:color="auto"/>
        <w:right w:val="none" w:sz="0" w:space="0" w:color="auto"/>
      </w:divBdr>
    </w:div>
    <w:div w:id="627517234">
      <w:bodyDiv w:val="1"/>
      <w:marLeft w:val="0"/>
      <w:marRight w:val="0"/>
      <w:marTop w:val="0"/>
      <w:marBottom w:val="0"/>
      <w:divBdr>
        <w:top w:val="none" w:sz="0" w:space="0" w:color="auto"/>
        <w:left w:val="none" w:sz="0" w:space="0" w:color="auto"/>
        <w:bottom w:val="none" w:sz="0" w:space="0" w:color="auto"/>
        <w:right w:val="none" w:sz="0" w:space="0" w:color="auto"/>
      </w:divBdr>
    </w:div>
    <w:div w:id="651328284">
      <w:bodyDiv w:val="1"/>
      <w:marLeft w:val="0"/>
      <w:marRight w:val="0"/>
      <w:marTop w:val="0"/>
      <w:marBottom w:val="0"/>
      <w:divBdr>
        <w:top w:val="none" w:sz="0" w:space="0" w:color="auto"/>
        <w:left w:val="none" w:sz="0" w:space="0" w:color="auto"/>
        <w:bottom w:val="none" w:sz="0" w:space="0" w:color="auto"/>
        <w:right w:val="none" w:sz="0" w:space="0" w:color="auto"/>
      </w:divBdr>
    </w:div>
    <w:div w:id="669215465">
      <w:bodyDiv w:val="1"/>
      <w:marLeft w:val="0"/>
      <w:marRight w:val="0"/>
      <w:marTop w:val="0"/>
      <w:marBottom w:val="0"/>
      <w:divBdr>
        <w:top w:val="none" w:sz="0" w:space="0" w:color="auto"/>
        <w:left w:val="none" w:sz="0" w:space="0" w:color="auto"/>
        <w:bottom w:val="none" w:sz="0" w:space="0" w:color="auto"/>
        <w:right w:val="none" w:sz="0" w:space="0" w:color="auto"/>
      </w:divBdr>
    </w:div>
    <w:div w:id="696272121">
      <w:bodyDiv w:val="1"/>
      <w:marLeft w:val="0"/>
      <w:marRight w:val="0"/>
      <w:marTop w:val="0"/>
      <w:marBottom w:val="0"/>
      <w:divBdr>
        <w:top w:val="none" w:sz="0" w:space="0" w:color="auto"/>
        <w:left w:val="none" w:sz="0" w:space="0" w:color="auto"/>
        <w:bottom w:val="none" w:sz="0" w:space="0" w:color="auto"/>
        <w:right w:val="none" w:sz="0" w:space="0" w:color="auto"/>
      </w:divBdr>
    </w:div>
    <w:div w:id="696469598">
      <w:bodyDiv w:val="1"/>
      <w:marLeft w:val="0"/>
      <w:marRight w:val="0"/>
      <w:marTop w:val="0"/>
      <w:marBottom w:val="0"/>
      <w:divBdr>
        <w:top w:val="none" w:sz="0" w:space="0" w:color="auto"/>
        <w:left w:val="none" w:sz="0" w:space="0" w:color="auto"/>
        <w:bottom w:val="none" w:sz="0" w:space="0" w:color="auto"/>
        <w:right w:val="none" w:sz="0" w:space="0" w:color="auto"/>
      </w:divBdr>
    </w:div>
    <w:div w:id="753672420">
      <w:bodyDiv w:val="1"/>
      <w:marLeft w:val="0"/>
      <w:marRight w:val="0"/>
      <w:marTop w:val="0"/>
      <w:marBottom w:val="0"/>
      <w:divBdr>
        <w:top w:val="none" w:sz="0" w:space="0" w:color="auto"/>
        <w:left w:val="none" w:sz="0" w:space="0" w:color="auto"/>
        <w:bottom w:val="none" w:sz="0" w:space="0" w:color="auto"/>
        <w:right w:val="none" w:sz="0" w:space="0" w:color="auto"/>
      </w:divBdr>
    </w:div>
    <w:div w:id="754282306">
      <w:bodyDiv w:val="1"/>
      <w:marLeft w:val="0"/>
      <w:marRight w:val="0"/>
      <w:marTop w:val="0"/>
      <w:marBottom w:val="0"/>
      <w:divBdr>
        <w:top w:val="none" w:sz="0" w:space="0" w:color="auto"/>
        <w:left w:val="none" w:sz="0" w:space="0" w:color="auto"/>
        <w:bottom w:val="none" w:sz="0" w:space="0" w:color="auto"/>
        <w:right w:val="none" w:sz="0" w:space="0" w:color="auto"/>
      </w:divBdr>
    </w:div>
    <w:div w:id="769010686">
      <w:bodyDiv w:val="1"/>
      <w:marLeft w:val="0"/>
      <w:marRight w:val="0"/>
      <w:marTop w:val="0"/>
      <w:marBottom w:val="0"/>
      <w:divBdr>
        <w:top w:val="none" w:sz="0" w:space="0" w:color="auto"/>
        <w:left w:val="none" w:sz="0" w:space="0" w:color="auto"/>
        <w:bottom w:val="none" w:sz="0" w:space="0" w:color="auto"/>
        <w:right w:val="none" w:sz="0" w:space="0" w:color="auto"/>
      </w:divBdr>
    </w:div>
    <w:div w:id="777405714">
      <w:bodyDiv w:val="1"/>
      <w:marLeft w:val="0"/>
      <w:marRight w:val="0"/>
      <w:marTop w:val="0"/>
      <w:marBottom w:val="0"/>
      <w:divBdr>
        <w:top w:val="none" w:sz="0" w:space="0" w:color="auto"/>
        <w:left w:val="none" w:sz="0" w:space="0" w:color="auto"/>
        <w:bottom w:val="none" w:sz="0" w:space="0" w:color="auto"/>
        <w:right w:val="none" w:sz="0" w:space="0" w:color="auto"/>
      </w:divBdr>
    </w:div>
    <w:div w:id="828406901">
      <w:bodyDiv w:val="1"/>
      <w:marLeft w:val="0"/>
      <w:marRight w:val="0"/>
      <w:marTop w:val="0"/>
      <w:marBottom w:val="0"/>
      <w:divBdr>
        <w:top w:val="none" w:sz="0" w:space="0" w:color="auto"/>
        <w:left w:val="none" w:sz="0" w:space="0" w:color="auto"/>
        <w:bottom w:val="none" w:sz="0" w:space="0" w:color="auto"/>
        <w:right w:val="none" w:sz="0" w:space="0" w:color="auto"/>
      </w:divBdr>
    </w:div>
    <w:div w:id="832069924">
      <w:bodyDiv w:val="1"/>
      <w:marLeft w:val="0"/>
      <w:marRight w:val="0"/>
      <w:marTop w:val="0"/>
      <w:marBottom w:val="0"/>
      <w:divBdr>
        <w:top w:val="none" w:sz="0" w:space="0" w:color="auto"/>
        <w:left w:val="none" w:sz="0" w:space="0" w:color="auto"/>
        <w:bottom w:val="none" w:sz="0" w:space="0" w:color="auto"/>
        <w:right w:val="none" w:sz="0" w:space="0" w:color="auto"/>
      </w:divBdr>
    </w:div>
    <w:div w:id="840654932">
      <w:bodyDiv w:val="1"/>
      <w:marLeft w:val="0"/>
      <w:marRight w:val="0"/>
      <w:marTop w:val="0"/>
      <w:marBottom w:val="0"/>
      <w:divBdr>
        <w:top w:val="none" w:sz="0" w:space="0" w:color="auto"/>
        <w:left w:val="none" w:sz="0" w:space="0" w:color="auto"/>
        <w:bottom w:val="none" w:sz="0" w:space="0" w:color="auto"/>
        <w:right w:val="none" w:sz="0" w:space="0" w:color="auto"/>
      </w:divBdr>
    </w:div>
    <w:div w:id="861478369">
      <w:bodyDiv w:val="1"/>
      <w:marLeft w:val="0"/>
      <w:marRight w:val="0"/>
      <w:marTop w:val="0"/>
      <w:marBottom w:val="0"/>
      <w:divBdr>
        <w:top w:val="none" w:sz="0" w:space="0" w:color="auto"/>
        <w:left w:val="none" w:sz="0" w:space="0" w:color="auto"/>
        <w:bottom w:val="none" w:sz="0" w:space="0" w:color="auto"/>
        <w:right w:val="none" w:sz="0" w:space="0" w:color="auto"/>
      </w:divBdr>
    </w:div>
    <w:div w:id="872578133">
      <w:bodyDiv w:val="1"/>
      <w:marLeft w:val="0"/>
      <w:marRight w:val="0"/>
      <w:marTop w:val="0"/>
      <w:marBottom w:val="0"/>
      <w:divBdr>
        <w:top w:val="none" w:sz="0" w:space="0" w:color="auto"/>
        <w:left w:val="none" w:sz="0" w:space="0" w:color="auto"/>
        <w:bottom w:val="none" w:sz="0" w:space="0" w:color="auto"/>
        <w:right w:val="none" w:sz="0" w:space="0" w:color="auto"/>
      </w:divBdr>
    </w:div>
    <w:div w:id="873544693">
      <w:bodyDiv w:val="1"/>
      <w:marLeft w:val="0"/>
      <w:marRight w:val="0"/>
      <w:marTop w:val="0"/>
      <w:marBottom w:val="0"/>
      <w:divBdr>
        <w:top w:val="none" w:sz="0" w:space="0" w:color="auto"/>
        <w:left w:val="none" w:sz="0" w:space="0" w:color="auto"/>
        <w:bottom w:val="none" w:sz="0" w:space="0" w:color="auto"/>
        <w:right w:val="none" w:sz="0" w:space="0" w:color="auto"/>
      </w:divBdr>
    </w:div>
    <w:div w:id="879248938">
      <w:bodyDiv w:val="1"/>
      <w:marLeft w:val="0"/>
      <w:marRight w:val="0"/>
      <w:marTop w:val="0"/>
      <w:marBottom w:val="0"/>
      <w:divBdr>
        <w:top w:val="none" w:sz="0" w:space="0" w:color="auto"/>
        <w:left w:val="none" w:sz="0" w:space="0" w:color="auto"/>
        <w:bottom w:val="none" w:sz="0" w:space="0" w:color="auto"/>
        <w:right w:val="none" w:sz="0" w:space="0" w:color="auto"/>
      </w:divBdr>
    </w:div>
    <w:div w:id="882641169">
      <w:bodyDiv w:val="1"/>
      <w:marLeft w:val="0"/>
      <w:marRight w:val="0"/>
      <w:marTop w:val="0"/>
      <w:marBottom w:val="0"/>
      <w:divBdr>
        <w:top w:val="none" w:sz="0" w:space="0" w:color="auto"/>
        <w:left w:val="none" w:sz="0" w:space="0" w:color="auto"/>
        <w:bottom w:val="none" w:sz="0" w:space="0" w:color="auto"/>
        <w:right w:val="none" w:sz="0" w:space="0" w:color="auto"/>
      </w:divBdr>
    </w:div>
    <w:div w:id="894901186">
      <w:bodyDiv w:val="1"/>
      <w:marLeft w:val="0"/>
      <w:marRight w:val="0"/>
      <w:marTop w:val="0"/>
      <w:marBottom w:val="0"/>
      <w:divBdr>
        <w:top w:val="none" w:sz="0" w:space="0" w:color="auto"/>
        <w:left w:val="none" w:sz="0" w:space="0" w:color="auto"/>
        <w:bottom w:val="none" w:sz="0" w:space="0" w:color="auto"/>
        <w:right w:val="none" w:sz="0" w:space="0" w:color="auto"/>
      </w:divBdr>
    </w:div>
    <w:div w:id="896280754">
      <w:bodyDiv w:val="1"/>
      <w:marLeft w:val="0"/>
      <w:marRight w:val="0"/>
      <w:marTop w:val="0"/>
      <w:marBottom w:val="0"/>
      <w:divBdr>
        <w:top w:val="none" w:sz="0" w:space="0" w:color="auto"/>
        <w:left w:val="none" w:sz="0" w:space="0" w:color="auto"/>
        <w:bottom w:val="none" w:sz="0" w:space="0" w:color="auto"/>
        <w:right w:val="none" w:sz="0" w:space="0" w:color="auto"/>
      </w:divBdr>
    </w:div>
    <w:div w:id="914244904">
      <w:bodyDiv w:val="1"/>
      <w:marLeft w:val="0"/>
      <w:marRight w:val="0"/>
      <w:marTop w:val="0"/>
      <w:marBottom w:val="0"/>
      <w:divBdr>
        <w:top w:val="none" w:sz="0" w:space="0" w:color="auto"/>
        <w:left w:val="none" w:sz="0" w:space="0" w:color="auto"/>
        <w:bottom w:val="none" w:sz="0" w:space="0" w:color="auto"/>
        <w:right w:val="none" w:sz="0" w:space="0" w:color="auto"/>
      </w:divBdr>
    </w:div>
    <w:div w:id="921451059">
      <w:bodyDiv w:val="1"/>
      <w:marLeft w:val="0"/>
      <w:marRight w:val="0"/>
      <w:marTop w:val="0"/>
      <w:marBottom w:val="0"/>
      <w:divBdr>
        <w:top w:val="none" w:sz="0" w:space="0" w:color="auto"/>
        <w:left w:val="none" w:sz="0" w:space="0" w:color="auto"/>
        <w:bottom w:val="none" w:sz="0" w:space="0" w:color="auto"/>
        <w:right w:val="none" w:sz="0" w:space="0" w:color="auto"/>
      </w:divBdr>
    </w:div>
    <w:div w:id="929850969">
      <w:bodyDiv w:val="1"/>
      <w:marLeft w:val="0"/>
      <w:marRight w:val="0"/>
      <w:marTop w:val="0"/>
      <w:marBottom w:val="0"/>
      <w:divBdr>
        <w:top w:val="none" w:sz="0" w:space="0" w:color="auto"/>
        <w:left w:val="none" w:sz="0" w:space="0" w:color="auto"/>
        <w:bottom w:val="none" w:sz="0" w:space="0" w:color="auto"/>
        <w:right w:val="none" w:sz="0" w:space="0" w:color="auto"/>
      </w:divBdr>
    </w:div>
    <w:div w:id="933897191">
      <w:bodyDiv w:val="1"/>
      <w:marLeft w:val="0"/>
      <w:marRight w:val="0"/>
      <w:marTop w:val="0"/>
      <w:marBottom w:val="0"/>
      <w:divBdr>
        <w:top w:val="none" w:sz="0" w:space="0" w:color="auto"/>
        <w:left w:val="none" w:sz="0" w:space="0" w:color="auto"/>
        <w:bottom w:val="none" w:sz="0" w:space="0" w:color="auto"/>
        <w:right w:val="none" w:sz="0" w:space="0" w:color="auto"/>
      </w:divBdr>
    </w:div>
    <w:div w:id="946693541">
      <w:bodyDiv w:val="1"/>
      <w:marLeft w:val="0"/>
      <w:marRight w:val="0"/>
      <w:marTop w:val="0"/>
      <w:marBottom w:val="0"/>
      <w:divBdr>
        <w:top w:val="none" w:sz="0" w:space="0" w:color="auto"/>
        <w:left w:val="none" w:sz="0" w:space="0" w:color="auto"/>
        <w:bottom w:val="none" w:sz="0" w:space="0" w:color="auto"/>
        <w:right w:val="none" w:sz="0" w:space="0" w:color="auto"/>
      </w:divBdr>
    </w:div>
    <w:div w:id="952632224">
      <w:bodyDiv w:val="1"/>
      <w:marLeft w:val="0"/>
      <w:marRight w:val="0"/>
      <w:marTop w:val="0"/>
      <w:marBottom w:val="0"/>
      <w:divBdr>
        <w:top w:val="none" w:sz="0" w:space="0" w:color="auto"/>
        <w:left w:val="none" w:sz="0" w:space="0" w:color="auto"/>
        <w:bottom w:val="none" w:sz="0" w:space="0" w:color="auto"/>
        <w:right w:val="none" w:sz="0" w:space="0" w:color="auto"/>
      </w:divBdr>
    </w:div>
    <w:div w:id="961691741">
      <w:bodyDiv w:val="1"/>
      <w:marLeft w:val="0"/>
      <w:marRight w:val="0"/>
      <w:marTop w:val="0"/>
      <w:marBottom w:val="0"/>
      <w:divBdr>
        <w:top w:val="none" w:sz="0" w:space="0" w:color="auto"/>
        <w:left w:val="none" w:sz="0" w:space="0" w:color="auto"/>
        <w:bottom w:val="none" w:sz="0" w:space="0" w:color="auto"/>
        <w:right w:val="none" w:sz="0" w:space="0" w:color="auto"/>
      </w:divBdr>
    </w:div>
    <w:div w:id="967319884">
      <w:bodyDiv w:val="1"/>
      <w:marLeft w:val="0"/>
      <w:marRight w:val="0"/>
      <w:marTop w:val="0"/>
      <w:marBottom w:val="0"/>
      <w:divBdr>
        <w:top w:val="none" w:sz="0" w:space="0" w:color="auto"/>
        <w:left w:val="none" w:sz="0" w:space="0" w:color="auto"/>
        <w:bottom w:val="none" w:sz="0" w:space="0" w:color="auto"/>
        <w:right w:val="none" w:sz="0" w:space="0" w:color="auto"/>
      </w:divBdr>
    </w:div>
    <w:div w:id="1010332248">
      <w:bodyDiv w:val="1"/>
      <w:marLeft w:val="0"/>
      <w:marRight w:val="0"/>
      <w:marTop w:val="0"/>
      <w:marBottom w:val="0"/>
      <w:divBdr>
        <w:top w:val="none" w:sz="0" w:space="0" w:color="auto"/>
        <w:left w:val="none" w:sz="0" w:space="0" w:color="auto"/>
        <w:bottom w:val="none" w:sz="0" w:space="0" w:color="auto"/>
        <w:right w:val="none" w:sz="0" w:space="0" w:color="auto"/>
      </w:divBdr>
      <w:divsChild>
        <w:div w:id="1657804481">
          <w:marLeft w:val="547"/>
          <w:marRight w:val="0"/>
          <w:marTop w:val="48"/>
          <w:marBottom w:val="0"/>
          <w:divBdr>
            <w:top w:val="none" w:sz="0" w:space="0" w:color="auto"/>
            <w:left w:val="none" w:sz="0" w:space="0" w:color="auto"/>
            <w:bottom w:val="none" w:sz="0" w:space="0" w:color="auto"/>
            <w:right w:val="none" w:sz="0" w:space="0" w:color="auto"/>
          </w:divBdr>
        </w:div>
        <w:div w:id="2087728602">
          <w:marLeft w:val="547"/>
          <w:marRight w:val="0"/>
          <w:marTop w:val="48"/>
          <w:marBottom w:val="0"/>
          <w:divBdr>
            <w:top w:val="none" w:sz="0" w:space="0" w:color="auto"/>
            <w:left w:val="none" w:sz="0" w:space="0" w:color="auto"/>
            <w:bottom w:val="none" w:sz="0" w:space="0" w:color="auto"/>
            <w:right w:val="none" w:sz="0" w:space="0" w:color="auto"/>
          </w:divBdr>
        </w:div>
        <w:div w:id="1382052233">
          <w:marLeft w:val="547"/>
          <w:marRight w:val="0"/>
          <w:marTop w:val="48"/>
          <w:marBottom w:val="0"/>
          <w:divBdr>
            <w:top w:val="none" w:sz="0" w:space="0" w:color="auto"/>
            <w:left w:val="none" w:sz="0" w:space="0" w:color="auto"/>
            <w:bottom w:val="none" w:sz="0" w:space="0" w:color="auto"/>
            <w:right w:val="none" w:sz="0" w:space="0" w:color="auto"/>
          </w:divBdr>
        </w:div>
        <w:div w:id="1974865421">
          <w:marLeft w:val="547"/>
          <w:marRight w:val="0"/>
          <w:marTop w:val="48"/>
          <w:marBottom w:val="0"/>
          <w:divBdr>
            <w:top w:val="none" w:sz="0" w:space="0" w:color="auto"/>
            <w:left w:val="none" w:sz="0" w:space="0" w:color="auto"/>
            <w:bottom w:val="none" w:sz="0" w:space="0" w:color="auto"/>
            <w:right w:val="none" w:sz="0" w:space="0" w:color="auto"/>
          </w:divBdr>
        </w:div>
        <w:div w:id="834229572">
          <w:marLeft w:val="547"/>
          <w:marRight w:val="0"/>
          <w:marTop w:val="48"/>
          <w:marBottom w:val="0"/>
          <w:divBdr>
            <w:top w:val="none" w:sz="0" w:space="0" w:color="auto"/>
            <w:left w:val="none" w:sz="0" w:space="0" w:color="auto"/>
            <w:bottom w:val="none" w:sz="0" w:space="0" w:color="auto"/>
            <w:right w:val="none" w:sz="0" w:space="0" w:color="auto"/>
          </w:divBdr>
        </w:div>
      </w:divsChild>
    </w:div>
    <w:div w:id="1025402528">
      <w:bodyDiv w:val="1"/>
      <w:marLeft w:val="0"/>
      <w:marRight w:val="0"/>
      <w:marTop w:val="0"/>
      <w:marBottom w:val="0"/>
      <w:divBdr>
        <w:top w:val="none" w:sz="0" w:space="0" w:color="auto"/>
        <w:left w:val="none" w:sz="0" w:space="0" w:color="auto"/>
        <w:bottom w:val="none" w:sz="0" w:space="0" w:color="auto"/>
        <w:right w:val="none" w:sz="0" w:space="0" w:color="auto"/>
      </w:divBdr>
    </w:div>
    <w:div w:id="1032920151">
      <w:bodyDiv w:val="1"/>
      <w:marLeft w:val="0"/>
      <w:marRight w:val="0"/>
      <w:marTop w:val="0"/>
      <w:marBottom w:val="0"/>
      <w:divBdr>
        <w:top w:val="none" w:sz="0" w:space="0" w:color="auto"/>
        <w:left w:val="none" w:sz="0" w:space="0" w:color="auto"/>
        <w:bottom w:val="none" w:sz="0" w:space="0" w:color="auto"/>
        <w:right w:val="none" w:sz="0" w:space="0" w:color="auto"/>
      </w:divBdr>
    </w:div>
    <w:div w:id="1050229090">
      <w:bodyDiv w:val="1"/>
      <w:marLeft w:val="0"/>
      <w:marRight w:val="0"/>
      <w:marTop w:val="0"/>
      <w:marBottom w:val="0"/>
      <w:divBdr>
        <w:top w:val="none" w:sz="0" w:space="0" w:color="auto"/>
        <w:left w:val="none" w:sz="0" w:space="0" w:color="auto"/>
        <w:bottom w:val="none" w:sz="0" w:space="0" w:color="auto"/>
        <w:right w:val="none" w:sz="0" w:space="0" w:color="auto"/>
      </w:divBdr>
    </w:div>
    <w:div w:id="1064717299">
      <w:bodyDiv w:val="1"/>
      <w:marLeft w:val="0"/>
      <w:marRight w:val="0"/>
      <w:marTop w:val="0"/>
      <w:marBottom w:val="0"/>
      <w:divBdr>
        <w:top w:val="none" w:sz="0" w:space="0" w:color="auto"/>
        <w:left w:val="none" w:sz="0" w:space="0" w:color="auto"/>
        <w:bottom w:val="none" w:sz="0" w:space="0" w:color="auto"/>
        <w:right w:val="none" w:sz="0" w:space="0" w:color="auto"/>
      </w:divBdr>
      <w:divsChild>
        <w:div w:id="2061515511">
          <w:marLeft w:val="446"/>
          <w:marRight w:val="0"/>
          <w:marTop w:val="0"/>
          <w:marBottom w:val="0"/>
          <w:divBdr>
            <w:top w:val="none" w:sz="0" w:space="0" w:color="auto"/>
            <w:left w:val="none" w:sz="0" w:space="0" w:color="auto"/>
            <w:bottom w:val="none" w:sz="0" w:space="0" w:color="auto"/>
            <w:right w:val="none" w:sz="0" w:space="0" w:color="auto"/>
          </w:divBdr>
        </w:div>
        <w:div w:id="188686327">
          <w:marLeft w:val="446"/>
          <w:marRight w:val="0"/>
          <w:marTop w:val="0"/>
          <w:marBottom w:val="0"/>
          <w:divBdr>
            <w:top w:val="none" w:sz="0" w:space="0" w:color="auto"/>
            <w:left w:val="none" w:sz="0" w:space="0" w:color="auto"/>
            <w:bottom w:val="none" w:sz="0" w:space="0" w:color="auto"/>
            <w:right w:val="none" w:sz="0" w:space="0" w:color="auto"/>
          </w:divBdr>
        </w:div>
        <w:div w:id="1362777490">
          <w:marLeft w:val="446"/>
          <w:marRight w:val="0"/>
          <w:marTop w:val="0"/>
          <w:marBottom w:val="0"/>
          <w:divBdr>
            <w:top w:val="none" w:sz="0" w:space="0" w:color="auto"/>
            <w:left w:val="none" w:sz="0" w:space="0" w:color="auto"/>
            <w:bottom w:val="none" w:sz="0" w:space="0" w:color="auto"/>
            <w:right w:val="none" w:sz="0" w:space="0" w:color="auto"/>
          </w:divBdr>
        </w:div>
        <w:div w:id="1579710793">
          <w:marLeft w:val="446"/>
          <w:marRight w:val="0"/>
          <w:marTop w:val="0"/>
          <w:marBottom w:val="0"/>
          <w:divBdr>
            <w:top w:val="none" w:sz="0" w:space="0" w:color="auto"/>
            <w:left w:val="none" w:sz="0" w:space="0" w:color="auto"/>
            <w:bottom w:val="none" w:sz="0" w:space="0" w:color="auto"/>
            <w:right w:val="none" w:sz="0" w:space="0" w:color="auto"/>
          </w:divBdr>
        </w:div>
        <w:div w:id="345182038">
          <w:marLeft w:val="446"/>
          <w:marRight w:val="0"/>
          <w:marTop w:val="0"/>
          <w:marBottom w:val="0"/>
          <w:divBdr>
            <w:top w:val="none" w:sz="0" w:space="0" w:color="auto"/>
            <w:left w:val="none" w:sz="0" w:space="0" w:color="auto"/>
            <w:bottom w:val="none" w:sz="0" w:space="0" w:color="auto"/>
            <w:right w:val="none" w:sz="0" w:space="0" w:color="auto"/>
          </w:divBdr>
        </w:div>
        <w:div w:id="1285504748">
          <w:marLeft w:val="446"/>
          <w:marRight w:val="0"/>
          <w:marTop w:val="0"/>
          <w:marBottom w:val="0"/>
          <w:divBdr>
            <w:top w:val="none" w:sz="0" w:space="0" w:color="auto"/>
            <w:left w:val="none" w:sz="0" w:space="0" w:color="auto"/>
            <w:bottom w:val="none" w:sz="0" w:space="0" w:color="auto"/>
            <w:right w:val="none" w:sz="0" w:space="0" w:color="auto"/>
          </w:divBdr>
        </w:div>
        <w:div w:id="1262643542">
          <w:marLeft w:val="446"/>
          <w:marRight w:val="0"/>
          <w:marTop w:val="0"/>
          <w:marBottom w:val="0"/>
          <w:divBdr>
            <w:top w:val="none" w:sz="0" w:space="0" w:color="auto"/>
            <w:left w:val="none" w:sz="0" w:space="0" w:color="auto"/>
            <w:bottom w:val="none" w:sz="0" w:space="0" w:color="auto"/>
            <w:right w:val="none" w:sz="0" w:space="0" w:color="auto"/>
          </w:divBdr>
        </w:div>
        <w:div w:id="2133554425">
          <w:marLeft w:val="446"/>
          <w:marRight w:val="0"/>
          <w:marTop w:val="0"/>
          <w:marBottom w:val="0"/>
          <w:divBdr>
            <w:top w:val="none" w:sz="0" w:space="0" w:color="auto"/>
            <w:left w:val="none" w:sz="0" w:space="0" w:color="auto"/>
            <w:bottom w:val="none" w:sz="0" w:space="0" w:color="auto"/>
            <w:right w:val="none" w:sz="0" w:space="0" w:color="auto"/>
          </w:divBdr>
        </w:div>
      </w:divsChild>
    </w:div>
    <w:div w:id="1078021918">
      <w:bodyDiv w:val="1"/>
      <w:marLeft w:val="0"/>
      <w:marRight w:val="0"/>
      <w:marTop w:val="0"/>
      <w:marBottom w:val="0"/>
      <w:divBdr>
        <w:top w:val="none" w:sz="0" w:space="0" w:color="auto"/>
        <w:left w:val="none" w:sz="0" w:space="0" w:color="auto"/>
        <w:bottom w:val="none" w:sz="0" w:space="0" w:color="auto"/>
        <w:right w:val="none" w:sz="0" w:space="0" w:color="auto"/>
      </w:divBdr>
    </w:div>
    <w:div w:id="1082801692">
      <w:bodyDiv w:val="1"/>
      <w:marLeft w:val="0"/>
      <w:marRight w:val="0"/>
      <w:marTop w:val="0"/>
      <w:marBottom w:val="0"/>
      <w:divBdr>
        <w:top w:val="none" w:sz="0" w:space="0" w:color="auto"/>
        <w:left w:val="none" w:sz="0" w:space="0" w:color="auto"/>
        <w:bottom w:val="none" w:sz="0" w:space="0" w:color="auto"/>
        <w:right w:val="none" w:sz="0" w:space="0" w:color="auto"/>
      </w:divBdr>
    </w:div>
    <w:div w:id="1093479649">
      <w:bodyDiv w:val="1"/>
      <w:marLeft w:val="0"/>
      <w:marRight w:val="0"/>
      <w:marTop w:val="0"/>
      <w:marBottom w:val="0"/>
      <w:divBdr>
        <w:top w:val="none" w:sz="0" w:space="0" w:color="auto"/>
        <w:left w:val="none" w:sz="0" w:space="0" w:color="auto"/>
        <w:bottom w:val="none" w:sz="0" w:space="0" w:color="auto"/>
        <w:right w:val="none" w:sz="0" w:space="0" w:color="auto"/>
      </w:divBdr>
    </w:div>
    <w:div w:id="1125081124">
      <w:bodyDiv w:val="1"/>
      <w:marLeft w:val="0"/>
      <w:marRight w:val="0"/>
      <w:marTop w:val="0"/>
      <w:marBottom w:val="0"/>
      <w:divBdr>
        <w:top w:val="none" w:sz="0" w:space="0" w:color="auto"/>
        <w:left w:val="none" w:sz="0" w:space="0" w:color="auto"/>
        <w:bottom w:val="none" w:sz="0" w:space="0" w:color="auto"/>
        <w:right w:val="none" w:sz="0" w:space="0" w:color="auto"/>
      </w:divBdr>
    </w:div>
    <w:div w:id="1130130858">
      <w:bodyDiv w:val="1"/>
      <w:marLeft w:val="0"/>
      <w:marRight w:val="0"/>
      <w:marTop w:val="0"/>
      <w:marBottom w:val="0"/>
      <w:divBdr>
        <w:top w:val="none" w:sz="0" w:space="0" w:color="auto"/>
        <w:left w:val="none" w:sz="0" w:space="0" w:color="auto"/>
        <w:bottom w:val="none" w:sz="0" w:space="0" w:color="auto"/>
        <w:right w:val="none" w:sz="0" w:space="0" w:color="auto"/>
      </w:divBdr>
    </w:div>
    <w:div w:id="1130247937">
      <w:bodyDiv w:val="1"/>
      <w:marLeft w:val="0"/>
      <w:marRight w:val="0"/>
      <w:marTop w:val="0"/>
      <w:marBottom w:val="0"/>
      <w:divBdr>
        <w:top w:val="none" w:sz="0" w:space="0" w:color="auto"/>
        <w:left w:val="none" w:sz="0" w:space="0" w:color="auto"/>
        <w:bottom w:val="none" w:sz="0" w:space="0" w:color="auto"/>
        <w:right w:val="none" w:sz="0" w:space="0" w:color="auto"/>
      </w:divBdr>
    </w:div>
    <w:div w:id="1166094114">
      <w:bodyDiv w:val="1"/>
      <w:marLeft w:val="0"/>
      <w:marRight w:val="0"/>
      <w:marTop w:val="0"/>
      <w:marBottom w:val="0"/>
      <w:divBdr>
        <w:top w:val="none" w:sz="0" w:space="0" w:color="auto"/>
        <w:left w:val="none" w:sz="0" w:space="0" w:color="auto"/>
        <w:bottom w:val="none" w:sz="0" w:space="0" w:color="auto"/>
        <w:right w:val="none" w:sz="0" w:space="0" w:color="auto"/>
      </w:divBdr>
    </w:div>
    <w:div w:id="1177576663">
      <w:bodyDiv w:val="1"/>
      <w:marLeft w:val="0"/>
      <w:marRight w:val="0"/>
      <w:marTop w:val="0"/>
      <w:marBottom w:val="0"/>
      <w:divBdr>
        <w:top w:val="none" w:sz="0" w:space="0" w:color="auto"/>
        <w:left w:val="none" w:sz="0" w:space="0" w:color="auto"/>
        <w:bottom w:val="none" w:sz="0" w:space="0" w:color="auto"/>
        <w:right w:val="none" w:sz="0" w:space="0" w:color="auto"/>
      </w:divBdr>
    </w:div>
    <w:div w:id="1183472481">
      <w:bodyDiv w:val="1"/>
      <w:marLeft w:val="0"/>
      <w:marRight w:val="0"/>
      <w:marTop w:val="0"/>
      <w:marBottom w:val="0"/>
      <w:divBdr>
        <w:top w:val="none" w:sz="0" w:space="0" w:color="auto"/>
        <w:left w:val="none" w:sz="0" w:space="0" w:color="auto"/>
        <w:bottom w:val="none" w:sz="0" w:space="0" w:color="auto"/>
        <w:right w:val="none" w:sz="0" w:space="0" w:color="auto"/>
      </w:divBdr>
    </w:div>
    <w:div w:id="1210604039">
      <w:bodyDiv w:val="1"/>
      <w:marLeft w:val="0"/>
      <w:marRight w:val="0"/>
      <w:marTop w:val="0"/>
      <w:marBottom w:val="0"/>
      <w:divBdr>
        <w:top w:val="none" w:sz="0" w:space="0" w:color="auto"/>
        <w:left w:val="none" w:sz="0" w:space="0" w:color="auto"/>
        <w:bottom w:val="none" w:sz="0" w:space="0" w:color="auto"/>
        <w:right w:val="none" w:sz="0" w:space="0" w:color="auto"/>
      </w:divBdr>
    </w:div>
    <w:div w:id="1231424919">
      <w:bodyDiv w:val="1"/>
      <w:marLeft w:val="0"/>
      <w:marRight w:val="0"/>
      <w:marTop w:val="0"/>
      <w:marBottom w:val="0"/>
      <w:divBdr>
        <w:top w:val="none" w:sz="0" w:space="0" w:color="auto"/>
        <w:left w:val="none" w:sz="0" w:space="0" w:color="auto"/>
        <w:bottom w:val="none" w:sz="0" w:space="0" w:color="auto"/>
        <w:right w:val="none" w:sz="0" w:space="0" w:color="auto"/>
      </w:divBdr>
    </w:div>
    <w:div w:id="1249272150">
      <w:bodyDiv w:val="1"/>
      <w:marLeft w:val="0"/>
      <w:marRight w:val="0"/>
      <w:marTop w:val="0"/>
      <w:marBottom w:val="0"/>
      <w:divBdr>
        <w:top w:val="none" w:sz="0" w:space="0" w:color="auto"/>
        <w:left w:val="none" w:sz="0" w:space="0" w:color="auto"/>
        <w:bottom w:val="none" w:sz="0" w:space="0" w:color="auto"/>
        <w:right w:val="none" w:sz="0" w:space="0" w:color="auto"/>
      </w:divBdr>
    </w:div>
    <w:div w:id="1256792283">
      <w:bodyDiv w:val="1"/>
      <w:marLeft w:val="0"/>
      <w:marRight w:val="0"/>
      <w:marTop w:val="0"/>
      <w:marBottom w:val="0"/>
      <w:divBdr>
        <w:top w:val="none" w:sz="0" w:space="0" w:color="auto"/>
        <w:left w:val="none" w:sz="0" w:space="0" w:color="auto"/>
        <w:bottom w:val="none" w:sz="0" w:space="0" w:color="auto"/>
        <w:right w:val="none" w:sz="0" w:space="0" w:color="auto"/>
      </w:divBdr>
    </w:div>
    <w:div w:id="1270506710">
      <w:bodyDiv w:val="1"/>
      <w:marLeft w:val="0"/>
      <w:marRight w:val="0"/>
      <w:marTop w:val="0"/>
      <w:marBottom w:val="0"/>
      <w:divBdr>
        <w:top w:val="none" w:sz="0" w:space="0" w:color="auto"/>
        <w:left w:val="none" w:sz="0" w:space="0" w:color="auto"/>
        <w:bottom w:val="none" w:sz="0" w:space="0" w:color="auto"/>
        <w:right w:val="none" w:sz="0" w:space="0" w:color="auto"/>
      </w:divBdr>
    </w:div>
    <w:div w:id="1308784787">
      <w:bodyDiv w:val="1"/>
      <w:marLeft w:val="0"/>
      <w:marRight w:val="0"/>
      <w:marTop w:val="0"/>
      <w:marBottom w:val="0"/>
      <w:divBdr>
        <w:top w:val="none" w:sz="0" w:space="0" w:color="auto"/>
        <w:left w:val="none" w:sz="0" w:space="0" w:color="auto"/>
        <w:bottom w:val="none" w:sz="0" w:space="0" w:color="auto"/>
        <w:right w:val="none" w:sz="0" w:space="0" w:color="auto"/>
      </w:divBdr>
    </w:div>
    <w:div w:id="1312052317">
      <w:bodyDiv w:val="1"/>
      <w:marLeft w:val="0"/>
      <w:marRight w:val="0"/>
      <w:marTop w:val="0"/>
      <w:marBottom w:val="0"/>
      <w:divBdr>
        <w:top w:val="none" w:sz="0" w:space="0" w:color="auto"/>
        <w:left w:val="none" w:sz="0" w:space="0" w:color="auto"/>
        <w:bottom w:val="none" w:sz="0" w:space="0" w:color="auto"/>
        <w:right w:val="none" w:sz="0" w:space="0" w:color="auto"/>
      </w:divBdr>
    </w:div>
    <w:div w:id="1333878756">
      <w:bodyDiv w:val="1"/>
      <w:marLeft w:val="0"/>
      <w:marRight w:val="0"/>
      <w:marTop w:val="0"/>
      <w:marBottom w:val="0"/>
      <w:divBdr>
        <w:top w:val="none" w:sz="0" w:space="0" w:color="auto"/>
        <w:left w:val="none" w:sz="0" w:space="0" w:color="auto"/>
        <w:bottom w:val="none" w:sz="0" w:space="0" w:color="auto"/>
        <w:right w:val="none" w:sz="0" w:space="0" w:color="auto"/>
      </w:divBdr>
    </w:div>
    <w:div w:id="1339388974">
      <w:bodyDiv w:val="1"/>
      <w:marLeft w:val="0"/>
      <w:marRight w:val="0"/>
      <w:marTop w:val="0"/>
      <w:marBottom w:val="0"/>
      <w:divBdr>
        <w:top w:val="none" w:sz="0" w:space="0" w:color="auto"/>
        <w:left w:val="none" w:sz="0" w:space="0" w:color="auto"/>
        <w:bottom w:val="none" w:sz="0" w:space="0" w:color="auto"/>
        <w:right w:val="none" w:sz="0" w:space="0" w:color="auto"/>
      </w:divBdr>
    </w:div>
    <w:div w:id="1340423434">
      <w:bodyDiv w:val="1"/>
      <w:marLeft w:val="0"/>
      <w:marRight w:val="0"/>
      <w:marTop w:val="0"/>
      <w:marBottom w:val="0"/>
      <w:divBdr>
        <w:top w:val="none" w:sz="0" w:space="0" w:color="auto"/>
        <w:left w:val="none" w:sz="0" w:space="0" w:color="auto"/>
        <w:bottom w:val="none" w:sz="0" w:space="0" w:color="auto"/>
        <w:right w:val="none" w:sz="0" w:space="0" w:color="auto"/>
      </w:divBdr>
    </w:div>
    <w:div w:id="1353805200">
      <w:bodyDiv w:val="1"/>
      <w:marLeft w:val="0"/>
      <w:marRight w:val="0"/>
      <w:marTop w:val="0"/>
      <w:marBottom w:val="0"/>
      <w:divBdr>
        <w:top w:val="none" w:sz="0" w:space="0" w:color="auto"/>
        <w:left w:val="none" w:sz="0" w:space="0" w:color="auto"/>
        <w:bottom w:val="none" w:sz="0" w:space="0" w:color="auto"/>
        <w:right w:val="none" w:sz="0" w:space="0" w:color="auto"/>
      </w:divBdr>
    </w:div>
    <w:div w:id="1384020260">
      <w:bodyDiv w:val="1"/>
      <w:marLeft w:val="0"/>
      <w:marRight w:val="0"/>
      <w:marTop w:val="0"/>
      <w:marBottom w:val="0"/>
      <w:divBdr>
        <w:top w:val="none" w:sz="0" w:space="0" w:color="auto"/>
        <w:left w:val="none" w:sz="0" w:space="0" w:color="auto"/>
        <w:bottom w:val="none" w:sz="0" w:space="0" w:color="auto"/>
        <w:right w:val="none" w:sz="0" w:space="0" w:color="auto"/>
      </w:divBdr>
    </w:div>
    <w:div w:id="1395162018">
      <w:bodyDiv w:val="1"/>
      <w:marLeft w:val="0"/>
      <w:marRight w:val="0"/>
      <w:marTop w:val="0"/>
      <w:marBottom w:val="0"/>
      <w:divBdr>
        <w:top w:val="none" w:sz="0" w:space="0" w:color="auto"/>
        <w:left w:val="none" w:sz="0" w:space="0" w:color="auto"/>
        <w:bottom w:val="none" w:sz="0" w:space="0" w:color="auto"/>
        <w:right w:val="none" w:sz="0" w:space="0" w:color="auto"/>
      </w:divBdr>
    </w:div>
    <w:div w:id="1396004592">
      <w:bodyDiv w:val="1"/>
      <w:marLeft w:val="0"/>
      <w:marRight w:val="0"/>
      <w:marTop w:val="0"/>
      <w:marBottom w:val="0"/>
      <w:divBdr>
        <w:top w:val="none" w:sz="0" w:space="0" w:color="auto"/>
        <w:left w:val="none" w:sz="0" w:space="0" w:color="auto"/>
        <w:bottom w:val="none" w:sz="0" w:space="0" w:color="auto"/>
        <w:right w:val="none" w:sz="0" w:space="0" w:color="auto"/>
      </w:divBdr>
    </w:div>
    <w:div w:id="1435664166">
      <w:bodyDiv w:val="1"/>
      <w:marLeft w:val="0"/>
      <w:marRight w:val="0"/>
      <w:marTop w:val="0"/>
      <w:marBottom w:val="0"/>
      <w:divBdr>
        <w:top w:val="none" w:sz="0" w:space="0" w:color="auto"/>
        <w:left w:val="none" w:sz="0" w:space="0" w:color="auto"/>
        <w:bottom w:val="none" w:sz="0" w:space="0" w:color="auto"/>
        <w:right w:val="none" w:sz="0" w:space="0" w:color="auto"/>
      </w:divBdr>
    </w:div>
    <w:div w:id="1453358006">
      <w:bodyDiv w:val="1"/>
      <w:marLeft w:val="0"/>
      <w:marRight w:val="0"/>
      <w:marTop w:val="0"/>
      <w:marBottom w:val="0"/>
      <w:divBdr>
        <w:top w:val="none" w:sz="0" w:space="0" w:color="auto"/>
        <w:left w:val="none" w:sz="0" w:space="0" w:color="auto"/>
        <w:bottom w:val="none" w:sz="0" w:space="0" w:color="auto"/>
        <w:right w:val="none" w:sz="0" w:space="0" w:color="auto"/>
      </w:divBdr>
    </w:div>
    <w:div w:id="1455906759">
      <w:bodyDiv w:val="1"/>
      <w:marLeft w:val="0"/>
      <w:marRight w:val="0"/>
      <w:marTop w:val="0"/>
      <w:marBottom w:val="0"/>
      <w:divBdr>
        <w:top w:val="none" w:sz="0" w:space="0" w:color="auto"/>
        <w:left w:val="none" w:sz="0" w:space="0" w:color="auto"/>
        <w:bottom w:val="none" w:sz="0" w:space="0" w:color="auto"/>
        <w:right w:val="none" w:sz="0" w:space="0" w:color="auto"/>
      </w:divBdr>
    </w:div>
    <w:div w:id="1483892120">
      <w:bodyDiv w:val="1"/>
      <w:marLeft w:val="0"/>
      <w:marRight w:val="0"/>
      <w:marTop w:val="0"/>
      <w:marBottom w:val="0"/>
      <w:divBdr>
        <w:top w:val="none" w:sz="0" w:space="0" w:color="auto"/>
        <w:left w:val="none" w:sz="0" w:space="0" w:color="auto"/>
        <w:bottom w:val="none" w:sz="0" w:space="0" w:color="auto"/>
        <w:right w:val="none" w:sz="0" w:space="0" w:color="auto"/>
      </w:divBdr>
    </w:div>
    <w:div w:id="1497576430">
      <w:bodyDiv w:val="1"/>
      <w:marLeft w:val="0"/>
      <w:marRight w:val="0"/>
      <w:marTop w:val="0"/>
      <w:marBottom w:val="0"/>
      <w:divBdr>
        <w:top w:val="none" w:sz="0" w:space="0" w:color="auto"/>
        <w:left w:val="none" w:sz="0" w:space="0" w:color="auto"/>
        <w:bottom w:val="none" w:sz="0" w:space="0" w:color="auto"/>
        <w:right w:val="none" w:sz="0" w:space="0" w:color="auto"/>
      </w:divBdr>
    </w:div>
    <w:div w:id="1506479248">
      <w:bodyDiv w:val="1"/>
      <w:marLeft w:val="0"/>
      <w:marRight w:val="0"/>
      <w:marTop w:val="0"/>
      <w:marBottom w:val="0"/>
      <w:divBdr>
        <w:top w:val="none" w:sz="0" w:space="0" w:color="auto"/>
        <w:left w:val="none" w:sz="0" w:space="0" w:color="auto"/>
        <w:bottom w:val="none" w:sz="0" w:space="0" w:color="auto"/>
        <w:right w:val="none" w:sz="0" w:space="0" w:color="auto"/>
      </w:divBdr>
    </w:div>
    <w:div w:id="1510218978">
      <w:bodyDiv w:val="1"/>
      <w:marLeft w:val="0"/>
      <w:marRight w:val="0"/>
      <w:marTop w:val="0"/>
      <w:marBottom w:val="0"/>
      <w:divBdr>
        <w:top w:val="none" w:sz="0" w:space="0" w:color="auto"/>
        <w:left w:val="none" w:sz="0" w:space="0" w:color="auto"/>
        <w:bottom w:val="none" w:sz="0" w:space="0" w:color="auto"/>
        <w:right w:val="none" w:sz="0" w:space="0" w:color="auto"/>
      </w:divBdr>
    </w:div>
    <w:div w:id="1510754764">
      <w:bodyDiv w:val="1"/>
      <w:marLeft w:val="0"/>
      <w:marRight w:val="0"/>
      <w:marTop w:val="0"/>
      <w:marBottom w:val="0"/>
      <w:divBdr>
        <w:top w:val="none" w:sz="0" w:space="0" w:color="auto"/>
        <w:left w:val="none" w:sz="0" w:space="0" w:color="auto"/>
        <w:bottom w:val="none" w:sz="0" w:space="0" w:color="auto"/>
        <w:right w:val="none" w:sz="0" w:space="0" w:color="auto"/>
      </w:divBdr>
    </w:div>
    <w:div w:id="1541934713">
      <w:bodyDiv w:val="1"/>
      <w:marLeft w:val="0"/>
      <w:marRight w:val="0"/>
      <w:marTop w:val="0"/>
      <w:marBottom w:val="0"/>
      <w:divBdr>
        <w:top w:val="none" w:sz="0" w:space="0" w:color="auto"/>
        <w:left w:val="none" w:sz="0" w:space="0" w:color="auto"/>
        <w:bottom w:val="none" w:sz="0" w:space="0" w:color="auto"/>
        <w:right w:val="none" w:sz="0" w:space="0" w:color="auto"/>
      </w:divBdr>
    </w:div>
    <w:div w:id="1544710021">
      <w:bodyDiv w:val="1"/>
      <w:marLeft w:val="0"/>
      <w:marRight w:val="0"/>
      <w:marTop w:val="0"/>
      <w:marBottom w:val="0"/>
      <w:divBdr>
        <w:top w:val="none" w:sz="0" w:space="0" w:color="auto"/>
        <w:left w:val="none" w:sz="0" w:space="0" w:color="auto"/>
        <w:bottom w:val="none" w:sz="0" w:space="0" w:color="auto"/>
        <w:right w:val="none" w:sz="0" w:space="0" w:color="auto"/>
      </w:divBdr>
    </w:div>
    <w:div w:id="1552113873">
      <w:bodyDiv w:val="1"/>
      <w:marLeft w:val="0"/>
      <w:marRight w:val="0"/>
      <w:marTop w:val="0"/>
      <w:marBottom w:val="0"/>
      <w:divBdr>
        <w:top w:val="none" w:sz="0" w:space="0" w:color="auto"/>
        <w:left w:val="none" w:sz="0" w:space="0" w:color="auto"/>
        <w:bottom w:val="none" w:sz="0" w:space="0" w:color="auto"/>
        <w:right w:val="none" w:sz="0" w:space="0" w:color="auto"/>
      </w:divBdr>
    </w:div>
    <w:div w:id="1553737281">
      <w:bodyDiv w:val="1"/>
      <w:marLeft w:val="0"/>
      <w:marRight w:val="0"/>
      <w:marTop w:val="0"/>
      <w:marBottom w:val="0"/>
      <w:divBdr>
        <w:top w:val="none" w:sz="0" w:space="0" w:color="auto"/>
        <w:left w:val="none" w:sz="0" w:space="0" w:color="auto"/>
        <w:bottom w:val="none" w:sz="0" w:space="0" w:color="auto"/>
        <w:right w:val="none" w:sz="0" w:space="0" w:color="auto"/>
      </w:divBdr>
    </w:div>
    <w:div w:id="1563639989">
      <w:bodyDiv w:val="1"/>
      <w:marLeft w:val="0"/>
      <w:marRight w:val="0"/>
      <w:marTop w:val="0"/>
      <w:marBottom w:val="0"/>
      <w:divBdr>
        <w:top w:val="none" w:sz="0" w:space="0" w:color="auto"/>
        <w:left w:val="none" w:sz="0" w:space="0" w:color="auto"/>
        <w:bottom w:val="none" w:sz="0" w:space="0" w:color="auto"/>
        <w:right w:val="none" w:sz="0" w:space="0" w:color="auto"/>
      </w:divBdr>
    </w:div>
    <w:div w:id="1569534944">
      <w:bodyDiv w:val="1"/>
      <w:marLeft w:val="0"/>
      <w:marRight w:val="0"/>
      <w:marTop w:val="0"/>
      <w:marBottom w:val="0"/>
      <w:divBdr>
        <w:top w:val="none" w:sz="0" w:space="0" w:color="auto"/>
        <w:left w:val="none" w:sz="0" w:space="0" w:color="auto"/>
        <w:bottom w:val="none" w:sz="0" w:space="0" w:color="auto"/>
        <w:right w:val="none" w:sz="0" w:space="0" w:color="auto"/>
      </w:divBdr>
    </w:div>
    <w:div w:id="1596210354">
      <w:bodyDiv w:val="1"/>
      <w:marLeft w:val="0"/>
      <w:marRight w:val="0"/>
      <w:marTop w:val="0"/>
      <w:marBottom w:val="0"/>
      <w:divBdr>
        <w:top w:val="none" w:sz="0" w:space="0" w:color="auto"/>
        <w:left w:val="none" w:sz="0" w:space="0" w:color="auto"/>
        <w:bottom w:val="none" w:sz="0" w:space="0" w:color="auto"/>
        <w:right w:val="none" w:sz="0" w:space="0" w:color="auto"/>
      </w:divBdr>
    </w:div>
    <w:div w:id="1632249869">
      <w:bodyDiv w:val="1"/>
      <w:marLeft w:val="0"/>
      <w:marRight w:val="0"/>
      <w:marTop w:val="0"/>
      <w:marBottom w:val="0"/>
      <w:divBdr>
        <w:top w:val="none" w:sz="0" w:space="0" w:color="auto"/>
        <w:left w:val="none" w:sz="0" w:space="0" w:color="auto"/>
        <w:bottom w:val="none" w:sz="0" w:space="0" w:color="auto"/>
        <w:right w:val="none" w:sz="0" w:space="0" w:color="auto"/>
      </w:divBdr>
    </w:div>
    <w:div w:id="1649819166">
      <w:bodyDiv w:val="1"/>
      <w:marLeft w:val="0"/>
      <w:marRight w:val="0"/>
      <w:marTop w:val="0"/>
      <w:marBottom w:val="0"/>
      <w:divBdr>
        <w:top w:val="none" w:sz="0" w:space="0" w:color="auto"/>
        <w:left w:val="none" w:sz="0" w:space="0" w:color="auto"/>
        <w:bottom w:val="none" w:sz="0" w:space="0" w:color="auto"/>
        <w:right w:val="none" w:sz="0" w:space="0" w:color="auto"/>
      </w:divBdr>
    </w:div>
    <w:div w:id="1660379024">
      <w:bodyDiv w:val="1"/>
      <w:marLeft w:val="0"/>
      <w:marRight w:val="0"/>
      <w:marTop w:val="0"/>
      <w:marBottom w:val="0"/>
      <w:divBdr>
        <w:top w:val="none" w:sz="0" w:space="0" w:color="auto"/>
        <w:left w:val="none" w:sz="0" w:space="0" w:color="auto"/>
        <w:bottom w:val="none" w:sz="0" w:space="0" w:color="auto"/>
        <w:right w:val="none" w:sz="0" w:space="0" w:color="auto"/>
      </w:divBdr>
    </w:div>
    <w:div w:id="1696803353">
      <w:bodyDiv w:val="1"/>
      <w:marLeft w:val="0"/>
      <w:marRight w:val="0"/>
      <w:marTop w:val="0"/>
      <w:marBottom w:val="0"/>
      <w:divBdr>
        <w:top w:val="none" w:sz="0" w:space="0" w:color="auto"/>
        <w:left w:val="none" w:sz="0" w:space="0" w:color="auto"/>
        <w:bottom w:val="none" w:sz="0" w:space="0" w:color="auto"/>
        <w:right w:val="none" w:sz="0" w:space="0" w:color="auto"/>
      </w:divBdr>
    </w:div>
    <w:div w:id="1698044138">
      <w:bodyDiv w:val="1"/>
      <w:marLeft w:val="0"/>
      <w:marRight w:val="0"/>
      <w:marTop w:val="0"/>
      <w:marBottom w:val="0"/>
      <w:divBdr>
        <w:top w:val="none" w:sz="0" w:space="0" w:color="auto"/>
        <w:left w:val="none" w:sz="0" w:space="0" w:color="auto"/>
        <w:bottom w:val="none" w:sz="0" w:space="0" w:color="auto"/>
        <w:right w:val="none" w:sz="0" w:space="0" w:color="auto"/>
      </w:divBdr>
    </w:div>
    <w:div w:id="1707758303">
      <w:bodyDiv w:val="1"/>
      <w:marLeft w:val="0"/>
      <w:marRight w:val="0"/>
      <w:marTop w:val="0"/>
      <w:marBottom w:val="0"/>
      <w:divBdr>
        <w:top w:val="none" w:sz="0" w:space="0" w:color="auto"/>
        <w:left w:val="none" w:sz="0" w:space="0" w:color="auto"/>
        <w:bottom w:val="none" w:sz="0" w:space="0" w:color="auto"/>
        <w:right w:val="none" w:sz="0" w:space="0" w:color="auto"/>
      </w:divBdr>
    </w:div>
    <w:div w:id="1732774761">
      <w:bodyDiv w:val="1"/>
      <w:marLeft w:val="0"/>
      <w:marRight w:val="0"/>
      <w:marTop w:val="0"/>
      <w:marBottom w:val="0"/>
      <w:divBdr>
        <w:top w:val="none" w:sz="0" w:space="0" w:color="auto"/>
        <w:left w:val="none" w:sz="0" w:space="0" w:color="auto"/>
        <w:bottom w:val="none" w:sz="0" w:space="0" w:color="auto"/>
        <w:right w:val="none" w:sz="0" w:space="0" w:color="auto"/>
      </w:divBdr>
    </w:div>
    <w:div w:id="1742175026">
      <w:bodyDiv w:val="1"/>
      <w:marLeft w:val="0"/>
      <w:marRight w:val="0"/>
      <w:marTop w:val="0"/>
      <w:marBottom w:val="0"/>
      <w:divBdr>
        <w:top w:val="none" w:sz="0" w:space="0" w:color="auto"/>
        <w:left w:val="none" w:sz="0" w:space="0" w:color="auto"/>
        <w:bottom w:val="none" w:sz="0" w:space="0" w:color="auto"/>
        <w:right w:val="none" w:sz="0" w:space="0" w:color="auto"/>
      </w:divBdr>
    </w:div>
    <w:div w:id="1755124340">
      <w:bodyDiv w:val="1"/>
      <w:marLeft w:val="0"/>
      <w:marRight w:val="0"/>
      <w:marTop w:val="0"/>
      <w:marBottom w:val="0"/>
      <w:divBdr>
        <w:top w:val="none" w:sz="0" w:space="0" w:color="auto"/>
        <w:left w:val="none" w:sz="0" w:space="0" w:color="auto"/>
        <w:bottom w:val="none" w:sz="0" w:space="0" w:color="auto"/>
        <w:right w:val="none" w:sz="0" w:space="0" w:color="auto"/>
      </w:divBdr>
    </w:div>
    <w:div w:id="1762412170">
      <w:bodyDiv w:val="1"/>
      <w:marLeft w:val="0"/>
      <w:marRight w:val="0"/>
      <w:marTop w:val="0"/>
      <w:marBottom w:val="0"/>
      <w:divBdr>
        <w:top w:val="none" w:sz="0" w:space="0" w:color="auto"/>
        <w:left w:val="none" w:sz="0" w:space="0" w:color="auto"/>
        <w:bottom w:val="none" w:sz="0" w:space="0" w:color="auto"/>
        <w:right w:val="none" w:sz="0" w:space="0" w:color="auto"/>
      </w:divBdr>
    </w:div>
    <w:div w:id="1775780271">
      <w:bodyDiv w:val="1"/>
      <w:marLeft w:val="0"/>
      <w:marRight w:val="0"/>
      <w:marTop w:val="0"/>
      <w:marBottom w:val="0"/>
      <w:divBdr>
        <w:top w:val="none" w:sz="0" w:space="0" w:color="auto"/>
        <w:left w:val="none" w:sz="0" w:space="0" w:color="auto"/>
        <w:bottom w:val="none" w:sz="0" w:space="0" w:color="auto"/>
        <w:right w:val="none" w:sz="0" w:space="0" w:color="auto"/>
      </w:divBdr>
    </w:div>
    <w:div w:id="1793162083">
      <w:bodyDiv w:val="1"/>
      <w:marLeft w:val="0"/>
      <w:marRight w:val="0"/>
      <w:marTop w:val="0"/>
      <w:marBottom w:val="0"/>
      <w:divBdr>
        <w:top w:val="none" w:sz="0" w:space="0" w:color="auto"/>
        <w:left w:val="none" w:sz="0" w:space="0" w:color="auto"/>
        <w:bottom w:val="none" w:sz="0" w:space="0" w:color="auto"/>
        <w:right w:val="none" w:sz="0" w:space="0" w:color="auto"/>
      </w:divBdr>
    </w:div>
    <w:div w:id="1823161228">
      <w:bodyDiv w:val="1"/>
      <w:marLeft w:val="0"/>
      <w:marRight w:val="0"/>
      <w:marTop w:val="0"/>
      <w:marBottom w:val="0"/>
      <w:divBdr>
        <w:top w:val="none" w:sz="0" w:space="0" w:color="auto"/>
        <w:left w:val="none" w:sz="0" w:space="0" w:color="auto"/>
        <w:bottom w:val="none" w:sz="0" w:space="0" w:color="auto"/>
        <w:right w:val="none" w:sz="0" w:space="0" w:color="auto"/>
      </w:divBdr>
    </w:div>
    <w:div w:id="1824155428">
      <w:bodyDiv w:val="1"/>
      <w:marLeft w:val="0"/>
      <w:marRight w:val="0"/>
      <w:marTop w:val="0"/>
      <w:marBottom w:val="0"/>
      <w:divBdr>
        <w:top w:val="none" w:sz="0" w:space="0" w:color="auto"/>
        <w:left w:val="none" w:sz="0" w:space="0" w:color="auto"/>
        <w:bottom w:val="none" w:sz="0" w:space="0" w:color="auto"/>
        <w:right w:val="none" w:sz="0" w:space="0" w:color="auto"/>
      </w:divBdr>
    </w:div>
    <w:div w:id="1826706279">
      <w:bodyDiv w:val="1"/>
      <w:marLeft w:val="0"/>
      <w:marRight w:val="0"/>
      <w:marTop w:val="0"/>
      <w:marBottom w:val="0"/>
      <w:divBdr>
        <w:top w:val="none" w:sz="0" w:space="0" w:color="auto"/>
        <w:left w:val="none" w:sz="0" w:space="0" w:color="auto"/>
        <w:bottom w:val="none" w:sz="0" w:space="0" w:color="auto"/>
        <w:right w:val="none" w:sz="0" w:space="0" w:color="auto"/>
      </w:divBdr>
    </w:div>
    <w:div w:id="1828521038">
      <w:bodyDiv w:val="1"/>
      <w:marLeft w:val="0"/>
      <w:marRight w:val="0"/>
      <w:marTop w:val="0"/>
      <w:marBottom w:val="0"/>
      <w:divBdr>
        <w:top w:val="none" w:sz="0" w:space="0" w:color="auto"/>
        <w:left w:val="none" w:sz="0" w:space="0" w:color="auto"/>
        <w:bottom w:val="none" w:sz="0" w:space="0" w:color="auto"/>
        <w:right w:val="none" w:sz="0" w:space="0" w:color="auto"/>
      </w:divBdr>
    </w:div>
    <w:div w:id="1833062441">
      <w:bodyDiv w:val="1"/>
      <w:marLeft w:val="0"/>
      <w:marRight w:val="0"/>
      <w:marTop w:val="0"/>
      <w:marBottom w:val="0"/>
      <w:divBdr>
        <w:top w:val="none" w:sz="0" w:space="0" w:color="auto"/>
        <w:left w:val="none" w:sz="0" w:space="0" w:color="auto"/>
        <w:bottom w:val="none" w:sz="0" w:space="0" w:color="auto"/>
        <w:right w:val="none" w:sz="0" w:space="0" w:color="auto"/>
      </w:divBdr>
    </w:div>
    <w:div w:id="1853110705">
      <w:bodyDiv w:val="1"/>
      <w:marLeft w:val="0"/>
      <w:marRight w:val="0"/>
      <w:marTop w:val="0"/>
      <w:marBottom w:val="0"/>
      <w:divBdr>
        <w:top w:val="none" w:sz="0" w:space="0" w:color="auto"/>
        <w:left w:val="none" w:sz="0" w:space="0" w:color="auto"/>
        <w:bottom w:val="none" w:sz="0" w:space="0" w:color="auto"/>
        <w:right w:val="none" w:sz="0" w:space="0" w:color="auto"/>
      </w:divBdr>
    </w:div>
    <w:div w:id="1857966483">
      <w:bodyDiv w:val="1"/>
      <w:marLeft w:val="0"/>
      <w:marRight w:val="0"/>
      <w:marTop w:val="0"/>
      <w:marBottom w:val="0"/>
      <w:divBdr>
        <w:top w:val="none" w:sz="0" w:space="0" w:color="auto"/>
        <w:left w:val="none" w:sz="0" w:space="0" w:color="auto"/>
        <w:bottom w:val="none" w:sz="0" w:space="0" w:color="auto"/>
        <w:right w:val="none" w:sz="0" w:space="0" w:color="auto"/>
      </w:divBdr>
    </w:div>
    <w:div w:id="1901476923">
      <w:bodyDiv w:val="1"/>
      <w:marLeft w:val="0"/>
      <w:marRight w:val="0"/>
      <w:marTop w:val="0"/>
      <w:marBottom w:val="0"/>
      <w:divBdr>
        <w:top w:val="none" w:sz="0" w:space="0" w:color="auto"/>
        <w:left w:val="none" w:sz="0" w:space="0" w:color="auto"/>
        <w:bottom w:val="none" w:sz="0" w:space="0" w:color="auto"/>
        <w:right w:val="none" w:sz="0" w:space="0" w:color="auto"/>
      </w:divBdr>
    </w:div>
    <w:div w:id="1908612465">
      <w:bodyDiv w:val="1"/>
      <w:marLeft w:val="0"/>
      <w:marRight w:val="0"/>
      <w:marTop w:val="0"/>
      <w:marBottom w:val="0"/>
      <w:divBdr>
        <w:top w:val="none" w:sz="0" w:space="0" w:color="auto"/>
        <w:left w:val="none" w:sz="0" w:space="0" w:color="auto"/>
        <w:bottom w:val="none" w:sz="0" w:space="0" w:color="auto"/>
        <w:right w:val="none" w:sz="0" w:space="0" w:color="auto"/>
      </w:divBdr>
      <w:divsChild>
        <w:div w:id="215242956">
          <w:marLeft w:val="547"/>
          <w:marRight w:val="0"/>
          <w:marTop w:val="48"/>
          <w:marBottom w:val="0"/>
          <w:divBdr>
            <w:top w:val="none" w:sz="0" w:space="0" w:color="auto"/>
            <w:left w:val="none" w:sz="0" w:space="0" w:color="auto"/>
            <w:bottom w:val="none" w:sz="0" w:space="0" w:color="auto"/>
            <w:right w:val="none" w:sz="0" w:space="0" w:color="auto"/>
          </w:divBdr>
        </w:div>
        <w:div w:id="1936285564">
          <w:marLeft w:val="547"/>
          <w:marRight w:val="0"/>
          <w:marTop w:val="48"/>
          <w:marBottom w:val="0"/>
          <w:divBdr>
            <w:top w:val="none" w:sz="0" w:space="0" w:color="auto"/>
            <w:left w:val="none" w:sz="0" w:space="0" w:color="auto"/>
            <w:bottom w:val="none" w:sz="0" w:space="0" w:color="auto"/>
            <w:right w:val="none" w:sz="0" w:space="0" w:color="auto"/>
          </w:divBdr>
        </w:div>
        <w:div w:id="2022269438">
          <w:marLeft w:val="547"/>
          <w:marRight w:val="0"/>
          <w:marTop w:val="48"/>
          <w:marBottom w:val="0"/>
          <w:divBdr>
            <w:top w:val="none" w:sz="0" w:space="0" w:color="auto"/>
            <w:left w:val="none" w:sz="0" w:space="0" w:color="auto"/>
            <w:bottom w:val="none" w:sz="0" w:space="0" w:color="auto"/>
            <w:right w:val="none" w:sz="0" w:space="0" w:color="auto"/>
          </w:divBdr>
        </w:div>
        <w:div w:id="402871601">
          <w:marLeft w:val="547"/>
          <w:marRight w:val="0"/>
          <w:marTop w:val="48"/>
          <w:marBottom w:val="0"/>
          <w:divBdr>
            <w:top w:val="none" w:sz="0" w:space="0" w:color="auto"/>
            <w:left w:val="none" w:sz="0" w:space="0" w:color="auto"/>
            <w:bottom w:val="none" w:sz="0" w:space="0" w:color="auto"/>
            <w:right w:val="none" w:sz="0" w:space="0" w:color="auto"/>
          </w:divBdr>
        </w:div>
        <w:div w:id="2109496173">
          <w:marLeft w:val="547"/>
          <w:marRight w:val="0"/>
          <w:marTop w:val="48"/>
          <w:marBottom w:val="0"/>
          <w:divBdr>
            <w:top w:val="none" w:sz="0" w:space="0" w:color="auto"/>
            <w:left w:val="none" w:sz="0" w:space="0" w:color="auto"/>
            <w:bottom w:val="none" w:sz="0" w:space="0" w:color="auto"/>
            <w:right w:val="none" w:sz="0" w:space="0" w:color="auto"/>
          </w:divBdr>
        </w:div>
        <w:div w:id="1774939183">
          <w:marLeft w:val="547"/>
          <w:marRight w:val="0"/>
          <w:marTop w:val="48"/>
          <w:marBottom w:val="0"/>
          <w:divBdr>
            <w:top w:val="none" w:sz="0" w:space="0" w:color="auto"/>
            <w:left w:val="none" w:sz="0" w:space="0" w:color="auto"/>
            <w:bottom w:val="none" w:sz="0" w:space="0" w:color="auto"/>
            <w:right w:val="none" w:sz="0" w:space="0" w:color="auto"/>
          </w:divBdr>
        </w:div>
      </w:divsChild>
    </w:div>
    <w:div w:id="1918588759">
      <w:bodyDiv w:val="1"/>
      <w:marLeft w:val="0"/>
      <w:marRight w:val="0"/>
      <w:marTop w:val="0"/>
      <w:marBottom w:val="0"/>
      <w:divBdr>
        <w:top w:val="none" w:sz="0" w:space="0" w:color="auto"/>
        <w:left w:val="none" w:sz="0" w:space="0" w:color="auto"/>
        <w:bottom w:val="none" w:sz="0" w:space="0" w:color="auto"/>
        <w:right w:val="none" w:sz="0" w:space="0" w:color="auto"/>
      </w:divBdr>
    </w:div>
    <w:div w:id="1965840439">
      <w:bodyDiv w:val="1"/>
      <w:marLeft w:val="0"/>
      <w:marRight w:val="0"/>
      <w:marTop w:val="0"/>
      <w:marBottom w:val="0"/>
      <w:divBdr>
        <w:top w:val="none" w:sz="0" w:space="0" w:color="auto"/>
        <w:left w:val="none" w:sz="0" w:space="0" w:color="auto"/>
        <w:bottom w:val="none" w:sz="0" w:space="0" w:color="auto"/>
        <w:right w:val="none" w:sz="0" w:space="0" w:color="auto"/>
      </w:divBdr>
    </w:div>
    <w:div w:id="2018457536">
      <w:bodyDiv w:val="1"/>
      <w:marLeft w:val="0"/>
      <w:marRight w:val="0"/>
      <w:marTop w:val="0"/>
      <w:marBottom w:val="0"/>
      <w:divBdr>
        <w:top w:val="none" w:sz="0" w:space="0" w:color="auto"/>
        <w:left w:val="none" w:sz="0" w:space="0" w:color="auto"/>
        <w:bottom w:val="none" w:sz="0" w:space="0" w:color="auto"/>
        <w:right w:val="none" w:sz="0" w:space="0" w:color="auto"/>
      </w:divBdr>
    </w:div>
    <w:div w:id="2112234909">
      <w:bodyDiv w:val="1"/>
      <w:marLeft w:val="0"/>
      <w:marRight w:val="0"/>
      <w:marTop w:val="0"/>
      <w:marBottom w:val="0"/>
      <w:divBdr>
        <w:top w:val="none" w:sz="0" w:space="0" w:color="auto"/>
        <w:left w:val="none" w:sz="0" w:space="0" w:color="auto"/>
        <w:bottom w:val="none" w:sz="0" w:space="0" w:color="auto"/>
        <w:right w:val="none" w:sz="0" w:space="0" w:color="auto"/>
      </w:divBdr>
    </w:div>
    <w:div w:id="214141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emf"/><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hyperlink" Target="http://www.vu.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CIRES\CIRES%20templates\CIRES_v3Jul17_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Wat04</b:Tag>
    <b:SourceType>JournalArticle</b:SourceType>
    <b:Guid>{6347EECF-8FBE-4F33-A369-70EEC68EC6E8}</b:Guid>
    <b:Title>Don't Throw Out the Baby with the Bathwater: The Case for a Reformed SES Funding Scheme</b:Title>
    <b:Year>2004</b:Year>
    <b:Author>
      <b:Author>
        <b:NameList>
          <b:Person>
            <b:Last>Watson</b:Last>
            <b:First>Louise</b:First>
          </b:Person>
        </b:NameList>
      </b:Author>
    </b:Author>
    <b:JournalName>Australian Journal of Education</b:JournalName>
    <b:Pages>227-238</b:Pages>
    <b:RefOrder>1</b:RefOrder>
  </b:Source>
  <b:Source>
    <b:Tag>Nat11</b:Tag>
    <b:SourceType>Report</b:SourceType>
    <b:Guid>{97ADDBD8-76B0-4978-BE89-15F86AC3D305}</b:Guid>
    <b:Title>Submission to the Review of Funding for Schooling</b:Title>
    <b:Year>2011</b:Year>
    <b:Publisher>National Catholic Education Commission</b:Publisher>
    <b:City>Canberra</b:City>
    <b:Author>
      <b:Author>
        <b:Corporate>National Catholic Education Commission</b:Corporate>
      </b:Author>
    </b:Author>
    <b:RefOrder>3</b:RefOrder>
  </b:Source>
  <b:Source>
    <b:Tag>Aus18</b:Tag>
    <b:SourceType>Report</b:SourceType>
    <b:Guid>{A430B3CF-729F-459F-82DE-C39B04D477AE}</b:Guid>
    <b:Title>Consumer Price Index, Australia, Cat. No. 6401.0, December 2017</b:Title>
    <b:Year>2018</b:Year>
    <b:City>Canberra</b:City>
    <b:Publisher>Australian Bureau of Statistics</b:Publisher>
    <b:Author>
      <b:Author>
        <b:Corporate>Australian Bureau of Statistics</b:Corporate>
      </b:Author>
    </b:Author>
    <b:RefOrder>5</b:RefOrder>
  </b:Source>
  <b:Source>
    <b:Tag>Ind11</b:Tag>
    <b:SourceType>Report</b:SourceType>
    <b:Guid>{C915902F-DA55-4315-B896-5B1559A68AB3}</b:Guid>
    <b:Author>
      <b:Author>
        <b:Corporate>Independent Schools Council of Australia</b:Corporate>
      </b:Author>
    </b:Author>
    <b:Title>Review of Funding for Schooling: Submission</b:Title>
    <b:Year>2011</b:Year>
    <b:City>Canberra</b:City>
    <b:Publisher>Independent Schools Council of Australia</b:Publisher>
    <b:RefOrder>7</b:RefOrder>
  </b:Source>
  <b:Source>
    <b:Tag>Dep97</b:Tag>
    <b:SourceType>Report</b:SourceType>
    <b:Guid>{F838C704-F07A-492B-9EB3-A7AFDD88268E}</b:Guid>
    <b:Author>
      <b:Author>
        <b:Corporate>Department of Employment, Education, Training and Youth Affairs</b:Corporate>
      </b:Author>
    </b:Author>
    <b:Title>Schools Funding: Consultation Report</b:Title>
    <b:Year>1997</b:Year>
    <b:Publisher>Department of Employment, Education, Training and Youth Affairs</b:Publisher>
    <b:City>Canberra</b:City>
    <b:RefOrder>8</b:RefOrder>
  </b:Source>
  <b:Source>
    <b:Tag>Placeholder1</b:Tag>
    <b:SourceType>Book</b:SourceType>
    <b:Guid>{562CFC54-40D7-4B57-B33C-7271B1CB424D}</b:Guid>
    <b:Author>
      <b:Author>
        <b:Corporate>Department of Employment, Education, Training and Youth Affairs</b:Corporate>
      </b:Author>
    </b:Author>
    <b:Title>Schools Funding: Consultation Report</b:Title>
    <b:Year>1997</b:Year>
    <b:City>Canberra</b:City>
    <b:Publisher>Department of Employment, Education, Training and Youth Affairs</b:Publisher>
    <b:RefOrder>4</b:RefOrder>
  </b:Source>
  <b:Source>
    <b:Tag>Placeholder2</b:Tag>
    <b:SourceType>Book</b:SourceType>
    <b:Guid>{F8D06A63-FFF8-4E17-B49B-6DB6171C66C5}</b:Guid>
    <b:Title>Taking God to School: The End of Australia's Egalitarian Education</b:Title>
    <b:Year>2014</b:Year>
    <b:Publisher>Allen &amp; Unwin</b:Publisher>
    <b:City>Crows Nest</b:City>
    <b:Author>
      <b:Author>
        <b:NameList>
          <b:Person>
            <b:Last>Maddox</b:Last>
            <b:First>Marion</b:First>
          </b:Person>
        </b:NameList>
      </b:Author>
    </b:Author>
    <b:RefOrder>2</b:RefOrder>
  </b:Source>
  <b:Source>
    <b:Tag>Aus17</b:Tag>
    <b:SourceType>Report</b:SourceType>
    <b:Guid>{9A07457D-EF87-4195-81F6-D9521A70F303}</b:Guid>
    <b:Author>
      <b:Author>
        <b:Corporate>Australian Government Department of Education and Training</b:Corporate>
      </b:Author>
    </b:Author>
    <b:Title>2017 (2016 Data) Financial Questionnaire (FQ) for Non-Government Schools Instructions</b:Title>
    <b:Year>2017</b:Year>
    <b:Publisher>Australian Government Department of Education and Training</b:Publisher>
    <b:City>Canberra</b:City>
    <b:RefOrder>6</b:RefOrder>
  </b:Source>
  <b:Source>
    <b:Tag>Cen17</b:Tag>
    <b:SourceType>Report</b:SourceType>
    <b:Guid>{0821CFCD-5CD0-4774-8786-4C319C8E88FB}</b:Guid>
    <b:Author>
      <b:Author>
        <b:Corporate>Centre for International Research on Education Systems, Victoria University</b:Corporate>
      </b:Author>
    </b:Author>
    <b:Title>The Socio-Economic Status (SES) score methodology used in recurrent school funding arrangements – Research Paper</b:Title>
    <b:Year>2017</b:Year>
    <b:Publisher>Australian Government Department of Education and Training</b:Publisher>
    <b:City>Canberra</b:City>
    <b:RefOrder>9</b:RefOrder>
  </b:Source>
</b:Sources>
</file>

<file path=customXml/itemProps1.xml><?xml version="1.0" encoding="utf-8"?>
<ds:datastoreItem xmlns:ds="http://schemas.openxmlformats.org/officeDocument/2006/customXml" ds:itemID="{07757F1E-CF84-4CC7-A2AC-176A1ACFA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CIRES_v3Jul17_blank.dotm</Template>
  <TotalTime>0</TotalTime>
  <Pages>29</Pages>
  <Words>6047</Words>
  <Characters>37542</Characters>
  <Application>Microsoft Office Word</Application>
  <DocSecurity>4</DocSecurity>
  <Lines>312</Lines>
  <Paragraphs>87</Paragraphs>
  <ScaleCrop>false</ScaleCrop>
  <HeadingPairs>
    <vt:vector size="2" baseType="variant">
      <vt:variant>
        <vt:lpstr>Title</vt:lpstr>
      </vt:variant>
      <vt:variant>
        <vt:i4>1</vt:i4>
      </vt:variant>
    </vt:vector>
  </HeadingPairs>
  <TitlesOfParts>
    <vt:vector size="1" baseType="lpstr">
      <vt:lpstr>COMMONWEALTH-STATE RELATIONS PROJECT</vt:lpstr>
    </vt:vector>
  </TitlesOfParts>
  <Company>UOM</Company>
  <LinksUpToDate>false</LinksUpToDate>
  <CharactersWithSpaces>43502</CharactersWithSpaces>
  <SharedDoc>false</SharedDoc>
  <HLinks>
    <vt:vector size="42" baseType="variant">
      <vt:variant>
        <vt:i4>3473505</vt:i4>
      </vt:variant>
      <vt:variant>
        <vt:i4>18</vt:i4>
      </vt:variant>
      <vt:variant>
        <vt:i4>0</vt:i4>
      </vt:variant>
      <vt:variant>
        <vt:i4>5</vt:i4>
      </vt:variant>
      <vt:variant>
        <vt:lpwstr>http://www.edfac.unimelb.edu.au/cpell/projects/</vt:lpwstr>
      </vt:variant>
      <vt:variant>
        <vt:lpwstr/>
      </vt:variant>
      <vt:variant>
        <vt:i4>3080306</vt:i4>
      </vt:variant>
      <vt:variant>
        <vt:i4>15</vt:i4>
      </vt:variant>
      <vt:variant>
        <vt:i4>0</vt:i4>
      </vt:variant>
      <vt:variant>
        <vt:i4>5</vt:i4>
      </vt:variant>
      <vt:variant>
        <vt:lpwstr>http://www.edfac.unimelb.edu.au/cpell/publications/</vt:lpwstr>
      </vt:variant>
      <vt:variant>
        <vt:lpwstr/>
      </vt:variant>
      <vt:variant>
        <vt:i4>4587587</vt:i4>
      </vt:variant>
      <vt:variant>
        <vt:i4>12</vt:i4>
      </vt:variant>
      <vt:variant>
        <vt:i4>0</vt:i4>
      </vt:variant>
      <vt:variant>
        <vt:i4>5</vt:i4>
      </vt:variant>
      <vt:variant>
        <vt:lpwstr>http://www.eduweb.vic.gov.au/edulibrary/public/postcomp/effectivestrategiesguideprint.pdf</vt:lpwstr>
      </vt:variant>
      <vt:variant>
        <vt:lpwstr/>
      </vt:variant>
      <vt:variant>
        <vt:i4>7340135</vt:i4>
      </vt:variant>
      <vt:variant>
        <vt:i4>9</vt:i4>
      </vt:variant>
      <vt:variant>
        <vt:i4>0</vt:i4>
      </vt:variant>
      <vt:variant>
        <vt:i4>5</vt:i4>
      </vt:variant>
      <vt:variant>
        <vt:lpwstr>http://www.eduweb.vic.gov.au/edulibrary/public/postcomp/effectivestrategiesreportprint.pdf</vt:lpwstr>
      </vt:variant>
      <vt:variant>
        <vt:lpwstr/>
      </vt:variant>
      <vt:variant>
        <vt:i4>8257555</vt:i4>
      </vt:variant>
      <vt:variant>
        <vt:i4>6</vt:i4>
      </vt:variant>
      <vt:variant>
        <vt:i4>0</vt:i4>
      </vt:variant>
      <vt:variant>
        <vt:i4>5</vt:i4>
      </vt:variant>
      <vt:variant>
        <vt:lpwstr>http://www.fya.org.au/wp-content/uploads/2009/05/fya_hypafreport_online_68pp.pdf</vt:lpwstr>
      </vt:variant>
      <vt:variant>
        <vt:lpwstr/>
      </vt:variant>
      <vt:variant>
        <vt:i4>2687013</vt:i4>
      </vt:variant>
      <vt:variant>
        <vt:i4>3</vt:i4>
      </vt:variant>
      <vt:variant>
        <vt:i4>0</vt:i4>
      </vt:variant>
      <vt:variant>
        <vt:i4>5</vt:i4>
      </vt:variant>
      <vt:variant>
        <vt:lpwstr>http://cdrp.ucsb.edu/dropouts/download.php?file=researchreport7.pdf</vt:lpwstr>
      </vt:variant>
      <vt:variant>
        <vt:lpwstr/>
      </vt:variant>
      <vt:variant>
        <vt:i4>6094883</vt:i4>
      </vt:variant>
      <vt:variant>
        <vt:i4>0</vt:i4>
      </vt:variant>
      <vt:variant>
        <vt:i4>0</vt:i4>
      </vt:variant>
      <vt:variant>
        <vt:i4>5</vt:i4>
      </vt:variant>
      <vt:variant>
        <vt:lpwstr>mailto:lamb@unimelb.edu.au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COMMONWEALTH-STATE RELATIONS PROJECT</dc:title>
  <dc:creator>Andrew Wade</dc:creator>
  <cp:lastModifiedBy>HODGSON,Philip</cp:lastModifiedBy>
  <cp:revision>2</cp:revision>
  <cp:lastPrinted>2018-07-10T02:25:00Z</cp:lastPrinted>
  <dcterms:created xsi:type="dcterms:W3CDTF">2018-07-13T00:50:00Z</dcterms:created>
  <dcterms:modified xsi:type="dcterms:W3CDTF">2018-07-13T00:50:00Z</dcterms:modified>
</cp:coreProperties>
</file>