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E4EFE4" w14:textId="742FEA4D" w:rsidR="00352F74" w:rsidRDefault="00530800" w:rsidP="004E1E7D">
      <w:pPr>
        <w:pStyle w:val="Heading4"/>
      </w:pPr>
      <w:r>
        <w:rPr>
          <w:noProof/>
          <w:lang w:eastAsia="en-AU"/>
        </w:rPr>
        <mc:AlternateContent>
          <mc:Choice Requires="wps">
            <w:drawing>
              <wp:anchor distT="0" distB="0" distL="114300" distR="114300" simplePos="0" relativeHeight="251668480" behindDoc="0" locked="0" layoutInCell="1" allowOverlap="1" wp14:anchorId="36987C93" wp14:editId="12EFE321">
                <wp:simplePos x="0" y="0"/>
                <wp:positionH relativeFrom="margin">
                  <wp:align>right</wp:align>
                </wp:positionH>
                <wp:positionV relativeFrom="page">
                  <wp:posOffset>1219200</wp:posOffset>
                </wp:positionV>
                <wp:extent cx="5730875" cy="2562225"/>
                <wp:effectExtent l="0" t="0" r="3175" b="9525"/>
                <wp:wrapNone/>
                <wp:docPr id="12" name="Text Box 12"/>
                <wp:cNvGraphicFramePr/>
                <a:graphic xmlns:a="http://schemas.openxmlformats.org/drawingml/2006/main">
                  <a:graphicData uri="http://schemas.microsoft.com/office/word/2010/wordprocessingShape">
                    <wps:wsp>
                      <wps:cNvSpPr txBox="1"/>
                      <wps:spPr>
                        <a:xfrm>
                          <a:off x="0" y="0"/>
                          <a:ext cx="5730875" cy="2562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234D0" w14:textId="29745D33" w:rsidR="001E36E1" w:rsidRPr="00530800" w:rsidRDefault="001E36E1" w:rsidP="00530800">
                            <w:pPr>
                              <w:pStyle w:val="FrontPagereporttitle"/>
                            </w:pPr>
                            <w:r w:rsidRPr="00530800">
                              <w:t xml:space="preserve">The </w:t>
                            </w:r>
                            <w:r>
                              <w:t>potential</w:t>
                            </w:r>
                            <w:r w:rsidRPr="00530800">
                              <w:t xml:space="preserve"> </w:t>
                            </w:r>
                            <w:r>
                              <w:t>for</w:t>
                            </w:r>
                            <w:r w:rsidRPr="00530800">
                              <w:t xml:space="preserve"> including </w:t>
                            </w:r>
                            <w:r>
                              <w:t>household</w:t>
                            </w:r>
                            <w:r w:rsidRPr="00530800">
                              <w:t xml:space="preserve"> wealth in a measure of capacity to contribute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87C93" id="_x0000_t202" coordsize="21600,21600" o:spt="202" path="m,l,21600r21600,l21600,xe">
                <v:stroke joinstyle="miter"/>
                <v:path gradientshapeok="t" o:connecttype="rect"/>
              </v:shapetype>
              <v:shape id="Text Box 12" o:spid="_x0000_s1026" type="#_x0000_t202" style="position:absolute;left:0;text-align:left;margin-left:400.05pt;margin-top:96pt;width:451.25pt;height:201.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" fillcolor="white [3201]" stroked="f" strokeweight=".5pt">
                <v:textbox>
                  <w:txbxContent>
                    <w:p w14:paraId="060234D0" w14:textId="29745D33" w:rsidR="001E36E1" w:rsidRPr="00530800" w:rsidRDefault="001E36E1" w:rsidP="00530800">
                      <w:pPr>
                        <w:pStyle w:val="FrontPagereporttitle"/>
                      </w:pPr>
                      <w:r w:rsidRPr="00530800">
                        <w:t xml:space="preserve">The </w:t>
                      </w:r>
                      <w:r>
                        <w:t>potential</w:t>
                      </w:r>
                      <w:r w:rsidRPr="00530800">
                        <w:t xml:space="preserve"> </w:t>
                      </w:r>
                      <w:r>
                        <w:t>for</w:t>
                      </w:r>
                      <w:r w:rsidRPr="00530800">
                        <w:t xml:space="preserve"> including </w:t>
                      </w:r>
                      <w:r>
                        <w:t>household</w:t>
                      </w:r>
                      <w:r w:rsidRPr="00530800">
                        <w:t xml:space="preserve"> wealth in a measure of capacity to contribute</w:t>
                      </w:r>
                    </w:p>
                  </w:txbxContent>
                </v:textbox>
                <w10:wrap anchorx="margin" anchory="page"/>
              </v:shape>
            </w:pict>
          </mc:Fallback>
        </mc:AlternateContent>
      </w:r>
    </w:p>
    <w:p w14:paraId="27D3EC80" w14:textId="77777777" w:rsidR="00BD17A3" w:rsidRPr="00F52149" w:rsidRDefault="00E941FD" w:rsidP="00C44628">
      <w:pPr>
        <w:sectPr w:rsidR="00BD17A3" w:rsidRPr="00F52149" w:rsidSect="00DA3FED">
          <w:footerReference w:type="even" r:id="rId8"/>
          <w:footerReference w:type="first" r:id="rId9"/>
          <w:type w:val="continuous"/>
          <w:pgSz w:w="11907" w:h="16839" w:code="9"/>
          <w:pgMar w:top="1440" w:right="1440" w:bottom="1440" w:left="1440" w:header="720" w:footer="720" w:gutter="0"/>
          <w:pgNumType w:start="1"/>
          <w:cols w:space="720"/>
          <w:noEndnote/>
          <w:titlePg/>
          <w:docGrid w:linePitch="326"/>
        </w:sectPr>
      </w:pPr>
      <w:r>
        <w:rPr>
          <w:noProof/>
          <w:lang w:eastAsia="en-AU"/>
        </w:rPr>
        <mc:AlternateContent>
          <mc:Choice Requires="wps">
            <w:drawing>
              <wp:anchor distT="0" distB="0" distL="114300" distR="114300" simplePos="0" relativeHeight="251669504" behindDoc="0" locked="0" layoutInCell="1" allowOverlap="1" wp14:anchorId="17E926A8" wp14:editId="667CC150">
                <wp:simplePos x="0" y="0"/>
                <wp:positionH relativeFrom="margin">
                  <wp:align>right</wp:align>
                </wp:positionH>
                <wp:positionV relativeFrom="page">
                  <wp:posOffset>5638800</wp:posOffset>
                </wp:positionV>
                <wp:extent cx="5730875" cy="2781300"/>
                <wp:effectExtent l="0" t="0" r="3175" b="0"/>
                <wp:wrapNone/>
                <wp:docPr id="13" name="Text Box 13"/>
                <wp:cNvGraphicFramePr/>
                <a:graphic xmlns:a="http://schemas.openxmlformats.org/drawingml/2006/main">
                  <a:graphicData uri="http://schemas.microsoft.com/office/word/2010/wordprocessingShape">
                    <wps:wsp>
                      <wps:cNvSpPr txBox="1"/>
                      <wps:spPr>
                        <a:xfrm>
                          <a:off x="0" y="0"/>
                          <a:ext cx="5730875" cy="278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5771B" w14:textId="77777777" w:rsidR="001E36E1" w:rsidRDefault="001E36E1" w:rsidP="00835CD9">
                            <w:pPr>
                              <w:pStyle w:val="FrontPagesub-heading2"/>
                            </w:pPr>
                            <w:r>
                              <w:t>Prepared for the National School Resourcing Board</w:t>
                            </w:r>
                          </w:p>
                          <w:p w14:paraId="26A7152F" w14:textId="77777777" w:rsidR="001E36E1" w:rsidRDefault="001E36E1" w:rsidP="00B742BC">
                            <w:pPr>
                              <w:pStyle w:val="FrontPagesub-heading2"/>
                            </w:pPr>
                          </w:p>
                          <w:p w14:paraId="72E485C3" w14:textId="77777777" w:rsidR="001E36E1" w:rsidRDefault="001E36E1" w:rsidP="00B742BC">
                            <w:pPr>
                              <w:pStyle w:val="FrontPagesub-heading2"/>
                            </w:pPr>
                          </w:p>
                          <w:p w14:paraId="43EC73F0" w14:textId="77777777" w:rsidR="001E36E1" w:rsidRDefault="001E36E1" w:rsidP="00B742BC">
                            <w:pPr>
                              <w:pStyle w:val="FrontPagesub-heading2"/>
                            </w:pPr>
                            <w:r>
                              <w:t>by Andrew Wade</w:t>
                            </w:r>
                          </w:p>
                          <w:p w14:paraId="61289FD1" w14:textId="77777777" w:rsidR="001E36E1" w:rsidRDefault="001E36E1" w:rsidP="00B742BC">
                            <w:pPr>
                              <w:pStyle w:val="FrontPagesub-heading2"/>
                            </w:pPr>
                          </w:p>
                          <w:p w14:paraId="6E8808C3" w14:textId="77777777" w:rsidR="001E36E1" w:rsidRDefault="001E36E1" w:rsidP="00B742BC">
                            <w:pPr>
                              <w:pStyle w:val="FrontPagesub-heading2"/>
                            </w:pPr>
                          </w:p>
                          <w:p w14:paraId="73C519FF" w14:textId="77777777" w:rsidR="001E36E1" w:rsidRDefault="001E36E1" w:rsidP="00B742BC">
                            <w:pPr>
                              <w:pStyle w:val="FrontPagesub-heading2"/>
                            </w:pPr>
                          </w:p>
                          <w:p w14:paraId="6B8340E6" w14:textId="77777777" w:rsidR="001E36E1" w:rsidRDefault="001E36E1" w:rsidP="00B742BC">
                            <w:pPr>
                              <w:pStyle w:val="FrontPagesub-heading2"/>
                            </w:pPr>
                          </w:p>
                          <w:p w14:paraId="255D9BBC" w14:textId="27B30747" w:rsidR="001E36E1" w:rsidRPr="00B742BC" w:rsidRDefault="001E36E1" w:rsidP="00B742BC">
                            <w:pPr>
                              <w:pStyle w:val="FrontPagesub-heading2"/>
                            </w:pPr>
                            <w:r>
                              <w:t>May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926A8" id="Text Box 13" o:spid="_x0000_s1027" type="#_x0000_t202" style="position:absolute;left:0;text-align:left;margin-left:400.05pt;margin-top:444pt;width:451.25pt;height:219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" fillcolor="white [3201]" stroked="f" strokeweight=".5pt">
                <v:textbox>
                  <w:txbxContent>
                    <w:p w14:paraId="22B5771B" w14:textId="77777777" w:rsidR="001E36E1" w:rsidRDefault="001E36E1" w:rsidP="00835CD9">
                      <w:pPr>
                        <w:pStyle w:val="FrontPagesub-heading2"/>
                      </w:pPr>
                      <w:r>
                        <w:t>Prepared for the National School Resourcing Board</w:t>
                      </w:r>
                    </w:p>
                    <w:p w14:paraId="26A7152F" w14:textId="77777777" w:rsidR="001E36E1" w:rsidRDefault="001E36E1" w:rsidP="00B742BC">
                      <w:pPr>
                        <w:pStyle w:val="FrontPagesub-heading2"/>
                      </w:pPr>
                    </w:p>
                    <w:p w14:paraId="72E485C3" w14:textId="77777777" w:rsidR="001E36E1" w:rsidRDefault="001E36E1" w:rsidP="00B742BC">
                      <w:pPr>
                        <w:pStyle w:val="FrontPagesub-heading2"/>
                      </w:pPr>
                    </w:p>
                    <w:p w14:paraId="43EC73F0" w14:textId="77777777" w:rsidR="001E36E1" w:rsidRDefault="001E36E1" w:rsidP="00B742BC">
                      <w:pPr>
                        <w:pStyle w:val="FrontPagesub-heading2"/>
                      </w:pPr>
                      <w:proofErr w:type="gramStart"/>
                      <w:r>
                        <w:t>by</w:t>
                      </w:r>
                      <w:proofErr w:type="gramEnd"/>
                      <w:r>
                        <w:t xml:space="preserve"> Andrew Wade</w:t>
                      </w:r>
                    </w:p>
                    <w:p w14:paraId="61289FD1" w14:textId="77777777" w:rsidR="001E36E1" w:rsidRDefault="001E36E1" w:rsidP="00B742BC">
                      <w:pPr>
                        <w:pStyle w:val="FrontPagesub-heading2"/>
                      </w:pPr>
                    </w:p>
                    <w:p w14:paraId="6E8808C3" w14:textId="77777777" w:rsidR="001E36E1" w:rsidRDefault="001E36E1" w:rsidP="00B742BC">
                      <w:pPr>
                        <w:pStyle w:val="FrontPagesub-heading2"/>
                      </w:pPr>
                    </w:p>
                    <w:p w14:paraId="73C519FF" w14:textId="77777777" w:rsidR="001E36E1" w:rsidRDefault="001E36E1" w:rsidP="00B742BC">
                      <w:pPr>
                        <w:pStyle w:val="FrontPagesub-heading2"/>
                      </w:pPr>
                    </w:p>
                    <w:p w14:paraId="6B8340E6" w14:textId="77777777" w:rsidR="001E36E1" w:rsidRDefault="001E36E1" w:rsidP="00B742BC">
                      <w:pPr>
                        <w:pStyle w:val="FrontPagesub-heading2"/>
                      </w:pPr>
                    </w:p>
                    <w:p w14:paraId="255D9BBC" w14:textId="27B30747" w:rsidR="001E36E1" w:rsidRPr="00B742BC" w:rsidRDefault="001E36E1" w:rsidP="00B742BC">
                      <w:pPr>
                        <w:pStyle w:val="FrontPagesub-heading2"/>
                      </w:pPr>
                      <w:r>
                        <w:t>May 2018</w:t>
                      </w:r>
                    </w:p>
                  </w:txbxContent>
                </v:textbox>
                <w10:wrap anchorx="margin" anchory="page"/>
              </v:shape>
            </w:pict>
          </mc:Fallback>
        </mc:AlternateContent>
      </w:r>
      <w:r w:rsidR="00530800">
        <w:rPr>
          <w:noProof/>
          <w:lang w:eastAsia="en-AU"/>
        </w:rPr>
        <mc:AlternateContent>
          <mc:Choice Requires="wps">
            <w:drawing>
              <wp:anchor distT="0" distB="0" distL="114300" distR="114300" simplePos="0" relativeHeight="251664384" behindDoc="0" locked="0" layoutInCell="0" allowOverlap="1" wp14:anchorId="5B110270" wp14:editId="36975D80">
                <wp:simplePos x="0" y="0"/>
                <wp:positionH relativeFrom="page">
                  <wp:posOffset>-6350</wp:posOffset>
                </wp:positionH>
                <wp:positionV relativeFrom="page">
                  <wp:posOffset>4556760</wp:posOffset>
                </wp:positionV>
                <wp:extent cx="6667500" cy="643890"/>
                <wp:effectExtent l="0" t="0" r="0" b="381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643890"/>
                        </a:xfrm>
                        <a:prstGeom prst="rect">
                          <a:avLst/>
                        </a:prstGeom>
                        <a:solidFill>
                          <a:schemeClr val="accent1">
                            <a:lumMod val="100000"/>
                            <a:lumOff val="0"/>
                          </a:schemeClr>
                        </a:solidFill>
                        <a:ln w="12700">
                          <a:noFill/>
                          <a:miter lim="800000"/>
                          <a:headEnd/>
                          <a:tailEnd/>
                        </a:ln>
                      </wps:spPr>
                      <wps:txbx>
                        <w:txbxContent>
                          <w:p w14:paraId="25F63AF5" w14:textId="77777777" w:rsidR="001E36E1" w:rsidRPr="00B742BC" w:rsidRDefault="001E36E1" w:rsidP="00B742BC">
                            <w:pPr>
                              <w:pStyle w:val="FrontPagesub-heading"/>
                            </w:pPr>
                            <w:r>
                              <w:t>Report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110270" id="Rectangle 16" o:spid="_x0000_s1028" style="position:absolute;left:0;text-align:left;margin-left:-.5pt;margin-top:358.8pt;width:525pt;height:5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" o:allowincell="f" fillcolor="#4f81bd [3204]" stroked="f" strokeweight="1pt">
                <v:textbox inset="14.4pt,,14.4pt">
                  <w:txbxContent>
                    <w:p w14:paraId="25F63AF5" w14:textId="77777777" w:rsidR="001E36E1" w:rsidRPr="00B742BC" w:rsidRDefault="001E36E1" w:rsidP="00B742BC">
                      <w:pPr>
                        <w:pStyle w:val="FrontPagesub-heading"/>
                      </w:pPr>
                      <w:r>
                        <w:t>Report</w:t>
                      </w:r>
                    </w:p>
                  </w:txbxContent>
                </v:textbox>
                <w10:wrap anchorx="page" anchory="page"/>
              </v:rect>
            </w:pict>
          </mc:Fallback>
        </mc:AlternateContent>
      </w:r>
    </w:p>
    <w:p w14:paraId="0824A8D8" w14:textId="77777777" w:rsidR="00CE69E7" w:rsidRDefault="00CE69E7" w:rsidP="00C44628"/>
    <w:p w14:paraId="016E1EBE" w14:textId="77777777" w:rsidR="00352F74" w:rsidRDefault="00352F74" w:rsidP="00C44628"/>
    <w:p w14:paraId="789E224E" w14:textId="77777777" w:rsidR="00352F74" w:rsidRDefault="00352F74" w:rsidP="00C44628">
      <w:pPr>
        <w:sectPr w:rsidR="00352F74" w:rsidSect="00DA3FED">
          <w:headerReference w:type="first" r:id="rId10"/>
          <w:footerReference w:type="first" r:id="rId11"/>
          <w:pgSz w:w="11907" w:h="16839" w:code="9"/>
          <w:pgMar w:top="1440" w:right="1440" w:bottom="1440" w:left="1440" w:header="720" w:footer="720" w:gutter="0"/>
          <w:pgNumType w:start="1"/>
          <w:cols w:space="720"/>
          <w:noEndnote/>
          <w:titlePg/>
          <w:docGrid w:linePitch="326"/>
        </w:sectPr>
      </w:pPr>
    </w:p>
    <w:p w14:paraId="65970EE2" w14:textId="77777777" w:rsidR="00C12EC1" w:rsidRPr="00F54D36" w:rsidRDefault="00C12EC1" w:rsidP="00A12411">
      <w:pPr>
        <w:pStyle w:val="HeadingTOC"/>
      </w:pPr>
      <w:bookmarkStart w:id="1" w:name="_Toc481431389"/>
      <w:bookmarkStart w:id="2" w:name="_Toc518377352"/>
      <w:r w:rsidRPr="00F54D36">
        <w:t xml:space="preserve">Executive </w:t>
      </w:r>
      <w:r w:rsidRPr="00A12411">
        <w:t>Summary</w:t>
      </w:r>
      <w:bookmarkEnd w:id="1"/>
      <w:bookmarkEnd w:id="2"/>
    </w:p>
    <w:p w14:paraId="6F22E5EA" w14:textId="2B4D5AC5" w:rsidR="001C6D35" w:rsidRDefault="001C6D35" w:rsidP="001C6D35">
      <w:pPr>
        <w:rPr>
          <w:noProof/>
        </w:rPr>
      </w:pPr>
      <w:bookmarkStart w:id="3" w:name="_Hlk517942759"/>
      <w:r>
        <w:rPr>
          <w:noProof/>
        </w:rPr>
        <w:t xml:space="preserve">The Centre for International Research on Education Systems at Victoria University has been commissioned by the National School Resourcing Board (the Board) to prepare a report examining whether assessment of the capacity of non-government school communities to contribute to the operational costs of their school should incorporate </w:t>
      </w:r>
      <w:r w:rsidR="00AB50CA">
        <w:rPr>
          <w:noProof/>
        </w:rPr>
        <w:t>household</w:t>
      </w:r>
      <w:r>
        <w:rPr>
          <w:noProof/>
        </w:rPr>
        <w:t xml:space="preserve"> wealth. </w:t>
      </w:r>
    </w:p>
    <w:p w14:paraId="28DB3ED7" w14:textId="1E17A42B" w:rsidR="001C6D35" w:rsidRDefault="001C6D35" w:rsidP="001C6D35">
      <w:pPr>
        <w:rPr>
          <w:noProof/>
        </w:rPr>
      </w:pPr>
      <w:r>
        <w:rPr>
          <w:noProof/>
        </w:rPr>
        <w:t>The Board was tasked by Senator the Hon Simon Birmingham to review the socio-economic status</w:t>
      </w:r>
      <w:r w:rsidR="00705A87">
        <w:rPr>
          <w:noProof/>
        </w:rPr>
        <w:t xml:space="preserve"> (SES)</w:t>
      </w:r>
      <w:r>
        <w:rPr>
          <w:noProof/>
        </w:rPr>
        <w:t xml:space="preserve"> score methodology</w:t>
      </w:r>
      <w:r w:rsidR="00705A87">
        <w:rPr>
          <w:noProof/>
        </w:rPr>
        <w:t>. This</w:t>
      </w:r>
      <w:r w:rsidR="00455052">
        <w:rPr>
          <w:noProof/>
        </w:rPr>
        <w:t xml:space="preserve"> method</w:t>
      </w:r>
      <w:r>
        <w:rPr>
          <w:noProof/>
        </w:rPr>
        <w:t xml:space="preserve"> is used to determine the Commonwealth’s per-student base recurrent funding contribution for individual non-government schools. </w:t>
      </w:r>
    </w:p>
    <w:bookmarkEnd w:id="3"/>
    <w:p w14:paraId="7E068941" w14:textId="761DDE90" w:rsidR="00A13EC3" w:rsidRDefault="007355D8" w:rsidP="00A13EC3">
      <w:pPr>
        <w:rPr>
          <w:noProof/>
        </w:rPr>
      </w:pPr>
      <w:r>
        <w:rPr>
          <w:noProof/>
        </w:rPr>
        <w:t xml:space="preserve">The current approach to estimating </w:t>
      </w:r>
      <w:r w:rsidR="00D566A5">
        <w:rPr>
          <w:noProof/>
        </w:rPr>
        <w:t>capacity to contribute (</w:t>
      </w:r>
      <w:r>
        <w:rPr>
          <w:noProof/>
        </w:rPr>
        <w:t>CTC</w:t>
      </w:r>
      <w:r w:rsidR="00D566A5">
        <w:rPr>
          <w:noProof/>
        </w:rPr>
        <w:t>)</w:t>
      </w:r>
      <w:r w:rsidR="0029475F">
        <w:rPr>
          <w:noProof/>
        </w:rPr>
        <w:t xml:space="preserve"> </w:t>
      </w:r>
      <w:r w:rsidR="00936F5B">
        <w:rPr>
          <w:noProof/>
        </w:rPr>
        <w:t>comprises</w:t>
      </w:r>
      <w:r w:rsidR="0029475F">
        <w:rPr>
          <w:noProof/>
        </w:rPr>
        <w:t xml:space="preserve"> </w:t>
      </w:r>
      <w:r>
        <w:rPr>
          <w:noProof/>
        </w:rPr>
        <w:t>estimat</w:t>
      </w:r>
      <w:r w:rsidR="00E44C77">
        <w:rPr>
          <w:noProof/>
        </w:rPr>
        <w:t>ing</w:t>
      </w:r>
      <w:r>
        <w:rPr>
          <w:noProof/>
        </w:rPr>
        <w:t xml:space="preserve"> an SES score</w:t>
      </w:r>
      <w:r w:rsidR="0029475F">
        <w:rPr>
          <w:noProof/>
        </w:rPr>
        <w:t xml:space="preserve"> </w:t>
      </w:r>
      <w:r w:rsidRPr="0004436B">
        <w:rPr>
          <w:noProof/>
        </w:rPr>
        <w:t>focussed on families of children attending non-government schools</w:t>
      </w:r>
      <w:r w:rsidR="0029475F">
        <w:rPr>
          <w:noProof/>
        </w:rPr>
        <w:t>. This approach</w:t>
      </w:r>
      <w:r w:rsidR="00705A87">
        <w:rPr>
          <w:noProof/>
        </w:rPr>
        <w:t xml:space="preserve"> </w:t>
      </w:r>
      <w:r>
        <w:rPr>
          <w:noProof/>
        </w:rPr>
        <w:t xml:space="preserve">has </w:t>
      </w:r>
      <w:r w:rsidR="00BC2535">
        <w:rPr>
          <w:noProof/>
        </w:rPr>
        <w:t>previously been criticis</w:t>
      </w:r>
      <w:r>
        <w:rPr>
          <w:noProof/>
        </w:rPr>
        <w:t xml:space="preserve">ed </w:t>
      </w:r>
      <w:r w:rsidR="0029475F">
        <w:rPr>
          <w:noProof/>
        </w:rPr>
        <w:t>for</w:t>
      </w:r>
      <w:r>
        <w:rPr>
          <w:noProof/>
        </w:rPr>
        <w:t xml:space="preserve"> </w:t>
      </w:r>
      <w:r w:rsidR="0004436B" w:rsidRPr="0004436B">
        <w:rPr>
          <w:noProof/>
        </w:rPr>
        <w:t>not provid</w:t>
      </w:r>
      <w:r>
        <w:rPr>
          <w:noProof/>
        </w:rPr>
        <w:t>ing</w:t>
      </w:r>
      <w:r w:rsidR="0004436B" w:rsidRPr="0004436B">
        <w:rPr>
          <w:noProof/>
        </w:rPr>
        <w:t xml:space="preserve"> an accurate measure of school community CTC</w:t>
      </w:r>
      <w:r w:rsidR="00BC2535">
        <w:rPr>
          <w:noProof/>
        </w:rPr>
        <w:t>. Th</w:t>
      </w:r>
      <w:r>
        <w:rPr>
          <w:noProof/>
        </w:rPr>
        <w:t>i</w:t>
      </w:r>
      <w:r w:rsidR="00BC2535">
        <w:rPr>
          <w:noProof/>
        </w:rPr>
        <w:t xml:space="preserve">s is </w:t>
      </w:r>
      <w:r w:rsidR="00936F5B">
        <w:rPr>
          <w:noProof/>
        </w:rPr>
        <w:t>a consequence of</w:t>
      </w:r>
      <w:r w:rsidR="00BC2535">
        <w:rPr>
          <w:noProof/>
        </w:rPr>
        <w:t xml:space="preserve"> the </w:t>
      </w:r>
      <w:r w:rsidR="00A53B12">
        <w:rPr>
          <w:noProof/>
        </w:rPr>
        <w:t xml:space="preserve">current </w:t>
      </w:r>
      <w:r w:rsidR="00E44C77">
        <w:rPr>
          <w:noProof/>
        </w:rPr>
        <w:t xml:space="preserve">SES score </w:t>
      </w:r>
      <w:r w:rsidR="00A13EC3">
        <w:rPr>
          <w:noProof/>
        </w:rPr>
        <w:t xml:space="preserve">estimation </w:t>
      </w:r>
      <w:r w:rsidR="00A53B12">
        <w:rPr>
          <w:noProof/>
        </w:rPr>
        <w:t>us</w:t>
      </w:r>
      <w:r w:rsidR="00936F5B">
        <w:rPr>
          <w:noProof/>
        </w:rPr>
        <w:t>ing</w:t>
      </w:r>
      <w:r w:rsidR="00A53B12">
        <w:rPr>
          <w:noProof/>
        </w:rPr>
        <w:t xml:space="preserve"> area-level data and </w:t>
      </w:r>
      <w:r w:rsidR="00A13EC3">
        <w:rPr>
          <w:noProof/>
        </w:rPr>
        <w:t>not consider</w:t>
      </w:r>
      <w:r w:rsidR="00936F5B">
        <w:rPr>
          <w:noProof/>
        </w:rPr>
        <w:t>ing</w:t>
      </w:r>
      <w:r w:rsidR="00A13EC3">
        <w:rPr>
          <w:noProof/>
        </w:rPr>
        <w:t xml:space="preserve"> household wealth. Rather the current estimation method uses data on </w:t>
      </w:r>
      <w:r w:rsidR="00936F5B">
        <w:rPr>
          <w:noProof/>
        </w:rPr>
        <w:t xml:space="preserve">the </w:t>
      </w:r>
      <w:r w:rsidR="00A13EC3">
        <w:rPr>
          <w:noProof/>
        </w:rPr>
        <w:t xml:space="preserve">income, education </w:t>
      </w:r>
      <w:r w:rsidR="00936F5B">
        <w:rPr>
          <w:noProof/>
        </w:rPr>
        <w:t xml:space="preserve">levels </w:t>
      </w:r>
      <w:r w:rsidR="00A13EC3">
        <w:rPr>
          <w:noProof/>
        </w:rPr>
        <w:t>and occupation</w:t>
      </w:r>
      <w:r w:rsidR="00936F5B">
        <w:rPr>
          <w:noProof/>
        </w:rPr>
        <w:t>s</w:t>
      </w:r>
      <w:r w:rsidR="00A13EC3">
        <w:rPr>
          <w:noProof/>
        </w:rPr>
        <w:t xml:space="preserve"> </w:t>
      </w:r>
      <w:r w:rsidR="00936F5B">
        <w:rPr>
          <w:noProof/>
        </w:rPr>
        <w:t xml:space="preserve">of all families </w:t>
      </w:r>
      <w:r w:rsidR="0029475F">
        <w:rPr>
          <w:noProof/>
        </w:rPr>
        <w:t>within</w:t>
      </w:r>
      <w:r w:rsidR="00A13EC3">
        <w:rPr>
          <w:noProof/>
        </w:rPr>
        <w:t xml:space="preserve"> the areas where school families reside</w:t>
      </w:r>
      <w:r w:rsidR="0004436B" w:rsidRPr="0004436B">
        <w:rPr>
          <w:noProof/>
        </w:rPr>
        <w:t>.</w:t>
      </w:r>
      <w:r w:rsidR="00A53B12">
        <w:rPr>
          <w:rStyle w:val="FootnoteReference"/>
          <w:noProof/>
        </w:rPr>
        <w:footnoteReference w:id="1"/>
      </w:r>
      <w:r w:rsidR="0004436B" w:rsidRPr="0004436B">
        <w:rPr>
          <w:noProof/>
        </w:rPr>
        <w:t xml:space="preserve"> </w:t>
      </w:r>
    </w:p>
    <w:p w14:paraId="5BCC89EF" w14:textId="77777777" w:rsidR="00A13EC3" w:rsidRPr="00AB50CA" w:rsidRDefault="00A13EC3" w:rsidP="00A13EC3">
      <w:pPr>
        <w:rPr>
          <w:noProof/>
        </w:rPr>
      </w:pPr>
      <w:r>
        <w:rPr>
          <w:noProof/>
        </w:rPr>
        <w:t xml:space="preserve">The conceptual argument for using a measure of household wealth when assessing CTC is that </w:t>
      </w:r>
      <w:r w:rsidR="00D566A5">
        <w:rPr>
          <w:noProof/>
        </w:rPr>
        <w:t>if</w:t>
      </w:r>
      <w:r w:rsidRPr="00AB50CA">
        <w:rPr>
          <w:noProof/>
        </w:rPr>
        <w:t xml:space="preserve"> two households </w:t>
      </w:r>
      <w:r w:rsidR="00D566A5">
        <w:rPr>
          <w:noProof/>
        </w:rPr>
        <w:t xml:space="preserve">are </w:t>
      </w:r>
      <w:r w:rsidRPr="00AB50CA">
        <w:rPr>
          <w:noProof/>
        </w:rPr>
        <w:t xml:space="preserve">identical on the basis of education, occupation and income, the household with the higher wealth has the higher CTC. </w:t>
      </w:r>
    </w:p>
    <w:p w14:paraId="50D47176" w14:textId="7EF174F4" w:rsidR="00AB50CA" w:rsidRDefault="00A13EC3" w:rsidP="00A13EC3">
      <w:pPr>
        <w:rPr>
          <w:noProof/>
        </w:rPr>
      </w:pPr>
      <w:r>
        <w:rPr>
          <w:noProof/>
        </w:rPr>
        <w:t xml:space="preserve">In this context, this report examines two questions. Does the </w:t>
      </w:r>
      <w:r w:rsidR="00AB50CA" w:rsidRPr="00AB50CA">
        <w:rPr>
          <w:noProof/>
        </w:rPr>
        <w:t>omission of household wealth from a CTC measure</w:t>
      </w:r>
      <w:r w:rsidR="0029475F">
        <w:rPr>
          <w:noProof/>
        </w:rPr>
        <w:t>,</w:t>
      </w:r>
      <w:r w:rsidR="00AB50CA" w:rsidRPr="00AB50CA">
        <w:rPr>
          <w:noProof/>
        </w:rPr>
        <w:t xml:space="preserve"> lead to it’s mismeasurement</w:t>
      </w:r>
      <w:r>
        <w:rPr>
          <w:noProof/>
        </w:rPr>
        <w:t xml:space="preserve">? </w:t>
      </w:r>
      <w:r w:rsidR="0029475F">
        <w:rPr>
          <w:noProof/>
        </w:rPr>
        <w:t>Additi</w:t>
      </w:r>
      <w:r w:rsidR="00455052">
        <w:rPr>
          <w:noProof/>
        </w:rPr>
        <w:t>o</w:t>
      </w:r>
      <w:r w:rsidR="0029475F">
        <w:rPr>
          <w:noProof/>
        </w:rPr>
        <w:t>nally,</w:t>
      </w:r>
      <w:r w:rsidR="00E63F55">
        <w:rPr>
          <w:noProof/>
        </w:rPr>
        <w:t xml:space="preserve"> </w:t>
      </w:r>
      <w:r>
        <w:rPr>
          <w:noProof/>
        </w:rPr>
        <w:t>does currently available data enable the development of a</w:t>
      </w:r>
      <w:r w:rsidR="00C5177E">
        <w:rPr>
          <w:noProof/>
        </w:rPr>
        <w:t>n accurate</w:t>
      </w:r>
      <w:r>
        <w:rPr>
          <w:noProof/>
        </w:rPr>
        <w:t xml:space="preserve"> CTC measur</w:t>
      </w:r>
      <w:r w:rsidR="00C5177E">
        <w:rPr>
          <w:noProof/>
        </w:rPr>
        <w:t>e</w:t>
      </w:r>
      <w:r>
        <w:rPr>
          <w:noProof/>
        </w:rPr>
        <w:t xml:space="preserve"> </w:t>
      </w:r>
      <w:r w:rsidR="0029475F">
        <w:rPr>
          <w:noProof/>
        </w:rPr>
        <w:t xml:space="preserve">that </w:t>
      </w:r>
      <w:r>
        <w:rPr>
          <w:noProof/>
        </w:rPr>
        <w:t>incorporat</w:t>
      </w:r>
      <w:r w:rsidR="00455052">
        <w:rPr>
          <w:noProof/>
        </w:rPr>
        <w:t>e</w:t>
      </w:r>
      <w:r w:rsidR="0029475F">
        <w:rPr>
          <w:noProof/>
        </w:rPr>
        <w:t>s</w:t>
      </w:r>
      <w:r>
        <w:rPr>
          <w:noProof/>
        </w:rPr>
        <w:t xml:space="preserve"> household wealth?</w:t>
      </w:r>
      <w:r w:rsidR="00E63F55">
        <w:rPr>
          <w:noProof/>
        </w:rPr>
        <w:t xml:space="preserve"> </w:t>
      </w:r>
    </w:p>
    <w:p w14:paraId="01119B54" w14:textId="77777777" w:rsidR="00A07FD1" w:rsidRDefault="00A07FD1" w:rsidP="00A07FD1">
      <w:pPr>
        <w:rPr>
          <w:noProof/>
        </w:rPr>
      </w:pPr>
      <w:r>
        <w:rPr>
          <w:noProof/>
        </w:rPr>
        <w:t xml:space="preserve">The definition of household wealth applied in this report comprises net assets (i.e assets minus liabilites), inclusive of financial and housing assets and liabilities. </w:t>
      </w:r>
      <w:r w:rsidR="00D566A5">
        <w:rPr>
          <w:noProof/>
        </w:rPr>
        <w:t>Superannuation balances are e</w:t>
      </w:r>
      <w:r>
        <w:rPr>
          <w:noProof/>
        </w:rPr>
        <w:t>xcluded</w:t>
      </w:r>
      <w:r w:rsidR="00D566A5">
        <w:rPr>
          <w:noProof/>
        </w:rPr>
        <w:t>.</w:t>
      </w:r>
    </w:p>
    <w:p w14:paraId="1B80A8BB" w14:textId="2490726C" w:rsidR="00AB50CA" w:rsidRPr="00AB50CA" w:rsidRDefault="00AB50CA" w:rsidP="00AB50CA">
      <w:pPr>
        <w:rPr>
          <w:noProof/>
        </w:rPr>
      </w:pPr>
      <w:r w:rsidRPr="00AB50CA">
        <w:rPr>
          <w:noProof/>
        </w:rPr>
        <w:t xml:space="preserve">A key consideration of including wealth in a </w:t>
      </w:r>
      <w:r w:rsidR="00A07FD1">
        <w:rPr>
          <w:noProof/>
        </w:rPr>
        <w:t>CTC</w:t>
      </w:r>
      <w:r w:rsidRPr="00AB50CA">
        <w:rPr>
          <w:noProof/>
        </w:rPr>
        <w:t xml:space="preserve"> measure is data availability</w:t>
      </w:r>
      <w:r w:rsidR="0029475F">
        <w:rPr>
          <w:noProof/>
        </w:rPr>
        <w:t>. D</w:t>
      </w:r>
      <w:r w:rsidRPr="00AB50CA">
        <w:rPr>
          <w:noProof/>
        </w:rPr>
        <w:t xml:space="preserve">ollar wealth measures are typically not collected in surveys, </w:t>
      </w:r>
      <w:r w:rsidR="0029475F">
        <w:rPr>
          <w:noProof/>
        </w:rPr>
        <w:t>or</w:t>
      </w:r>
      <w:r w:rsidRPr="00AB50CA">
        <w:rPr>
          <w:noProof/>
        </w:rPr>
        <w:t xml:space="preserve"> the Census. </w:t>
      </w:r>
      <w:r w:rsidR="0029475F">
        <w:rPr>
          <w:noProof/>
        </w:rPr>
        <w:t xml:space="preserve">However </w:t>
      </w:r>
      <w:r w:rsidRPr="00AB50CA">
        <w:rPr>
          <w:noProof/>
        </w:rPr>
        <w:t>proxy measures of wealth are</w:t>
      </w:r>
      <w:r w:rsidR="00B82DE9">
        <w:rPr>
          <w:noProof/>
        </w:rPr>
        <w:t>. These proxy measures</w:t>
      </w:r>
      <w:r w:rsidR="00C5177E">
        <w:rPr>
          <w:noProof/>
        </w:rPr>
        <w:t xml:space="preserve"> including </w:t>
      </w:r>
      <w:r w:rsidRPr="00AB50CA">
        <w:rPr>
          <w:noProof/>
        </w:rPr>
        <w:t>house size (i.e. number of bedrooms), housing type, tenure type, number of cars, and the possession of certain household items.</w:t>
      </w:r>
    </w:p>
    <w:p w14:paraId="31D5BECA" w14:textId="414A1F61" w:rsidR="00AB50CA" w:rsidRPr="00AB50CA" w:rsidRDefault="00AB50CA" w:rsidP="00AB50CA">
      <w:pPr>
        <w:rPr>
          <w:noProof/>
        </w:rPr>
      </w:pPr>
      <w:r w:rsidRPr="00AB50CA">
        <w:rPr>
          <w:noProof/>
        </w:rPr>
        <w:t xml:space="preserve">The </w:t>
      </w:r>
      <w:r w:rsidR="00964019">
        <w:rPr>
          <w:noProof/>
        </w:rPr>
        <w:t xml:space="preserve">Australian Bureau of Statistics (ABS) </w:t>
      </w:r>
      <w:r w:rsidRPr="00AB50CA">
        <w:rPr>
          <w:noProof/>
        </w:rPr>
        <w:t xml:space="preserve">Survey of Income and Housing, 2015-16 (SIH), contains both dollar and proxy wealth </w:t>
      </w:r>
      <w:r w:rsidR="00C5177E">
        <w:rPr>
          <w:noProof/>
        </w:rPr>
        <w:t>measures</w:t>
      </w:r>
      <w:r w:rsidR="00B82DE9">
        <w:rPr>
          <w:noProof/>
        </w:rPr>
        <w:t>. As such</w:t>
      </w:r>
      <w:r w:rsidR="00C5177E">
        <w:rPr>
          <w:noProof/>
        </w:rPr>
        <w:t>, it</w:t>
      </w:r>
      <w:r w:rsidR="00B82DE9">
        <w:rPr>
          <w:noProof/>
        </w:rPr>
        <w:t xml:space="preserve"> is</w:t>
      </w:r>
      <w:r w:rsidR="00C5177E">
        <w:rPr>
          <w:noProof/>
        </w:rPr>
        <w:t xml:space="preserve"> possible with this one data set to answer the above questions. </w:t>
      </w:r>
      <w:r w:rsidRPr="00AB50CA">
        <w:rPr>
          <w:noProof/>
        </w:rPr>
        <w:t xml:space="preserve">The SIH uses respondent </w:t>
      </w:r>
      <w:r w:rsidR="00C5177E">
        <w:rPr>
          <w:noProof/>
        </w:rPr>
        <w:t xml:space="preserve">provided </w:t>
      </w:r>
      <w:r w:rsidRPr="00AB50CA">
        <w:rPr>
          <w:noProof/>
        </w:rPr>
        <w:t>data</w:t>
      </w:r>
      <w:r w:rsidR="00455052">
        <w:rPr>
          <w:noProof/>
        </w:rPr>
        <w:t xml:space="preserve"> </w:t>
      </w:r>
      <w:r w:rsidRPr="00AB50CA">
        <w:rPr>
          <w:noProof/>
        </w:rPr>
        <w:t>to estimate household wealth. Th</w:t>
      </w:r>
      <w:r w:rsidR="00B82DE9">
        <w:rPr>
          <w:noProof/>
        </w:rPr>
        <w:t>is survey</w:t>
      </w:r>
      <w:r w:rsidRPr="00AB50CA">
        <w:rPr>
          <w:noProof/>
        </w:rPr>
        <w:t xml:space="preserve"> includes </w:t>
      </w:r>
      <w:r w:rsidR="00C5177E">
        <w:rPr>
          <w:noProof/>
        </w:rPr>
        <w:t xml:space="preserve">a number of </w:t>
      </w:r>
      <w:r w:rsidRPr="00AB50CA">
        <w:rPr>
          <w:noProof/>
        </w:rPr>
        <w:t xml:space="preserve">proxy </w:t>
      </w:r>
      <w:r w:rsidR="00C5177E">
        <w:rPr>
          <w:noProof/>
        </w:rPr>
        <w:t xml:space="preserve">wealth </w:t>
      </w:r>
      <w:r w:rsidRPr="00AB50CA">
        <w:rPr>
          <w:noProof/>
        </w:rPr>
        <w:t>measures</w:t>
      </w:r>
      <w:r w:rsidR="00C5177E">
        <w:rPr>
          <w:noProof/>
        </w:rPr>
        <w:t xml:space="preserve"> are also collected </w:t>
      </w:r>
      <w:r w:rsidRPr="00AB50CA">
        <w:rPr>
          <w:noProof/>
        </w:rPr>
        <w:t>in the Census.</w:t>
      </w:r>
      <w:r w:rsidR="00D93A3A">
        <w:rPr>
          <w:noProof/>
        </w:rPr>
        <w:t xml:space="preserve"> </w:t>
      </w:r>
      <w:r w:rsidR="00B82DE9">
        <w:rPr>
          <w:noProof/>
        </w:rPr>
        <w:t>Furthermore, t</w:t>
      </w:r>
      <w:r w:rsidR="00D93A3A">
        <w:rPr>
          <w:noProof/>
        </w:rPr>
        <w:t xml:space="preserve">he SIH contains data on highest educational attainment, occupation and household income. </w:t>
      </w:r>
    </w:p>
    <w:p w14:paraId="70051AD7" w14:textId="50FE072F" w:rsidR="00AB50CA" w:rsidRDefault="00AB50CA" w:rsidP="00D566A5">
      <w:pPr>
        <w:spacing w:after="0"/>
        <w:rPr>
          <w:noProof/>
        </w:rPr>
      </w:pPr>
      <w:r w:rsidRPr="00AB50CA">
        <w:rPr>
          <w:noProof/>
        </w:rPr>
        <w:t xml:space="preserve">Three household-level </w:t>
      </w:r>
      <w:r w:rsidR="00A07FD1">
        <w:rPr>
          <w:noProof/>
        </w:rPr>
        <w:t>CTC</w:t>
      </w:r>
      <w:r w:rsidR="00C5177E">
        <w:rPr>
          <w:noProof/>
        </w:rPr>
        <w:t xml:space="preserve"> scores </w:t>
      </w:r>
      <w:r w:rsidRPr="00AB50CA">
        <w:rPr>
          <w:noProof/>
        </w:rPr>
        <w:t>have been constructed using the SIH</w:t>
      </w:r>
      <w:r w:rsidR="00B82DE9">
        <w:rPr>
          <w:noProof/>
        </w:rPr>
        <w:t xml:space="preserve">. This </w:t>
      </w:r>
      <w:r w:rsidR="001C63C2">
        <w:rPr>
          <w:noProof/>
        </w:rPr>
        <w:t xml:space="preserve">construction </w:t>
      </w:r>
      <w:r w:rsidR="00B82DE9">
        <w:rPr>
          <w:noProof/>
        </w:rPr>
        <w:t>is</w:t>
      </w:r>
      <w:r w:rsidRPr="00AB50CA">
        <w:rPr>
          <w:noProof/>
        </w:rPr>
        <w:t xml:space="preserve"> limited to </w:t>
      </w:r>
      <w:r w:rsidR="001C63C2">
        <w:rPr>
          <w:noProof/>
        </w:rPr>
        <w:t xml:space="preserve">the </w:t>
      </w:r>
      <w:r w:rsidRPr="00AB50CA">
        <w:rPr>
          <w:noProof/>
        </w:rPr>
        <w:t xml:space="preserve">1,349 households </w:t>
      </w:r>
      <w:r w:rsidR="001C63C2">
        <w:rPr>
          <w:noProof/>
        </w:rPr>
        <w:t xml:space="preserve">in the SIH </w:t>
      </w:r>
      <w:r w:rsidRPr="00AB50CA">
        <w:rPr>
          <w:noProof/>
        </w:rPr>
        <w:t>where at least one child is attending a non-government</w:t>
      </w:r>
      <w:r w:rsidR="00C5177E">
        <w:rPr>
          <w:noProof/>
        </w:rPr>
        <w:t xml:space="preserve"> school:</w:t>
      </w:r>
    </w:p>
    <w:p w14:paraId="0EE3AF4B" w14:textId="77777777" w:rsidR="00514659" w:rsidRPr="00514659" w:rsidRDefault="00A07FD1" w:rsidP="00C5177E">
      <w:pPr>
        <w:pStyle w:val="Dotpoints"/>
        <w:rPr>
          <w:noProof/>
        </w:rPr>
      </w:pPr>
      <w:r>
        <w:rPr>
          <w:noProof/>
        </w:rPr>
        <w:t>CTC</w:t>
      </w:r>
      <w:r w:rsidR="00C5177E">
        <w:rPr>
          <w:noProof/>
        </w:rPr>
        <w:t xml:space="preserve"> score excluding wealth. This score uses household level data align</w:t>
      </w:r>
      <w:r w:rsidR="00D566A5">
        <w:rPr>
          <w:noProof/>
        </w:rPr>
        <w:t>ing</w:t>
      </w:r>
      <w:r w:rsidR="00C5177E">
        <w:rPr>
          <w:noProof/>
        </w:rPr>
        <w:t xml:space="preserve"> with the cur</w:t>
      </w:r>
      <w:r w:rsidR="00D566A5">
        <w:rPr>
          <w:noProof/>
        </w:rPr>
        <w:t>re</w:t>
      </w:r>
      <w:r w:rsidR="00C5177E">
        <w:rPr>
          <w:noProof/>
        </w:rPr>
        <w:t>nt SES score method, comprising the h</w:t>
      </w:r>
      <w:r w:rsidR="00514659" w:rsidRPr="00514659">
        <w:rPr>
          <w:noProof/>
        </w:rPr>
        <w:t>ighest household education</w:t>
      </w:r>
      <w:r w:rsidR="00C5177E">
        <w:rPr>
          <w:noProof/>
        </w:rPr>
        <w:t xml:space="preserve"> level</w:t>
      </w:r>
      <w:r w:rsidR="00514659" w:rsidRPr="00514659">
        <w:rPr>
          <w:noProof/>
        </w:rPr>
        <w:t xml:space="preserve">, </w:t>
      </w:r>
      <w:r w:rsidR="00C5177E">
        <w:rPr>
          <w:noProof/>
        </w:rPr>
        <w:t xml:space="preserve">highest </w:t>
      </w:r>
      <w:r w:rsidR="00514659" w:rsidRPr="00514659">
        <w:rPr>
          <w:noProof/>
        </w:rPr>
        <w:t xml:space="preserve">occupation (skill level) and equivalised </w:t>
      </w:r>
      <w:r w:rsidR="00C5177E">
        <w:rPr>
          <w:noProof/>
        </w:rPr>
        <w:t xml:space="preserve">total </w:t>
      </w:r>
      <w:r w:rsidR="00514659" w:rsidRPr="00514659">
        <w:rPr>
          <w:noProof/>
        </w:rPr>
        <w:t>household income</w:t>
      </w:r>
      <w:r w:rsidR="00C5177E">
        <w:rPr>
          <w:noProof/>
        </w:rPr>
        <w:t>.</w:t>
      </w:r>
    </w:p>
    <w:p w14:paraId="4FC891CF" w14:textId="23AD5CC3" w:rsidR="00514659" w:rsidRDefault="00A07FD1" w:rsidP="00C5177E">
      <w:pPr>
        <w:pStyle w:val="Dotpoints"/>
        <w:rPr>
          <w:noProof/>
        </w:rPr>
      </w:pPr>
      <w:r>
        <w:rPr>
          <w:noProof/>
        </w:rPr>
        <w:t>CTC</w:t>
      </w:r>
      <w:r w:rsidR="00C5177E">
        <w:rPr>
          <w:noProof/>
        </w:rPr>
        <w:t xml:space="preserve"> score including reported wealth. This uses the same data as the first </w:t>
      </w:r>
      <w:r>
        <w:rPr>
          <w:noProof/>
        </w:rPr>
        <w:t>CTC</w:t>
      </w:r>
      <w:r w:rsidR="00C5177E">
        <w:rPr>
          <w:noProof/>
        </w:rPr>
        <w:t xml:space="preserve"> score, alongside </w:t>
      </w:r>
      <w:r w:rsidR="00514659" w:rsidRPr="00514659">
        <w:rPr>
          <w:noProof/>
        </w:rPr>
        <w:t>self-reported wealth (excluding superannuation)</w:t>
      </w:r>
      <w:r w:rsidR="00C5177E">
        <w:rPr>
          <w:noProof/>
        </w:rPr>
        <w:t>.</w:t>
      </w:r>
    </w:p>
    <w:p w14:paraId="5C8E8990" w14:textId="4CCC6700" w:rsidR="00C5177E" w:rsidRPr="00514659" w:rsidRDefault="00A07FD1" w:rsidP="00D566A5">
      <w:pPr>
        <w:pStyle w:val="Dotpoints"/>
        <w:rPr>
          <w:noProof/>
        </w:rPr>
      </w:pPr>
      <w:r>
        <w:rPr>
          <w:noProof/>
        </w:rPr>
        <w:t>CTC</w:t>
      </w:r>
      <w:r w:rsidR="00C5177E">
        <w:rPr>
          <w:noProof/>
        </w:rPr>
        <w:t xml:space="preserve"> score including proxy wealth. This uses the same data as the first </w:t>
      </w:r>
      <w:r>
        <w:rPr>
          <w:noProof/>
        </w:rPr>
        <w:t>CTC</w:t>
      </w:r>
      <w:r w:rsidR="00C5177E">
        <w:rPr>
          <w:noProof/>
        </w:rPr>
        <w:t xml:space="preserve"> score, alongside </w:t>
      </w:r>
      <w:r w:rsidR="00C5177E" w:rsidRPr="00514659">
        <w:rPr>
          <w:noProof/>
        </w:rPr>
        <w:t xml:space="preserve">proxy measures that are also in </w:t>
      </w:r>
      <w:r w:rsidR="00B82DE9">
        <w:rPr>
          <w:noProof/>
        </w:rPr>
        <w:t xml:space="preserve">the </w:t>
      </w:r>
      <w:r w:rsidR="00C5177E" w:rsidRPr="00514659">
        <w:rPr>
          <w:noProof/>
        </w:rPr>
        <w:t xml:space="preserve">Census (number of bedrooms, housing </w:t>
      </w:r>
      <w:r w:rsidR="00D566A5" w:rsidRPr="00514659">
        <w:rPr>
          <w:noProof/>
        </w:rPr>
        <w:t xml:space="preserve">type </w:t>
      </w:r>
      <w:r w:rsidR="00D566A5">
        <w:rPr>
          <w:noProof/>
        </w:rPr>
        <w:t xml:space="preserve">and </w:t>
      </w:r>
      <w:r w:rsidR="00C5177E" w:rsidRPr="00514659">
        <w:rPr>
          <w:noProof/>
        </w:rPr>
        <w:t>tenure).</w:t>
      </w:r>
    </w:p>
    <w:p w14:paraId="63405192" w14:textId="382FA951" w:rsidR="00514659" w:rsidRDefault="00455052" w:rsidP="00514659">
      <w:pPr>
        <w:rPr>
          <w:noProof/>
        </w:rPr>
      </w:pPr>
      <w:r>
        <w:rPr>
          <w:noProof/>
        </w:rPr>
        <w:t xml:space="preserve">The resulting CTC scores are compared </w:t>
      </w:r>
      <w:r w:rsidR="001C63C2">
        <w:rPr>
          <w:noProof/>
        </w:rPr>
        <w:t>using</w:t>
      </w:r>
      <w:r>
        <w:rPr>
          <w:noProof/>
        </w:rPr>
        <w:t xml:space="preserve"> the ranking of households. The</w:t>
      </w:r>
      <w:r w:rsidR="00A07FD1">
        <w:rPr>
          <w:noProof/>
        </w:rPr>
        <w:t xml:space="preserve"> CTC</w:t>
      </w:r>
      <w:r w:rsidR="00B8766D">
        <w:rPr>
          <w:noProof/>
        </w:rPr>
        <w:t xml:space="preserve"> score including </w:t>
      </w:r>
      <w:r w:rsidR="00514659" w:rsidRPr="00514659">
        <w:rPr>
          <w:noProof/>
        </w:rPr>
        <w:t>self-reported wealth lead</w:t>
      </w:r>
      <w:r>
        <w:rPr>
          <w:noProof/>
        </w:rPr>
        <w:t>s</w:t>
      </w:r>
      <w:r w:rsidR="00514659" w:rsidRPr="00514659">
        <w:rPr>
          <w:noProof/>
        </w:rPr>
        <w:t xml:space="preserve"> to </w:t>
      </w:r>
      <w:r>
        <w:rPr>
          <w:noProof/>
        </w:rPr>
        <w:t xml:space="preserve">a </w:t>
      </w:r>
      <w:r w:rsidR="00701B9A">
        <w:rPr>
          <w:noProof/>
        </w:rPr>
        <w:t xml:space="preserve">significant upward </w:t>
      </w:r>
      <w:r w:rsidR="001233C7">
        <w:rPr>
          <w:noProof/>
        </w:rPr>
        <w:t xml:space="preserve">average </w:t>
      </w:r>
      <w:r w:rsidR="00701B9A">
        <w:rPr>
          <w:noProof/>
        </w:rPr>
        <w:t xml:space="preserve">change in the ranking of independent school </w:t>
      </w:r>
      <w:r w:rsidR="00514659" w:rsidRPr="00514659">
        <w:rPr>
          <w:noProof/>
        </w:rPr>
        <w:t>households, compared to a</w:t>
      </w:r>
      <w:r w:rsidR="00B8766D">
        <w:rPr>
          <w:noProof/>
        </w:rPr>
        <w:t xml:space="preserve"> </w:t>
      </w:r>
      <w:r w:rsidR="00A07FD1">
        <w:rPr>
          <w:noProof/>
        </w:rPr>
        <w:t>CTC</w:t>
      </w:r>
      <w:r w:rsidR="00B8766D">
        <w:rPr>
          <w:noProof/>
        </w:rPr>
        <w:t xml:space="preserve"> score </w:t>
      </w:r>
      <w:r w:rsidR="00514659" w:rsidRPr="00514659">
        <w:rPr>
          <w:noProof/>
        </w:rPr>
        <w:t xml:space="preserve">excluding wealth. </w:t>
      </w:r>
      <w:r w:rsidR="00701B9A">
        <w:rPr>
          <w:noProof/>
        </w:rPr>
        <w:t xml:space="preserve">There is a small but </w:t>
      </w:r>
      <w:r w:rsidR="001233C7">
        <w:rPr>
          <w:noProof/>
        </w:rPr>
        <w:t>in</w:t>
      </w:r>
      <w:r w:rsidR="00701B9A">
        <w:rPr>
          <w:noProof/>
        </w:rPr>
        <w:t xml:space="preserve">signficant downward </w:t>
      </w:r>
      <w:r w:rsidR="001233C7">
        <w:rPr>
          <w:noProof/>
        </w:rPr>
        <w:t xml:space="preserve">average </w:t>
      </w:r>
      <w:r w:rsidR="00701B9A">
        <w:rPr>
          <w:noProof/>
        </w:rPr>
        <w:t xml:space="preserve">change in the </w:t>
      </w:r>
      <w:r w:rsidR="001233C7">
        <w:rPr>
          <w:noProof/>
        </w:rPr>
        <w:t xml:space="preserve">ranking of Catholic households. </w:t>
      </w:r>
    </w:p>
    <w:p w14:paraId="35863C56" w14:textId="5230AA04" w:rsidR="00A07FD1" w:rsidRDefault="00D221A2" w:rsidP="00A07FD1">
      <w:pPr>
        <w:rPr>
          <w:noProof/>
        </w:rPr>
      </w:pPr>
      <w:r>
        <w:rPr>
          <w:noProof/>
        </w:rPr>
        <w:t>T</w:t>
      </w:r>
      <w:r w:rsidRPr="00514659">
        <w:rPr>
          <w:noProof/>
        </w:rPr>
        <w:t xml:space="preserve">he inclusion of </w:t>
      </w:r>
      <w:r>
        <w:rPr>
          <w:noProof/>
        </w:rPr>
        <w:t xml:space="preserve">a </w:t>
      </w:r>
      <w:r w:rsidRPr="00514659">
        <w:rPr>
          <w:noProof/>
        </w:rPr>
        <w:t xml:space="preserve">wealth </w:t>
      </w:r>
      <w:r>
        <w:rPr>
          <w:noProof/>
        </w:rPr>
        <w:t>measure</w:t>
      </w:r>
      <w:r w:rsidRPr="00514659">
        <w:rPr>
          <w:noProof/>
        </w:rPr>
        <w:t xml:space="preserve"> based on proxy measures</w:t>
      </w:r>
      <w:r>
        <w:rPr>
          <w:noProof/>
        </w:rPr>
        <w:t xml:space="preserve"> in the CTC score results in</w:t>
      </w:r>
      <w:r w:rsidR="00A07FD1" w:rsidRPr="00514659">
        <w:rPr>
          <w:noProof/>
        </w:rPr>
        <w:t xml:space="preserve"> </w:t>
      </w:r>
      <w:r>
        <w:rPr>
          <w:noProof/>
        </w:rPr>
        <w:t xml:space="preserve">insignficant </w:t>
      </w:r>
      <w:r w:rsidR="00A07FD1" w:rsidRPr="00514659">
        <w:rPr>
          <w:noProof/>
        </w:rPr>
        <w:t xml:space="preserve">change in </w:t>
      </w:r>
      <w:r w:rsidR="00D566A5">
        <w:rPr>
          <w:noProof/>
        </w:rPr>
        <w:t xml:space="preserve">household </w:t>
      </w:r>
      <w:r w:rsidR="00A07FD1" w:rsidRPr="00514659">
        <w:rPr>
          <w:noProof/>
        </w:rPr>
        <w:t xml:space="preserve">rankings. </w:t>
      </w:r>
      <w:r w:rsidR="001C63C2">
        <w:rPr>
          <w:noProof/>
        </w:rPr>
        <w:t>T</w:t>
      </w:r>
      <w:r w:rsidR="00A07FD1" w:rsidRPr="00514659">
        <w:rPr>
          <w:noProof/>
        </w:rPr>
        <w:t xml:space="preserve">here is much </w:t>
      </w:r>
      <w:r w:rsidR="00E44C77">
        <w:rPr>
          <w:noProof/>
        </w:rPr>
        <w:t xml:space="preserve">more </w:t>
      </w:r>
      <w:r w:rsidR="00A07FD1" w:rsidRPr="00514659">
        <w:rPr>
          <w:noProof/>
        </w:rPr>
        <w:t xml:space="preserve">change in rankings when comparing </w:t>
      </w:r>
      <w:r w:rsidR="00A07FD1">
        <w:rPr>
          <w:noProof/>
        </w:rPr>
        <w:t>a</w:t>
      </w:r>
      <w:r w:rsidR="00E44C77">
        <w:rPr>
          <w:noProof/>
        </w:rPr>
        <w:t xml:space="preserve"> </w:t>
      </w:r>
      <w:r w:rsidR="00A07FD1">
        <w:rPr>
          <w:noProof/>
        </w:rPr>
        <w:t xml:space="preserve">CTC score including </w:t>
      </w:r>
      <w:r w:rsidR="002B20DE">
        <w:rPr>
          <w:noProof/>
        </w:rPr>
        <w:t>reported</w:t>
      </w:r>
      <w:r w:rsidR="00A07FD1">
        <w:rPr>
          <w:noProof/>
        </w:rPr>
        <w:t xml:space="preserve"> wealth, to one including </w:t>
      </w:r>
      <w:r w:rsidR="00A07FD1" w:rsidRPr="00514659">
        <w:rPr>
          <w:noProof/>
        </w:rPr>
        <w:t>proxy wealth</w:t>
      </w:r>
      <w:r w:rsidR="00CA7B5A">
        <w:rPr>
          <w:noProof/>
        </w:rPr>
        <w:t xml:space="preserve">. </w:t>
      </w:r>
      <w:r w:rsidR="00A07FD1" w:rsidRPr="00514659">
        <w:rPr>
          <w:noProof/>
        </w:rPr>
        <w:t xml:space="preserve">This </w:t>
      </w:r>
      <w:r w:rsidR="00A07FD1">
        <w:rPr>
          <w:noProof/>
        </w:rPr>
        <w:t xml:space="preserve">finding indicates that </w:t>
      </w:r>
      <w:r w:rsidR="004E6D0D">
        <w:rPr>
          <w:noProof/>
        </w:rPr>
        <w:t xml:space="preserve">a proxy </w:t>
      </w:r>
      <w:r w:rsidR="00CA7B5A" w:rsidRPr="00514659">
        <w:rPr>
          <w:noProof/>
        </w:rPr>
        <w:t xml:space="preserve">measure </w:t>
      </w:r>
      <w:r w:rsidR="00CA7B5A">
        <w:rPr>
          <w:noProof/>
        </w:rPr>
        <w:t xml:space="preserve">of </w:t>
      </w:r>
      <w:r w:rsidR="00A07FD1" w:rsidRPr="00514659">
        <w:rPr>
          <w:noProof/>
        </w:rPr>
        <w:t xml:space="preserve">wealth </w:t>
      </w:r>
      <w:r w:rsidR="00AB4E0D">
        <w:rPr>
          <w:noProof/>
        </w:rPr>
        <w:t>is</w:t>
      </w:r>
      <w:r w:rsidR="00A07FD1" w:rsidRPr="00514659">
        <w:rPr>
          <w:noProof/>
        </w:rPr>
        <w:t xml:space="preserve"> unable to </w:t>
      </w:r>
      <w:r w:rsidR="001C63C2">
        <w:rPr>
          <w:noProof/>
        </w:rPr>
        <w:t xml:space="preserve">accuately </w:t>
      </w:r>
      <w:r w:rsidR="00A07FD1" w:rsidRPr="00514659">
        <w:rPr>
          <w:noProof/>
        </w:rPr>
        <w:t xml:space="preserve">represent </w:t>
      </w:r>
      <w:r w:rsidR="002B20DE">
        <w:rPr>
          <w:noProof/>
        </w:rPr>
        <w:t>dollar</w:t>
      </w:r>
      <w:r w:rsidR="00A07FD1" w:rsidRPr="00514659">
        <w:rPr>
          <w:noProof/>
        </w:rPr>
        <w:t xml:space="preserve"> wealth</w:t>
      </w:r>
      <w:r w:rsidR="001C63C2">
        <w:rPr>
          <w:noProof/>
        </w:rPr>
        <w:t xml:space="preserve"> with the utilised data</w:t>
      </w:r>
      <w:r w:rsidR="00A07FD1" w:rsidRPr="00514659">
        <w:rPr>
          <w:noProof/>
        </w:rPr>
        <w:t xml:space="preserve">. </w:t>
      </w:r>
      <w:r w:rsidR="00CA7B5A">
        <w:rPr>
          <w:noProof/>
        </w:rPr>
        <w:t xml:space="preserve">This is likely due in part to </w:t>
      </w:r>
      <w:r w:rsidR="00A07FD1" w:rsidRPr="00514659">
        <w:rPr>
          <w:noProof/>
        </w:rPr>
        <w:t xml:space="preserve">proxy wealth measures </w:t>
      </w:r>
      <w:r w:rsidR="00CA7B5A">
        <w:rPr>
          <w:noProof/>
        </w:rPr>
        <w:t xml:space="preserve">being </w:t>
      </w:r>
      <w:r w:rsidR="00D566A5">
        <w:rPr>
          <w:noProof/>
        </w:rPr>
        <w:t>un</w:t>
      </w:r>
      <w:r w:rsidR="00CA7B5A">
        <w:rPr>
          <w:noProof/>
        </w:rPr>
        <w:t xml:space="preserve">able to </w:t>
      </w:r>
      <w:r w:rsidR="00A07FD1" w:rsidRPr="00514659">
        <w:rPr>
          <w:noProof/>
        </w:rPr>
        <w:t>capture context</w:t>
      </w:r>
      <w:r w:rsidR="0060385E">
        <w:rPr>
          <w:noProof/>
        </w:rPr>
        <w:t xml:space="preserve">. For instance, </w:t>
      </w:r>
      <w:r w:rsidR="00A07FD1" w:rsidRPr="00514659">
        <w:rPr>
          <w:noProof/>
        </w:rPr>
        <w:t>a four bedroom house in a</w:t>
      </w:r>
      <w:r w:rsidR="0060385E">
        <w:rPr>
          <w:noProof/>
        </w:rPr>
        <w:t>n</w:t>
      </w:r>
      <w:r w:rsidR="00A07FD1" w:rsidRPr="00514659">
        <w:rPr>
          <w:noProof/>
        </w:rPr>
        <w:t xml:space="preserve"> inner metropolitan location is likely </w:t>
      </w:r>
      <w:r w:rsidR="0060385E">
        <w:rPr>
          <w:noProof/>
        </w:rPr>
        <w:t xml:space="preserve">to </w:t>
      </w:r>
      <w:r w:rsidR="001C63C2">
        <w:rPr>
          <w:noProof/>
        </w:rPr>
        <w:t>have a higher value</w:t>
      </w:r>
      <w:r w:rsidR="00A07FD1" w:rsidRPr="00514659">
        <w:rPr>
          <w:noProof/>
        </w:rPr>
        <w:t xml:space="preserve"> than a similarly sized house in an outer metropolitan or provincial location. </w:t>
      </w:r>
    </w:p>
    <w:p w14:paraId="79C5711A" w14:textId="1BC5A166" w:rsidR="00A07FD1" w:rsidRDefault="00A07FD1" w:rsidP="00A07FD1">
      <w:pPr>
        <w:rPr>
          <w:noProof/>
        </w:rPr>
      </w:pPr>
      <w:r w:rsidRPr="00514659">
        <w:rPr>
          <w:noProof/>
        </w:rPr>
        <w:t xml:space="preserve">Overall, </w:t>
      </w:r>
      <w:r>
        <w:rPr>
          <w:noProof/>
        </w:rPr>
        <w:t>the inclusion o</w:t>
      </w:r>
      <w:r w:rsidR="00CA7B5A">
        <w:rPr>
          <w:noProof/>
        </w:rPr>
        <w:t>f</w:t>
      </w:r>
      <w:r>
        <w:rPr>
          <w:noProof/>
        </w:rPr>
        <w:t xml:space="preserve"> reported </w:t>
      </w:r>
      <w:r w:rsidRPr="00514659">
        <w:rPr>
          <w:noProof/>
        </w:rPr>
        <w:t xml:space="preserve">wealth does make a significant contribution to the estimation of </w:t>
      </w:r>
      <w:r w:rsidR="00CA7B5A">
        <w:rPr>
          <w:noProof/>
        </w:rPr>
        <w:t>a CTC score</w:t>
      </w:r>
      <w:r w:rsidRPr="00514659">
        <w:rPr>
          <w:noProof/>
        </w:rPr>
        <w:t xml:space="preserve">. </w:t>
      </w:r>
      <w:r w:rsidR="0060385E">
        <w:rPr>
          <w:noProof/>
        </w:rPr>
        <w:t>T</w:t>
      </w:r>
      <w:r w:rsidRPr="00514659">
        <w:rPr>
          <w:noProof/>
        </w:rPr>
        <w:t xml:space="preserve">he </w:t>
      </w:r>
      <w:r>
        <w:rPr>
          <w:noProof/>
        </w:rPr>
        <w:t xml:space="preserve">limitation of </w:t>
      </w:r>
      <w:r w:rsidRPr="00514659">
        <w:rPr>
          <w:noProof/>
        </w:rPr>
        <w:t xml:space="preserve">proxy wealth measures </w:t>
      </w:r>
      <w:r w:rsidR="0060385E">
        <w:rPr>
          <w:noProof/>
        </w:rPr>
        <w:t xml:space="preserve">however, </w:t>
      </w:r>
      <w:r w:rsidR="00AB4E0D">
        <w:rPr>
          <w:noProof/>
        </w:rPr>
        <w:t>used in this analysis</w:t>
      </w:r>
      <w:r w:rsidR="0060385E">
        <w:rPr>
          <w:noProof/>
        </w:rPr>
        <w:t>,</w:t>
      </w:r>
      <w:r w:rsidR="00AB4E0D">
        <w:rPr>
          <w:noProof/>
        </w:rPr>
        <w:t xml:space="preserve"> </w:t>
      </w:r>
      <w:r w:rsidRPr="00514659">
        <w:rPr>
          <w:noProof/>
        </w:rPr>
        <w:t>mean</w:t>
      </w:r>
      <w:r w:rsidR="0060385E">
        <w:rPr>
          <w:noProof/>
        </w:rPr>
        <w:t>s</w:t>
      </w:r>
      <w:r w:rsidRPr="00514659">
        <w:rPr>
          <w:noProof/>
        </w:rPr>
        <w:t xml:space="preserve"> there is </w:t>
      </w:r>
      <w:r w:rsidR="00CA7B5A">
        <w:rPr>
          <w:noProof/>
        </w:rPr>
        <w:t xml:space="preserve">currently </w:t>
      </w:r>
      <w:r w:rsidR="00D221A2" w:rsidRPr="00514659">
        <w:rPr>
          <w:noProof/>
        </w:rPr>
        <w:t xml:space="preserve">not </w:t>
      </w:r>
      <w:r w:rsidRPr="00514659">
        <w:rPr>
          <w:noProof/>
        </w:rPr>
        <w:t xml:space="preserve">a strong case for the inclusion of </w:t>
      </w:r>
      <w:r w:rsidR="00CA7B5A">
        <w:rPr>
          <w:noProof/>
        </w:rPr>
        <w:t>wealth</w:t>
      </w:r>
      <w:r w:rsidR="00AB4E0D">
        <w:rPr>
          <w:noProof/>
        </w:rPr>
        <w:t xml:space="preserve">, based on proxies, </w:t>
      </w:r>
      <w:r w:rsidR="00CA7B5A">
        <w:rPr>
          <w:noProof/>
        </w:rPr>
        <w:t xml:space="preserve">in a CTC </w:t>
      </w:r>
      <w:r w:rsidRPr="00514659">
        <w:rPr>
          <w:noProof/>
        </w:rPr>
        <w:t xml:space="preserve">score. </w:t>
      </w:r>
    </w:p>
    <w:p w14:paraId="2690E5B0" w14:textId="2558F1A5" w:rsidR="00A07FD1" w:rsidRDefault="00E44C77" w:rsidP="00A07FD1">
      <w:pPr>
        <w:rPr>
          <w:noProof/>
        </w:rPr>
      </w:pPr>
      <w:r>
        <w:rPr>
          <w:noProof/>
        </w:rPr>
        <w:t>In future analysis it would be</w:t>
      </w:r>
      <w:r w:rsidR="0060385E">
        <w:rPr>
          <w:noProof/>
        </w:rPr>
        <w:t xml:space="preserve"> </w:t>
      </w:r>
      <w:r w:rsidR="00A07FD1" w:rsidRPr="00514659">
        <w:rPr>
          <w:noProof/>
        </w:rPr>
        <w:t>appropriate to examine whether the larger Census dataset identif</w:t>
      </w:r>
      <w:r w:rsidR="00AB4E0D">
        <w:rPr>
          <w:noProof/>
        </w:rPr>
        <w:t>ies</w:t>
      </w:r>
      <w:r w:rsidR="00A07FD1" w:rsidRPr="00514659">
        <w:rPr>
          <w:noProof/>
        </w:rPr>
        <w:t xml:space="preserve"> greater differentiation than was found using the SIH with wealth proxies</w:t>
      </w:r>
      <w:r w:rsidR="0060385E">
        <w:rPr>
          <w:noProof/>
        </w:rPr>
        <w:t xml:space="preserve">. This </w:t>
      </w:r>
      <w:r w:rsidR="00D221A2">
        <w:rPr>
          <w:noProof/>
        </w:rPr>
        <w:t>may be</w:t>
      </w:r>
      <w:r w:rsidR="00A07FD1" w:rsidRPr="00514659">
        <w:rPr>
          <w:noProof/>
        </w:rPr>
        <w:t xml:space="preserve"> particularly </w:t>
      </w:r>
      <w:r w:rsidR="0060385E">
        <w:rPr>
          <w:noProof/>
        </w:rPr>
        <w:t xml:space="preserve">evident </w:t>
      </w:r>
      <w:r w:rsidR="00CD4E4C">
        <w:rPr>
          <w:noProof/>
        </w:rPr>
        <w:t>after estimating</w:t>
      </w:r>
      <w:r w:rsidR="00A07FD1" w:rsidRPr="00514659">
        <w:rPr>
          <w:noProof/>
        </w:rPr>
        <w:t xml:space="preserve"> school</w:t>
      </w:r>
      <w:r w:rsidR="00CA7B5A">
        <w:rPr>
          <w:noProof/>
        </w:rPr>
        <w:t>-level</w:t>
      </w:r>
      <w:r w:rsidR="00A07FD1" w:rsidRPr="00514659">
        <w:rPr>
          <w:noProof/>
        </w:rPr>
        <w:t xml:space="preserve"> </w:t>
      </w:r>
      <w:r w:rsidR="00CA7B5A">
        <w:rPr>
          <w:noProof/>
        </w:rPr>
        <w:t>CTC</w:t>
      </w:r>
      <w:r w:rsidR="00A07FD1" w:rsidRPr="00514659">
        <w:rPr>
          <w:noProof/>
        </w:rPr>
        <w:t xml:space="preserve"> scores. This data could be combined with important contextual data (e.g. property values), to improve accuracy.</w:t>
      </w:r>
      <w:r w:rsidR="00E63F55">
        <w:rPr>
          <w:noProof/>
        </w:rPr>
        <w:t xml:space="preserve"> </w:t>
      </w:r>
    </w:p>
    <w:p w14:paraId="1FC85281" w14:textId="5DFD9E78" w:rsidR="00C12EC1" w:rsidRPr="001F3291" w:rsidRDefault="00E44C77" w:rsidP="00C44628">
      <w:r>
        <w:t xml:space="preserve">The findings in this report provide </w:t>
      </w:r>
      <w:r w:rsidR="002053C0">
        <w:t>some</w:t>
      </w:r>
      <w:r w:rsidR="006A05B3">
        <w:t xml:space="preserve"> guidance </w:t>
      </w:r>
      <w:r>
        <w:t>on implications for school funding to individual schools</w:t>
      </w:r>
      <w:r w:rsidR="0060385E">
        <w:t xml:space="preserve">. </w:t>
      </w:r>
      <w:r w:rsidR="00CD4E4C">
        <w:t xml:space="preserve">If reported wealth could be used to generate school </w:t>
      </w:r>
      <w:r w:rsidR="006A05B3">
        <w:t>CTC score</w:t>
      </w:r>
      <w:r w:rsidR="00CD4E4C">
        <w:t xml:space="preserve">s, the findings suggest </w:t>
      </w:r>
      <w:r w:rsidR="006A05B3">
        <w:t xml:space="preserve">Catholic school families </w:t>
      </w:r>
      <w:r w:rsidR="00CD4E4C">
        <w:t xml:space="preserve">would </w:t>
      </w:r>
      <w:r w:rsidR="00AB4E0D">
        <w:t>experience</w:t>
      </w:r>
      <w:r w:rsidR="006A05B3">
        <w:t xml:space="preserve"> a very small reduction in their relative CTC position</w:t>
      </w:r>
      <w:r w:rsidR="0060385E">
        <w:t xml:space="preserve">. </w:t>
      </w:r>
      <w:r w:rsidR="00394EA8">
        <w:t>Conversely</w:t>
      </w:r>
      <w:r w:rsidR="006A05B3">
        <w:t xml:space="preserve">, independent school families </w:t>
      </w:r>
      <w:r w:rsidR="00097E8F">
        <w:t xml:space="preserve">would experience </w:t>
      </w:r>
      <w:r w:rsidR="006A05B3">
        <w:t xml:space="preserve">a small increase. </w:t>
      </w:r>
      <w:r w:rsidR="00097E8F">
        <w:t>T</w:t>
      </w:r>
      <w:r w:rsidR="006A05B3">
        <w:t>he distribution of these changes could</w:t>
      </w:r>
      <w:r w:rsidR="00097E8F">
        <w:t xml:space="preserve"> however</w:t>
      </w:r>
      <w:r w:rsidR="006A05B3">
        <w:t xml:space="preserve"> vary greatly </w:t>
      </w:r>
      <w:r>
        <w:t xml:space="preserve">with and </w:t>
      </w:r>
      <w:r w:rsidR="006A05B3">
        <w:t>between schools</w:t>
      </w:r>
      <w:r w:rsidR="00097E8F">
        <w:t xml:space="preserve">. </w:t>
      </w:r>
      <w:r w:rsidR="00C12EC1">
        <w:br w:type="page"/>
      </w:r>
    </w:p>
    <w:p w14:paraId="6311CFDD" w14:textId="77777777" w:rsidR="00A9375D" w:rsidRDefault="00A9375D" w:rsidP="00A12411">
      <w:pPr>
        <w:pStyle w:val="HeadingTOC"/>
      </w:pPr>
      <w:bookmarkStart w:id="4" w:name="_Toc481431390"/>
      <w:bookmarkStart w:id="5" w:name="_Toc517982732"/>
      <w:bookmarkStart w:id="6" w:name="_Toc518377353"/>
      <w:r w:rsidRPr="00FD3A01">
        <w:t>Table of Contents</w:t>
      </w:r>
      <w:bookmarkEnd w:id="4"/>
      <w:bookmarkEnd w:id="5"/>
      <w:bookmarkEnd w:id="6"/>
    </w:p>
    <w:p w14:paraId="3D60498C" w14:textId="211499C2" w:rsidR="0080145C" w:rsidRDefault="00424AF5">
      <w:pPr>
        <w:pStyle w:val="TOC2"/>
        <w:rPr>
          <w:rFonts w:asciiTheme="minorHAnsi" w:eastAsiaTheme="minorEastAsia" w:hAnsiTheme="minorHAnsi" w:cstheme="minorBidi"/>
          <w:noProof/>
          <w:sz w:val="22"/>
          <w:szCs w:val="22"/>
          <w:lang w:eastAsia="en-AU"/>
        </w:rPr>
      </w:pPr>
      <w:r>
        <w:fldChar w:fldCharType="begin"/>
      </w:r>
      <w:r>
        <w:instrText xml:space="preserve"> TOC \o "1-3" \h \z \u </w:instrText>
      </w:r>
      <w:r>
        <w:fldChar w:fldCharType="separate"/>
      </w:r>
      <w:hyperlink w:anchor="_Toc518377352" w:history="1">
        <w:r w:rsidR="0080145C" w:rsidRPr="000C28A3">
          <w:rPr>
            <w:rStyle w:val="Hyperlink"/>
            <w:noProof/>
          </w:rPr>
          <w:t>Executive Summary</w:t>
        </w:r>
        <w:r w:rsidR="0080145C">
          <w:rPr>
            <w:noProof/>
            <w:webHidden/>
          </w:rPr>
          <w:tab/>
        </w:r>
        <w:r w:rsidR="0080145C">
          <w:rPr>
            <w:noProof/>
            <w:webHidden/>
          </w:rPr>
          <w:fldChar w:fldCharType="begin"/>
        </w:r>
        <w:r w:rsidR="0080145C">
          <w:rPr>
            <w:noProof/>
            <w:webHidden/>
          </w:rPr>
          <w:instrText xml:space="preserve"> PAGEREF _Toc518377352 \h </w:instrText>
        </w:r>
        <w:r w:rsidR="0080145C">
          <w:rPr>
            <w:noProof/>
            <w:webHidden/>
          </w:rPr>
        </w:r>
        <w:r w:rsidR="0080145C">
          <w:rPr>
            <w:noProof/>
            <w:webHidden/>
          </w:rPr>
          <w:fldChar w:fldCharType="separate"/>
        </w:r>
        <w:r w:rsidR="00092E14">
          <w:rPr>
            <w:noProof/>
            <w:webHidden/>
          </w:rPr>
          <w:t>i</w:t>
        </w:r>
        <w:r w:rsidR="0080145C">
          <w:rPr>
            <w:noProof/>
            <w:webHidden/>
          </w:rPr>
          <w:fldChar w:fldCharType="end"/>
        </w:r>
      </w:hyperlink>
    </w:p>
    <w:p w14:paraId="36B8F89C" w14:textId="06FB77EC" w:rsidR="0080145C" w:rsidRDefault="000C756D">
      <w:pPr>
        <w:pStyle w:val="TOC2"/>
        <w:rPr>
          <w:rFonts w:asciiTheme="minorHAnsi" w:eastAsiaTheme="minorEastAsia" w:hAnsiTheme="minorHAnsi" w:cstheme="minorBidi"/>
          <w:noProof/>
          <w:sz w:val="22"/>
          <w:szCs w:val="22"/>
          <w:lang w:eastAsia="en-AU"/>
        </w:rPr>
      </w:pPr>
      <w:hyperlink w:anchor="_Toc518377354" w:history="1">
        <w:r w:rsidR="0080145C" w:rsidRPr="000C28A3">
          <w:rPr>
            <w:rStyle w:val="Hyperlink"/>
            <w:noProof/>
          </w:rPr>
          <w:t>List of Figures</w:t>
        </w:r>
        <w:r w:rsidR="0080145C">
          <w:rPr>
            <w:noProof/>
            <w:webHidden/>
          </w:rPr>
          <w:tab/>
        </w:r>
        <w:r w:rsidR="0080145C">
          <w:rPr>
            <w:noProof/>
            <w:webHidden/>
          </w:rPr>
          <w:fldChar w:fldCharType="begin"/>
        </w:r>
        <w:r w:rsidR="0080145C">
          <w:rPr>
            <w:noProof/>
            <w:webHidden/>
          </w:rPr>
          <w:instrText xml:space="preserve"> PAGEREF _Toc518377354 \h </w:instrText>
        </w:r>
        <w:r w:rsidR="0080145C">
          <w:rPr>
            <w:noProof/>
            <w:webHidden/>
          </w:rPr>
        </w:r>
        <w:r w:rsidR="0080145C">
          <w:rPr>
            <w:noProof/>
            <w:webHidden/>
          </w:rPr>
          <w:fldChar w:fldCharType="separate"/>
        </w:r>
        <w:r w:rsidR="00092E14">
          <w:rPr>
            <w:noProof/>
            <w:webHidden/>
          </w:rPr>
          <w:t>iv</w:t>
        </w:r>
        <w:r w:rsidR="0080145C">
          <w:rPr>
            <w:noProof/>
            <w:webHidden/>
          </w:rPr>
          <w:fldChar w:fldCharType="end"/>
        </w:r>
      </w:hyperlink>
    </w:p>
    <w:p w14:paraId="7126458C" w14:textId="0856F110" w:rsidR="0080145C" w:rsidRDefault="000C756D">
      <w:pPr>
        <w:pStyle w:val="TOC2"/>
        <w:rPr>
          <w:rFonts w:asciiTheme="minorHAnsi" w:eastAsiaTheme="minorEastAsia" w:hAnsiTheme="minorHAnsi" w:cstheme="minorBidi"/>
          <w:noProof/>
          <w:sz w:val="22"/>
          <w:szCs w:val="22"/>
          <w:lang w:eastAsia="en-AU"/>
        </w:rPr>
      </w:pPr>
      <w:hyperlink w:anchor="_Toc518377355" w:history="1">
        <w:r w:rsidR="0080145C" w:rsidRPr="000C28A3">
          <w:rPr>
            <w:rStyle w:val="Hyperlink"/>
            <w:noProof/>
          </w:rPr>
          <w:t>List of Tables</w:t>
        </w:r>
        <w:r w:rsidR="0080145C">
          <w:rPr>
            <w:noProof/>
            <w:webHidden/>
          </w:rPr>
          <w:tab/>
        </w:r>
        <w:r w:rsidR="0080145C">
          <w:rPr>
            <w:noProof/>
            <w:webHidden/>
          </w:rPr>
          <w:fldChar w:fldCharType="begin"/>
        </w:r>
        <w:r w:rsidR="0080145C">
          <w:rPr>
            <w:noProof/>
            <w:webHidden/>
          </w:rPr>
          <w:instrText xml:space="preserve"> PAGEREF _Toc518377355 \h </w:instrText>
        </w:r>
        <w:r w:rsidR="0080145C">
          <w:rPr>
            <w:noProof/>
            <w:webHidden/>
          </w:rPr>
        </w:r>
        <w:r w:rsidR="0080145C">
          <w:rPr>
            <w:noProof/>
            <w:webHidden/>
          </w:rPr>
          <w:fldChar w:fldCharType="separate"/>
        </w:r>
        <w:r w:rsidR="00092E14">
          <w:rPr>
            <w:noProof/>
            <w:webHidden/>
          </w:rPr>
          <w:t>iv</w:t>
        </w:r>
        <w:r w:rsidR="0080145C">
          <w:rPr>
            <w:noProof/>
            <w:webHidden/>
          </w:rPr>
          <w:fldChar w:fldCharType="end"/>
        </w:r>
      </w:hyperlink>
    </w:p>
    <w:p w14:paraId="6446F3A2" w14:textId="37214613" w:rsidR="0080145C" w:rsidRDefault="000C756D">
      <w:pPr>
        <w:pStyle w:val="TOC1"/>
        <w:rPr>
          <w:rFonts w:asciiTheme="minorHAnsi" w:eastAsiaTheme="minorEastAsia" w:hAnsiTheme="minorHAnsi" w:cstheme="minorBidi"/>
          <w:b w:val="0"/>
          <w:sz w:val="22"/>
          <w:szCs w:val="22"/>
          <w:lang w:eastAsia="en-AU"/>
        </w:rPr>
      </w:pPr>
      <w:hyperlink w:anchor="_Toc518377356" w:history="1">
        <w:r w:rsidR="0080145C" w:rsidRPr="000C28A3">
          <w:rPr>
            <w:rStyle w:val="Hyperlink"/>
          </w:rPr>
          <w:t>1.</w:t>
        </w:r>
        <w:r w:rsidR="0080145C">
          <w:rPr>
            <w:rFonts w:asciiTheme="minorHAnsi" w:eastAsiaTheme="minorEastAsia" w:hAnsiTheme="minorHAnsi" w:cstheme="minorBidi"/>
            <w:b w:val="0"/>
            <w:sz w:val="22"/>
            <w:szCs w:val="22"/>
            <w:lang w:eastAsia="en-AU"/>
          </w:rPr>
          <w:tab/>
        </w:r>
        <w:r w:rsidR="0080145C" w:rsidRPr="000C28A3">
          <w:rPr>
            <w:rStyle w:val="Hyperlink"/>
          </w:rPr>
          <w:t>Introduction</w:t>
        </w:r>
        <w:r w:rsidR="0080145C">
          <w:rPr>
            <w:webHidden/>
          </w:rPr>
          <w:tab/>
        </w:r>
        <w:r w:rsidR="0080145C">
          <w:rPr>
            <w:webHidden/>
          </w:rPr>
          <w:fldChar w:fldCharType="begin"/>
        </w:r>
        <w:r w:rsidR="0080145C">
          <w:rPr>
            <w:webHidden/>
          </w:rPr>
          <w:instrText xml:space="preserve"> PAGEREF _Toc518377356 \h </w:instrText>
        </w:r>
        <w:r w:rsidR="0080145C">
          <w:rPr>
            <w:webHidden/>
          </w:rPr>
        </w:r>
        <w:r w:rsidR="0080145C">
          <w:rPr>
            <w:webHidden/>
          </w:rPr>
          <w:fldChar w:fldCharType="separate"/>
        </w:r>
        <w:r w:rsidR="00092E14">
          <w:rPr>
            <w:webHidden/>
          </w:rPr>
          <w:t>1</w:t>
        </w:r>
        <w:r w:rsidR="0080145C">
          <w:rPr>
            <w:webHidden/>
          </w:rPr>
          <w:fldChar w:fldCharType="end"/>
        </w:r>
      </w:hyperlink>
    </w:p>
    <w:p w14:paraId="67CCDCF3" w14:textId="5764B2B6" w:rsidR="0080145C" w:rsidRDefault="000C756D">
      <w:pPr>
        <w:pStyle w:val="TOC1"/>
        <w:rPr>
          <w:rFonts w:asciiTheme="minorHAnsi" w:eastAsiaTheme="minorEastAsia" w:hAnsiTheme="minorHAnsi" w:cstheme="minorBidi"/>
          <w:b w:val="0"/>
          <w:sz w:val="22"/>
          <w:szCs w:val="22"/>
          <w:lang w:eastAsia="en-AU"/>
        </w:rPr>
      </w:pPr>
      <w:hyperlink w:anchor="_Toc518377358" w:history="1">
        <w:r w:rsidR="0080145C" w:rsidRPr="000C28A3">
          <w:rPr>
            <w:rStyle w:val="Hyperlink"/>
          </w:rPr>
          <w:t>2.</w:t>
        </w:r>
        <w:r w:rsidR="0080145C">
          <w:rPr>
            <w:rFonts w:asciiTheme="minorHAnsi" w:eastAsiaTheme="minorEastAsia" w:hAnsiTheme="minorHAnsi" w:cstheme="minorBidi"/>
            <w:b w:val="0"/>
            <w:sz w:val="22"/>
            <w:szCs w:val="22"/>
            <w:lang w:eastAsia="en-AU"/>
          </w:rPr>
          <w:tab/>
        </w:r>
        <w:r w:rsidR="0080145C" w:rsidRPr="000C28A3">
          <w:rPr>
            <w:rStyle w:val="Hyperlink"/>
          </w:rPr>
          <w:t>Context</w:t>
        </w:r>
        <w:r w:rsidR="0080145C">
          <w:rPr>
            <w:webHidden/>
          </w:rPr>
          <w:tab/>
        </w:r>
        <w:r w:rsidR="0080145C">
          <w:rPr>
            <w:webHidden/>
          </w:rPr>
          <w:fldChar w:fldCharType="begin"/>
        </w:r>
        <w:r w:rsidR="0080145C">
          <w:rPr>
            <w:webHidden/>
          </w:rPr>
          <w:instrText xml:space="preserve"> PAGEREF _Toc518377358 \h </w:instrText>
        </w:r>
        <w:r w:rsidR="0080145C">
          <w:rPr>
            <w:webHidden/>
          </w:rPr>
        </w:r>
        <w:r w:rsidR="0080145C">
          <w:rPr>
            <w:webHidden/>
          </w:rPr>
          <w:fldChar w:fldCharType="separate"/>
        </w:r>
        <w:r w:rsidR="00092E14">
          <w:rPr>
            <w:webHidden/>
          </w:rPr>
          <w:t>2</w:t>
        </w:r>
        <w:r w:rsidR="0080145C">
          <w:rPr>
            <w:webHidden/>
          </w:rPr>
          <w:fldChar w:fldCharType="end"/>
        </w:r>
      </w:hyperlink>
    </w:p>
    <w:p w14:paraId="40D9C65D" w14:textId="3492E2BE" w:rsidR="0080145C" w:rsidRDefault="000C756D">
      <w:pPr>
        <w:pStyle w:val="TOC1"/>
        <w:rPr>
          <w:rFonts w:asciiTheme="minorHAnsi" w:eastAsiaTheme="minorEastAsia" w:hAnsiTheme="minorHAnsi" w:cstheme="minorBidi"/>
          <w:b w:val="0"/>
          <w:sz w:val="22"/>
          <w:szCs w:val="22"/>
          <w:lang w:eastAsia="en-AU"/>
        </w:rPr>
      </w:pPr>
      <w:hyperlink w:anchor="_Toc518377362" w:history="1">
        <w:r w:rsidR="0080145C" w:rsidRPr="000C28A3">
          <w:rPr>
            <w:rStyle w:val="Hyperlink"/>
          </w:rPr>
          <w:t>3.</w:t>
        </w:r>
        <w:r w:rsidR="0080145C">
          <w:rPr>
            <w:rFonts w:asciiTheme="minorHAnsi" w:eastAsiaTheme="minorEastAsia" w:hAnsiTheme="minorHAnsi" w:cstheme="minorBidi"/>
            <w:b w:val="0"/>
            <w:sz w:val="22"/>
            <w:szCs w:val="22"/>
            <w:lang w:eastAsia="en-AU"/>
          </w:rPr>
          <w:tab/>
        </w:r>
        <w:r w:rsidR="0080145C" w:rsidRPr="000C28A3">
          <w:rPr>
            <w:rStyle w:val="Hyperlink"/>
          </w:rPr>
          <w:t>Analytical approach</w:t>
        </w:r>
        <w:r w:rsidR="0080145C">
          <w:rPr>
            <w:webHidden/>
          </w:rPr>
          <w:tab/>
        </w:r>
        <w:r w:rsidR="0080145C">
          <w:rPr>
            <w:webHidden/>
          </w:rPr>
          <w:fldChar w:fldCharType="begin"/>
        </w:r>
        <w:r w:rsidR="0080145C">
          <w:rPr>
            <w:webHidden/>
          </w:rPr>
          <w:instrText xml:space="preserve"> PAGEREF _Toc518377362 \h </w:instrText>
        </w:r>
        <w:r w:rsidR="0080145C">
          <w:rPr>
            <w:webHidden/>
          </w:rPr>
        </w:r>
        <w:r w:rsidR="0080145C">
          <w:rPr>
            <w:webHidden/>
          </w:rPr>
          <w:fldChar w:fldCharType="separate"/>
        </w:r>
        <w:r w:rsidR="00092E14">
          <w:rPr>
            <w:webHidden/>
          </w:rPr>
          <w:t>6</w:t>
        </w:r>
        <w:r w:rsidR="0080145C">
          <w:rPr>
            <w:webHidden/>
          </w:rPr>
          <w:fldChar w:fldCharType="end"/>
        </w:r>
      </w:hyperlink>
    </w:p>
    <w:p w14:paraId="4038A19D" w14:textId="6DA798B4" w:rsidR="0080145C" w:rsidRDefault="000C756D">
      <w:pPr>
        <w:pStyle w:val="TOC1"/>
        <w:rPr>
          <w:rFonts w:asciiTheme="minorHAnsi" w:eastAsiaTheme="minorEastAsia" w:hAnsiTheme="minorHAnsi" w:cstheme="minorBidi"/>
          <w:b w:val="0"/>
          <w:sz w:val="22"/>
          <w:szCs w:val="22"/>
          <w:lang w:eastAsia="en-AU"/>
        </w:rPr>
      </w:pPr>
      <w:hyperlink w:anchor="_Toc518377366" w:history="1">
        <w:r w:rsidR="0080145C" w:rsidRPr="000C28A3">
          <w:rPr>
            <w:rStyle w:val="Hyperlink"/>
          </w:rPr>
          <w:t>4.</w:t>
        </w:r>
        <w:r w:rsidR="0080145C">
          <w:rPr>
            <w:rFonts w:asciiTheme="minorHAnsi" w:eastAsiaTheme="minorEastAsia" w:hAnsiTheme="minorHAnsi" w:cstheme="minorBidi"/>
            <w:b w:val="0"/>
            <w:sz w:val="22"/>
            <w:szCs w:val="22"/>
            <w:lang w:eastAsia="en-AU"/>
          </w:rPr>
          <w:tab/>
        </w:r>
        <w:r w:rsidR="0080145C" w:rsidRPr="000C28A3">
          <w:rPr>
            <w:rStyle w:val="Hyperlink"/>
          </w:rPr>
          <w:t>Estimating CTC scores with reported and proxy wealth</w:t>
        </w:r>
        <w:r w:rsidR="0080145C">
          <w:rPr>
            <w:webHidden/>
          </w:rPr>
          <w:tab/>
        </w:r>
        <w:r w:rsidR="0080145C">
          <w:rPr>
            <w:webHidden/>
          </w:rPr>
          <w:fldChar w:fldCharType="begin"/>
        </w:r>
        <w:r w:rsidR="0080145C">
          <w:rPr>
            <w:webHidden/>
          </w:rPr>
          <w:instrText xml:space="preserve"> PAGEREF _Toc518377366 \h </w:instrText>
        </w:r>
        <w:r w:rsidR="0080145C">
          <w:rPr>
            <w:webHidden/>
          </w:rPr>
        </w:r>
        <w:r w:rsidR="0080145C">
          <w:rPr>
            <w:webHidden/>
          </w:rPr>
          <w:fldChar w:fldCharType="separate"/>
        </w:r>
        <w:r w:rsidR="00092E14">
          <w:rPr>
            <w:webHidden/>
          </w:rPr>
          <w:t>9</w:t>
        </w:r>
        <w:r w:rsidR="0080145C">
          <w:rPr>
            <w:webHidden/>
          </w:rPr>
          <w:fldChar w:fldCharType="end"/>
        </w:r>
      </w:hyperlink>
    </w:p>
    <w:p w14:paraId="3B929731" w14:textId="1E93B4C4" w:rsidR="0080145C" w:rsidRDefault="000C756D">
      <w:pPr>
        <w:pStyle w:val="TOC1"/>
        <w:rPr>
          <w:rFonts w:asciiTheme="minorHAnsi" w:eastAsiaTheme="minorEastAsia" w:hAnsiTheme="minorHAnsi" w:cstheme="minorBidi"/>
          <w:b w:val="0"/>
          <w:sz w:val="22"/>
          <w:szCs w:val="22"/>
          <w:lang w:eastAsia="en-AU"/>
        </w:rPr>
      </w:pPr>
      <w:hyperlink w:anchor="_Toc518377372" w:history="1">
        <w:r w:rsidR="0080145C" w:rsidRPr="000C28A3">
          <w:rPr>
            <w:rStyle w:val="Hyperlink"/>
          </w:rPr>
          <w:t>5.</w:t>
        </w:r>
        <w:r w:rsidR="0080145C">
          <w:rPr>
            <w:rFonts w:asciiTheme="minorHAnsi" w:eastAsiaTheme="minorEastAsia" w:hAnsiTheme="minorHAnsi" w:cstheme="minorBidi"/>
            <w:b w:val="0"/>
            <w:sz w:val="22"/>
            <w:szCs w:val="22"/>
            <w:lang w:eastAsia="en-AU"/>
          </w:rPr>
          <w:tab/>
        </w:r>
        <w:r w:rsidR="0080145C" w:rsidRPr="000C28A3">
          <w:rPr>
            <w:rStyle w:val="Hyperlink"/>
          </w:rPr>
          <w:t>Key findings and implications</w:t>
        </w:r>
        <w:r w:rsidR="0080145C">
          <w:rPr>
            <w:webHidden/>
          </w:rPr>
          <w:tab/>
        </w:r>
        <w:r w:rsidR="0080145C">
          <w:rPr>
            <w:webHidden/>
          </w:rPr>
          <w:fldChar w:fldCharType="begin"/>
        </w:r>
        <w:r w:rsidR="0080145C">
          <w:rPr>
            <w:webHidden/>
          </w:rPr>
          <w:instrText xml:space="preserve"> PAGEREF _Toc518377372 \h </w:instrText>
        </w:r>
        <w:r w:rsidR="0080145C">
          <w:rPr>
            <w:webHidden/>
          </w:rPr>
        </w:r>
        <w:r w:rsidR="0080145C">
          <w:rPr>
            <w:webHidden/>
          </w:rPr>
          <w:fldChar w:fldCharType="separate"/>
        </w:r>
        <w:r w:rsidR="00092E14">
          <w:rPr>
            <w:webHidden/>
          </w:rPr>
          <w:t>24</w:t>
        </w:r>
        <w:r w:rsidR="0080145C">
          <w:rPr>
            <w:webHidden/>
          </w:rPr>
          <w:fldChar w:fldCharType="end"/>
        </w:r>
      </w:hyperlink>
    </w:p>
    <w:p w14:paraId="01BF0D65" w14:textId="12E09869" w:rsidR="0080145C" w:rsidRPr="007B196F" w:rsidRDefault="000C756D" w:rsidP="007B196F">
      <w:pPr>
        <w:pStyle w:val="TOC2"/>
        <w:ind w:left="0"/>
        <w:rPr>
          <w:rStyle w:val="Hyperlink"/>
          <w:b/>
        </w:rPr>
      </w:pPr>
      <w:hyperlink w:anchor="_Toc518377373" w:history="1">
        <w:r w:rsidR="0080145C" w:rsidRPr="007B196F">
          <w:rPr>
            <w:rStyle w:val="Hyperlink"/>
            <w:b/>
            <w:noProof/>
          </w:rPr>
          <w:t>References</w:t>
        </w:r>
        <w:r w:rsidR="0080145C" w:rsidRPr="007B196F">
          <w:rPr>
            <w:rStyle w:val="Hyperlink"/>
            <w:b/>
            <w:webHidden/>
          </w:rPr>
          <w:tab/>
        </w:r>
        <w:r w:rsidR="0080145C" w:rsidRPr="007B196F">
          <w:rPr>
            <w:rStyle w:val="Hyperlink"/>
            <w:b/>
            <w:webHidden/>
          </w:rPr>
          <w:fldChar w:fldCharType="begin"/>
        </w:r>
        <w:r w:rsidR="0080145C" w:rsidRPr="007B196F">
          <w:rPr>
            <w:rStyle w:val="Hyperlink"/>
            <w:b/>
            <w:webHidden/>
          </w:rPr>
          <w:instrText xml:space="preserve"> PAGEREF _Toc518377373 \h </w:instrText>
        </w:r>
        <w:r w:rsidR="0080145C" w:rsidRPr="007B196F">
          <w:rPr>
            <w:rStyle w:val="Hyperlink"/>
            <w:b/>
            <w:webHidden/>
          </w:rPr>
        </w:r>
        <w:r w:rsidR="0080145C" w:rsidRPr="007B196F">
          <w:rPr>
            <w:rStyle w:val="Hyperlink"/>
            <w:b/>
            <w:webHidden/>
          </w:rPr>
          <w:fldChar w:fldCharType="separate"/>
        </w:r>
        <w:r w:rsidR="00092E14" w:rsidRPr="007B196F">
          <w:rPr>
            <w:rStyle w:val="Hyperlink"/>
            <w:b/>
            <w:webHidden/>
          </w:rPr>
          <w:t>25</w:t>
        </w:r>
        <w:r w:rsidR="0080145C" w:rsidRPr="007B196F">
          <w:rPr>
            <w:rStyle w:val="Hyperlink"/>
            <w:b/>
            <w:webHidden/>
          </w:rPr>
          <w:fldChar w:fldCharType="end"/>
        </w:r>
      </w:hyperlink>
    </w:p>
    <w:p w14:paraId="19717FF6" w14:textId="77777777" w:rsidR="00835CD9" w:rsidRDefault="00424AF5" w:rsidP="00C44628">
      <w:r>
        <w:fldChar w:fldCharType="end"/>
      </w:r>
    </w:p>
    <w:p w14:paraId="3246B08D" w14:textId="77777777" w:rsidR="00A352B4" w:rsidRDefault="000F0499" w:rsidP="00C44628">
      <w:r>
        <w:br w:type="page"/>
      </w:r>
    </w:p>
    <w:p w14:paraId="5CEFD3D5" w14:textId="77777777" w:rsidR="00A352B4" w:rsidRDefault="00E74523" w:rsidP="00A12411">
      <w:pPr>
        <w:pStyle w:val="HeadingTOC"/>
      </w:pPr>
      <w:bookmarkStart w:id="7" w:name="_Toc481431391"/>
      <w:bookmarkStart w:id="8" w:name="_Toc518377354"/>
      <w:r>
        <w:t xml:space="preserve">List of </w:t>
      </w:r>
      <w:bookmarkEnd w:id="7"/>
      <w:r w:rsidR="008D584A">
        <w:t>Figures</w:t>
      </w:r>
      <w:bookmarkEnd w:id="8"/>
    </w:p>
    <w:p w14:paraId="0B18D865" w14:textId="6FFE6AA3" w:rsidR="00141C34" w:rsidRDefault="00CB525C">
      <w:pPr>
        <w:pStyle w:val="TableofFigures"/>
        <w:rPr>
          <w:rFonts w:asciiTheme="minorHAnsi" w:eastAsiaTheme="minorEastAsia" w:hAnsiTheme="minorHAnsi" w:cstheme="minorBidi"/>
          <w:sz w:val="22"/>
          <w:szCs w:val="22"/>
          <w:lang w:eastAsia="en-AU"/>
        </w:rPr>
      </w:pPr>
      <w:r>
        <w:rPr>
          <w:noProof w:val="0"/>
        </w:rPr>
        <w:fldChar w:fldCharType="begin"/>
      </w:r>
      <w:r>
        <w:instrText xml:space="preserve"> TOC \h \z \c "Figure" </w:instrText>
      </w:r>
      <w:r>
        <w:rPr>
          <w:noProof w:val="0"/>
        </w:rPr>
        <w:fldChar w:fldCharType="separate"/>
      </w:r>
      <w:hyperlink w:anchor="_Toc518645987" w:history="1">
        <w:r w:rsidR="00141C34" w:rsidRPr="00687122">
          <w:rPr>
            <w:rStyle w:val="Hyperlink"/>
          </w:rPr>
          <w:t>Figure 2</w:t>
        </w:r>
        <w:r w:rsidR="00141C34" w:rsidRPr="00687122">
          <w:rPr>
            <w:rStyle w:val="Hyperlink"/>
          </w:rPr>
          <w:noBreakHyphen/>
          <w:t>1: Household income and wealth in Australia, 2015-16</w:t>
        </w:r>
        <w:r w:rsidR="00141C34">
          <w:rPr>
            <w:webHidden/>
          </w:rPr>
          <w:tab/>
        </w:r>
        <w:r w:rsidR="00141C34">
          <w:rPr>
            <w:webHidden/>
          </w:rPr>
          <w:fldChar w:fldCharType="begin"/>
        </w:r>
        <w:r w:rsidR="00141C34">
          <w:rPr>
            <w:webHidden/>
          </w:rPr>
          <w:instrText xml:space="preserve"> PAGEREF _Toc518645987 \h </w:instrText>
        </w:r>
        <w:r w:rsidR="00141C34">
          <w:rPr>
            <w:webHidden/>
          </w:rPr>
        </w:r>
        <w:r w:rsidR="00141C34">
          <w:rPr>
            <w:webHidden/>
          </w:rPr>
          <w:fldChar w:fldCharType="separate"/>
        </w:r>
        <w:r w:rsidR="00141C34">
          <w:rPr>
            <w:webHidden/>
          </w:rPr>
          <w:t>3</w:t>
        </w:r>
        <w:r w:rsidR="00141C34">
          <w:rPr>
            <w:webHidden/>
          </w:rPr>
          <w:fldChar w:fldCharType="end"/>
        </w:r>
      </w:hyperlink>
    </w:p>
    <w:p w14:paraId="53326013" w14:textId="373BE9E7" w:rsidR="00141C34" w:rsidRDefault="000C756D">
      <w:pPr>
        <w:pStyle w:val="TableofFigures"/>
        <w:rPr>
          <w:rFonts w:asciiTheme="minorHAnsi" w:eastAsiaTheme="minorEastAsia" w:hAnsiTheme="minorHAnsi" w:cstheme="minorBidi"/>
          <w:sz w:val="22"/>
          <w:szCs w:val="22"/>
          <w:lang w:eastAsia="en-AU"/>
        </w:rPr>
      </w:pPr>
      <w:hyperlink w:anchor="_Toc518645988" w:history="1">
        <w:r w:rsidR="00141C34" w:rsidRPr="00687122">
          <w:rPr>
            <w:rStyle w:val="Hyperlink"/>
          </w:rPr>
          <w:t>Figure 3</w:t>
        </w:r>
        <w:r w:rsidR="00141C34" w:rsidRPr="00687122">
          <w:rPr>
            <w:rStyle w:val="Hyperlink"/>
          </w:rPr>
          <w:noBreakHyphen/>
          <w:t>1: Elements of household wealth</w:t>
        </w:r>
        <w:r w:rsidR="00141C34">
          <w:rPr>
            <w:webHidden/>
          </w:rPr>
          <w:tab/>
        </w:r>
        <w:r w:rsidR="00141C34">
          <w:rPr>
            <w:webHidden/>
          </w:rPr>
          <w:fldChar w:fldCharType="begin"/>
        </w:r>
        <w:r w:rsidR="00141C34">
          <w:rPr>
            <w:webHidden/>
          </w:rPr>
          <w:instrText xml:space="preserve"> PAGEREF _Toc518645988 \h </w:instrText>
        </w:r>
        <w:r w:rsidR="00141C34">
          <w:rPr>
            <w:webHidden/>
          </w:rPr>
        </w:r>
        <w:r w:rsidR="00141C34">
          <w:rPr>
            <w:webHidden/>
          </w:rPr>
          <w:fldChar w:fldCharType="separate"/>
        </w:r>
        <w:r w:rsidR="00141C34">
          <w:rPr>
            <w:webHidden/>
          </w:rPr>
          <w:t>6</w:t>
        </w:r>
        <w:r w:rsidR="00141C34">
          <w:rPr>
            <w:webHidden/>
          </w:rPr>
          <w:fldChar w:fldCharType="end"/>
        </w:r>
      </w:hyperlink>
    </w:p>
    <w:p w14:paraId="4E9C9A62" w14:textId="7A96994C" w:rsidR="00141C34" w:rsidRDefault="000C756D">
      <w:pPr>
        <w:pStyle w:val="TableofFigures"/>
        <w:rPr>
          <w:rFonts w:asciiTheme="minorHAnsi" w:eastAsiaTheme="minorEastAsia" w:hAnsiTheme="minorHAnsi" w:cstheme="minorBidi"/>
          <w:sz w:val="22"/>
          <w:szCs w:val="22"/>
          <w:lang w:eastAsia="en-AU"/>
        </w:rPr>
      </w:pPr>
      <w:hyperlink w:anchor="_Toc518645989" w:history="1">
        <w:r w:rsidR="00141C34" w:rsidRPr="00687122">
          <w:rPr>
            <w:rStyle w:val="Hyperlink"/>
          </w:rPr>
          <w:t>Figure 4</w:t>
        </w:r>
        <w:r w:rsidR="00141C34" w:rsidRPr="00687122">
          <w:rPr>
            <w:rStyle w:val="Hyperlink"/>
          </w:rPr>
          <w:noBreakHyphen/>
          <w:t>1: Distribution of net wealth</w:t>
        </w:r>
        <w:r w:rsidR="00141C34">
          <w:rPr>
            <w:webHidden/>
          </w:rPr>
          <w:tab/>
        </w:r>
        <w:r w:rsidR="00141C34">
          <w:rPr>
            <w:webHidden/>
          </w:rPr>
          <w:fldChar w:fldCharType="begin"/>
        </w:r>
        <w:r w:rsidR="00141C34">
          <w:rPr>
            <w:webHidden/>
          </w:rPr>
          <w:instrText xml:space="preserve"> PAGEREF _Toc518645989 \h </w:instrText>
        </w:r>
        <w:r w:rsidR="00141C34">
          <w:rPr>
            <w:webHidden/>
          </w:rPr>
        </w:r>
        <w:r w:rsidR="00141C34">
          <w:rPr>
            <w:webHidden/>
          </w:rPr>
          <w:fldChar w:fldCharType="separate"/>
        </w:r>
        <w:r w:rsidR="00141C34">
          <w:rPr>
            <w:webHidden/>
          </w:rPr>
          <w:t>10</w:t>
        </w:r>
        <w:r w:rsidR="00141C34">
          <w:rPr>
            <w:webHidden/>
          </w:rPr>
          <w:fldChar w:fldCharType="end"/>
        </w:r>
      </w:hyperlink>
    </w:p>
    <w:p w14:paraId="68DB8780" w14:textId="72300739" w:rsidR="00141C34" w:rsidRDefault="000C756D">
      <w:pPr>
        <w:pStyle w:val="TableofFigures"/>
        <w:rPr>
          <w:rFonts w:asciiTheme="minorHAnsi" w:eastAsiaTheme="minorEastAsia" w:hAnsiTheme="minorHAnsi" w:cstheme="minorBidi"/>
          <w:sz w:val="22"/>
          <w:szCs w:val="22"/>
          <w:lang w:eastAsia="en-AU"/>
        </w:rPr>
      </w:pPr>
      <w:hyperlink w:anchor="_Toc518645990" w:history="1">
        <w:r w:rsidR="00141C34" w:rsidRPr="00687122">
          <w:rPr>
            <w:rStyle w:val="Hyperlink"/>
          </w:rPr>
          <w:t>Figure 4</w:t>
        </w:r>
        <w:r w:rsidR="00141C34" w:rsidRPr="00687122">
          <w:rPr>
            <w:rStyle w:val="Hyperlink"/>
          </w:rPr>
          <w:noBreakHyphen/>
          <w:t>2: Distribution of proxy wealth score</w:t>
        </w:r>
        <w:r w:rsidR="00141C34">
          <w:rPr>
            <w:webHidden/>
          </w:rPr>
          <w:tab/>
        </w:r>
        <w:r w:rsidR="00141C34">
          <w:rPr>
            <w:webHidden/>
          </w:rPr>
          <w:fldChar w:fldCharType="begin"/>
        </w:r>
        <w:r w:rsidR="00141C34">
          <w:rPr>
            <w:webHidden/>
          </w:rPr>
          <w:instrText xml:space="preserve"> PAGEREF _Toc518645990 \h </w:instrText>
        </w:r>
        <w:r w:rsidR="00141C34">
          <w:rPr>
            <w:webHidden/>
          </w:rPr>
        </w:r>
        <w:r w:rsidR="00141C34">
          <w:rPr>
            <w:webHidden/>
          </w:rPr>
          <w:fldChar w:fldCharType="separate"/>
        </w:r>
        <w:r w:rsidR="00141C34">
          <w:rPr>
            <w:webHidden/>
          </w:rPr>
          <w:t>13</w:t>
        </w:r>
        <w:r w:rsidR="00141C34">
          <w:rPr>
            <w:webHidden/>
          </w:rPr>
          <w:fldChar w:fldCharType="end"/>
        </w:r>
      </w:hyperlink>
    </w:p>
    <w:p w14:paraId="48EA3AE7" w14:textId="0380AB32" w:rsidR="00141C34" w:rsidRDefault="000C756D">
      <w:pPr>
        <w:pStyle w:val="TableofFigures"/>
        <w:rPr>
          <w:rFonts w:asciiTheme="minorHAnsi" w:eastAsiaTheme="minorEastAsia" w:hAnsiTheme="minorHAnsi" w:cstheme="minorBidi"/>
          <w:sz w:val="22"/>
          <w:szCs w:val="22"/>
          <w:lang w:eastAsia="en-AU"/>
        </w:rPr>
      </w:pPr>
      <w:hyperlink w:anchor="_Toc518645991" w:history="1">
        <w:r w:rsidR="00141C34" w:rsidRPr="00687122">
          <w:rPr>
            <w:rStyle w:val="Hyperlink"/>
          </w:rPr>
          <w:t>Figure 4</w:t>
        </w:r>
        <w:r w:rsidR="00141C34" w:rsidRPr="00687122">
          <w:rPr>
            <w:rStyle w:val="Hyperlink"/>
          </w:rPr>
          <w:noBreakHyphen/>
          <w:t>3: Change in household CTC rank based on wealth inclusion</w:t>
        </w:r>
        <w:r w:rsidR="00141C34">
          <w:rPr>
            <w:webHidden/>
          </w:rPr>
          <w:tab/>
        </w:r>
        <w:r w:rsidR="00141C34">
          <w:rPr>
            <w:webHidden/>
          </w:rPr>
          <w:fldChar w:fldCharType="begin"/>
        </w:r>
        <w:r w:rsidR="00141C34">
          <w:rPr>
            <w:webHidden/>
          </w:rPr>
          <w:instrText xml:space="preserve"> PAGEREF _Toc518645991 \h </w:instrText>
        </w:r>
        <w:r w:rsidR="00141C34">
          <w:rPr>
            <w:webHidden/>
          </w:rPr>
        </w:r>
        <w:r w:rsidR="00141C34">
          <w:rPr>
            <w:webHidden/>
          </w:rPr>
          <w:fldChar w:fldCharType="separate"/>
        </w:r>
        <w:r w:rsidR="00141C34">
          <w:rPr>
            <w:webHidden/>
          </w:rPr>
          <w:t>22</w:t>
        </w:r>
        <w:r w:rsidR="00141C34">
          <w:rPr>
            <w:webHidden/>
          </w:rPr>
          <w:fldChar w:fldCharType="end"/>
        </w:r>
      </w:hyperlink>
    </w:p>
    <w:p w14:paraId="5CE27DFE" w14:textId="7B262114" w:rsidR="00141C34" w:rsidRDefault="000C756D">
      <w:pPr>
        <w:pStyle w:val="TableofFigures"/>
        <w:rPr>
          <w:rFonts w:asciiTheme="minorHAnsi" w:eastAsiaTheme="minorEastAsia" w:hAnsiTheme="minorHAnsi" w:cstheme="minorBidi"/>
          <w:sz w:val="22"/>
          <w:szCs w:val="22"/>
          <w:lang w:eastAsia="en-AU"/>
        </w:rPr>
      </w:pPr>
      <w:hyperlink w:anchor="_Toc518645992" w:history="1">
        <w:r w:rsidR="00141C34" w:rsidRPr="00687122">
          <w:rPr>
            <w:rStyle w:val="Hyperlink"/>
          </w:rPr>
          <w:t>Figure 4</w:t>
        </w:r>
        <w:r w:rsidR="00141C34" w:rsidRPr="00687122">
          <w:rPr>
            <w:rStyle w:val="Hyperlink"/>
          </w:rPr>
          <w:noBreakHyphen/>
          <w:t>4: Change in household CTC rank with inclusion of reported wealth-school sectors</w:t>
        </w:r>
        <w:r w:rsidR="00141C34">
          <w:rPr>
            <w:webHidden/>
          </w:rPr>
          <w:tab/>
        </w:r>
        <w:r w:rsidR="00141C34">
          <w:rPr>
            <w:webHidden/>
          </w:rPr>
          <w:fldChar w:fldCharType="begin"/>
        </w:r>
        <w:r w:rsidR="00141C34">
          <w:rPr>
            <w:webHidden/>
          </w:rPr>
          <w:instrText xml:space="preserve"> PAGEREF _Toc518645992 \h </w:instrText>
        </w:r>
        <w:r w:rsidR="00141C34">
          <w:rPr>
            <w:webHidden/>
          </w:rPr>
        </w:r>
        <w:r w:rsidR="00141C34">
          <w:rPr>
            <w:webHidden/>
          </w:rPr>
          <w:fldChar w:fldCharType="separate"/>
        </w:r>
        <w:r w:rsidR="00141C34">
          <w:rPr>
            <w:webHidden/>
          </w:rPr>
          <w:t>22</w:t>
        </w:r>
        <w:r w:rsidR="00141C34">
          <w:rPr>
            <w:webHidden/>
          </w:rPr>
          <w:fldChar w:fldCharType="end"/>
        </w:r>
      </w:hyperlink>
    </w:p>
    <w:p w14:paraId="78085D73" w14:textId="077D84DF" w:rsidR="00141C34" w:rsidRDefault="000C756D">
      <w:pPr>
        <w:pStyle w:val="TableofFigures"/>
        <w:rPr>
          <w:rFonts w:asciiTheme="minorHAnsi" w:eastAsiaTheme="minorEastAsia" w:hAnsiTheme="minorHAnsi" w:cstheme="minorBidi"/>
          <w:sz w:val="22"/>
          <w:szCs w:val="22"/>
          <w:lang w:eastAsia="en-AU"/>
        </w:rPr>
      </w:pPr>
      <w:hyperlink w:anchor="_Toc518645993" w:history="1">
        <w:r w:rsidR="00141C34" w:rsidRPr="00687122">
          <w:rPr>
            <w:rStyle w:val="Hyperlink"/>
          </w:rPr>
          <w:t>Figure 4</w:t>
        </w:r>
        <w:r w:rsidR="00141C34" w:rsidRPr="00687122">
          <w:rPr>
            <w:rStyle w:val="Hyperlink"/>
          </w:rPr>
          <w:noBreakHyphen/>
          <w:t>5: CTC score-rank excluding wealth and rank change including reported wealth</w:t>
        </w:r>
        <w:r w:rsidR="00141C34">
          <w:rPr>
            <w:webHidden/>
          </w:rPr>
          <w:tab/>
        </w:r>
        <w:r w:rsidR="00141C34">
          <w:rPr>
            <w:webHidden/>
          </w:rPr>
          <w:fldChar w:fldCharType="begin"/>
        </w:r>
        <w:r w:rsidR="00141C34">
          <w:rPr>
            <w:webHidden/>
          </w:rPr>
          <w:instrText xml:space="preserve"> PAGEREF _Toc518645993 \h </w:instrText>
        </w:r>
        <w:r w:rsidR="00141C34">
          <w:rPr>
            <w:webHidden/>
          </w:rPr>
        </w:r>
        <w:r w:rsidR="00141C34">
          <w:rPr>
            <w:webHidden/>
          </w:rPr>
          <w:fldChar w:fldCharType="separate"/>
        </w:r>
        <w:r w:rsidR="00141C34">
          <w:rPr>
            <w:webHidden/>
          </w:rPr>
          <w:t>23</w:t>
        </w:r>
        <w:r w:rsidR="00141C34">
          <w:rPr>
            <w:webHidden/>
          </w:rPr>
          <w:fldChar w:fldCharType="end"/>
        </w:r>
      </w:hyperlink>
    </w:p>
    <w:p w14:paraId="05B99D35" w14:textId="542ADACD" w:rsidR="006D3904" w:rsidRPr="00835CD9" w:rsidRDefault="00CB525C" w:rsidP="00835CD9">
      <w:r>
        <w:rPr>
          <w:b/>
          <w:bCs/>
          <w:noProof/>
          <w:lang w:val="en-US"/>
        </w:rPr>
        <w:fldChar w:fldCharType="end"/>
      </w:r>
    </w:p>
    <w:p w14:paraId="3CD0B6CC" w14:textId="77777777" w:rsidR="00E74523" w:rsidRDefault="00E74523" w:rsidP="00A12411">
      <w:pPr>
        <w:pStyle w:val="HeadingTOC"/>
      </w:pPr>
      <w:bookmarkStart w:id="9" w:name="_Toc481431392"/>
      <w:bookmarkStart w:id="10" w:name="_Toc518377355"/>
      <w:r>
        <w:t xml:space="preserve">List of </w:t>
      </w:r>
      <w:bookmarkEnd w:id="9"/>
      <w:r w:rsidR="008D584A">
        <w:t>Tables</w:t>
      </w:r>
      <w:bookmarkEnd w:id="10"/>
    </w:p>
    <w:p w14:paraId="01410EEF" w14:textId="7823BC48" w:rsidR="00141C34" w:rsidRDefault="00CB525C">
      <w:pPr>
        <w:pStyle w:val="TableofFigures"/>
        <w:rPr>
          <w:rFonts w:asciiTheme="minorHAnsi" w:eastAsiaTheme="minorEastAsia" w:hAnsiTheme="minorHAnsi" w:cstheme="minorBidi"/>
          <w:sz w:val="22"/>
          <w:szCs w:val="22"/>
          <w:lang w:eastAsia="en-AU"/>
        </w:rPr>
      </w:pPr>
      <w:r>
        <w:rPr>
          <w:noProof w:val="0"/>
        </w:rPr>
        <w:fldChar w:fldCharType="begin"/>
      </w:r>
      <w:r>
        <w:instrText xml:space="preserve"> TOC \h \z \c "Table" </w:instrText>
      </w:r>
      <w:r>
        <w:rPr>
          <w:noProof w:val="0"/>
        </w:rPr>
        <w:fldChar w:fldCharType="separate"/>
      </w:r>
      <w:hyperlink w:anchor="_Toc518645970" w:history="1">
        <w:r w:rsidR="00141C34" w:rsidRPr="002F4BFB">
          <w:rPr>
            <w:rStyle w:val="Hyperlink"/>
          </w:rPr>
          <w:t>Table 2</w:t>
        </w:r>
        <w:r w:rsidR="00141C34" w:rsidRPr="002F4BFB">
          <w:rPr>
            <w:rStyle w:val="Hyperlink"/>
          </w:rPr>
          <w:noBreakHyphen/>
          <w:t>1: Potential options for including wealth with a CTC measure</w:t>
        </w:r>
        <w:r w:rsidR="00141C34">
          <w:rPr>
            <w:webHidden/>
          </w:rPr>
          <w:tab/>
        </w:r>
        <w:r w:rsidR="00141C34">
          <w:rPr>
            <w:webHidden/>
          </w:rPr>
          <w:fldChar w:fldCharType="begin"/>
        </w:r>
        <w:r w:rsidR="00141C34">
          <w:rPr>
            <w:webHidden/>
          </w:rPr>
          <w:instrText xml:space="preserve"> PAGEREF _Toc518645970 \h </w:instrText>
        </w:r>
        <w:r w:rsidR="00141C34">
          <w:rPr>
            <w:webHidden/>
          </w:rPr>
        </w:r>
        <w:r w:rsidR="00141C34">
          <w:rPr>
            <w:webHidden/>
          </w:rPr>
          <w:fldChar w:fldCharType="separate"/>
        </w:r>
        <w:r w:rsidR="00141C34">
          <w:rPr>
            <w:webHidden/>
          </w:rPr>
          <w:t>5</w:t>
        </w:r>
        <w:r w:rsidR="00141C34">
          <w:rPr>
            <w:webHidden/>
          </w:rPr>
          <w:fldChar w:fldCharType="end"/>
        </w:r>
      </w:hyperlink>
    </w:p>
    <w:p w14:paraId="37E69B5A" w14:textId="5E03970F" w:rsidR="00141C34" w:rsidRDefault="000C756D">
      <w:pPr>
        <w:pStyle w:val="TableofFigures"/>
        <w:rPr>
          <w:rFonts w:asciiTheme="minorHAnsi" w:eastAsiaTheme="minorEastAsia" w:hAnsiTheme="minorHAnsi" w:cstheme="minorBidi"/>
          <w:sz w:val="22"/>
          <w:szCs w:val="22"/>
          <w:lang w:eastAsia="en-AU"/>
        </w:rPr>
      </w:pPr>
      <w:hyperlink w:anchor="_Toc518645971" w:history="1">
        <w:r w:rsidR="00141C34" w:rsidRPr="002F4BFB">
          <w:rPr>
            <w:rStyle w:val="Hyperlink"/>
          </w:rPr>
          <w:t>Table 3</w:t>
        </w:r>
        <w:r w:rsidR="00141C34" w:rsidRPr="002F4BFB">
          <w:rPr>
            <w:rStyle w:val="Hyperlink"/>
          </w:rPr>
          <w:noBreakHyphen/>
          <w:t>1: Wealth data available in the Survey of Income and Housing and Census</w:t>
        </w:r>
        <w:r w:rsidR="00141C34">
          <w:rPr>
            <w:webHidden/>
          </w:rPr>
          <w:tab/>
        </w:r>
        <w:r w:rsidR="00141C34">
          <w:rPr>
            <w:webHidden/>
          </w:rPr>
          <w:fldChar w:fldCharType="begin"/>
        </w:r>
        <w:r w:rsidR="00141C34">
          <w:rPr>
            <w:webHidden/>
          </w:rPr>
          <w:instrText xml:space="preserve"> PAGEREF _Toc518645971 \h </w:instrText>
        </w:r>
        <w:r w:rsidR="00141C34">
          <w:rPr>
            <w:webHidden/>
          </w:rPr>
        </w:r>
        <w:r w:rsidR="00141C34">
          <w:rPr>
            <w:webHidden/>
          </w:rPr>
          <w:fldChar w:fldCharType="separate"/>
        </w:r>
        <w:r w:rsidR="00141C34">
          <w:rPr>
            <w:webHidden/>
          </w:rPr>
          <w:t>7</w:t>
        </w:r>
        <w:r w:rsidR="00141C34">
          <w:rPr>
            <w:webHidden/>
          </w:rPr>
          <w:fldChar w:fldCharType="end"/>
        </w:r>
      </w:hyperlink>
    </w:p>
    <w:p w14:paraId="24E28BD6" w14:textId="2034C62C" w:rsidR="00141C34" w:rsidRDefault="000C756D">
      <w:pPr>
        <w:pStyle w:val="TableofFigures"/>
        <w:rPr>
          <w:rFonts w:asciiTheme="minorHAnsi" w:eastAsiaTheme="minorEastAsia" w:hAnsiTheme="minorHAnsi" w:cstheme="minorBidi"/>
          <w:sz w:val="22"/>
          <w:szCs w:val="22"/>
          <w:lang w:eastAsia="en-AU"/>
        </w:rPr>
      </w:pPr>
      <w:hyperlink w:anchor="_Toc518645972" w:history="1">
        <w:r w:rsidR="00141C34" w:rsidRPr="002F4BFB">
          <w:rPr>
            <w:rStyle w:val="Hyperlink"/>
          </w:rPr>
          <w:t>Table 4</w:t>
        </w:r>
        <w:r w:rsidR="00141C34" w:rsidRPr="002F4BFB">
          <w:rPr>
            <w:rStyle w:val="Hyperlink"/>
          </w:rPr>
          <w:noBreakHyphen/>
          <w:t>1: Net wealth in the Survey of Income and Housing, 2015-16</w:t>
        </w:r>
        <w:r w:rsidR="00141C34">
          <w:rPr>
            <w:webHidden/>
          </w:rPr>
          <w:tab/>
        </w:r>
        <w:r w:rsidR="00141C34">
          <w:rPr>
            <w:webHidden/>
          </w:rPr>
          <w:fldChar w:fldCharType="begin"/>
        </w:r>
        <w:r w:rsidR="00141C34">
          <w:rPr>
            <w:webHidden/>
          </w:rPr>
          <w:instrText xml:space="preserve"> PAGEREF _Toc518645972 \h </w:instrText>
        </w:r>
        <w:r w:rsidR="00141C34">
          <w:rPr>
            <w:webHidden/>
          </w:rPr>
        </w:r>
        <w:r w:rsidR="00141C34">
          <w:rPr>
            <w:webHidden/>
          </w:rPr>
          <w:fldChar w:fldCharType="separate"/>
        </w:r>
        <w:r w:rsidR="00141C34">
          <w:rPr>
            <w:webHidden/>
          </w:rPr>
          <w:t>9</w:t>
        </w:r>
        <w:r w:rsidR="00141C34">
          <w:rPr>
            <w:webHidden/>
          </w:rPr>
          <w:fldChar w:fldCharType="end"/>
        </w:r>
      </w:hyperlink>
    </w:p>
    <w:p w14:paraId="221B6244" w14:textId="0D6F560B" w:rsidR="00141C34" w:rsidRDefault="000C756D">
      <w:pPr>
        <w:pStyle w:val="TableofFigures"/>
        <w:rPr>
          <w:rFonts w:asciiTheme="minorHAnsi" w:eastAsiaTheme="minorEastAsia" w:hAnsiTheme="minorHAnsi" w:cstheme="minorBidi"/>
          <w:sz w:val="22"/>
          <w:szCs w:val="22"/>
          <w:lang w:eastAsia="en-AU"/>
        </w:rPr>
      </w:pPr>
      <w:hyperlink w:anchor="_Toc518645973" w:history="1">
        <w:r w:rsidR="00141C34" w:rsidRPr="002F4BFB">
          <w:rPr>
            <w:rStyle w:val="Hyperlink"/>
          </w:rPr>
          <w:t>Table 4</w:t>
        </w:r>
        <w:r w:rsidR="00141C34" w:rsidRPr="002F4BFB">
          <w:rPr>
            <w:rStyle w:val="Hyperlink"/>
          </w:rPr>
          <w:noBreakHyphen/>
          <w:t>2: Data used to generate proxy wealth score</w:t>
        </w:r>
        <w:r w:rsidR="00141C34">
          <w:rPr>
            <w:webHidden/>
          </w:rPr>
          <w:tab/>
        </w:r>
        <w:r w:rsidR="00141C34">
          <w:rPr>
            <w:webHidden/>
          </w:rPr>
          <w:fldChar w:fldCharType="begin"/>
        </w:r>
        <w:r w:rsidR="00141C34">
          <w:rPr>
            <w:webHidden/>
          </w:rPr>
          <w:instrText xml:space="preserve"> PAGEREF _Toc518645973 \h </w:instrText>
        </w:r>
        <w:r w:rsidR="00141C34">
          <w:rPr>
            <w:webHidden/>
          </w:rPr>
        </w:r>
        <w:r w:rsidR="00141C34">
          <w:rPr>
            <w:webHidden/>
          </w:rPr>
          <w:fldChar w:fldCharType="separate"/>
        </w:r>
        <w:r w:rsidR="00141C34">
          <w:rPr>
            <w:webHidden/>
          </w:rPr>
          <w:t>10</w:t>
        </w:r>
        <w:r w:rsidR="00141C34">
          <w:rPr>
            <w:webHidden/>
          </w:rPr>
          <w:fldChar w:fldCharType="end"/>
        </w:r>
      </w:hyperlink>
    </w:p>
    <w:p w14:paraId="0F959629" w14:textId="3C138557" w:rsidR="00141C34" w:rsidRDefault="000C756D">
      <w:pPr>
        <w:pStyle w:val="TableofFigures"/>
        <w:rPr>
          <w:rFonts w:asciiTheme="minorHAnsi" w:eastAsiaTheme="minorEastAsia" w:hAnsiTheme="minorHAnsi" w:cstheme="minorBidi"/>
          <w:sz w:val="22"/>
          <w:szCs w:val="22"/>
          <w:lang w:eastAsia="en-AU"/>
        </w:rPr>
      </w:pPr>
      <w:hyperlink w:anchor="_Toc518645974" w:history="1">
        <w:r w:rsidR="00141C34" w:rsidRPr="002F4BFB">
          <w:rPr>
            <w:rStyle w:val="Hyperlink"/>
          </w:rPr>
          <w:t>Table 4</w:t>
        </w:r>
        <w:r w:rsidR="00141C34" w:rsidRPr="002F4BFB">
          <w:rPr>
            <w:rStyle w:val="Hyperlink"/>
          </w:rPr>
          <w:noBreakHyphen/>
          <w:t>3: Proxy wealth variables – first eigenvector and eigenvalue</w:t>
        </w:r>
        <w:r w:rsidR="00141C34">
          <w:rPr>
            <w:webHidden/>
          </w:rPr>
          <w:tab/>
        </w:r>
        <w:r w:rsidR="00141C34">
          <w:rPr>
            <w:webHidden/>
          </w:rPr>
          <w:fldChar w:fldCharType="begin"/>
        </w:r>
        <w:r w:rsidR="00141C34">
          <w:rPr>
            <w:webHidden/>
          </w:rPr>
          <w:instrText xml:space="preserve"> PAGEREF _Toc518645974 \h </w:instrText>
        </w:r>
        <w:r w:rsidR="00141C34">
          <w:rPr>
            <w:webHidden/>
          </w:rPr>
        </w:r>
        <w:r w:rsidR="00141C34">
          <w:rPr>
            <w:webHidden/>
          </w:rPr>
          <w:fldChar w:fldCharType="separate"/>
        </w:r>
        <w:r w:rsidR="00141C34">
          <w:rPr>
            <w:webHidden/>
          </w:rPr>
          <w:t>11</w:t>
        </w:r>
        <w:r w:rsidR="00141C34">
          <w:rPr>
            <w:webHidden/>
          </w:rPr>
          <w:fldChar w:fldCharType="end"/>
        </w:r>
      </w:hyperlink>
    </w:p>
    <w:p w14:paraId="78AE52FF" w14:textId="37E22E22" w:rsidR="00141C34" w:rsidRDefault="000C756D">
      <w:pPr>
        <w:pStyle w:val="TableofFigures"/>
        <w:rPr>
          <w:rFonts w:asciiTheme="minorHAnsi" w:eastAsiaTheme="minorEastAsia" w:hAnsiTheme="minorHAnsi" w:cstheme="minorBidi"/>
          <w:sz w:val="22"/>
          <w:szCs w:val="22"/>
          <w:lang w:eastAsia="en-AU"/>
        </w:rPr>
      </w:pPr>
      <w:hyperlink w:anchor="_Toc518645975" w:history="1">
        <w:r w:rsidR="00141C34" w:rsidRPr="002F4BFB">
          <w:rPr>
            <w:rStyle w:val="Hyperlink"/>
          </w:rPr>
          <w:t>Table 4</w:t>
        </w:r>
        <w:r w:rsidR="00141C34" w:rsidRPr="002F4BFB">
          <w:rPr>
            <w:rStyle w:val="Hyperlink"/>
          </w:rPr>
          <w:noBreakHyphen/>
          <w:t>4: Correlation matrix: proxy wealth measure elements</w:t>
        </w:r>
        <w:r w:rsidR="00141C34">
          <w:rPr>
            <w:webHidden/>
          </w:rPr>
          <w:tab/>
        </w:r>
        <w:r w:rsidR="00141C34">
          <w:rPr>
            <w:webHidden/>
          </w:rPr>
          <w:fldChar w:fldCharType="begin"/>
        </w:r>
        <w:r w:rsidR="00141C34">
          <w:rPr>
            <w:webHidden/>
          </w:rPr>
          <w:instrText xml:space="preserve"> PAGEREF _Toc518645975 \h </w:instrText>
        </w:r>
        <w:r w:rsidR="00141C34">
          <w:rPr>
            <w:webHidden/>
          </w:rPr>
        </w:r>
        <w:r w:rsidR="00141C34">
          <w:rPr>
            <w:webHidden/>
          </w:rPr>
          <w:fldChar w:fldCharType="separate"/>
        </w:r>
        <w:r w:rsidR="00141C34">
          <w:rPr>
            <w:webHidden/>
          </w:rPr>
          <w:t>12</w:t>
        </w:r>
        <w:r w:rsidR="00141C34">
          <w:rPr>
            <w:webHidden/>
          </w:rPr>
          <w:fldChar w:fldCharType="end"/>
        </w:r>
      </w:hyperlink>
    </w:p>
    <w:p w14:paraId="52B2F201" w14:textId="4E2791BD" w:rsidR="00141C34" w:rsidRDefault="000C756D">
      <w:pPr>
        <w:pStyle w:val="TableofFigures"/>
        <w:rPr>
          <w:rFonts w:asciiTheme="minorHAnsi" w:eastAsiaTheme="minorEastAsia" w:hAnsiTheme="minorHAnsi" w:cstheme="minorBidi"/>
          <w:sz w:val="22"/>
          <w:szCs w:val="22"/>
          <w:lang w:eastAsia="en-AU"/>
        </w:rPr>
      </w:pPr>
      <w:hyperlink w:anchor="_Toc518645976" w:history="1">
        <w:r w:rsidR="00141C34" w:rsidRPr="002F4BFB">
          <w:rPr>
            <w:rStyle w:val="Hyperlink"/>
          </w:rPr>
          <w:t>Table 4</w:t>
        </w:r>
        <w:r w:rsidR="00141C34" w:rsidRPr="002F4BFB">
          <w:rPr>
            <w:rStyle w:val="Hyperlink"/>
          </w:rPr>
          <w:noBreakHyphen/>
          <w:t>5: Correlation matrix: proxy wealth measure elements and proxy wealth score</w:t>
        </w:r>
        <w:r w:rsidR="00141C34">
          <w:rPr>
            <w:webHidden/>
          </w:rPr>
          <w:tab/>
        </w:r>
        <w:r w:rsidR="00141C34">
          <w:rPr>
            <w:webHidden/>
          </w:rPr>
          <w:fldChar w:fldCharType="begin"/>
        </w:r>
        <w:r w:rsidR="00141C34">
          <w:rPr>
            <w:webHidden/>
          </w:rPr>
          <w:instrText xml:space="preserve"> PAGEREF _Toc518645976 \h </w:instrText>
        </w:r>
        <w:r w:rsidR="00141C34">
          <w:rPr>
            <w:webHidden/>
          </w:rPr>
        </w:r>
        <w:r w:rsidR="00141C34">
          <w:rPr>
            <w:webHidden/>
          </w:rPr>
          <w:fldChar w:fldCharType="separate"/>
        </w:r>
        <w:r w:rsidR="00141C34">
          <w:rPr>
            <w:webHidden/>
          </w:rPr>
          <w:t>14</w:t>
        </w:r>
        <w:r w:rsidR="00141C34">
          <w:rPr>
            <w:webHidden/>
          </w:rPr>
          <w:fldChar w:fldCharType="end"/>
        </w:r>
      </w:hyperlink>
    </w:p>
    <w:p w14:paraId="35FAE376" w14:textId="69BF9947" w:rsidR="00141C34" w:rsidRDefault="000C756D">
      <w:pPr>
        <w:pStyle w:val="TableofFigures"/>
        <w:rPr>
          <w:rFonts w:asciiTheme="minorHAnsi" w:eastAsiaTheme="minorEastAsia" w:hAnsiTheme="minorHAnsi" w:cstheme="minorBidi"/>
          <w:sz w:val="22"/>
          <w:szCs w:val="22"/>
          <w:lang w:eastAsia="en-AU"/>
        </w:rPr>
      </w:pPr>
      <w:hyperlink w:anchor="_Toc518645977" w:history="1">
        <w:r w:rsidR="00141C34" w:rsidRPr="002F4BFB">
          <w:rPr>
            <w:rStyle w:val="Hyperlink"/>
          </w:rPr>
          <w:t>Table 4</w:t>
        </w:r>
        <w:r w:rsidR="00141C34" w:rsidRPr="002F4BFB">
          <w:rPr>
            <w:rStyle w:val="Hyperlink"/>
          </w:rPr>
          <w:noBreakHyphen/>
          <w:t>6: Education level and equivalised weekly household income</w:t>
        </w:r>
        <w:r w:rsidR="00141C34">
          <w:rPr>
            <w:webHidden/>
          </w:rPr>
          <w:tab/>
        </w:r>
        <w:r w:rsidR="00141C34">
          <w:rPr>
            <w:webHidden/>
          </w:rPr>
          <w:fldChar w:fldCharType="begin"/>
        </w:r>
        <w:r w:rsidR="00141C34">
          <w:rPr>
            <w:webHidden/>
          </w:rPr>
          <w:instrText xml:space="preserve"> PAGEREF _Toc518645977 \h </w:instrText>
        </w:r>
        <w:r w:rsidR="00141C34">
          <w:rPr>
            <w:webHidden/>
          </w:rPr>
        </w:r>
        <w:r w:rsidR="00141C34">
          <w:rPr>
            <w:webHidden/>
          </w:rPr>
          <w:fldChar w:fldCharType="separate"/>
        </w:r>
        <w:r w:rsidR="00141C34">
          <w:rPr>
            <w:webHidden/>
          </w:rPr>
          <w:t>15</w:t>
        </w:r>
        <w:r w:rsidR="00141C34">
          <w:rPr>
            <w:webHidden/>
          </w:rPr>
          <w:fldChar w:fldCharType="end"/>
        </w:r>
      </w:hyperlink>
    </w:p>
    <w:p w14:paraId="74F4EA33" w14:textId="1BA17F41" w:rsidR="00141C34" w:rsidRDefault="000C756D">
      <w:pPr>
        <w:pStyle w:val="TableofFigures"/>
        <w:rPr>
          <w:rFonts w:asciiTheme="minorHAnsi" w:eastAsiaTheme="minorEastAsia" w:hAnsiTheme="minorHAnsi" w:cstheme="minorBidi"/>
          <w:sz w:val="22"/>
          <w:szCs w:val="22"/>
          <w:lang w:eastAsia="en-AU"/>
        </w:rPr>
      </w:pPr>
      <w:hyperlink w:anchor="_Toc518645978" w:history="1">
        <w:r w:rsidR="00141C34" w:rsidRPr="002F4BFB">
          <w:rPr>
            <w:rStyle w:val="Hyperlink"/>
          </w:rPr>
          <w:t>Table 4</w:t>
        </w:r>
        <w:r w:rsidR="00141C34" w:rsidRPr="002F4BFB">
          <w:rPr>
            <w:rStyle w:val="Hyperlink"/>
          </w:rPr>
          <w:noBreakHyphen/>
          <w:t>7: Occupational skill level</w:t>
        </w:r>
        <w:r w:rsidR="00141C34">
          <w:rPr>
            <w:webHidden/>
          </w:rPr>
          <w:tab/>
        </w:r>
        <w:r w:rsidR="00141C34">
          <w:rPr>
            <w:webHidden/>
          </w:rPr>
          <w:fldChar w:fldCharType="begin"/>
        </w:r>
        <w:r w:rsidR="00141C34">
          <w:rPr>
            <w:webHidden/>
          </w:rPr>
          <w:instrText xml:space="preserve"> PAGEREF _Toc518645978 \h </w:instrText>
        </w:r>
        <w:r w:rsidR="00141C34">
          <w:rPr>
            <w:webHidden/>
          </w:rPr>
        </w:r>
        <w:r w:rsidR="00141C34">
          <w:rPr>
            <w:webHidden/>
          </w:rPr>
          <w:fldChar w:fldCharType="separate"/>
        </w:r>
        <w:r w:rsidR="00141C34">
          <w:rPr>
            <w:webHidden/>
          </w:rPr>
          <w:t>16</w:t>
        </w:r>
        <w:r w:rsidR="00141C34">
          <w:rPr>
            <w:webHidden/>
          </w:rPr>
          <w:fldChar w:fldCharType="end"/>
        </w:r>
      </w:hyperlink>
    </w:p>
    <w:p w14:paraId="72C9998A" w14:textId="3169B555" w:rsidR="00141C34" w:rsidRDefault="000C756D">
      <w:pPr>
        <w:pStyle w:val="TableofFigures"/>
        <w:rPr>
          <w:rFonts w:asciiTheme="minorHAnsi" w:eastAsiaTheme="minorEastAsia" w:hAnsiTheme="minorHAnsi" w:cstheme="minorBidi"/>
          <w:sz w:val="22"/>
          <w:szCs w:val="22"/>
          <w:lang w:eastAsia="en-AU"/>
        </w:rPr>
      </w:pPr>
      <w:hyperlink w:anchor="_Toc518645979" w:history="1">
        <w:r w:rsidR="00141C34" w:rsidRPr="002F4BFB">
          <w:rPr>
            <w:rStyle w:val="Hyperlink"/>
          </w:rPr>
          <w:t>Table 4</w:t>
        </w:r>
        <w:r w:rsidR="00141C34" w:rsidRPr="002F4BFB">
          <w:rPr>
            <w:rStyle w:val="Hyperlink"/>
          </w:rPr>
          <w:noBreakHyphen/>
          <w:t>8: Correlation matrix-elements of CTC score without wealth</w:t>
        </w:r>
        <w:r w:rsidR="00141C34">
          <w:rPr>
            <w:webHidden/>
          </w:rPr>
          <w:tab/>
        </w:r>
        <w:r w:rsidR="00141C34">
          <w:rPr>
            <w:webHidden/>
          </w:rPr>
          <w:fldChar w:fldCharType="begin"/>
        </w:r>
        <w:r w:rsidR="00141C34">
          <w:rPr>
            <w:webHidden/>
          </w:rPr>
          <w:instrText xml:space="preserve"> PAGEREF _Toc518645979 \h </w:instrText>
        </w:r>
        <w:r w:rsidR="00141C34">
          <w:rPr>
            <w:webHidden/>
          </w:rPr>
        </w:r>
        <w:r w:rsidR="00141C34">
          <w:rPr>
            <w:webHidden/>
          </w:rPr>
          <w:fldChar w:fldCharType="separate"/>
        </w:r>
        <w:r w:rsidR="00141C34">
          <w:rPr>
            <w:webHidden/>
          </w:rPr>
          <w:t>16</w:t>
        </w:r>
        <w:r w:rsidR="00141C34">
          <w:rPr>
            <w:webHidden/>
          </w:rPr>
          <w:fldChar w:fldCharType="end"/>
        </w:r>
      </w:hyperlink>
    </w:p>
    <w:p w14:paraId="3B143C71" w14:textId="10FAD3AA" w:rsidR="00141C34" w:rsidRDefault="000C756D">
      <w:pPr>
        <w:pStyle w:val="TableofFigures"/>
        <w:rPr>
          <w:rFonts w:asciiTheme="minorHAnsi" w:eastAsiaTheme="minorEastAsia" w:hAnsiTheme="minorHAnsi" w:cstheme="minorBidi"/>
          <w:sz w:val="22"/>
          <w:szCs w:val="22"/>
          <w:lang w:eastAsia="en-AU"/>
        </w:rPr>
      </w:pPr>
      <w:hyperlink w:anchor="_Toc518645980" w:history="1">
        <w:r w:rsidR="00141C34" w:rsidRPr="002F4BFB">
          <w:rPr>
            <w:rStyle w:val="Hyperlink"/>
          </w:rPr>
          <w:t>Table 4</w:t>
        </w:r>
        <w:r w:rsidR="00141C34" w:rsidRPr="002F4BFB">
          <w:rPr>
            <w:rStyle w:val="Hyperlink"/>
          </w:rPr>
          <w:noBreakHyphen/>
          <w:t>9: Correlation matrix-elements of CTC score with reported wealth</w:t>
        </w:r>
        <w:r w:rsidR="00141C34">
          <w:rPr>
            <w:webHidden/>
          </w:rPr>
          <w:tab/>
        </w:r>
        <w:r w:rsidR="00141C34">
          <w:rPr>
            <w:webHidden/>
          </w:rPr>
          <w:fldChar w:fldCharType="begin"/>
        </w:r>
        <w:r w:rsidR="00141C34">
          <w:rPr>
            <w:webHidden/>
          </w:rPr>
          <w:instrText xml:space="preserve"> PAGEREF _Toc518645980 \h </w:instrText>
        </w:r>
        <w:r w:rsidR="00141C34">
          <w:rPr>
            <w:webHidden/>
          </w:rPr>
        </w:r>
        <w:r w:rsidR="00141C34">
          <w:rPr>
            <w:webHidden/>
          </w:rPr>
          <w:fldChar w:fldCharType="separate"/>
        </w:r>
        <w:r w:rsidR="00141C34">
          <w:rPr>
            <w:webHidden/>
          </w:rPr>
          <w:t>17</w:t>
        </w:r>
        <w:r w:rsidR="00141C34">
          <w:rPr>
            <w:webHidden/>
          </w:rPr>
          <w:fldChar w:fldCharType="end"/>
        </w:r>
      </w:hyperlink>
    </w:p>
    <w:p w14:paraId="125F97E4" w14:textId="6104EFD7" w:rsidR="00141C34" w:rsidRDefault="000C756D">
      <w:pPr>
        <w:pStyle w:val="TableofFigures"/>
        <w:rPr>
          <w:rFonts w:asciiTheme="minorHAnsi" w:eastAsiaTheme="minorEastAsia" w:hAnsiTheme="minorHAnsi" w:cstheme="minorBidi"/>
          <w:sz w:val="22"/>
          <w:szCs w:val="22"/>
          <w:lang w:eastAsia="en-AU"/>
        </w:rPr>
      </w:pPr>
      <w:hyperlink w:anchor="_Toc518645981" w:history="1">
        <w:r w:rsidR="00141C34" w:rsidRPr="002F4BFB">
          <w:rPr>
            <w:rStyle w:val="Hyperlink"/>
          </w:rPr>
          <w:t>Table 4</w:t>
        </w:r>
        <w:r w:rsidR="00141C34" w:rsidRPr="002F4BFB">
          <w:rPr>
            <w:rStyle w:val="Hyperlink"/>
          </w:rPr>
          <w:noBreakHyphen/>
          <w:t>10: Correlation matrix-elements of CTC score including proxy wealth score</w:t>
        </w:r>
        <w:r w:rsidR="00141C34">
          <w:rPr>
            <w:webHidden/>
          </w:rPr>
          <w:tab/>
        </w:r>
        <w:r w:rsidR="00141C34">
          <w:rPr>
            <w:webHidden/>
          </w:rPr>
          <w:fldChar w:fldCharType="begin"/>
        </w:r>
        <w:r w:rsidR="00141C34">
          <w:rPr>
            <w:webHidden/>
          </w:rPr>
          <w:instrText xml:space="preserve"> PAGEREF _Toc518645981 \h </w:instrText>
        </w:r>
        <w:r w:rsidR="00141C34">
          <w:rPr>
            <w:webHidden/>
          </w:rPr>
        </w:r>
        <w:r w:rsidR="00141C34">
          <w:rPr>
            <w:webHidden/>
          </w:rPr>
          <w:fldChar w:fldCharType="separate"/>
        </w:r>
        <w:r w:rsidR="00141C34">
          <w:rPr>
            <w:webHidden/>
          </w:rPr>
          <w:t>17</w:t>
        </w:r>
        <w:r w:rsidR="00141C34">
          <w:rPr>
            <w:webHidden/>
          </w:rPr>
          <w:fldChar w:fldCharType="end"/>
        </w:r>
      </w:hyperlink>
    </w:p>
    <w:p w14:paraId="7852BB53" w14:textId="624322D0" w:rsidR="00141C34" w:rsidRDefault="000C756D">
      <w:pPr>
        <w:pStyle w:val="TableofFigures"/>
        <w:rPr>
          <w:rFonts w:asciiTheme="minorHAnsi" w:eastAsiaTheme="minorEastAsia" w:hAnsiTheme="minorHAnsi" w:cstheme="minorBidi"/>
          <w:sz w:val="22"/>
          <w:szCs w:val="22"/>
          <w:lang w:eastAsia="en-AU"/>
        </w:rPr>
      </w:pPr>
      <w:hyperlink w:anchor="_Toc518645982" w:history="1">
        <w:r w:rsidR="00141C34" w:rsidRPr="002F4BFB">
          <w:rPr>
            <w:rStyle w:val="Hyperlink"/>
          </w:rPr>
          <w:t>Table 4</w:t>
        </w:r>
        <w:r w:rsidR="00141C34" w:rsidRPr="002F4BFB">
          <w:rPr>
            <w:rStyle w:val="Hyperlink"/>
          </w:rPr>
          <w:noBreakHyphen/>
          <w:t>11: CTC scores-eigenvectors and eigenvalues</w:t>
        </w:r>
        <w:r w:rsidR="00141C34">
          <w:rPr>
            <w:webHidden/>
          </w:rPr>
          <w:tab/>
        </w:r>
        <w:r w:rsidR="00141C34">
          <w:rPr>
            <w:webHidden/>
          </w:rPr>
          <w:fldChar w:fldCharType="begin"/>
        </w:r>
        <w:r w:rsidR="00141C34">
          <w:rPr>
            <w:webHidden/>
          </w:rPr>
          <w:instrText xml:space="preserve"> PAGEREF _Toc518645982 \h </w:instrText>
        </w:r>
        <w:r w:rsidR="00141C34">
          <w:rPr>
            <w:webHidden/>
          </w:rPr>
        </w:r>
        <w:r w:rsidR="00141C34">
          <w:rPr>
            <w:webHidden/>
          </w:rPr>
          <w:fldChar w:fldCharType="separate"/>
        </w:r>
        <w:r w:rsidR="00141C34">
          <w:rPr>
            <w:webHidden/>
          </w:rPr>
          <w:t>18</w:t>
        </w:r>
        <w:r w:rsidR="00141C34">
          <w:rPr>
            <w:webHidden/>
          </w:rPr>
          <w:fldChar w:fldCharType="end"/>
        </w:r>
      </w:hyperlink>
    </w:p>
    <w:p w14:paraId="18E95385" w14:textId="5E9377E5" w:rsidR="00141C34" w:rsidRDefault="000C756D">
      <w:pPr>
        <w:pStyle w:val="TableofFigures"/>
        <w:rPr>
          <w:rFonts w:asciiTheme="minorHAnsi" w:eastAsiaTheme="minorEastAsia" w:hAnsiTheme="minorHAnsi" w:cstheme="minorBidi"/>
          <w:sz w:val="22"/>
          <w:szCs w:val="22"/>
          <w:lang w:eastAsia="en-AU"/>
        </w:rPr>
      </w:pPr>
      <w:hyperlink w:anchor="_Toc518645983" w:history="1">
        <w:r w:rsidR="00141C34" w:rsidRPr="002F4BFB">
          <w:rPr>
            <w:rStyle w:val="Hyperlink"/>
          </w:rPr>
          <w:t>Table 4</w:t>
        </w:r>
        <w:r w:rsidR="00141C34" w:rsidRPr="002F4BFB">
          <w:rPr>
            <w:rStyle w:val="Hyperlink"/>
          </w:rPr>
          <w:noBreakHyphen/>
          <w:t>12: Correlation matrix: components of CTC score without wealth, and resulting CTC score</w:t>
        </w:r>
        <w:r w:rsidR="00141C34">
          <w:rPr>
            <w:webHidden/>
          </w:rPr>
          <w:tab/>
        </w:r>
        <w:r w:rsidR="00141C34">
          <w:rPr>
            <w:webHidden/>
          </w:rPr>
          <w:fldChar w:fldCharType="begin"/>
        </w:r>
        <w:r w:rsidR="00141C34">
          <w:rPr>
            <w:webHidden/>
          </w:rPr>
          <w:instrText xml:space="preserve"> PAGEREF _Toc518645983 \h </w:instrText>
        </w:r>
        <w:r w:rsidR="00141C34">
          <w:rPr>
            <w:webHidden/>
          </w:rPr>
        </w:r>
        <w:r w:rsidR="00141C34">
          <w:rPr>
            <w:webHidden/>
          </w:rPr>
          <w:fldChar w:fldCharType="separate"/>
        </w:r>
        <w:r w:rsidR="00141C34">
          <w:rPr>
            <w:webHidden/>
          </w:rPr>
          <w:t>19</w:t>
        </w:r>
        <w:r w:rsidR="00141C34">
          <w:rPr>
            <w:webHidden/>
          </w:rPr>
          <w:fldChar w:fldCharType="end"/>
        </w:r>
      </w:hyperlink>
    </w:p>
    <w:p w14:paraId="4A35CC3D" w14:textId="171D4923" w:rsidR="00141C34" w:rsidRDefault="000C756D">
      <w:pPr>
        <w:pStyle w:val="TableofFigures"/>
        <w:rPr>
          <w:rFonts w:asciiTheme="minorHAnsi" w:eastAsiaTheme="minorEastAsia" w:hAnsiTheme="minorHAnsi" w:cstheme="minorBidi"/>
          <w:sz w:val="22"/>
          <w:szCs w:val="22"/>
          <w:lang w:eastAsia="en-AU"/>
        </w:rPr>
      </w:pPr>
      <w:hyperlink w:anchor="_Toc518645984" w:history="1">
        <w:r w:rsidR="00141C34" w:rsidRPr="002F4BFB">
          <w:rPr>
            <w:rStyle w:val="Hyperlink"/>
          </w:rPr>
          <w:t>Table 4</w:t>
        </w:r>
        <w:r w:rsidR="00141C34" w:rsidRPr="002F4BFB">
          <w:rPr>
            <w:rStyle w:val="Hyperlink"/>
          </w:rPr>
          <w:noBreakHyphen/>
          <w:t>13: Correlation matrix: components of CTC score with reported wealth, and resulting CTC score</w:t>
        </w:r>
        <w:r w:rsidR="00141C34">
          <w:rPr>
            <w:webHidden/>
          </w:rPr>
          <w:tab/>
        </w:r>
        <w:r w:rsidR="00141C34">
          <w:rPr>
            <w:webHidden/>
          </w:rPr>
          <w:fldChar w:fldCharType="begin"/>
        </w:r>
        <w:r w:rsidR="00141C34">
          <w:rPr>
            <w:webHidden/>
          </w:rPr>
          <w:instrText xml:space="preserve"> PAGEREF _Toc518645984 \h </w:instrText>
        </w:r>
        <w:r w:rsidR="00141C34">
          <w:rPr>
            <w:webHidden/>
          </w:rPr>
        </w:r>
        <w:r w:rsidR="00141C34">
          <w:rPr>
            <w:webHidden/>
          </w:rPr>
          <w:fldChar w:fldCharType="separate"/>
        </w:r>
        <w:r w:rsidR="00141C34">
          <w:rPr>
            <w:webHidden/>
          </w:rPr>
          <w:t>19</w:t>
        </w:r>
        <w:r w:rsidR="00141C34">
          <w:rPr>
            <w:webHidden/>
          </w:rPr>
          <w:fldChar w:fldCharType="end"/>
        </w:r>
      </w:hyperlink>
    </w:p>
    <w:p w14:paraId="0CE91F79" w14:textId="0738AE31" w:rsidR="00141C34" w:rsidRDefault="000C756D">
      <w:pPr>
        <w:pStyle w:val="TableofFigures"/>
        <w:rPr>
          <w:rFonts w:asciiTheme="minorHAnsi" w:eastAsiaTheme="minorEastAsia" w:hAnsiTheme="minorHAnsi" w:cstheme="minorBidi"/>
          <w:sz w:val="22"/>
          <w:szCs w:val="22"/>
          <w:lang w:eastAsia="en-AU"/>
        </w:rPr>
      </w:pPr>
      <w:hyperlink w:anchor="_Toc518645985" w:history="1">
        <w:r w:rsidR="00141C34" w:rsidRPr="002F4BFB">
          <w:rPr>
            <w:rStyle w:val="Hyperlink"/>
          </w:rPr>
          <w:t>Table 4</w:t>
        </w:r>
        <w:r w:rsidR="00141C34" w:rsidRPr="002F4BFB">
          <w:rPr>
            <w:rStyle w:val="Hyperlink"/>
          </w:rPr>
          <w:noBreakHyphen/>
          <w:t>14: Correlation matrix: components of CTC score with proxy wealth, and resulting CTC score</w:t>
        </w:r>
        <w:r w:rsidR="00141C34">
          <w:rPr>
            <w:webHidden/>
          </w:rPr>
          <w:tab/>
        </w:r>
        <w:r w:rsidR="00141C34">
          <w:rPr>
            <w:webHidden/>
          </w:rPr>
          <w:fldChar w:fldCharType="begin"/>
        </w:r>
        <w:r w:rsidR="00141C34">
          <w:rPr>
            <w:webHidden/>
          </w:rPr>
          <w:instrText xml:space="preserve"> PAGEREF _Toc518645985 \h </w:instrText>
        </w:r>
        <w:r w:rsidR="00141C34">
          <w:rPr>
            <w:webHidden/>
          </w:rPr>
        </w:r>
        <w:r w:rsidR="00141C34">
          <w:rPr>
            <w:webHidden/>
          </w:rPr>
          <w:fldChar w:fldCharType="separate"/>
        </w:r>
        <w:r w:rsidR="00141C34">
          <w:rPr>
            <w:webHidden/>
          </w:rPr>
          <w:t>20</w:t>
        </w:r>
        <w:r w:rsidR="00141C34">
          <w:rPr>
            <w:webHidden/>
          </w:rPr>
          <w:fldChar w:fldCharType="end"/>
        </w:r>
      </w:hyperlink>
    </w:p>
    <w:p w14:paraId="66691A3B" w14:textId="5B96FEAF" w:rsidR="00141C34" w:rsidRDefault="000C756D">
      <w:pPr>
        <w:pStyle w:val="TableofFigures"/>
        <w:rPr>
          <w:rFonts w:asciiTheme="minorHAnsi" w:eastAsiaTheme="minorEastAsia" w:hAnsiTheme="minorHAnsi" w:cstheme="minorBidi"/>
          <w:sz w:val="22"/>
          <w:szCs w:val="22"/>
          <w:lang w:eastAsia="en-AU"/>
        </w:rPr>
      </w:pPr>
      <w:hyperlink w:anchor="_Toc518645986" w:history="1">
        <w:r w:rsidR="00141C34" w:rsidRPr="002F4BFB">
          <w:rPr>
            <w:rStyle w:val="Hyperlink"/>
          </w:rPr>
          <w:t>Table 4</w:t>
        </w:r>
        <w:r w:rsidR="00141C34" w:rsidRPr="002F4BFB">
          <w:rPr>
            <w:rStyle w:val="Hyperlink"/>
          </w:rPr>
          <w:noBreakHyphen/>
          <w:t>15: Change in household CTC rank with inclusion of wealth-school sectors</w:t>
        </w:r>
        <w:r w:rsidR="00141C34">
          <w:rPr>
            <w:webHidden/>
          </w:rPr>
          <w:tab/>
        </w:r>
        <w:r w:rsidR="00141C34">
          <w:rPr>
            <w:webHidden/>
          </w:rPr>
          <w:fldChar w:fldCharType="begin"/>
        </w:r>
        <w:r w:rsidR="00141C34">
          <w:rPr>
            <w:webHidden/>
          </w:rPr>
          <w:instrText xml:space="preserve"> PAGEREF _Toc518645986 \h </w:instrText>
        </w:r>
        <w:r w:rsidR="00141C34">
          <w:rPr>
            <w:webHidden/>
          </w:rPr>
        </w:r>
        <w:r w:rsidR="00141C34">
          <w:rPr>
            <w:webHidden/>
          </w:rPr>
          <w:fldChar w:fldCharType="separate"/>
        </w:r>
        <w:r w:rsidR="00141C34">
          <w:rPr>
            <w:webHidden/>
          </w:rPr>
          <w:t>21</w:t>
        </w:r>
        <w:r w:rsidR="00141C34">
          <w:rPr>
            <w:webHidden/>
          </w:rPr>
          <w:fldChar w:fldCharType="end"/>
        </w:r>
      </w:hyperlink>
    </w:p>
    <w:p w14:paraId="36D312AD" w14:textId="65296CD5" w:rsidR="00D16919" w:rsidRPr="00835CD9" w:rsidRDefault="00CB525C" w:rsidP="00835CD9">
      <w:r>
        <w:rPr>
          <w:b/>
          <w:bCs/>
          <w:noProof/>
          <w:lang w:val="en-US"/>
        </w:rPr>
        <w:fldChar w:fldCharType="end"/>
      </w:r>
    </w:p>
    <w:p w14:paraId="5A803E8E" w14:textId="77777777" w:rsidR="00D16919" w:rsidRDefault="00D16919" w:rsidP="00C44628"/>
    <w:p w14:paraId="04ECA0E9" w14:textId="77777777" w:rsidR="00835CD9" w:rsidRDefault="00835CD9" w:rsidP="00C44628">
      <w:pPr>
        <w:sectPr w:rsidR="00835CD9" w:rsidSect="00DA3FED">
          <w:headerReference w:type="default" r:id="rId12"/>
          <w:footerReference w:type="default" r:id="rId13"/>
          <w:pgSz w:w="11907" w:h="16839" w:code="9"/>
          <w:pgMar w:top="1440" w:right="1440" w:bottom="1440" w:left="1440" w:header="720" w:footer="720" w:gutter="0"/>
          <w:pgNumType w:fmt="lowerRoman" w:start="1"/>
          <w:cols w:space="720"/>
          <w:noEndnote/>
          <w:docGrid w:linePitch="326"/>
        </w:sectPr>
      </w:pPr>
    </w:p>
    <w:p w14:paraId="04E5BD86" w14:textId="77777777" w:rsidR="00AA5264" w:rsidRPr="00662CDF" w:rsidRDefault="00AA5264" w:rsidP="00C44628">
      <w:pPr>
        <w:pStyle w:val="Heading1"/>
      </w:pPr>
      <w:bookmarkStart w:id="11" w:name="_Toc481431393"/>
      <w:bookmarkStart w:id="12" w:name="_Toc518377356"/>
      <w:r w:rsidRPr="006242E5">
        <w:t>Introduction</w:t>
      </w:r>
      <w:bookmarkEnd w:id="11"/>
      <w:bookmarkEnd w:id="12"/>
    </w:p>
    <w:p w14:paraId="7CA47DF7" w14:textId="77777777" w:rsidR="00C93C2A" w:rsidRDefault="00C93C2A" w:rsidP="00C93C2A">
      <w:pPr>
        <w:rPr>
          <w:noProof/>
        </w:rPr>
      </w:pPr>
      <w:r>
        <w:rPr>
          <w:noProof/>
        </w:rPr>
        <w:t xml:space="preserve">The Centre for International Research on Education Systems at Victoria University has been commissioned by the National School Resourcing Board (the Board), to prepare a report examining whether assessment of the capacity of non-government school communities to contribute to the operational costs of their school should incorporate </w:t>
      </w:r>
      <w:r w:rsidR="00AB50CA">
        <w:rPr>
          <w:noProof/>
        </w:rPr>
        <w:t>household</w:t>
      </w:r>
      <w:r>
        <w:rPr>
          <w:noProof/>
        </w:rPr>
        <w:t xml:space="preserve"> wealth.</w:t>
      </w:r>
      <w:r w:rsidR="00E47969">
        <w:rPr>
          <w:rStyle w:val="FootnoteReference"/>
          <w:noProof/>
        </w:rPr>
        <w:footnoteReference w:id="2"/>
      </w:r>
      <w:r>
        <w:rPr>
          <w:noProof/>
        </w:rPr>
        <w:t xml:space="preserve"> </w:t>
      </w:r>
    </w:p>
    <w:p w14:paraId="4D816716" w14:textId="20BD25CF" w:rsidR="00C93C2A" w:rsidRDefault="00C93C2A" w:rsidP="00C93C2A">
      <w:pPr>
        <w:rPr>
          <w:noProof/>
        </w:rPr>
      </w:pPr>
      <w:r>
        <w:rPr>
          <w:noProof/>
        </w:rPr>
        <w:t>The Board was tasked by Senator the Hon Simon Birmingham to review the socio-economic status score methodology which is used to determine the Commonwealth’s per</w:t>
      </w:r>
      <w:r w:rsidR="00705A87">
        <w:rPr>
          <w:noProof/>
        </w:rPr>
        <w:t>-</w:t>
      </w:r>
      <w:r>
        <w:rPr>
          <w:noProof/>
        </w:rPr>
        <w:t xml:space="preserve">student base recurrent funding contribution for individual non-government schools. </w:t>
      </w:r>
    </w:p>
    <w:p w14:paraId="3E8E1686" w14:textId="485914FB" w:rsidR="001C63C2" w:rsidRDefault="00AB50CA" w:rsidP="001C63C2">
      <w:pPr>
        <w:rPr>
          <w:noProof/>
        </w:rPr>
      </w:pPr>
      <w:r>
        <w:rPr>
          <w:noProof/>
        </w:rPr>
        <w:t>The definition of wealth applied in this report comprises net assets (i.e assets minus liabilit</w:t>
      </w:r>
      <w:r w:rsidR="00D566A5">
        <w:rPr>
          <w:noProof/>
        </w:rPr>
        <w:t>i</w:t>
      </w:r>
      <w:r>
        <w:rPr>
          <w:noProof/>
        </w:rPr>
        <w:t>es</w:t>
      </w:r>
      <w:r w:rsidR="001E43B7">
        <w:rPr>
          <w:noProof/>
        </w:rPr>
        <w:t>).</w:t>
      </w:r>
      <w:r w:rsidR="001C63C2">
        <w:rPr>
          <w:noProof/>
        </w:rPr>
        <w:t xml:space="preserve"> This is a consequence of the current SES score estimation using area-level data and not considering household wealth. Rather the current estimation method uses data on the income, education levels and occupations of all families within the areas where school families reside</w:t>
      </w:r>
      <w:r w:rsidR="001C63C2" w:rsidRPr="0004436B">
        <w:rPr>
          <w:noProof/>
        </w:rPr>
        <w:t xml:space="preserve">. </w:t>
      </w:r>
    </w:p>
    <w:p w14:paraId="60D20E57" w14:textId="6F7FB2F6" w:rsidR="00D566A5" w:rsidRDefault="00D566A5" w:rsidP="00D566A5">
      <w:pPr>
        <w:rPr>
          <w:noProof/>
        </w:rPr>
      </w:pPr>
      <w:r>
        <w:rPr>
          <w:noProof/>
        </w:rPr>
        <w:t xml:space="preserve">In this context, this report examines two questions. Does the </w:t>
      </w:r>
      <w:r w:rsidRPr="00AB50CA">
        <w:rPr>
          <w:noProof/>
        </w:rPr>
        <w:t>omission of household wealth from a CTC measure lead to it’s mismeasurement</w:t>
      </w:r>
      <w:r>
        <w:rPr>
          <w:noProof/>
        </w:rPr>
        <w:t xml:space="preserve">? </w:t>
      </w:r>
      <w:r w:rsidR="00027327">
        <w:rPr>
          <w:noProof/>
        </w:rPr>
        <w:t>Additionally,</w:t>
      </w:r>
      <w:r w:rsidR="00E63F55">
        <w:rPr>
          <w:noProof/>
        </w:rPr>
        <w:t xml:space="preserve"> </w:t>
      </w:r>
      <w:r>
        <w:rPr>
          <w:noProof/>
        </w:rPr>
        <w:t>does currently available data enable the development of an accurate CTC measure</w:t>
      </w:r>
      <w:r w:rsidR="00027327">
        <w:rPr>
          <w:noProof/>
        </w:rPr>
        <w:t xml:space="preserve"> that</w:t>
      </w:r>
      <w:r>
        <w:rPr>
          <w:noProof/>
        </w:rPr>
        <w:t xml:space="preserve"> incorporat</w:t>
      </w:r>
      <w:r w:rsidR="00027327">
        <w:rPr>
          <w:noProof/>
        </w:rPr>
        <w:t>es</w:t>
      </w:r>
      <w:r>
        <w:rPr>
          <w:noProof/>
        </w:rPr>
        <w:t xml:space="preserve"> household wealth?</w:t>
      </w:r>
      <w:r w:rsidR="00E63F55">
        <w:rPr>
          <w:noProof/>
        </w:rPr>
        <w:t xml:space="preserve"> </w:t>
      </w:r>
    </w:p>
    <w:p w14:paraId="757D183D" w14:textId="754841B5" w:rsidR="00D566A5" w:rsidRDefault="00D566A5" w:rsidP="00D566A5">
      <w:pPr>
        <w:rPr>
          <w:noProof/>
        </w:rPr>
      </w:pPr>
      <w:r>
        <w:rPr>
          <w:noProof/>
        </w:rPr>
        <w:t>Th</w:t>
      </w:r>
      <w:r w:rsidR="00B63636">
        <w:rPr>
          <w:noProof/>
        </w:rPr>
        <w:t>ese</w:t>
      </w:r>
      <w:r>
        <w:rPr>
          <w:noProof/>
        </w:rPr>
        <w:t xml:space="preserve"> </w:t>
      </w:r>
      <w:r w:rsidR="004F6F9F">
        <w:rPr>
          <w:noProof/>
        </w:rPr>
        <w:t>questions</w:t>
      </w:r>
      <w:r>
        <w:rPr>
          <w:noProof/>
        </w:rPr>
        <w:t xml:space="preserve"> are answered </w:t>
      </w:r>
      <w:r w:rsidR="004F6F9F">
        <w:rPr>
          <w:noProof/>
        </w:rPr>
        <w:t>through</w:t>
      </w:r>
      <w:r>
        <w:rPr>
          <w:noProof/>
        </w:rPr>
        <w:t xml:space="preserve"> extensive use of the </w:t>
      </w:r>
      <w:r w:rsidRPr="00AB50CA">
        <w:rPr>
          <w:noProof/>
        </w:rPr>
        <w:t>ABS Survey of Income and Housing, 2015-16 (SIH)</w:t>
      </w:r>
      <w:r>
        <w:rPr>
          <w:noProof/>
        </w:rPr>
        <w:t xml:space="preserve">. The SIH contains </w:t>
      </w:r>
      <w:r w:rsidRPr="00AB50CA">
        <w:rPr>
          <w:noProof/>
        </w:rPr>
        <w:t xml:space="preserve">both dollar and </w:t>
      </w:r>
      <w:r w:rsidR="004F6F9F">
        <w:rPr>
          <w:noProof/>
        </w:rPr>
        <w:t xml:space="preserve">proxy measures of </w:t>
      </w:r>
      <w:r w:rsidRPr="00AB50CA">
        <w:rPr>
          <w:noProof/>
        </w:rPr>
        <w:t>wealth</w:t>
      </w:r>
      <w:r w:rsidR="004F6F9F">
        <w:rPr>
          <w:noProof/>
        </w:rPr>
        <w:t>. Proxy measures of wealth (e.g. number of bedrooms) are important as the Census only contains proxy information</w:t>
      </w:r>
      <w:r w:rsidR="00027327">
        <w:rPr>
          <w:noProof/>
        </w:rPr>
        <w:t>. I</w:t>
      </w:r>
      <w:r w:rsidR="004F6F9F">
        <w:rPr>
          <w:noProof/>
        </w:rPr>
        <w:t>f household wealth is to be inferred from the Census, it must be done using proxy measures.</w:t>
      </w:r>
      <w:r w:rsidR="00E63F55">
        <w:rPr>
          <w:noProof/>
        </w:rPr>
        <w:t xml:space="preserve"> </w:t>
      </w:r>
    </w:p>
    <w:p w14:paraId="5B17C6EF" w14:textId="77777777" w:rsidR="008D584A" w:rsidRDefault="008D584A" w:rsidP="008D584A">
      <w:pPr>
        <w:pStyle w:val="Heading2"/>
      </w:pPr>
      <w:bookmarkStart w:id="13" w:name="_Toc517982736"/>
      <w:bookmarkStart w:id="14" w:name="_Toc518377357"/>
      <w:r>
        <w:t>Structure of this report</w:t>
      </w:r>
      <w:bookmarkEnd w:id="13"/>
      <w:bookmarkEnd w:id="14"/>
    </w:p>
    <w:p w14:paraId="3A379285" w14:textId="77777777" w:rsidR="008D584A" w:rsidRDefault="00C93C2A" w:rsidP="002D1252">
      <w:pPr>
        <w:spacing w:after="0"/>
      </w:pPr>
      <w:r>
        <w:t>The remainder of this report is structured as follows:</w:t>
      </w:r>
    </w:p>
    <w:p w14:paraId="00FCCE0A" w14:textId="6033B63E" w:rsidR="00AD4613" w:rsidRDefault="00C93C2A" w:rsidP="001D45B7">
      <w:pPr>
        <w:pStyle w:val="Dotpoints"/>
      </w:pPr>
      <w:r>
        <w:t xml:space="preserve">Section </w:t>
      </w:r>
      <w:r>
        <w:fldChar w:fldCharType="begin"/>
      </w:r>
      <w:r>
        <w:instrText xml:space="preserve"> REF _Ref517945951 \r \h </w:instrText>
      </w:r>
      <w:r>
        <w:fldChar w:fldCharType="separate"/>
      </w:r>
      <w:r w:rsidR="00092E14">
        <w:t>2</w:t>
      </w:r>
      <w:r>
        <w:fldChar w:fldCharType="end"/>
      </w:r>
      <w:r w:rsidR="00AD4613">
        <w:t xml:space="preserve"> </w:t>
      </w:r>
      <w:r w:rsidR="004F2C80">
        <w:t>provides details of the context for this paper, including criticism of the SES score and its omission of household wealth</w:t>
      </w:r>
    </w:p>
    <w:p w14:paraId="7D790150" w14:textId="3B02C0A1" w:rsidR="00C93C2A" w:rsidRDefault="00C93C2A" w:rsidP="001D45B7">
      <w:pPr>
        <w:pStyle w:val="Dotpoints"/>
      </w:pPr>
      <w:r>
        <w:t xml:space="preserve">Section </w:t>
      </w:r>
      <w:r>
        <w:fldChar w:fldCharType="begin"/>
      </w:r>
      <w:r>
        <w:instrText xml:space="preserve"> REF _Ref517945960 \r \h </w:instrText>
      </w:r>
      <w:r>
        <w:fldChar w:fldCharType="separate"/>
      </w:r>
      <w:r w:rsidR="00092E14">
        <w:t>3</w:t>
      </w:r>
      <w:r>
        <w:fldChar w:fldCharType="end"/>
      </w:r>
      <w:r w:rsidR="004F2C80">
        <w:t xml:space="preserve"> outlines the analytical approach applied in this report</w:t>
      </w:r>
      <w:r w:rsidR="00AD4613">
        <w:t xml:space="preserve">. </w:t>
      </w:r>
    </w:p>
    <w:p w14:paraId="2634564C" w14:textId="28A57D69" w:rsidR="00E55F72" w:rsidRDefault="00AD4613" w:rsidP="006415BC">
      <w:pPr>
        <w:pStyle w:val="Dotpoints"/>
      </w:pPr>
      <w:r>
        <w:t xml:space="preserve">Section </w:t>
      </w:r>
      <w:r w:rsidR="00C93C2A">
        <w:fldChar w:fldCharType="begin"/>
      </w:r>
      <w:r w:rsidR="00C93C2A">
        <w:instrText xml:space="preserve"> REF _Ref517945965 \r \h </w:instrText>
      </w:r>
      <w:r w:rsidR="00C93C2A">
        <w:fldChar w:fldCharType="separate"/>
      </w:r>
      <w:r w:rsidR="00092E14">
        <w:t>4</w:t>
      </w:r>
      <w:r w:rsidR="00C93C2A">
        <w:fldChar w:fldCharType="end"/>
      </w:r>
      <w:r w:rsidR="004F6F9F">
        <w:t xml:space="preserve"> </w:t>
      </w:r>
      <w:r w:rsidR="004F2C80">
        <w:t xml:space="preserve">details the </w:t>
      </w:r>
      <w:r w:rsidR="00E55F72">
        <w:t>SES scores estimated</w:t>
      </w:r>
      <w:r w:rsidR="00027327">
        <w:t>,</w:t>
      </w:r>
      <w:r w:rsidR="00E55F72">
        <w:t xml:space="preserve"> using different approaches to wealth</w:t>
      </w:r>
    </w:p>
    <w:p w14:paraId="40DF66C5" w14:textId="2EB83CD9" w:rsidR="00C93C2A" w:rsidRPr="008D584A" w:rsidRDefault="00AD4613" w:rsidP="006415BC">
      <w:pPr>
        <w:pStyle w:val="Dotpoints"/>
      </w:pPr>
      <w:r>
        <w:t xml:space="preserve">Section </w:t>
      </w:r>
      <w:r w:rsidR="00C93C2A">
        <w:fldChar w:fldCharType="begin"/>
      </w:r>
      <w:r w:rsidR="00C93C2A">
        <w:instrText xml:space="preserve"> REF _Ref517945969 \r \h </w:instrText>
      </w:r>
      <w:r w:rsidR="00C93C2A">
        <w:fldChar w:fldCharType="separate"/>
      </w:r>
      <w:r w:rsidR="00092E14">
        <w:t>5</w:t>
      </w:r>
      <w:r w:rsidR="00C93C2A">
        <w:fldChar w:fldCharType="end"/>
      </w:r>
      <w:r w:rsidR="004F6F9F">
        <w:t xml:space="preserve"> </w:t>
      </w:r>
      <w:r w:rsidR="00E55F72">
        <w:t>identifies the key findings and implications of the analysis</w:t>
      </w:r>
      <w:r>
        <w:t xml:space="preserve">. </w:t>
      </w:r>
    </w:p>
    <w:p w14:paraId="55766024" w14:textId="77777777" w:rsidR="005B3B4D" w:rsidRDefault="005B3B4D" w:rsidP="005B3B4D">
      <w:pPr>
        <w:pStyle w:val="Heading1"/>
      </w:pPr>
      <w:bookmarkStart w:id="15" w:name="_Ref517945951"/>
      <w:bookmarkStart w:id="16" w:name="_Toc518377358"/>
      <w:r>
        <w:t>Context</w:t>
      </w:r>
      <w:bookmarkEnd w:id="15"/>
      <w:bookmarkEnd w:id="16"/>
    </w:p>
    <w:p w14:paraId="39533758" w14:textId="54CAAA66" w:rsidR="0031719B" w:rsidRDefault="00C61CC7" w:rsidP="0000576A">
      <w:r w:rsidRPr="00E55F72">
        <w:t xml:space="preserve">This section </w:t>
      </w:r>
      <w:r w:rsidR="0031719B" w:rsidRPr="00E55F72">
        <w:t xml:space="preserve">details the context for </w:t>
      </w:r>
      <w:r w:rsidR="00210F80">
        <w:t>examining</w:t>
      </w:r>
      <w:r w:rsidR="0031719B" w:rsidRPr="00E55F72">
        <w:t xml:space="preserve"> </w:t>
      </w:r>
      <w:r w:rsidR="00E55F72" w:rsidRPr="00E55F72">
        <w:t>household</w:t>
      </w:r>
      <w:r w:rsidR="0031719B" w:rsidRPr="00E55F72">
        <w:t xml:space="preserve"> wealth as a potential factor </w:t>
      </w:r>
      <w:r w:rsidR="00E55F72" w:rsidRPr="00E55F72">
        <w:t>in</w:t>
      </w:r>
      <w:r w:rsidR="0031719B" w:rsidRPr="00E55F72">
        <w:t xml:space="preserve"> measuring CTC. There are </w:t>
      </w:r>
      <w:r w:rsidR="00E55F72" w:rsidRPr="00E55F72">
        <w:t>two</w:t>
      </w:r>
      <w:r w:rsidR="0031719B" w:rsidRPr="00E55F72">
        <w:t xml:space="preserve"> elements to this context. Firstly, previous criticism of the </w:t>
      </w:r>
      <w:r w:rsidR="00210F80">
        <w:t xml:space="preserve">omission of wealth from the </w:t>
      </w:r>
      <w:r w:rsidR="0031719B" w:rsidRPr="00E55F72">
        <w:t xml:space="preserve">current SES score approach to measuring CTC. Secondly, </w:t>
      </w:r>
      <w:r w:rsidR="00E55F72">
        <w:t>consideration of the growing international literature on the measurement of household resources, and the impetus for measuring household wealth.</w:t>
      </w:r>
      <w:r w:rsidR="001C63C2">
        <w:rPr>
          <w:rStyle w:val="FootnoteReference"/>
        </w:rPr>
        <w:footnoteReference w:id="3"/>
      </w:r>
      <w:r w:rsidR="001C63C2">
        <w:t xml:space="preserve"> </w:t>
      </w:r>
      <w:r w:rsidR="00E55F72">
        <w:t xml:space="preserve"> </w:t>
      </w:r>
    </w:p>
    <w:p w14:paraId="487F04E2" w14:textId="77777777" w:rsidR="005B3B4D" w:rsidRDefault="006D177D" w:rsidP="005B3B4D">
      <w:pPr>
        <w:pStyle w:val="Heading2"/>
      </w:pPr>
      <w:bookmarkStart w:id="17" w:name="_Toc517982738"/>
      <w:bookmarkStart w:id="18" w:name="_Toc518377359"/>
      <w:r>
        <w:t>C</w:t>
      </w:r>
      <w:r w:rsidR="005B3B4D">
        <w:t xml:space="preserve">riticism of the </w:t>
      </w:r>
      <w:r w:rsidR="00C61CC7">
        <w:t xml:space="preserve">SES score for </w:t>
      </w:r>
      <w:r w:rsidR="005B3B4D">
        <w:t>measuring capacity to contribute</w:t>
      </w:r>
      <w:bookmarkEnd w:id="17"/>
      <w:bookmarkEnd w:id="18"/>
    </w:p>
    <w:p w14:paraId="4BEB2ABE" w14:textId="106AF54A" w:rsidR="00210F80" w:rsidRDefault="00FD153A" w:rsidP="00FD153A">
      <w:r>
        <w:t xml:space="preserve">The current SES score </w:t>
      </w:r>
      <w:r w:rsidR="001C63C2">
        <w:t xml:space="preserve">estimation </w:t>
      </w:r>
      <w:r>
        <w:t xml:space="preserve">approach considers education, occupation and income. Household wealth is not considered as an element of </w:t>
      </w:r>
      <w:r w:rsidR="00210F80">
        <w:t xml:space="preserve">the </w:t>
      </w:r>
      <w:r>
        <w:t xml:space="preserve">CTC. </w:t>
      </w:r>
    </w:p>
    <w:p w14:paraId="30C01A34" w14:textId="63AAEEBA" w:rsidR="00CC3071" w:rsidRDefault="00027327" w:rsidP="00210F80">
      <w:r>
        <w:t>As discussed by the Catholic Education Com</w:t>
      </w:r>
      <w:r w:rsidR="00C61A1D">
        <w:t>m</w:t>
      </w:r>
      <w:r>
        <w:t xml:space="preserve">ission of Victoria (CECV, 2017) </w:t>
      </w:r>
      <w:r w:rsidR="00FD153A">
        <w:t>this approach contrasts to the means testing undertaken by the Australian Government for various income support payments, which considers both income and assets</w:t>
      </w:r>
      <w:r w:rsidR="00C61A1D">
        <w:t>.</w:t>
      </w:r>
      <w:r w:rsidR="00FD153A">
        <w:t xml:space="preserve"> </w:t>
      </w:r>
      <w:r w:rsidR="00210F80">
        <w:t xml:space="preserve">The same stakeholder has </w:t>
      </w:r>
      <w:r w:rsidR="00FD153A">
        <w:t>suggested that the omission of wealth leads to the understatement of the SES of higher income families</w:t>
      </w:r>
      <w:r w:rsidR="00CC3071">
        <w:t xml:space="preserve">. </w:t>
      </w:r>
    </w:p>
    <w:p w14:paraId="17D3904B" w14:textId="68ABC3AB" w:rsidR="00FD153A" w:rsidRDefault="00210F80" w:rsidP="00210F80">
      <w:r>
        <w:t>A</w:t>
      </w:r>
      <w:r w:rsidR="00FD153A">
        <w:t xml:space="preserve">nalysis </w:t>
      </w:r>
      <w:r>
        <w:t xml:space="preserve">by CECV (2017) </w:t>
      </w:r>
      <w:r w:rsidR="00FD153A">
        <w:t xml:space="preserve">of ABS data </w:t>
      </w:r>
      <w:r w:rsidR="001C63C2">
        <w:t>identifies</w:t>
      </w:r>
      <w:r w:rsidR="00FD153A">
        <w:t xml:space="preserve"> that high</w:t>
      </w:r>
      <w:r>
        <w:t>er</w:t>
      </w:r>
      <w:r w:rsidR="00FD153A">
        <w:t xml:space="preserve"> income households represent a lower share of total income than they do of total wealth</w:t>
      </w:r>
      <w:r w:rsidR="00027327">
        <w:t>. As such</w:t>
      </w:r>
      <w:r w:rsidR="00C61A1D">
        <w:t>,</w:t>
      </w:r>
      <w:r w:rsidR="00A2643A">
        <w:t xml:space="preserve"> </w:t>
      </w:r>
      <w:r w:rsidR="00FD153A">
        <w:t>high</w:t>
      </w:r>
      <w:r>
        <w:t>er</w:t>
      </w:r>
      <w:r w:rsidR="00FD153A">
        <w:t xml:space="preserve"> income households with 47.8 per cent of total income have 62.5 per cent of total wealth.</w:t>
      </w:r>
      <w:r>
        <w:rPr>
          <w:rStyle w:val="FootnoteReference"/>
        </w:rPr>
        <w:footnoteReference w:id="4"/>
      </w:r>
      <w:r w:rsidR="00FD153A" w:rsidRPr="00E4003C">
        <w:t xml:space="preserve"> </w:t>
      </w:r>
      <w:r w:rsidR="00FD153A">
        <w:t xml:space="preserve">The same analysis identified that household wealth </w:t>
      </w:r>
      <w:r w:rsidR="00FD153A" w:rsidRPr="00E4003C">
        <w:t xml:space="preserve">accumulates with age at a </w:t>
      </w:r>
      <w:r w:rsidR="00FD153A">
        <w:t>faster</w:t>
      </w:r>
      <w:r w:rsidR="00FD153A" w:rsidRPr="00E4003C">
        <w:t xml:space="preserve"> rate than income</w:t>
      </w:r>
      <w:r w:rsidR="00CC3071">
        <w:t xml:space="preserve"> (see </w:t>
      </w:r>
      <w:r w:rsidR="00CC3071">
        <w:fldChar w:fldCharType="begin"/>
      </w:r>
      <w:r w:rsidR="00CC3071">
        <w:instrText xml:space="preserve"> REF _Ref518303428 \h </w:instrText>
      </w:r>
      <w:r w:rsidR="00CC3071">
        <w:fldChar w:fldCharType="separate"/>
      </w:r>
      <w:r w:rsidR="00CC3071">
        <w:t xml:space="preserve">Figure </w:t>
      </w:r>
      <w:r w:rsidR="00CC3071">
        <w:rPr>
          <w:noProof/>
        </w:rPr>
        <w:t>2</w:t>
      </w:r>
      <w:r w:rsidR="00CC3071">
        <w:noBreakHyphen/>
      </w:r>
      <w:r w:rsidR="00CC3071">
        <w:rPr>
          <w:noProof/>
        </w:rPr>
        <w:t>1</w:t>
      </w:r>
      <w:r w:rsidR="00CC3071">
        <w:fldChar w:fldCharType="end"/>
      </w:r>
      <w:r w:rsidR="00CC3071">
        <w:t>)</w:t>
      </w:r>
      <w:r>
        <w:t>.</w:t>
      </w:r>
    </w:p>
    <w:p w14:paraId="2A535BD9" w14:textId="068384A0" w:rsidR="00E4003C" w:rsidRPr="00E4003C" w:rsidRDefault="000D56F3" w:rsidP="000D56F3">
      <w:r>
        <w:rPr>
          <w:noProof/>
        </w:rPr>
        <w:t>The analy</w:t>
      </w:r>
      <w:r w:rsidR="003C690C">
        <w:rPr>
          <w:noProof/>
        </w:rPr>
        <w:t xml:space="preserve">sis </w:t>
      </w:r>
      <w:r>
        <w:rPr>
          <w:noProof/>
        </w:rPr>
        <w:t>findings le</w:t>
      </w:r>
      <w:r w:rsidR="00CC3071">
        <w:rPr>
          <w:noProof/>
        </w:rPr>
        <w:t>a</w:t>
      </w:r>
      <w:r>
        <w:rPr>
          <w:noProof/>
        </w:rPr>
        <w:t>d the CECV (2017) to assert that:</w:t>
      </w:r>
    </w:p>
    <w:p w14:paraId="5AF75C10" w14:textId="36CBD9C4" w:rsidR="00E4003C" w:rsidRDefault="00235D5C" w:rsidP="000D56F3">
      <w:pPr>
        <w:pStyle w:val="Quote"/>
      </w:pPr>
      <w:r>
        <w:t>”</w:t>
      </w:r>
      <w:r w:rsidR="00E4003C" w:rsidRPr="00E4003C">
        <w:t>If household wealth were included in capacity to contribute calculations then high-income households would be expected to contribute more than they currently are (relative to other households)</w:t>
      </w:r>
      <w:r>
        <w:t>”</w:t>
      </w:r>
      <w:sdt>
        <w:sdtPr>
          <w:id w:val="-1402365696"/>
          <w:citation/>
        </w:sdtPr>
        <w:sdtEndPr/>
        <w:sdtContent>
          <w:r w:rsidR="000D56F3">
            <w:fldChar w:fldCharType="begin"/>
          </w:r>
          <w:r w:rsidR="000D56F3">
            <w:instrText xml:space="preserve">CITATION Cat17 \p 17 \l 3081 </w:instrText>
          </w:r>
          <w:r w:rsidR="000D56F3">
            <w:fldChar w:fldCharType="separate"/>
          </w:r>
          <w:r w:rsidR="00092E14">
            <w:rPr>
              <w:noProof/>
            </w:rPr>
            <w:t xml:space="preserve"> (Catholic Education Commission of Victoria, 2017, p. 17)</w:t>
          </w:r>
          <w:r w:rsidR="000D56F3">
            <w:fldChar w:fldCharType="end"/>
          </w:r>
        </w:sdtContent>
      </w:sdt>
    </w:p>
    <w:p w14:paraId="77B4CD3D" w14:textId="1741A03C" w:rsidR="00B27488" w:rsidRDefault="000D56F3" w:rsidP="00B27488">
      <w:r>
        <w:t xml:space="preserve">This assertion implies </w:t>
      </w:r>
      <w:r w:rsidR="006F558C">
        <w:t xml:space="preserve">there is a </w:t>
      </w:r>
      <w:r w:rsidR="0008279D">
        <w:t>low correlation between</w:t>
      </w:r>
      <w:r w:rsidR="006F558C">
        <w:t xml:space="preserve"> household</w:t>
      </w:r>
      <w:r w:rsidR="0008279D">
        <w:t xml:space="preserve"> income and wealth</w:t>
      </w:r>
      <w:r w:rsidR="001C63C2">
        <w:t>, and that t</w:t>
      </w:r>
      <w:r w:rsidR="00C61A1D">
        <w:t>he</w:t>
      </w:r>
      <w:r w:rsidR="00FD153A">
        <w:t xml:space="preserve"> exclusion of household wealth from an SES measure</w:t>
      </w:r>
      <w:r w:rsidR="00C61A1D">
        <w:t xml:space="preserve"> </w:t>
      </w:r>
      <w:r w:rsidR="00FD153A">
        <w:t xml:space="preserve">leads to the mismeasurement of CTC. </w:t>
      </w:r>
      <w:r w:rsidR="00B27488">
        <w:br w:type="page"/>
      </w:r>
    </w:p>
    <w:p w14:paraId="5867204F" w14:textId="5B8886D6" w:rsidR="00E4003C" w:rsidRDefault="0077566C" w:rsidP="0077566C">
      <w:pPr>
        <w:pStyle w:val="Caption"/>
      </w:pPr>
      <w:bookmarkStart w:id="19" w:name="_Ref518303428"/>
      <w:bookmarkStart w:id="20" w:name="_Toc518645987"/>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2</w:t>
      </w:r>
      <w:r w:rsidR="00FF7BF1">
        <w:rPr>
          <w:noProof/>
        </w:rPr>
        <w:fldChar w:fldCharType="end"/>
      </w:r>
      <w:r w:rsidR="00806A04">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1</w:t>
      </w:r>
      <w:r w:rsidR="00FF7BF1">
        <w:rPr>
          <w:noProof/>
        </w:rPr>
        <w:fldChar w:fldCharType="end"/>
      </w:r>
      <w:bookmarkEnd w:id="19"/>
      <w:r>
        <w:t xml:space="preserve">: </w:t>
      </w:r>
      <w:r w:rsidR="00FD153A">
        <w:t>Household income and wealth in Australia, 2015-16</w:t>
      </w:r>
      <w:bookmarkEnd w:id="20"/>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Caption w:val="Household income and wealth in Australia 2015-16"/>
        <w:tblDescription w:val="This is a chart of weekly household gross income by age. It shows  that household wealth accumulates with age at a faster rate than income "/>
      </w:tblPr>
      <w:tblGrid>
        <w:gridCol w:w="9027"/>
      </w:tblGrid>
      <w:tr w:rsidR="00714FD8" w14:paraId="09FF623B" w14:textId="77777777" w:rsidTr="00176768">
        <w:trPr>
          <w:cnfStyle w:val="100000000000" w:firstRow="1" w:lastRow="0" w:firstColumn="0" w:lastColumn="0" w:oddVBand="0" w:evenVBand="0" w:oddHBand="0" w:evenHBand="0" w:firstRowFirstColumn="0" w:firstRowLastColumn="0" w:lastRowFirstColumn="0" w:lastRowLastColumn="0"/>
          <w:tblHeader/>
        </w:trPr>
        <w:tc>
          <w:tcPr>
            <w:tcW w:w="90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4F5869" w14:textId="77777777" w:rsidR="00714FD8" w:rsidRDefault="00E55F72" w:rsidP="00FD153A">
            <w:pPr>
              <w:pStyle w:val="Tablegridheading"/>
              <w:jc w:val="center"/>
            </w:pPr>
            <w:r>
              <w:t>Household income and wealth by age</w:t>
            </w:r>
          </w:p>
        </w:tc>
      </w:tr>
      <w:tr w:rsidR="00714FD8" w14:paraId="25B08396" w14:textId="77777777" w:rsidTr="00CA20D1">
        <w:tc>
          <w:tcPr>
            <w:tcW w:w="9027" w:type="dxa"/>
          </w:tcPr>
          <w:p w14:paraId="256819BF" w14:textId="77777777" w:rsidR="00714FD8" w:rsidRDefault="00714FD8" w:rsidP="00E44C77">
            <w:pPr>
              <w:pStyle w:val="Tablegridtext"/>
              <w:jc w:val="center"/>
            </w:pPr>
            <w:r>
              <w:rPr>
                <w:noProof/>
                <w:lang w:eastAsia="en-AU"/>
              </w:rPr>
              <w:drawing>
                <wp:inline distT="0" distB="0" distL="0" distR="0" wp14:anchorId="379370F1" wp14:editId="7D0A8552">
                  <wp:extent cx="5220000" cy="3500438"/>
                  <wp:effectExtent l="0" t="0" r="0" b="5080"/>
                  <wp:docPr id="1" name="Chart 1" descr="This is a chart showing the weekly household grosss income by age. it shows that household wealth accumulates with age at a faster rate than income." title="Household income and wealth by age">
                    <a:extLst xmlns:a="http://schemas.openxmlformats.org/drawingml/2006/main">
                      <a:ext uri="{FF2B5EF4-FFF2-40B4-BE49-F238E27FC236}">
                        <a16:creationId xmlns:a16="http://schemas.microsoft.com/office/drawing/2014/main" id="{B21F287C-297B-4748-BC23-0BD080D1B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714FD8" w14:paraId="5AAC4DF0" w14:textId="77777777" w:rsidTr="00CA20D1">
        <w:tc>
          <w:tcPr>
            <w:tcW w:w="9027" w:type="dxa"/>
          </w:tcPr>
          <w:p w14:paraId="7FB4EB1A" w14:textId="77777777" w:rsidR="00714FD8" w:rsidRDefault="00E55F72" w:rsidP="00FD153A">
            <w:pPr>
              <w:pStyle w:val="Tablegridheading"/>
              <w:jc w:val="center"/>
            </w:pPr>
            <w:r>
              <w:t>Sha</w:t>
            </w:r>
            <w:r w:rsidR="00FD153A">
              <w:t>re of income/wealth by quintile</w:t>
            </w:r>
          </w:p>
        </w:tc>
      </w:tr>
      <w:tr w:rsidR="00714FD8" w14:paraId="15BD2B87" w14:textId="77777777" w:rsidTr="00CA20D1">
        <w:tc>
          <w:tcPr>
            <w:tcW w:w="9027" w:type="dxa"/>
          </w:tcPr>
          <w:p w14:paraId="1F36D604" w14:textId="15DB7943" w:rsidR="00714FD8" w:rsidRDefault="00E44C77" w:rsidP="00E44C77">
            <w:pPr>
              <w:pStyle w:val="Tablegridtext"/>
              <w:jc w:val="center"/>
            </w:pPr>
            <w:r w:rsidRPr="00E44C77">
              <w:rPr>
                <w:noProof/>
                <w:lang w:eastAsia="en-AU"/>
              </w:rPr>
              <w:drawing>
                <wp:inline distT="0" distB="0" distL="0" distR="0" wp14:anchorId="6D2866A8" wp14:editId="4B93D5F5">
                  <wp:extent cx="5263200" cy="2883600"/>
                  <wp:effectExtent l="0" t="0" r="0" b="0"/>
                  <wp:docPr id="18" name="Picture 18" descr="This is a chart showing the percentage share of income/wealth by quintile. For four out of five quintiles gross household income is higher than a household's net worth, although for the highest quintile, this is reversed." title="Share of income/wealth by quin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3200" cy="2883600"/>
                          </a:xfrm>
                          <a:prstGeom prst="rect">
                            <a:avLst/>
                          </a:prstGeom>
                          <a:noFill/>
                          <a:ln>
                            <a:noFill/>
                          </a:ln>
                        </pic:spPr>
                      </pic:pic>
                    </a:graphicData>
                  </a:graphic>
                </wp:inline>
              </w:drawing>
            </w:r>
          </w:p>
        </w:tc>
      </w:tr>
    </w:tbl>
    <w:p w14:paraId="153B85E1" w14:textId="3446FBB4" w:rsidR="00714FD8" w:rsidRPr="00714FD8" w:rsidRDefault="00E55F72" w:rsidP="00E55F72">
      <w:pPr>
        <w:pStyle w:val="Datasource"/>
      </w:pPr>
      <w:r>
        <w:t>Source:</w:t>
      </w:r>
      <w:r w:rsidR="00CD3851">
        <w:t xml:space="preserve"> ABS</w:t>
      </w:r>
      <w:r>
        <w:t xml:space="preserve"> </w:t>
      </w:r>
      <w:sdt>
        <w:sdtPr>
          <w:id w:val="-943221847"/>
          <w:citation/>
        </w:sdtPr>
        <w:sdtEndPr/>
        <w:sdtContent>
          <w:r w:rsidR="00CD3851">
            <w:fldChar w:fldCharType="begin"/>
          </w:r>
          <w:r w:rsidR="00CD3851">
            <w:instrText xml:space="preserve">CITATION Aus173 \n  \t  \l 3081 </w:instrText>
          </w:r>
          <w:r w:rsidR="00CD3851">
            <w:fldChar w:fldCharType="separate"/>
          </w:r>
          <w:r w:rsidR="00CD3851">
            <w:rPr>
              <w:noProof/>
            </w:rPr>
            <w:t>(2017a)</w:t>
          </w:r>
          <w:r w:rsidR="00CD3851">
            <w:fldChar w:fldCharType="end"/>
          </w:r>
        </w:sdtContent>
      </w:sdt>
      <w:r w:rsidR="00CD3851">
        <w:t>.</w:t>
      </w:r>
    </w:p>
    <w:p w14:paraId="278BC62E" w14:textId="77777777" w:rsidR="003E4BE3" w:rsidRDefault="00210F80" w:rsidP="003E4BE3">
      <w:pPr>
        <w:pStyle w:val="Heading2"/>
      </w:pPr>
      <w:bookmarkStart w:id="21" w:name="_Toc518377360"/>
      <w:r>
        <w:t>B</w:t>
      </w:r>
      <w:r w:rsidR="00714FD8">
        <w:t xml:space="preserve">asis </w:t>
      </w:r>
      <w:r>
        <w:t>for</w:t>
      </w:r>
      <w:r w:rsidR="00714FD8">
        <w:t xml:space="preserve"> </w:t>
      </w:r>
      <w:r w:rsidR="006415BC">
        <w:t>including</w:t>
      </w:r>
      <w:r w:rsidR="00714FD8">
        <w:t xml:space="preserve"> household wealth in a CTC measure</w:t>
      </w:r>
      <w:bookmarkEnd w:id="21"/>
    </w:p>
    <w:p w14:paraId="31B12220" w14:textId="77777777" w:rsidR="00905FD6" w:rsidRDefault="00714FD8" w:rsidP="00714FD8">
      <w:r w:rsidRPr="00714FD8">
        <w:t>A CTC measure is intended to assess the resources available to school communities (</w:t>
      </w:r>
      <w:r w:rsidR="006415BC">
        <w:t xml:space="preserve">e.g. </w:t>
      </w:r>
      <w:r w:rsidRPr="00714FD8">
        <w:t xml:space="preserve">families) to pay non-government school fees. </w:t>
      </w:r>
      <w:r w:rsidR="006919F7">
        <w:t xml:space="preserve">Thus, the concept of CTC is akin to the broader concept of the economic resources available to school communities. </w:t>
      </w:r>
    </w:p>
    <w:p w14:paraId="383EAA74" w14:textId="4351BC49" w:rsidR="00714FD8" w:rsidRPr="00714FD8" w:rsidRDefault="006919F7" w:rsidP="00905FD6">
      <w:pPr>
        <w:spacing w:after="0"/>
      </w:pPr>
      <w:r>
        <w:t xml:space="preserve">The current SES score approach to CTC </w:t>
      </w:r>
      <w:r w:rsidR="008E5D02">
        <w:t xml:space="preserve">is </w:t>
      </w:r>
      <w:r>
        <w:t>underpinned by elements of human capital</w:t>
      </w:r>
      <w:r w:rsidR="00714FD8" w:rsidRPr="00714FD8">
        <w:t>:</w:t>
      </w:r>
    </w:p>
    <w:p w14:paraId="571DF284" w14:textId="01DA1CDC" w:rsidR="00714FD8" w:rsidRPr="00714FD8" w:rsidRDefault="008E5D02" w:rsidP="006919F7">
      <w:pPr>
        <w:pStyle w:val="Dotpoints"/>
      </w:pPr>
      <w:r w:rsidRPr="00714FD8">
        <w:t>Human</w:t>
      </w:r>
      <w:r w:rsidR="00714FD8" w:rsidRPr="00714FD8">
        <w:t xml:space="preserve"> capital ‘stock</w:t>
      </w:r>
      <w:r>
        <w:t xml:space="preserve">. This comprises </w:t>
      </w:r>
      <w:r w:rsidR="00714FD8" w:rsidRPr="00714FD8">
        <w:t>educational level and occupation, which represent the resources that can be harnessed to generate funds to pay school fees</w:t>
      </w:r>
    </w:p>
    <w:p w14:paraId="32ED8BA5" w14:textId="495CF0E7" w:rsidR="00714FD8" w:rsidRPr="00714FD8" w:rsidRDefault="008E5D02" w:rsidP="006919F7">
      <w:pPr>
        <w:pStyle w:val="Dotpoints"/>
      </w:pPr>
      <w:r>
        <w:t>Financial</w:t>
      </w:r>
      <w:r w:rsidR="006919F7">
        <w:t xml:space="preserve"> return on </w:t>
      </w:r>
      <w:r w:rsidR="00714FD8" w:rsidRPr="00714FD8">
        <w:t>human capital ‘</w:t>
      </w:r>
      <w:r w:rsidR="006919F7">
        <w:t>stock</w:t>
      </w:r>
      <w:r w:rsidR="00714FD8" w:rsidRPr="00714FD8">
        <w:t>’</w:t>
      </w:r>
      <w:r>
        <w:t>. This comprises</w:t>
      </w:r>
      <w:r w:rsidR="00714FD8" w:rsidRPr="00714FD8">
        <w:t xml:space="preserve"> the income derived from human capital stock.</w:t>
      </w:r>
    </w:p>
    <w:p w14:paraId="5E12FCAD" w14:textId="4AD89C49" w:rsidR="006919F7" w:rsidRDefault="006919F7" w:rsidP="00322940">
      <w:r>
        <w:t xml:space="preserve">Recent work by the </w:t>
      </w:r>
      <w:r w:rsidRPr="006919F7">
        <w:t>Organisation for Economic Co-operation and Developmen</w:t>
      </w:r>
      <w:r>
        <w:t xml:space="preserve">t (OECD) </w:t>
      </w:r>
      <w:r w:rsidR="00322940">
        <w:t xml:space="preserve">has explored extending the measurement of </w:t>
      </w:r>
      <w:r w:rsidR="00B63636">
        <w:t xml:space="preserve">household </w:t>
      </w:r>
      <w:r w:rsidR="00322940">
        <w:t>economic well</w:t>
      </w:r>
      <w:r w:rsidR="00C52911">
        <w:t>-</w:t>
      </w:r>
      <w:r w:rsidR="00322940">
        <w:t>being from income and consumption, to include wealth. The inclusion of wealth within the measurement of economic well</w:t>
      </w:r>
      <w:r w:rsidR="00CD3851">
        <w:t>-</w:t>
      </w:r>
      <w:r w:rsidR="00322940">
        <w:t>being is underpinned by an acknowledgement that:</w:t>
      </w:r>
    </w:p>
    <w:p w14:paraId="19745A7B" w14:textId="2436B61E" w:rsidR="006919F7" w:rsidRDefault="00235D5C" w:rsidP="00322940">
      <w:pPr>
        <w:pStyle w:val="Quote"/>
      </w:pPr>
      <w:r>
        <w:t>“</w:t>
      </w:r>
      <w:r w:rsidR="00C52911">
        <w:t>…f</w:t>
      </w:r>
      <w:r w:rsidR="00A2643A">
        <w:t>or</w:t>
      </w:r>
      <w:r w:rsidR="00322940">
        <w:t xml:space="preserve"> given levels of consumption and income, and everything else being equal, people with greater wealth can be regarded as having a higher level of economic well-being than people with lesser wealth. They have greater opportunities to increase consumption now, if desired, and to use their wealth to generate income and/or finance consumption in the future.</w:t>
      </w:r>
      <w:r>
        <w:t>”</w:t>
      </w:r>
      <w:r w:rsidR="00322940">
        <w:t xml:space="preserve"> </w:t>
      </w:r>
      <w:sdt>
        <w:sdtPr>
          <w:id w:val="1961838637"/>
          <w:citation/>
        </w:sdtPr>
        <w:sdtEndPr/>
        <w:sdtContent>
          <w:r w:rsidR="00322940">
            <w:fldChar w:fldCharType="begin"/>
          </w:r>
          <w:r w:rsidR="00B63636">
            <w:instrText xml:space="preserve">CITATION OEC13 \p 14 \l 3081 </w:instrText>
          </w:r>
          <w:r w:rsidR="00322940">
            <w:fldChar w:fldCharType="separate"/>
          </w:r>
          <w:r w:rsidR="00092E14">
            <w:rPr>
              <w:noProof/>
            </w:rPr>
            <w:t>(Organisation for Economic Co-operation and Development, 2013, p. 14)</w:t>
          </w:r>
          <w:r w:rsidR="00322940">
            <w:fldChar w:fldCharType="end"/>
          </w:r>
        </w:sdtContent>
      </w:sdt>
    </w:p>
    <w:p w14:paraId="1FBFEE29" w14:textId="46441E98" w:rsidR="00714FD8" w:rsidRPr="00714FD8" w:rsidRDefault="00905FD6" w:rsidP="00BC1101">
      <w:r>
        <w:t>Extending</w:t>
      </w:r>
      <w:r w:rsidR="006415BC">
        <w:t xml:space="preserve"> this argument to </w:t>
      </w:r>
      <w:r w:rsidR="00F1290B">
        <w:t>the current context</w:t>
      </w:r>
      <w:r w:rsidR="006415BC">
        <w:t xml:space="preserve">, </w:t>
      </w:r>
      <w:r w:rsidR="00322940">
        <w:t xml:space="preserve">it is </w:t>
      </w:r>
      <w:r w:rsidR="00BC1101">
        <w:t xml:space="preserve">feasible for two households to have the same CTC, despite one having a lower income </w:t>
      </w:r>
      <w:r w:rsidR="006415BC">
        <w:t xml:space="preserve">and higher wealth </w:t>
      </w:r>
      <w:r w:rsidR="00BC1101">
        <w:t xml:space="preserve">than the other. </w:t>
      </w:r>
      <w:r>
        <w:t>W</w:t>
      </w:r>
      <w:r w:rsidR="00714FD8" w:rsidRPr="00714FD8">
        <w:t>ealth is as relevant to the assessment of CTC as the existing components</w:t>
      </w:r>
      <w:r w:rsidR="00BC1101">
        <w:t xml:space="preserve"> of education level, occupation and income.</w:t>
      </w:r>
      <w:r w:rsidR="00E63F55">
        <w:t xml:space="preserve"> </w:t>
      </w:r>
    </w:p>
    <w:p w14:paraId="21206DB1" w14:textId="4F5E18D4" w:rsidR="00BC1101" w:rsidRDefault="00BC1101" w:rsidP="00BC1101">
      <w:pPr>
        <w:spacing w:after="0"/>
      </w:pPr>
      <w:r>
        <w:t xml:space="preserve">The importance of measuring wealth </w:t>
      </w:r>
      <w:r w:rsidR="006415BC">
        <w:t xml:space="preserve">in an assessment of economic </w:t>
      </w:r>
      <w:r w:rsidR="006415BC" w:rsidRPr="008E5D02">
        <w:t>well</w:t>
      </w:r>
      <w:r w:rsidR="00C52911">
        <w:t>-</w:t>
      </w:r>
      <w:r w:rsidR="006415BC" w:rsidRPr="008E5D02">
        <w:t>being</w:t>
      </w:r>
      <w:r w:rsidR="006415BC">
        <w:t xml:space="preserve"> </w:t>
      </w:r>
      <w:r>
        <w:t xml:space="preserve">is </w:t>
      </w:r>
      <w:r w:rsidR="00F210EB">
        <w:t>highlighted</w:t>
      </w:r>
      <w:r w:rsidR="00094F57">
        <w:t xml:space="preserve"> by the inclusion </w:t>
      </w:r>
      <w:r w:rsidR="00F210EB">
        <w:t xml:space="preserve">by the ABS </w:t>
      </w:r>
      <w:r w:rsidR="00094F57">
        <w:t xml:space="preserve">of proxy wealth measures </w:t>
      </w:r>
      <w:r w:rsidR="00905FD6">
        <w:t xml:space="preserve">collected in the Census, </w:t>
      </w:r>
      <w:r w:rsidR="00094F57">
        <w:t xml:space="preserve">in </w:t>
      </w:r>
      <w:r w:rsidR="00F210EB">
        <w:t>two of the</w:t>
      </w:r>
      <w:r>
        <w:t xml:space="preserve"> </w:t>
      </w:r>
      <w:r w:rsidR="00714FD8" w:rsidRPr="00714FD8">
        <w:t>ABS Socio-Economic Indexes for Areas (SEIFA)</w:t>
      </w:r>
      <w:r w:rsidR="00F210EB">
        <w:t>—</w:t>
      </w:r>
      <w:r>
        <w:t>Index of Economic Resources and Index of Relative Socio-Economic Advantage and Disadvantage</w:t>
      </w:r>
      <w:r w:rsidR="00905FD6">
        <w:t xml:space="preserve">. These </w:t>
      </w:r>
      <w:r>
        <w:t>compris</w:t>
      </w:r>
      <w:r w:rsidR="00905FD6">
        <w:t>e</w:t>
      </w:r>
      <w:r>
        <w:t xml:space="preserve"> the per</w:t>
      </w:r>
      <w:r w:rsidR="0099529B">
        <w:t xml:space="preserve"> </w:t>
      </w:r>
      <w:r>
        <w:t>cent of:</w:t>
      </w:r>
    </w:p>
    <w:p w14:paraId="376EE4AC" w14:textId="1E55714B" w:rsidR="00742BDC" w:rsidRDefault="00742BDC" w:rsidP="00742BDC">
      <w:pPr>
        <w:pStyle w:val="Dotpoints"/>
      </w:pPr>
      <w:r w:rsidRPr="00742BDC">
        <w:t>Occupied private dwellings paying rent less than $215 per week</w:t>
      </w:r>
    </w:p>
    <w:p w14:paraId="741CEE1F" w14:textId="7ACA215D" w:rsidR="00BC1101" w:rsidRDefault="00742BDC" w:rsidP="00BC1101">
      <w:pPr>
        <w:pStyle w:val="Dotpoints"/>
      </w:pPr>
      <w:r>
        <w:t>Owner o</w:t>
      </w:r>
      <w:r w:rsidR="00BC1101" w:rsidRPr="00BC1101">
        <w:t>ccupied private dwellings</w:t>
      </w:r>
      <w:r>
        <w:t xml:space="preserve"> </w:t>
      </w:r>
      <w:r w:rsidR="00BC1101" w:rsidRPr="00BC1101">
        <w:t>(with a mortgage)</w:t>
      </w:r>
      <w:r w:rsidR="00094F57">
        <w:rPr>
          <w:rStyle w:val="FootnoteReference"/>
        </w:rPr>
        <w:footnoteReference w:id="5"/>
      </w:r>
    </w:p>
    <w:p w14:paraId="14E81EC4" w14:textId="0B87B1A0" w:rsidR="00BC1101" w:rsidRDefault="00742BDC" w:rsidP="00BC1101">
      <w:pPr>
        <w:pStyle w:val="Dotpoints"/>
      </w:pPr>
      <w:r>
        <w:t>Owner o</w:t>
      </w:r>
      <w:r w:rsidR="00BC1101" w:rsidRPr="00BC1101">
        <w:t>ccupied private dwellings paying mortgage greater than $2,800 per month</w:t>
      </w:r>
    </w:p>
    <w:p w14:paraId="27F0F04A" w14:textId="798BF494" w:rsidR="00714FD8" w:rsidRPr="00714FD8" w:rsidRDefault="00714FD8" w:rsidP="00BC1101">
      <w:pPr>
        <w:pStyle w:val="Dotpoints"/>
      </w:pPr>
      <w:r w:rsidRPr="00714FD8">
        <w:t>Occupied private dwellings with four or more bedrooms</w:t>
      </w:r>
      <w:r w:rsidR="00742BDC">
        <w:t>.</w:t>
      </w:r>
    </w:p>
    <w:p w14:paraId="613F0B5E" w14:textId="52833E84" w:rsidR="006415BC" w:rsidRDefault="00742BDC" w:rsidP="00714FD8">
      <w:r>
        <w:t xml:space="preserve">Within SEIFA these variables are intended to </w:t>
      </w:r>
      <w:r w:rsidR="0099529B">
        <w:t>measure</w:t>
      </w:r>
      <w:r w:rsidR="006415BC">
        <w:t xml:space="preserve"> the extent that individuals have an </w:t>
      </w:r>
      <w:r w:rsidR="006415BC" w:rsidRPr="00094F57">
        <w:t>adequate and appropriate place to live</w:t>
      </w:r>
      <w:r w:rsidR="006415BC">
        <w:t xml:space="preserve"> </w:t>
      </w:r>
      <w:r w:rsidR="00316551">
        <w:t>(ABS, 2018)</w:t>
      </w:r>
      <w:r w:rsidR="006415BC">
        <w:t>.</w:t>
      </w:r>
    </w:p>
    <w:p w14:paraId="4AA3EFBD" w14:textId="64D39280" w:rsidR="00714FD8" w:rsidRDefault="00316551" w:rsidP="00714FD8">
      <w:r>
        <w:t xml:space="preserve">As discussed by Duncan, </w:t>
      </w:r>
      <w:r w:rsidR="004E6B45">
        <w:t>et al</w:t>
      </w:r>
      <w:sdt>
        <w:sdtPr>
          <w:id w:val="-1822035453"/>
          <w:citation/>
        </w:sdtPr>
        <w:sdtEndPr/>
        <w:sdtContent>
          <w:r w:rsidR="004E6B45">
            <w:fldChar w:fldCharType="begin"/>
          </w:r>
          <w:r w:rsidR="004E6B45">
            <w:instrText xml:space="preserve">CITATION Dun02 \n  \t  \l 3081 </w:instrText>
          </w:r>
          <w:r w:rsidR="004E6B45">
            <w:fldChar w:fldCharType="separate"/>
          </w:r>
          <w:r w:rsidR="004E6B45">
            <w:rPr>
              <w:noProof/>
            </w:rPr>
            <w:t xml:space="preserve"> (2002)</w:t>
          </w:r>
          <w:r w:rsidR="004E6B45">
            <w:fldChar w:fldCharType="end"/>
          </w:r>
        </w:sdtContent>
      </w:sdt>
      <w:r>
        <w:t>, r</w:t>
      </w:r>
      <w:r w:rsidR="00714FD8" w:rsidRPr="00714FD8">
        <w:t xml:space="preserve">esearch on </w:t>
      </w:r>
      <w:r w:rsidR="00094F57">
        <w:t xml:space="preserve">the measurement of </w:t>
      </w:r>
      <w:r w:rsidR="00714FD8" w:rsidRPr="00714FD8">
        <w:t xml:space="preserve">SES </w:t>
      </w:r>
      <w:r w:rsidR="00094F57">
        <w:t>in other contexts, such as public health, has also sought to include wealth</w:t>
      </w:r>
      <w:r w:rsidR="004E6B45">
        <w:t>.</w:t>
      </w:r>
      <w:r w:rsidR="00094F57">
        <w:t xml:space="preserve"> </w:t>
      </w:r>
    </w:p>
    <w:p w14:paraId="067F1D6E" w14:textId="77777777" w:rsidR="00714FD8" w:rsidRPr="00714FD8" w:rsidRDefault="00374B88" w:rsidP="00374B88">
      <w:pPr>
        <w:pStyle w:val="Heading2"/>
      </w:pPr>
      <w:bookmarkStart w:id="22" w:name="_Toc518377361"/>
      <w:r>
        <w:t>Options for measuring wealth as part of a CTC measure</w:t>
      </w:r>
      <w:bookmarkEnd w:id="22"/>
    </w:p>
    <w:p w14:paraId="5598B091" w14:textId="2442E53A" w:rsidR="002D1252" w:rsidRDefault="003E4BE3" w:rsidP="001C0D7B">
      <w:r>
        <w:t xml:space="preserve">Based upon the </w:t>
      </w:r>
      <w:r w:rsidR="001C0D7B">
        <w:t>issues</w:t>
      </w:r>
      <w:r>
        <w:t xml:space="preserve"> noted above, several options are identified for further consideration in </w:t>
      </w:r>
      <w:r w:rsidR="006415BC">
        <w:t xml:space="preserve">section </w:t>
      </w:r>
      <w:r w:rsidR="006415BC">
        <w:fldChar w:fldCharType="begin"/>
      </w:r>
      <w:r w:rsidR="006415BC">
        <w:instrText xml:space="preserve"> REF _Ref517945960 \r \h </w:instrText>
      </w:r>
      <w:r w:rsidR="006415BC">
        <w:fldChar w:fldCharType="separate"/>
      </w:r>
      <w:r w:rsidR="00092E14">
        <w:t>3</w:t>
      </w:r>
      <w:r w:rsidR="006415BC">
        <w:fldChar w:fldCharType="end"/>
      </w:r>
      <w:r w:rsidR="006415BC">
        <w:t xml:space="preserve"> of this </w:t>
      </w:r>
      <w:r>
        <w:t xml:space="preserve">report (see </w:t>
      </w:r>
      <w:r>
        <w:fldChar w:fldCharType="begin"/>
      </w:r>
      <w:r>
        <w:instrText xml:space="preserve"> REF _Ref517965064 \h </w:instrText>
      </w:r>
      <w:r>
        <w:fldChar w:fldCharType="separate"/>
      </w:r>
      <w:r w:rsidR="00092E14">
        <w:t xml:space="preserve">Table </w:t>
      </w:r>
      <w:r w:rsidR="00092E14">
        <w:rPr>
          <w:noProof/>
        </w:rPr>
        <w:t>2</w:t>
      </w:r>
      <w:r w:rsidR="00092E14">
        <w:noBreakHyphen/>
      </w:r>
      <w:r w:rsidR="00092E14">
        <w:rPr>
          <w:noProof/>
        </w:rPr>
        <w:t>1</w:t>
      </w:r>
      <w:r>
        <w:fldChar w:fldCharType="end"/>
      </w:r>
      <w:r w:rsidR="001C0D7B">
        <w:t xml:space="preserve">). These </w:t>
      </w:r>
      <w:r w:rsidR="00811BDD">
        <w:t xml:space="preserve">options </w:t>
      </w:r>
      <w:r w:rsidR="001C0D7B">
        <w:t>use data within the SIH to examine the impact of including either reported wealth or a measure of proxy wealth</w:t>
      </w:r>
      <w:r w:rsidR="00410E79">
        <w:t xml:space="preserve"> within a CTC score</w:t>
      </w:r>
      <w:r w:rsidR="001C0D7B">
        <w:t xml:space="preserve">. </w:t>
      </w:r>
    </w:p>
    <w:p w14:paraId="5DBA9FF0" w14:textId="5716AC96" w:rsidR="003E4BE3" w:rsidRDefault="003E4BE3" w:rsidP="003E4BE3">
      <w:pPr>
        <w:pStyle w:val="Caption"/>
      </w:pPr>
      <w:bookmarkStart w:id="23" w:name="_Ref517965064"/>
      <w:bookmarkStart w:id="24" w:name="_Toc518645970"/>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2</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w:t>
      </w:r>
      <w:r w:rsidR="0081675E">
        <w:rPr>
          <w:noProof/>
        </w:rPr>
        <w:fldChar w:fldCharType="end"/>
      </w:r>
      <w:bookmarkEnd w:id="23"/>
      <w:r>
        <w:t xml:space="preserve">: </w:t>
      </w:r>
      <w:r w:rsidR="00727B13">
        <w:t>Potential o</w:t>
      </w:r>
      <w:r>
        <w:t xml:space="preserve">ptions for </w:t>
      </w:r>
      <w:r w:rsidR="001C0D7B">
        <w:t>including wealth with a CTC measure</w:t>
      </w:r>
      <w:bookmarkEnd w:id="24"/>
    </w:p>
    <w:tbl>
      <w:tblPr>
        <w:tblStyle w:val="TableGrid"/>
        <w:tblW w:w="9214" w:type="dxa"/>
        <w:tblLook w:val="04A0" w:firstRow="1" w:lastRow="0" w:firstColumn="1" w:lastColumn="0" w:noHBand="0" w:noVBand="1"/>
        <w:tblCaption w:val="Potential options for including wealth in a CTC measure"/>
        <w:tblDescription w:val="This is a table outlining the potential options for including reported wealth and or proxies for wealth. These options are further explored in section 3 of this report."/>
      </w:tblPr>
      <w:tblGrid>
        <w:gridCol w:w="2444"/>
        <w:gridCol w:w="2636"/>
        <w:gridCol w:w="4134"/>
      </w:tblGrid>
      <w:tr w:rsidR="003E4BE3" w:rsidRPr="005B3B4D" w14:paraId="5D5F8384" w14:textId="77777777" w:rsidTr="000E41B6">
        <w:trPr>
          <w:cnfStyle w:val="100000000000" w:firstRow="1" w:lastRow="0" w:firstColumn="0" w:lastColumn="0" w:oddVBand="0" w:evenVBand="0" w:oddHBand="0" w:evenHBand="0" w:firstRowFirstColumn="0" w:firstRowLastColumn="0" w:lastRowFirstColumn="0" w:lastRowLastColumn="0"/>
          <w:tblHeader/>
        </w:trPr>
        <w:tc>
          <w:tcPr>
            <w:tcW w:w="0" w:type="dxa"/>
          </w:tcPr>
          <w:p w14:paraId="5B969E4A" w14:textId="77777777" w:rsidR="003E4BE3" w:rsidRPr="005B3B4D" w:rsidRDefault="003E4BE3" w:rsidP="001B4F9D">
            <w:pPr>
              <w:pStyle w:val="Tablegridheading"/>
            </w:pPr>
            <w:r>
              <w:t>Financial element</w:t>
            </w:r>
          </w:p>
        </w:tc>
        <w:tc>
          <w:tcPr>
            <w:tcW w:w="0" w:type="dxa"/>
          </w:tcPr>
          <w:p w14:paraId="3C43707F" w14:textId="77777777" w:rsidR="003E4BE3" w:rsidRPr="005B3B4D" w:rsidRDefault="003E4BE3" w:rsidP="001B4F9D">
            <w:pPr>
              <w:pStyle w:val="Tablegridheading"/>
            </w:pPr>
            <w:r w:rsidRPr="005B3B4D">
              <w:t xml:space="preserve">Detailed </w:t>
            </w:r>
            <w:r>
              <w:t>proposal</w:t>
            </w:r>
          </w:p>
        </w:tc>
        <w:tc>
          <w:tcPr>
            <w:tcW w:w="1984" w:type="dxa"/>
          </w:tcPr>
          <w:p w14:paraId="023F9C65" w14:textId="77777777" w:rsidR="003E4BE3" w:rsidRPr="005B3B4D" w:rsidRDefault="003E4BE3" w:rsidP="001B4F9D">
            <w:pPr>
              <w:pStyle w:val="Tablegridheading"/>
            </w:pPr>
            <w:r>
              <w:t>Source</w:t>
            </w:r>
          </w:p>
        </w:tc>
      </w:tr>
      <w:tr w:rsidR="001C0D7B" w:rsidRPr="005B3B4D" w14:paraId="614D01E1" w14:textId="77777777" w:rsidTr="004E6B45">
        <w:tc>
          <w:tcPr>
            <w:tcW w:w="0" w:type="dxa"/>
            <w:vMerge w:val="restart"/>
          </w:tcPr>
          <w:p w14:paraId="34453AF8" w14:textId="6BDB0BFD" w:rsidR="001C0D7B" w:rsidRPr="005B3B4D" w:rsidRDefault="001C0D7B" w:rsidP="004E6B45">
            <w:pPr>
              <w:pStyle w:val="Tablegridtext"/>
              <w:jc w:val="left"/>
            </w:pPr>
            <w:r>
              <w:t xml:space="preserve">Including reported wealth in the estimation of a CTC measure, alongside other factors. </w:t>
            </w:r>
          </w:p>
        </w:tc>
        <w:tc>
          <w:tcPr>
            <w:tcW w:w="0" w:type="dxa"/>
          </w:tcPr>
          <w:p w14:paraId="5EF408AB" w14:textId="77777777" w:rsidR="001C0D7B" w:rsidRPr="005B3B4D" w:rsidRDefault="001C0D7B" w:rsidP="00374B88">
            <w:pPr>
              <w:pStyle w:val="Tablegridtext"/>
            </w:pPr>
            <w:r>
              <w:t>“</w:t>
            </w:r>
            <w:r w:rsidRPr="00DC4B58">
              <w:t>A ‘fit for purpose’ measure of capacity to contribute would take into account all of the financial means available to student families to contribute to school costs.</w:t>
            </w:r>
            <w:r>
              <w:t xml:space="preserve"> This would include both income and wealth.”</w:t>
            </w:r>
          </w:p>
        </w:tc>
        <w:tc>
          <w:tcPr>
            <w:tcW w:w="1984" w:type="dxa"/>
          </w:tcPr>
          <w:p w14:paraId="52FD7A63" w14:textId="77777777" w:rsidR="001C0D7B" w:rsidRPr="005B3B4D" w:rsidRDefault="001C0D7B" w:rsidP="00374B88">
            <w:r>
              <w:rPr>
                <w:noProof/>
              </w:rPr>
              <w:t>CECV (2017), p. 16</w:t>
            </w:r>
          </w:p>
        </w:tc>
      </w:tr>
      <w:tr w:rsidR="001C0D7B" w:rsidRPr="005B3B4D" w14:paraId="034D8140" w14:textId="77777777" w:rsidTr="004E6B45">
        <w:tc>
          <w:tcPr>
            <w:tcW w:w="0" w:type="dxa"/>
            <w:vMerge/>
          </w:tcPr>
          <w:p w14:paraId="624DED60" w14:textId="77777777" w:rsidR="001C0D7B" w:rsidRPr="005B3B4D" w:rsidRDefault="001C0D7B" w:rsidP="004E6B45">
            <w:pPr>
              <w:pStyle w:val="Tablegridtext"/>
              <w:jc w:val="left"/>
            </w:pPr>
          </w:p>
        </w:tc>
        <w:tc>
          <w:tcPr>
            <w:tcW w:w="0" w:type="dxa"/>
          </w:tcPr>
          <w:p w14:paraId="62987781" w14:textId="77777777" w:rsidR="001C0D7B" w:rsidRPr="005B3B4D" w:rsidRDefault="001C0D7B" w:rsidP="008047A2">
            <w:pPr>
              <w:pStyle w:val="Tablegridtext"/>
            </w:pPr>
            <w:r>
              <w:t>“</w:t>
            </w:r>
            <w:r w:rsidRPr="00DC4B58">
              <w:t>I do believe it would be reasonable to incorporate some component of asset base</w:t>
            </w:r>
            <w:r>
              <w:t>.”</w:t>
            </w:r>
          </w:p>
        </w:tc>
        <w:tc>
          <w:tcPr>
            <w:tcW w:w="1984" w:type="dxa"/>
          </w:tcPr>
          <w:p w14:paraId="0E2D84D4" w14:textId="77777777" w:rsidR="001C0D7B" w:rsidRPr="005B3B4D" w:rsidRDefault="001C0D7B" w:rsidP="00374B88">
            <w:r>
              <w:rPr>
                <w:noProof/>
              </w:rPr>
              <w:t>Farish (2017), p. 8</w:t>
            </w:r>
          </w:p>
        </w:tc>
      </w:tr>
      <w:tr w:rsidR="003E4BE3" w:rsidRPr="005B3B4D" w14:paraId="476C1513" w14:textId="77777777" w:rsidTr="004E6B45">
        <w:tc>
          <w:tcPr>
            <w:tcW w:w="0" w:type="dxa"/>
          </w:tcPr>
          <w:p w14:paraId="4F642B9F" w14:textId="77777777" w:rsidR="003E4BE3" w:rsidRPr="005B3B4D" w:rsidRDefault="003A54CF" w:rsidP="004E6B45">
            <w:pPr>
              <w:pStyle w:val="Tablegridtext"/>
              <w:jc w:val="left"/>
            </w:pPr>
            <w:r>
              <w:t>Including a proxy wealth score within the estimate of an SES score.</w:t>
            </w:r>
          </w:p>
        </w:tc>
        <w:tc>
          <w:tcPr>
            <w:tcW w:w="0" w:type="dxa"/>
          </w:tcPr>
          <w:p w14:paraId="50EA5585" w14:textId="0CCE76D7" w:rsidR="003E4BE3" w:rsidRPr="005B3B4D" w:rsidRDefault="003A54CF" w:rsidP="001B4F9D">
            <w:pPr>
              <w:pStyle w:val="Tablegridtext"/>
            </w:pPr>
            <w:r>
              <w:t xml:space="preserve">Using measures of proxy wealth, to construct a proxy wealth score. </w:t>
            </w:r>
          </w:p>
        </w:tc>
        <w:tc>
          <w:tcPr>
            <w:tcW w:w="1984" w:type="dxa"/>
          </w:tcPr>
          <w:p w14:paraId="48DFA93B" w14:textId="77777777" w:rsidR="003E4BE3" w:rsidRPr="005B3B4D" w:rsidRDefault="003E4BE3" w:rsidP="001B4F9D">
            <w:pPr>
              <w:pStyle w:val="Tablegridtext"/>
            </w:pPr>
          </w:p>
        </w:tc>
      </w:tr>
    </w:tbl>
    <w:p w14:paraId="18714F2C" w14:textId="77777777" w:rsidR="003E4BE3" w:rsidRPr="00C32A67" w:rsidRDefault="003E4BE3" w:rsidP="00B83B99">
      <w:pPr>
        <w:ind w:firstLine="720"/>
      </w:pPr>
    </w:p>
    <w:p w14:paraId="4DF71995" w14:textId="77777777" w:rsidR="005B3B4D" w:rsidRDefault="008B58D3" w:rsidP="008B58D3">
      <w:pPr>
        <w:pStyle w:val="Heading1"/>
      </w:pPr>
      <w:bookmarkStart w:id="25" w:name="_Ref517945960"/>
      <w:bookmarkStart w:id="26" w:name="_Ref517966748"/>
      <w:bookmarkStart w:id="27" w:name="_Toc518377362"/>
      <w:r>
        <w:t>Analytical approach</w:t>
      </w:r>
      <w:bookmarkEnd w:id="25"/>
      <w:bookmarkEnd w:id="26"/>
      <w:bookmarkEnd w:id="27"/>
    </w:p>
    <w:p w14:paraId="1B9D57BA" w14:textId="77777777" w:rsidR="00727B13" w:rsidRPr="00727B13" w:rsidRDefault="00727B13" w:rsidP="00727B13">
      <w:r>
        <w:t xml:space="preserve">This </w:t>
      </w:r>
      <w:r w:rsidR="00491191">
        <w:t>section</w:t>
      </w:r>
      <w:r>
        <w:t xml:space="preserve"> details the analytical approach applied in the remainder of the report, alongside the features of the </w:t>
      </w:r>
      <w:r w:rsidR="003A54CF">
        <w:t xml:space="preserve">SIH </w:t>
      </w:r>
      <w:r>
        <w:t>data, and the specific options examined in the remainder of the repo</w:t>
      </w:r>
      <w:r w:rsidR="00184C6E">
        <w:t>r</w:t>
      </w:r>
      <w:r>
        <w:t>t</w:t>
      </w:r>
      <w:r w:rsidR="003A54CF">
        <w:t xml:space="preserve"> for incorporating wealth into a CTC measure</w:t>
      </w:r>
      <w:r>
        <w:t xml:space="preserve">. </w:t>
      </w:r>
    </w:p>
    <w:p w14:paraId="7E3B31F0" w14:textId="77777777" w:rsidR="00572763" w:rsidRDefault="00714FD8" w:rsidP="00572763">
      <w:pPr>
        <w:pStyle w:val="Heading2"/>
      </w:pPr>
      <w:bookmarkStart w:id="28" w:name="_Toc518377363"/>
      <w:r w:rsidRPr="00714FD8">
        <w:t>Defining household wealth</w:t>
      </w:r>
      <w:bookmarkEnd w:id="28"/>
    </w:p>
    <w:p w14:paraId="3FF7CD4E" w14:textId="1451E104" w:rsidR="008B5C87" w:rsidRDefault="00384F54" w:rsidP="008B5C87">
      <w:r>
        <w:rPr>
          <w:noProof/>
        </w:rPr>
        <w:t xml:space="preserve">The definition of household wealth applied in this report comprises net assets (i.e assets minus liabilites), inclusive of financial and housing assets and liabilities (see </w:t>
      </w:r>
      <w:r>
        <w:rPr>
          <w:noProof/>
        </w:rPr>
        <w:fldChar w:fldCharType="begin"/>
      </w:r>
      <w:r>
        <w:rPr>
          <w:noProof/>
        </w:rPr>
        <w:instrText xml:space="preserve"> REF _Ref518311978 \h </w:instrText>
      </w:r>
      <w:r>
        <w:rPr>
          <w:noProof/>
        </w:rPr>
      </w:r>
      <w:r>
        <w:rPr>
          <w:noProof/>
        </w:rPr>
        <w:fldChar w:fldCharType="separate"/>
      </w:r>
      <w:r w:rsidR="00092E14">
        <w:t xml:space="preserve">Figure </w:t>
      </w:r>
      <w:r w:rsidR="00092E14">
        <w:rPr>
          <w:noProof/>
        </w:rPr>
        <w:t>3</w:t>
      </w:r>
      <w:r w:rsidR="00092E14">
        <w:noBreakHyphen/>
      </w:r>
      <w:r w:rsidR="00092E14">
        <w:rPr>
          <w:noProof/>
        </w:rPr>
        <w:t>1</w:t>
      </w:r>
      <w:r>
        <w:rPr>
          <w:noProof/>
        </w:rPr>
        <w:fldChar w:fldCharType="end"/>
      </w:r>
      <w:r>
        <w:rPr>
          <w:noProof/>
        </w:rPr>
        <w:t xml:space="preserve">). </w:t>
      </w:r>
      <w:bookmarkStart w:id="29" w:name="_Toc517982744"/>
    </w:p>
    <w:p w14:paraId="208C12C3" w14:textId="1647D746" w:rsidR="008B5C87" w:rsidRDefault="008B5C87" w:rsidP="008B5C87">
      <w:pPr>
        <w:pStyle w:val="Caption"/>
      </w:pPr>
      <w:bookmarkStart w:id="30" w:name="_Ref518311978"/>
      <w:bookmarkStart w:id="31" w:name="_Toc518645988"/>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3</w:t>
      </w:r>
      <w:r w:rsidR="00FF7BF1">
        <w:rPr>
          <w:noProof/>
        </w:rPr>
        <w:fldChar w:fldCharType="end"/>
      </w:r>
      <w:r w:rsidR="00806A04">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1</w:t>
      </w:r>
      <w:r w:rsidR="00FF7BF1">
        <w:rPr>
          <w:noProof/>
        </w:rPr>
        <w:fldChar w:fldCharType="end"/>
      </w:r>
      <w:bookmarkEnd w:id="30"/>
      <w:r>
        <w:t xml:space="preserve">: </w:t>
      </w:r>
      <w:r w:rsidR="00384F54">
        <w:t>Elements of household wealth</w:t>
      </w:r>
      <w:bookmarkEnd w:id="31"/>
    </w:p>
    <w:p w14:paraId="38B88C1F" w14:textId="6884960D" w:rsidR="00384F54" w:rsidRDefault="00F1290B" w:rsidP="00384F54">
      <w:pPr>
        <w:pStyle w:val="Datasource"/>
        <w:spacing w:after="0"/>
        <w:jc w:val="center"/>
      </w:pPr>
      <w:r w:rsidRPr="00F1290B">
        <w:rPr>
          <w:noProof/>
          <w:lang w:eastAsia="en-AU"/>
        </w:rPr>
        <w:drawing>
          <wp:inline distT="0" distB="0" distL="0" distR="0" wp14:anchorId="0328F265" wp14:editId="7B700984">
            <wp:extent cx="3888000" cy="3274815"/>
            <wp:effectExtent l="0" t="0" r="0" b="1905"/>
            <wp:docPr id="22" name="Picture 22" descr="This is a picture showing that household wealth is assets minus liabilities. Assets include houses and contents, land vehicles, businesses, bank accounts, shares, superannuation. Liabilities include mortgages, investment loans, credit card debit, borrowings from other households and personal study loans. &#10;" title="Elements of household 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8000" cy="3274815"/>
                    </a:xfrm>
                    <a:prstGeom prst="rect">
                      <a:avLst/>
                    </a:prstGeom>
                    <a:noFill/>
                    <a:ln>
                      <a:noFill/>
                    </a:ln>
                  </pic:spPr>
                </pic:pic>
              </a:graphicData>
            </a:graphic>
          </wp:inline>
        </w:drawing>
      </w:r>
    </w:p>
    <w:p w14:paraId="1AE44D77" w14:textId="4214C086" w:rsidR="008B5C87" w:rsidRDefault="008B5C87" w:rsidP="00384F54">
      <w:pPr>
        <w:pStyle w:val="Datasource"/>
        <w:tabs>
          <w:tab w:val="clear" w:pos="0"/>
        </w:tabs>
        <w:spacing w:after="240"/>
        <w:ind w:left="1276"/>
        <w:jc w:val="left"/>
      </w:pPr>
      <w:r>
        <w:t xml:space="preserve">Source: </w:t>
      </w:r>
      <w:r w:rsidR="00CD3851">
        <w:t xml:space="preserve">ABS </w:t>
      </w:r>
      <w:sdt>
        <w:sdtPr>
          <w:id w:val="184953835"/>
          <w:citation/>
        </w:sdtPr>
        <w:sdtEndPr/>
        <w:sdtContent>
          <w:r w:rsidR="00CD3851">
            <w:fldChar w:fldCharType="begin"/>
          </w:r>
          <w:r w:rsidR="00CD3851">
            <w:instrText xml:space="preserve">CITATION Aus172 \n  \t  \l 3081 </w:instrText>
          </w:r>
          <w:r w:rsidR="00CD3851">
            <w:fldChar w:fldCharType="separate"/>
          </w:r>
          <w:r w:rsidR="00CD3851">
            <w:rPr>
              <w:noProof/>
            </w:rPr>
            <w:t>(2017b)</w:t>
          </w:r>
          <w:r w:rsidR="00CD3851">
            <w:fldChar w:fldCharType="end"/>
          </w:r>
        </w:sdtContent>
      </w:sdt>
      <w:r w:rsidR="00CD3851">
        <w:t>.</w:t>
      </w:r>
    </w:p>
    <w:p w14:paraId="437C9DA8" w14:textId="2F076D37" w:rsidR="00384F54" w:rsidRDefault="00EC6146" w:rsidP="00384F54">
      <w:pPr>
        <w:rPr>
          <w:noProof/>
        </w:rPr>
      </w:pPr>
      <w:r w:rsidRPr="00714FD8">
        <w:t xml:space="preserve">Superannuation assets </w:t>
      </w:r>
      <w:r w:rsidR="0056732F">
        <w:t xml:space="preserve">derived </w:t>
      </w:r>
      <w:r w:rsidRPr="00714FD8">
        <w:t>from compulsory employer contributions</w:t>
      </w:r>
      <w:r>
        <w:t xml:space="preserve"> are excluded from the analysis. These assets </w:t>
      </w:r>
      <w:r w:rsidR="00384F54">
        <w:rPr>
          <w:noProof/>
        </w:rPr>
        <w:t>cannot be easily accessed until retirement age</w:t>
      </w:r>
      <w:r>
        <w:rPr>
          <w:noProof/>
        </w:rPr>
        <w:t>, with m</w:t>
      </w:r>
      <w:r w:rsidR="00384F54">
        <w:rPr>
          <w:noProof/>
        </w:rPr>
        <w:t xml:space="preserve">ost parents and carers of children attending non-govenrment schools well below this age. </w:t>
      </w:r>
    </w:p>
    <w:p w14:paraId="1EB8FE31" w14:textId="01CB01EB" w:rsidR="00384F54" w:rsidRPr="00714FD8" w:rsidRDefault="00384F54" w:rsidP="00384F54">
      <w:r w:rsidRPr="006415BC">
        <w:t xml:space="preserve">The inclusion of dwellings (i.e. the family home) </w:t>
      </w:r>
      <w:r w:rsidR="00905FD6">
        <w:t xml:space="preserve">within the scope of household wealth </w:t>
      </w:r>
      <w:r w:rsidR="0053779C" w:rsidRPr="006415BC">
        <w:t>has been subject</w:t>
      </w:r>
      <w:r w:rsidR="00011ACB">
        <w:t>ed</w:t>
      </w:r>
      <w:r w:rsidR="0053779C" w:rsidRPr="006415BC">
        <w:t xml:space="preserve"> to much </w:t>
      </w:r>
      <w:r w:rsidR="0056732F">
        <w:t>consideration</w:t>
      </w:r>
      <w:r w:rsidR="0053779C" w:rsidRPr="006415BC">
        <w:t xml:space="preserve">. </w:t>
      </w:r>
      <w:r w:rsidR="006415BC">
        <w:t xml:space="preserve">At the outset, the intent has been to capture the full range of wealth. The </w:t>
      </w:r>
      <w:r w:rsidR="00AD728A">
        <w:t xml:space="preserve">exclusion of the family home and associated liabilities (i.e. mortgage), would disadvantage renters </w:t>
      </w:r>
      <w:r w:rsidR="00BE5F1C">
        <w:t>that</w:t>
      </w:r>
      <w:r w:rsidR="00AD728A">
        <w:t xml:space="preserve"> have consciously decided to not purchase a house but instead accrue financial assets (e.g. shares and investments). </w:t>
      </w:r>
    </w:p>
    <w:p w14:paraId="39FC4E35" w14:textId="7DC6ADDB" w:rsidR="00384F54" w:rsidRPr="00714FD8" w:rsidRDefault="00BE5F1C" w:rsidP="00BE5F1C">
      <w:r>
        <w:t xml:space="preserve">It is acknowledged that short of actions such as mortgage refinancing, it is not possible for families to readily access their </w:t>
      </w:r>
      <w:r w:rsidR="00BF2ED7">
        <w:t>housing wealth to pay school fees. However, h</w:t>
      </w:r>
      <w:r w:rsidR="00AD728A">
        <w:t xml:space="preserve">ousing decisions, </w:t>
      </w:r>
      <w:r>
        <w:t>alongside</w:t>
      </w:r>
      <w:r w:rsidR="00EC6146">
        <w:t xml:space="preserve"> the decision </w:t>
      </w:r>
      <w:r w:rsidR="00384F54" w:rsidRPr="00714FD8">
        <w:t xml:space="preserve">to send a child to a non-government school, </w:t>
      </w:r>
      <w:r>
        <w:t>are</w:t>
      </w:r>
      <w:r w:rsidR="00384F54" w:rsidRPr="00714FD8">
        <w:t xml:space="preserve"> typically </w:t>
      </w:r>
      <w:r w:rsidR="00EC6146">
        <w:t>made</w:t>
      </w:r>
      <w:r w:rsidR="00384F54" w:rsidRPr="00714FD8">
        <w:t xml:space="preserve"> several years in advance.</w:t>
      </w:r>
      <w:r w:rsidR="00EC6146">
        <w:t xml:space="preserve"> </w:t>
      </w:r>
      <w:r w:rsidR="00BF2ED7">
        <w:t xml:space="preserve">These decisions would </w:t>
      </w:r>
      <w:r w:rsidR="00A50B6E">
        <w:t xml:space="preserve">generally </w:t>
      </w:r>
      <w:r w:rsidR="00BF2ED7">
        <w:t xml:space="preserve">consider future financial commitments, including expectations of school fee requirements. </w:t>
      </w:r>
      <w:r>
        <w:t xml:space="preserve">For this, and the issues identified above, the following analysis includes housing wealth as part of household wealth. </w:t>
      </w:r>
    </w:p>
    <w:p w14:paraId="1F5107C5" w14:textId="77777777" w:rsidR="008B5C87" w:rsidRDefault="008B5C87" w:rsidP="008B5C87">
      <w:pPr>
        <w:pStyle w:val="Heading2"/>
      </w:pPr>
      <w:bookmarkStart w:id="32" w:name="_Toc518377364"/>
      <w:r>
        <w:t>Data considerations</w:t>
      </w:r>
      <w:bookmarkEnd w:id="32"/>
    </w:p>
    <w:p w14:paraId="02A3D31B" w14:textId="03A0A92B" w:rsidR="00BF2ED7" w:rsidRDefault="00BF2ED7" w:rsidP="008B5C87">
      <w:pPr>
        <w:rPr>
          <w:noProof/>
        </w:rPr>
      </w:pPr>
      <w:r>
        <w:t>All analys</w:t>
      </w:r>
      <w:r w:rsidR="00A50B6E">
        <w:t>es</w:t>
      </w:r>
      <w:r>
        <w:t xml:space="preserve"> in section </w:t>
      </w:r>
      <w:r>
        <w:fldChar w:fldCharType="begin"/>
      </w:r>
      <w:r>
        <w:instrText xml:space="preserve"> REF _Ref518364421 \r \h </w:instrText>
      </w:r>
      <w:r>
        <w:fldChar w:fldCharType="separate"/>
      </w:r>
      <w:r w:rsidR="00092E14">
        <w:t>4</w:t>
      </w:r>
      <w:r>
        <w:fldChar w:fldCharType="end"/>
      </w:r>
      <w:r>
        <w:t xml:space="preserve"> makes use of </w:t>
      </w:r>
      <w:r w:rsidR="00F54B17">
        <w:t>the 2015-16 SIH microdata</w:t>
      </w:r>
      <w:r w:rsidR="00B12546">
        <w:t xml:space="preserve"> (ABS, 2017</w:t>
      </w:r>
      <w:r w:rsidR="00610211">
        <w:t>c</w:t>
      </w:r>
      <w:r w:rsidR="00B12546">
        <w:t>)</w:t>
      </w:r>
      <w:r>
        <w:rPr>
          <w:noProof/>
        </w:rPr>
        <w:t>.</w:t>
      </w:r>
      <w:r>
        <w:rPr>
          <w:rStyle w:val="FootnoteReference"/>
          <w:noProof/>
        </w:rPr>
        <w:footnoteReference w:id="6"/>
      </w:r>
      <w:r>
        <w:rPr>
          <w:noProof/>
        </w:rPr>
        <w:t xml:space="preserve"> This dataset comprises data on both measured wealth</w:t>
      </w:r>
      <w:r w:rsidR="00B12546">
        <w:rPr>
          <w:noProof/>
        </w:rPr>
        <w:t>,</w:t>
      </w:r>
      <w:r>
        <w:rPr>
          <w:noProof/>
        </w:rPr>
        <w:t xml:space="preserve"> alongside proxy wealth meaures (see </w:t>
      </w:r>
      <w:r>
        <w:rPr>
          <w:noProof/>
        </w:rPr>
        <w:fldChar w:fldCharType="begin"/>
      </w:r>
      <w:r>
        <w:rPr>
          <w:noProof/>
        </w:rPr>
        <w:instrText xml:space="preserve"> REF _Ref518364621 \h </w:instrText>
      </w:r>
      <w:r>
        <w:rPr>
          <w:noProof/>
        </w:rPr>
      </w:r>
      <w:r>
        <w:rPr>
          <w:noProof/>
        </w:rPr>
        <w:fldChar w:fldCharType="separate"/>
      </w:r>
      <w:r w:rsidR="00092E14">
        <w:t xml:space="preserve">Table </w:t>
      </w:r>
      <w:r w:rsidR="00092E14">
        <w:rPr>
          <w:noProof/>
        </w:rPr>
        <w:t>3</w:t>
      </w:r>
      <w:r w:rsidR="00092E14">
        <w:noBreakHyphen/>
      </w:r>
      <w:r w:rsidR="00092E14">
        <w:rPr>
          <w:noProof/>
        </w:rPr>
        <w:t>1</w:t>
      </w:r>
      <w:r>
        <w:rPr>
          <w:noProof/>
        </w:rPr>
        <w:fldChar w:fldCharType="end"/>
      </w:r>
      <w:r>
        <w:rPr>
          <w:noProof/>
        </w:rPr>
        <w:t>). The ABS Census also contains the proxy we</w:t>
      </w:r>
      <w:r w:rsidR="00F54B17">
        <w:rPr>
          <w:noProof/>
        </w:rPr>
        <w:t>alth measures within the SIH, as well as data on the number of cars operated by a household.</w:t>
      </w:r>
    </w:p>
    <w:p w14:paraId="61E671AC" w14:textId="427E06FF" w:rsidR="00AB50CA" w:rsidRDefault="00B6201B" w:rsidP="00B6201B">
      <w:pPr>
        <w:pStyle w:val="Caption"/>
      </w:pPr>
      <w:bookmarkStart w:id="33" w:name="_Ref518364621"/>
      <w:bookmarkStart w:id="34" w:name="_Toc518645971"/>
      <w:bookmarkEnd w:id="29"/>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3</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w:t>
      </w:r>
      <w:r w:rsidR="0081675E">
        <w:rPr>
          <w:noProof/>
        </w:rPr>
        <w:fldChar w:fldCharType="end"/>
      </w:r>
      <w:bookmarkEnd w:id="33"/>
      <w:r w:rsidR="00BF2ED7">
        <w:rPr>
          <w:noProof/>
        </w:rPr>
        <w:t>: Wea</w:t>
      </w:r>
      <w:r w:rsidR="00F97875">
        <w:rPr>
          <w:noProof/>
        </w:rPr>
        <w:t>l</w:t>
      </w:r>
      <w:r w:rsidR="00BF2ED7">
        <w:rPr>
          <w:noProof/>
        </w:rPr>
        <w:t>th data available in the Survey of Income and Housing and Census</w:t>
      </w:r>
      <w:bookmarkEnd w:id="34"/>
    </w:p>
    <w:tbl>
      <w:tblPr>
        <w:tblStyle w:val="TableGrid"/>
        <w:tblW w:w="0" w:type="auto"/>
        <w:tblLook w:val="04A0" w:firstRow="1" w:lastRow="0" w:firstColumn="1" w:lastColumn="0" w:noHBand="0" w:noVBand="1"/>
        <w:tblCaption w:val="Wealth data available in the Survey of Income and Housing and Census"/>
        <w:tblDescription w:val="This is a table that depicts measured wealth (net wealth) and proxy wealth measures (number of bedrooms, housing tenure type, dwelling structure and number of cars). Most of these are measured in the Survey of Income and Housing and the Census, however net wealth and number of cars are not measuredby the Census.&#10;"/>
      </w:tblPr>
      <w:tblGrid>
        <w:gridCol w:w="2127"/>
        <w:gridCol w:w="3118"/>
        <w:gridCol w:w="1891"/>
        <w:gridCol w:w="1891"/>
      </w:tblGrid>
      <w:tr w:rsidR="00B6201B" w14:paraId="32A02AC4" w14:textId="77777777" w:rsidTr="00CA20D1">
        <w:trPr>
          <w:cnfStyle w:val="100000000000" w:firstRow="1" w:lastRow="0" w:firstColumn="0" w:lastColumn="0" w:oddVBand="0" w:evenVBand="0" w:oddHBand="0" w:evenHBand="0" w:firstRowFirstColumn="0" w:firstRowLastColumn="0" w:lastRowFirstColumn="0" w:lastRowLastColumn="0"/>
          <w:tblHeader/>
        </w:trPr>
        <w:tc>
          <w:tcPr>
            <w:tcW w:w="2127" w:type="dxa"/>
            <w:vAlign w:val="top"/>
          </w:tcPr>
          <w:p w14:paraId="60A3BC89" w14:textId="77777777" w:rsidR="00B6201B" w:rsidRPr="00970B69" w:rsidRDefault="00B6201B" w:rsidP="00B6201B">
            <w:pPr>
              <w:pStyle w:val="Tablegridheading"/>
            </w:pPr>
            <w:r w:rsidRPr="00970B69">
              <w:t>Variable</w:t>
            </w:r>
          </w:p>
        </w:tc>
        <w:tc>
          <w:tcPr>
            <w:tcW w:w="3118" w:type="dxa"/>
            <w:vAlign w:val="top"/>
          </w:tcPr>
          <w:p w14:paraId="0484B794" w14:textId="77777777" w:rsidR="00B6201B" w:rsidRPr="002C38D2" w:rsidRDefault="00B6201B" w:rsidP="00B6201B">
            <w:pPr>
              <w:pStyle w:val="Tablegridheading"/>
            </w:pPr>
            <w:r w:rsidRPr="002C38D2">
              <w:t>Elements</w:t>
            </w:r>
          </w:p>
        </w:tc>
        <w:tc>
          <w:tcPr>
            <w:tcW w:w="1891" w:type="dxa"/>
            <w:vAlign w:val="top"/>
          </w:tcPr>
          <w:p w14:paraId="72835A24" w14:textId="77777777" w:rsidR="00B6201B" w:rsidRPr="002C38D2" w:rsidRDefault="00B6201B" w:rsidP="00B6201B">
            <w:pPr>
              <w:pStyle w:val="Tablegridheading"/>
            </w:pPr>
            <w:r w:rsidRPr="002C38D2">
              <w:t>Survey of Income and Housing</w:t>
            </w:r>
          </w:p>
        </w:tc>
        <w:tc>
          <w:tcPr>
            <w:tcW w:w="1891" w:type="dxa"/>
            <w:vAlign w:val="top"/>
          </w:tcPr>
          <w:p w14:paraId="34260BD1" w14:textId="77777777" w:rsidR="00B6201B" w:rsidRDefault="00B6201B" w:rsidP="00B6201B">
            <w:pPr>
              <w:pStyle w:val="Tablegridheading"/>
            </w:pPr>
            <w:r w:rsidRPr="002C38D2">
              <w:t>ABS Census</w:t>
            </w:r>
          </w:p>
        </w:tc>
      </w:tr>
      <w:tr w:rsidR="00B6201B" w14:paraId="1164D4C5" w14:textId="77777777" w:rsidTr="00716970">
        <w:tc>
          <w:tcPr>
            <w:tcW w:w="9027" w:type="dxa"/>
            <w:gridSpan w:val="4"/>
            <w:vAlign w:val="top"/>
          </w:tcPr>
          <w:p w14:paraId="459572E0" w14:textId="77777777" w:rsidR="00B6201B" w:rsidRPr="00AD539B" w:rsidRDefault="00B6201B" w:rsidP="00BF2ED7">
            <w:pPr>
              <w:pStyle w:val="Tablegridheading2"/>
            </w:pPr>
            <w:r w:rsidRPr="00970B69">
              <w:t>Measured wealth</w:t>
            </w:r>
          </w:p>
        </w:tc>
      </w:tr>
      <w:tr w:rsidR="00B6201B" w14:paraId="2C5C1499" w14:textId="77777777" w:rsidTr="00716970">
        <w:tc>
          <w:tcPr>
            <w:tcW w:w="2127" w:type="dxa"/>
            <w:vAlign w:val="top"/>
          </w:tcPr>
          <w:p w14:paraId="6443316D" w14:textId="77777777" w:rsidR="00B6201B" w:rsidRPr="00970B69" w:rsidRDefault="00BF2ED7" w:rsidP="004D4552">
            <w:pPr>
              <w:pStyle w:val="Tablegridtext"/>
              <w:jc w:val="left"/>
            </w:pPr>
            <w:r>
              <w:t>Net wealth</w:t>
            </w:r>
          </w:p>
        </w:tc>
        <w:tc>
          <w:tcPr>
            <w:tcW w:w="3118" w:type="dxa"/>
            <w:vAlign w:val="top"/>
          </w:tcPr>
          <w:p w14:paraId="00CC14B8" w14:textId="77777777" w:rsidR="00B6201B" w:rsidRPr="00AD539B" w:rsidRDefault="00B6201B" w:rsidP="004D4552">
            <w:pPr>
              <w:pStyle w:val="Tablegridtext"/>
              <w:jc w:val="left"/>
            </w:pPr>
            <w:r w:rsidRPr="00AD539B">
              <w:t>Financial assets (exclude superannuation)</w:t>
            </w:r>
          </w:p>
          <w:p w14:paraId="30437C76" w14:textId="77777777" w:rsidR="00B6201B" w:rsidRPr="00AD539B" w:rsidRDefault="00B6201B" w:rsidP="004D4552">
            <w:pPr>
              <w:pStyle w:val="Tablegridtext"/>
              <w:jc w:val="left"/>
            </w:pPr>
            <w:r w:rsidRPr="00AD539B">
              <w:t>Housing assets</w:t>
            </w:r>
          </w:p>
          <w:p w14:paraId="280A7564" w14:textId="77777777" w:rsidR="00B6201B" w:rsidRPr="00AD539B" w:rsidRDefault="00B6201B" w:rsidP="004D4552">
            <w:pPr>
              <w:pStyle w:val="Tablegridtext"/>
              <w:jc w:val="left"/>
            </w:pPr>
            <w:r w:rsidRPr="00AD539B">
              <w:t>Borrowings</w:t>
            </w:r>
          </w:p>
        </w:tc>
        <w:tc>
          <w:tcPr>
            <w:tcW w:w="1891" w:type="dxa"/>
          </w:tcPr>
          <w:p w14:paraId="344636FD" w14:textId="77777777" w:rsidR="00B6201B" w:rsidRPr="00AD539B" w:rsidRDefault="00B6201B" w:rsidP="00F97875">
            <w:pPr>
              <w:pStyle w:val="Tablegridtext"/>
              <w:jc w:val="center"/>
            </w:pPr>
            <w:r w:rsidRPr="00AD539B">
              <w:sym w:font="Wingdings" w:char="F0FC"/>
            </w:r>
          </w:p>
        </w:tc>
        <w:tc>
          <w:tcPr>
            <w:tcW w:w="1891" w:type="dxa"/>
          </w:tcPr>
          <w:p w14:paraId="04B845D8" w14:textId="77777777" w:rsidR="00B6201B" w:rsidRPr="00AD539B" w:rsidRDefault="00B6201B" w:rsidP="00F97875">
            <w:pPr>
              <w:pStyle w:val="Tablegridtext"/>
              <w:jc w:val="center"/>
            </w:pPr>
            <w:r w:rsidRPr="00AD539B">
              <w:sym w:font="Wingdings" w:char="F0FB"/>
            </w:r>
          </w:p>
        </w:tc>
      </w:tr>
      <w:tr w:rsidR="00B6201B" w14:paraId="7EDA70D1" w14:textId="77777777" w:rsidTr="00716970">
        <w:tc>
          <w:tcPr>
            <w:tcW w:w="9027" w:type="dxa"/>
            <w:gridSpan w:val="4"/>
            <w:vAlign w:val="top"/>
          </w:tcPr>
          <w:p w14:paraId="638EF85A" w14:textId="77777777" w:rsidR="00B6201B" w:rsidRPr="00AD539B" w:rsidRDefault="00B6201B" w:rsidP="00BF2ED7">
            <w:pPr>
              <w:pStyle w:val="Tablegridheading2"/>
            </w:pPr>
            <w:r w:rsidRPr="00970B69">
              <w:t>Proxy wealth measures</w:t>
            </w:r>
          </w:p>
        </w:tc>
      </w:tr>
      <w:tr w:rsidR="00B6201B" w14:paraId="445BD305" w14:textId="77777777" w:rsidTr="00716970">
        <w:tc>
          <w:tcPr>
            <w:tcW w:w="2127" w:type="dxa"/>
            <w:vAlign w:val="top"/>
          </w:tcPr>
          <w:p w14:paraId="1D26FB76" w14:textId="77777777" w:rsidR="00B6201B" w:rsidRPr="00970B69" w:rsidRDefault="00B6201B" w:rsidP="00B6201B">
            <w:pPr>
              <w:pStyle w:val="Tablegridtext"/>
            </w:pPr>
            <w:r w:rsidRPr="00970B69">
              <w:t>Number of bedrooms</w:t>
            </w:r>
          </w:p>
        </w:tc>
        <w:tc>
          <w:tcPr>
            <w:tcW w:w="3118" w:type="dxa"/>
            <w:vAlign w:val="top"/>
          </w:tcPr>
          <w:p w14:paraId="7B89A951" w14:textId="77777777" w:rsidR="00B6201B" w:rsidRPr="00AD539B" w:rsidRDefault="00B6201B" w:rsidP="00B6201B">
            <w:pPr>
              <w:pStyle w:val="Tablegridtext"/>
            </w:pPr>
            <w:r w:rsidRPr="00AD539B">
              <w:t>None through to 6 or more</w:t>
            </w:r>
          </w:p>
        </w:tc>
        <w:tc>
          <w:tcPr>
            <w:tcW w:w="1891" w:type="dxa"/>
          </w:tcPr>
          <w:p w14:paraId="6B318541" w14:textId="77777777" w:rsidR="00B6201B" w:rsidRPr="00AD539B" w:rsidRDefault="00B6201B" w:rsidP="00F97875">
            <w:pPr>
              <w:pStyle w:val="Tablegridtext"/>
              <w:jc w:val="center"/>
            </w:pPr>
            <w:r w:rsidRPr="00AD539B">
              <w:rPr>
                <w:rFonts w:eastAsiaTheme="minorEastAsia"/>
              </w:rPr>
              <w:sym w:font="Wingdings" w:char="F0FC"/>
            </w:r>
          </w:p>
        </w:tc>
        <w:tc>
          <w:tcPr>
            <w:tcW w:w="1891" w:type="dxa"/>
          </w:tcPr>
          <w:p w14:paraId="65D20021" w14:textId="77777777" w:rsidR="00B6201B" w:rsidRPr="00AD539B" w:rsidRDefault="00B6201B" w:rsidP="00F97875">
            <w:pPr>
              <w:pStyle w:val="Tablegridtext"/>
              <w:jc w:val="center"/>
            </w:pPr>
            <w:r w:rsidRPr="00AD539B">
              <w:rPr>
                <w:rFonts w:eastAsiaTheme="minorEastAsia"/>
              </w:rPr>
              <w:sym w:font="Wingdings" w:char="F0FC"/>
            </w:r>
          </w:p>
        </w:tc>
      </w:tr>
      <w:tr w:rsidR="00B6201B" w14:paraId="0B4B0159" w14:textId="77777777" w:rsidTr="00716970">
        <w:tc>
          <w:tcPr>
            <w:tcW w:w="2127" w:type="dxa"/>
            <w:vAlign w:val="top"/>
          </w:tcPr>
          <w:p w14:paraId="11BB4946" w14:textId="77777777" w:rsidR="00B6201B" w:rsidRPr="00970B69" w:rsidRDefault="00B6201B" w:rsidP="00BF2ED7">
            <w:pPr>
              <w:pStyle w:val="Tablegridtext"/>
            </w:pPr>
            <w:r w:rsidRPr="00970B69">
              <w:t>Housing tenure type</w:t>
            </w:r>
          </w:p>
        </w:tc>
        <w:tc>
          <w:tcPr>
            <w:tcW w:w="3118" w:type="dxa"/>
            <w:vAlign w:val="top"/>
          </w:tcPr>
          <w:p w14:paraId="58F6CFD4" w14:textId="77777777" w:rsidR="00B6201B" w:rsidRPr="00AD539B" w:rsidRDefault="00B6201B" w:rsidP="00BF2ED7">
            <w:pPr>
              <w:pStyle w:val="Tablegridtext"/>
            </w:pPr>
            <w:r w:rsidRPr="00AD539B">
              <w:t>Owner without a mortgage</w:t>
            </w:r>
          </w:p>
          <w:p w14:paraId="0F8FEA36" w14:textId="77777777" w:rsidR="00B6201B" w:rsidRPr="00AD539B" w:rsidRDefault="00B6201B" w:rsidP="00BF2ED7">
            <w:pPr>
              <w:pStyle w:val="Tablegridtext"/>
            </w:pPr>
            <w:r w:rsidRPr="00AD539B">
              <w:t>Owner with mortgage</w:t>
            </w:r>
          </w:p>
          <w:p w14:paraId="1F18C634" w14:textId="77777777" w:rsidR="00B6201B" w:rsidRPr="00AD539B" w:rsidRDefault="00B6201B" w:rsidP="00BF2ED7">
            <w:pPr>
              <w:pStyle w:val="Tablegridtext"/>
            </w:pPr>
            <w:r w:rsidRPr="00AD539B">
              <w:t>Renter</w:t>
            </w:r>
          </w:p>
          <w:p w14:paraId="14786F4B" w14:textId="77777777" w:rsidR="00B6201B" w:rsidRPr="00AD539B" w:rsidRDefault="00B6201B" w:rsidP="00BF2ED7">
            <w:pPr>
              <w:pStyle w:val="Tablegridtext"/>
            </w:pPr>
            <w:r w:rsidRPr="00AD539B">
              <w:t>Other</w:t>
            </w:r>
          </w:p>
        </w:tc>
        <w:tc>
          <w:tcPr>
            <w:tcW w:w="1891" w:type="dxa"/>
          </w:tcPr>
          <w:p w14:paraId="6B523EC6" w14:textId="77777777" w:rsidR="00B6201B" w:rsidRPr="00AD539B" w:rsidRDefault="00B6201B" w:rsidP="00F97875">
            <w:pPr>
              <w:pStyle w:val="Tablegridtext"/>
              <w:jc w:val="center"/>
            </w:pPr>
            <w:r w:rsidRPr="00AD539B">
              <w:rPr>
                <w:rFonts w:eastAsiaTheme="minorEastAsia"/>
              </w:rPr>
              <w:sym w:font="Wingdings" w:char="F0FC"/>
            </w:r>
          </w:p>
        </w:tc>
        <w:tc>
          <w:tcPr>
            <w:tcW w:w="1891" w:type="dxa"/>
          </w:tcPr>
          <w:p w14:paraId="4D3F2A6A" w14:textId="77777777" w:rsidR="00B6201B" w:rsidRPr="00AD539B" w:rsidRDefault="00B6201B" w:rsidP="00F97875">
            <w:pPr>
              <w:pStyle w:val="Tablegridtext"/>
              <w:jc w:val="center"/>
            </w:pPr>
            <w:r w:rsidRPr="00AD539B">
              <w:rPr>
                <w:rFonts w:eastAsiaTheme="minorEastAsia"/>
              </w:rPr>
              <w:sym w:font="Wingdings" w:char="F0FC"/>
            </w:r>
          </w:p>
        </w:tc>
      </w:tr>
      <w:tr w:rsidR="00B6201B" w14:paraId="54910A83" w14:textId="77777777" w:rsidTr="00716970">
        <w:tc>
          <w:tcPr>
            <w:tcW w:w="2127" w:type="dxa"/>
            <w:vAlign w:val="top"/>
          </w:tcPr>
          <w:p w14:paraId="577F68D4" w14:textId="77777777" w:rsidR="00B6201B" w:rsidRPr="00970B69" w:rsidRDefault="00B6201B" w:rsidP="00BF2ED7">
            <w:pPr>
              <w:pStyle w:val="Tablegridtext"/>
            </w:pPr>
            <w:r w:rsidRPr="00970B69">
              <w:t>Dwelling structure</w:t>
            </w:r>
          </w:p>
        </w:tc>
        <w:tc>
          <w:tcPr>
            <w:tcW w:w="3118" w:type="dxa"/>
            <w:vAlign w:val="top"/>
          </w:tcPr>
          <w:p w14:paraId="4DE58161" w14:textId="77777777" w:rsidR="00B6201B" w:rsidRPr="00AD539B" w:rsidRDefault="00B6201B" w:rsidP="00BF2ED7">
            <w:pPr>
              <w:pStyle w:val="Tablegridtext"/>
            </w:pPr>
            <w:r w:rsidRPr="00AD539B">
              <w:t>Separate house</w:t>
            </w:r>
          </w:p>
          <w:p w14:paraId="78A14372" w14:textId="77777777" w:rsidR="00B6201B" w:rsidRPr="00AD539B" w:rsidRDefault="00B6201B" w:rsidP="00BF2ED7">
            <w:pPr>
              <w:pStyle w:val="Tablegridtext"/>
            </w:pPr>
            <w:r w:rsidRPr="00AD539B">
              <w:t>Semi-detached, row or terrace house, townhouse</w:t>
            </w:r>
          </w:p>
          <w:p w14:paraId="5DA56B1E" w14:textId="77777777" w:rsidR="00B6201B" w:rsidRPr="00AD539B" w:rsidRDefault="00B6201B" w:rsidP="00BF2ED7">
            <w:pPr>
              <w:pStyle w:val="Tablegridtext"/>
            </w:pPr>
            <w:r w:rsidRPr="00AD539B">
              <w:t>Flat/unit or apartment</w:t>
            </w:r>
          </w:p>
          <w:p w14:paraId="2E0B3DBC" w14:textId="77777777" w:rsidR="00B6201B" w:rsidRPr="00AD539B" w:rsidRDefault="00B6201B" w:rsidP="00BF2ED7">
            <w:pPr>
              <w:pStyle w:val="Tablegridtext"/>
            </w:pPr>
            <w:r w:rsidRPr="00AD539B">
              <w:t>Caravan, houseboat etc</w:t>
            </w:r>
          </w:p>
        </w:tc>
        <w:tc>
          <w:tcPr>
            <w:tcW w:w="1891" w:type="dxa"/>
          </w:tcPr>
          <w:p w14:paraId="004C14FD" w14:textId="77777777" w:rsidR="00B6201B" w:rsidRPr="00AD539B" w:rsidRDefault="00B6201B" w:rsidP="00F97875">
            <w:pPr>
              <w:pStyle w:val="Tablegridtext"/>
              <w:jc w:val="center"/>
            </w:pPr>
            <w:r w:rsidRPr="00AD539B">
              <w:rPr>
                <w:rFonts w:eastAsiaTheme="minorEastAsia"/>
              </w:rPr>
              <w:sym w:font="Wingdings" w:char="F0FC"/>
            </w:r>
          </w:p>
        </w:tc>
        <w:tc>
          <w:tcPr>
            <w:tcW w:w="1891" w:type="dxa"/>
          </w:tcPr>
          <w:p w14:paraId="01CDF087" w14:textId="27423A74" w:rsidR="00B6201B" w:rsidRPr="00AD539B" w:rsidRDefault="00B6201B" w:rsidP="00F97875">
            <w:pPr>
              <w:pStyle w:val="Tablegridtext"/>
              <w:jc w:val="center"/>
            </w:pPr>
            <w:r w:rsidRPr="00AD539B">
              <w:rPr>
                <w:rFonts w:eastAsiaTheme="minorEastAsia"/>
              </w:rPr>
              <w:sym w:font="Wingdings" w:char="F0FC"/>
            </w:r>
          </w:p>
        </w:tc>
      </w:tr>
      <w:tr w:rsidR="00B6201B" w14:paraId="6CE9B9C9" w14:textId="77777777" w:rsidTr="00716970">
        <w:tc>
          <w:tcPr>
            <w:tcW w:w="2127" w:type="dxa"/>
            <w:vAlign w:val="top"/>
          </w:tcPr>
          <w:p w14:paraId="5B4D36E4" w14:textId="77777777" w:rsidR="00B6201B" w:rsidRDefault="00B6201B" w:rsidP="00BF2ED7">
            <w:pPr>
              <w:pStyle w:val="Tablegridtext"/>
            </w:pPr>
            <w:r w:rsidRPr="00970B69">
              <w:t>Number of cars</w:t>
            </w:r>
          </w:p>
        </w:tc>
        <w:tc>
          <w:tcPr>
            <w:tcW w:w="3118" w:type="dxa"/>
            <w:vAlign w:val="top"/>
          </w:tcPr>
          <w:p w14:paraId="3C3FB7A6" w14:textId="77777777" w:rsidR="00B6201B" w:rsidRPr="00AD539B" w:rsidRDefault="00BF2ED7" w:rsidP="00BF2ED7">
            <w:pPr>
              <w:pStyle w:val="Tablegridtext"/>
            </w:pPr>
            <w:r>
              <w:t>Number of cars</w:t>
            </w:r>
          </w:p>
        </w:tc>
        <w:tc>
          <w:tcPr>
            <w:tcW w:w="1891" w:type="dxa"/>
          </w:tcPr>
          <w:p w14:paraId="73752794" w14:textId="77777777" w:rsidR="00B6201B" w:rsidRPr="00AD539B" w:rsidRDefault="00B6201B" w:rsidP="00F97875">
            <w:pPr>
              <w:pStyle w:val="Tablegridtext"/>
              <w:jc w:val="center"/>
            </w:pPr>
            <w:r w:rsidRPr="00AD539B">
              <w:sym w:font="Wingdings" w:char="F0FC"/>
            </w:r>
          </w:p>
        </w:tc>
        <w:tc>
          <w:tcPr>
            <w:tcW w:w="1891" w:type="dxa"/>
          </w:tcPr>
          <w:p w14:paraId="707C5585" w14:textId="77777777" w:rsidR="00B6201B" w:rsidRPr="00AD539B" w:rsidRDefault="00B6201B" w:rsidP="00F97875">
            <w:pPr>
              <w:pStyle w:val="Tablegridtext"/>
              <w:jc w:val="center"/>
            </w:pPr>
            <w:r w:rsidRPr="00AD539B">
              <w:sym w:font="Wingdings" w:char="F0FB"/>
            </w:r>
          </w:p>
        </w:tc>
      </w:tr>
    </w:tbl>
    <w:p w14:paraId="5D895891" w14:textId="6010001F" w:rsidR="00AA7325" w:rsidRDefault="00F97875" w:rsidP="00F97875">
      <w:pPr>
        <w:pStyle w:val="Datasource"/>
        <w:rPr>
          <w:noProof/>
        </w:rPr>
      </w:pPr>
      <w:r>
        <w:rPr>
          <w:noProof/>
        </w:rPr>
        <w:t xml:space="preserve">Source: </w:t>
      </w:r>
      <w:r w:rsidR="004D4552">
        <w:rPr>
          <w:noProof/>
        </w:rPr>
        <w:t>ABS (2016, 2017</w:t>
      </w:r>
      <w:r w:rsidR="00CD3851">
        <w:rPr>
          <w:noProof/>
        </w:rPr>
        <w:t>c)</w:t>
      </w:r>
      <w:r w:rsidR="004D4552">
        <w:rPr>
          <w:noProof/>
        </w:rPr>
        <w:t>.</w:t>
      </w:r>
    </w:p>
    <w:p w14:paraId="791798F3" w14:textId="1F935EF3" w:rsidR="00AA7325" w:rsidRDefault="00F97875" w:rsidP="00AA7325">
      <w:pPr>
        <w:rPr>
          <w:noProof/>
        </w:rPr>
      </w:pPr>
      <w:r>
        <w:rPr>
          <w:noProof/>
        </w:rPr>
        <w:t xml:space="preserve">The </w:t>
      </w:r>
      <w:r w:rsidR="00AA7325">
        <w:rPr>
          <w:noProof/>
        </w:rPr>
        <w:t xml:space="preserve">SIH also contains data on highest educational attainment, occupation and household income. The highest educational attainment within a household is used, with </w:t>
      </w:r>
      <w:r w:rsidR="005155A9">
        <w:rPr>
          <w:noProof/>
        </w:rPr>
        <w:t>seven levels specified</w:t>
      </w:r>
      <w:r w:rsidR="00AA7325">
        <w:rPr>
          <w:noProof/>
        </w:rPr>
        <w:t>.</w:t>
      </w:r>
    </w:p>
    <w:p w14:paraId="1953A029" w14:textId="5F73E9B7" w:rsidR="005155A9" w:rsidRDefault="00021BED" w:rsidP="00AA7325">
      <w:r>
        <w:rPr>
          <w:noProof/>
        </w:rPr>
        <w:t>In order that</w:t>
      </w:r>
      <w:r w:rsidR="00E63F55">
        <w:rPr>
          <w:noProof/>
        </w:rPr>
        <w:t xml:space="preserve"> </w:t>
      </w:r>
      <w:r w:rsidR="00AA7325">
        <w:rPr>
          <w:noProof/>
        </w:rPr>
        <w:t xml:space="preserve">occupation can be used as a categorical variable, the skill levels 1 to 5 attached to occupations </w:t>
      </w:r>
      <w:r w:rsidR="00F97875">
        <w:rPr>
          <w:noProof/>
        </w:rPr>
        <w:t>are</w:t>
      </w:r>
      <w:r w:rsidR="00AA7325">
        <w:rPr>
          <w:noProof/>
        </w:rPr>
        <w:t xml:space="preserve"> used</w:t>
      </w:r>
      <w:r>
        <w:rPr>
          <w:noProof/>
        </w:rPr>
        <w:t xml:space="preserve"> (ABS, 2005)</w:t>
      </w:r>
      <w:r w:rsidR="00AA7325">
        <w:rPr>
          <w:noProof/>
        </w:rPr>
        <w:t>.</w:t>
      </w:r>
      <w:r w:rsidR="00AA7325">
        <w:rPr>
          <w:rStyle w:val="FootnoteReference"/>
          <w:noProof/>
        </w:rPr>
        <w:footnoteReference w:id="7"/>
      </w:r>
      <w:r w:rsidR="00AA7325">
        <w:rPr>
          <w:noProof/>
        </w:rPr>
        <w:t xml:space="preserve"> Finally, </w:t>
      </w:r>
      <w:r w:rsidR="00AA7325" w:rsidRPr="00514659">
        <w:rPr>
          <w:noProof/>
        </w:rPr>
        <w:t xml:space="preserve">equivalised </w:t>
      </w:r>
      <w:r w:rsidR="00AA7325">
        <w:rPr>
          <w:noProof/>
        </w:rPr>
        <w:t xml:space="preserve">total </w:t>
      </w:r>
      <w:r w:rsidR="00AA7325" w:rsidRPr="00514659">
        <w:rPr>
          <w:noProof/>
        </w:rPr>
        <w:t>household income</w:t>
      </w:r>
      <w:r w:rsidR="00AA7325">
        <w:rPr>
          <w:noProof/>
        </w:rPr>
        <w:t xml:space="preserve"> is used, which adjusts household income to reflect household composition.</w:t>
      </w:r>
      <w:r w:rsidR="00AA7325">
        <w:rPr>
          <w:rStyle w:val="FootnoteReference"/>
          <w:noProof/>
        </w:rPr>
        <w:footnoteReference w:id="8"/>
      </w:r>
      <w:r w:rsidR="00AA7325">
        <w:rPr>
          <w:noProof/>
        </w:rPr>
        <w:t xml:space="preserve"> </w:t>
      </w:r>
      <w:r w:rsidR="005155A9">
        <w:rPr>
          <w:noProof/>
        </w:rPr>
        <w:t xml:space="preserve">Net wealth and equivalised total household income are used as continuous variables. </w:t>
      </w:r>
    </w:p>
    <w:p w14:paraId="3833FE5E" w14:textId="77777777" w:rsidR="008B5C87" w:rsidRDefault="00BF2ED7" w:rsidP="00BF2ED7">
      <w:pPr>
        <w:pStyle w:val="Heading2"/>
      </w:pPr>
      <w:bookmarkStart w:id="35" w:name="_Toc518377365"/>
      <w:r>
        <w:t>Analysis method</w:t>
      </w:r>
      <w:bookmarkEnd w:id="35"/>
    </w:p>
    <w:p w14:paraId="3DB21BD7" w14:textId="7C12C85B" w:rsidR="00F54B17" w:rsidRDefault="00F54B17" w:rsidP="00F54B17">
      <w:pPr>
        <w:spacing w:after="0"/>
      </w:pPr>
      <w:r>
        <w:t xml:space="preserve">In section </w:t>
      </w:r>
      <w:r>
        <w:fldChar w:fldCharType="begin"/>
      </w:r>
      <w:r>
        <w:instrText xml:space="preserve"> REF _Ref518364421 \r \h </w:instrText>
      </w:r>
      <w:r>
        <w:fldChar w:fldCharType="separate"/>
      </w:r>
      <w:r w:rsidR="00092E14">
        <w:t>4</w:t>
      </w:r>
      <w:r>
        <w:fldChar w:fldCharType="end"/>
      </w:r>
      <w:r>
        <w:t xml:space="preserve"> three different CTC scores are estimated and compared:</w:t>
      </w:r>
    </w:p>
    <w:p w14:paraId="74E2C9B7" w14:textId="4B3135D5" w:rsidR="00F54B17" w:rsidRPr="00514659" w:rsidRDefault="00F54B17" w:rsidP="00F54B17">
      <w:pPr>
        <w:pStyle w:val="Dotpoints"/>
        <w:rPr>
          <w:noProof/>
        </w:rPr>
      </w:pPr>
      <w:r>
        <w:rPr>
          <w:noProof/>
        </w:rPr>
        <w:t>CTC score excluding wealth</w:t>
      </w:r>
    </w:p>
    <w:p w14:paraId="3B615DAD" w14:textId="49FA8CAF" w:rsidR="00F54B17" w:rsidRDefault="00F54B17" w:rsidP="00F54B17">
      <w:pPr>
        <w:pStyle w:val="Dotpoints"/>
        <w:rPr>
          <w:noProof/>
        </w:rPr>
      </w:pPr>
      <w:r>
        <w:rPr>
          <w:noProof/>
        </w:rPr>
        <w:t>CTC score including reported wealth</w:t>
      </w:r>
    </w:p>
    <w:p w14:paraId="21539AC7" w14:textId="2BF3E872" w:rsidR="00F54B17" w:rsidRPr="00514659" w:rsidRDefault="00F54B17" w:rsidP="00F54B17">
      <w:pPr>
        <w:pStyle w:val="Dotpoints"/>
        <w:rPr>
          <w:noProof/>
        </w:rPr>
      </w:pPr>
      <w:r>
        <w:rPr>
          <w:noProof/>
        </w:rPr>
        <w:t xml:space="preserve">CTC score including proxy wealth. </w:t>
      </w:r>
    </w:p>
    <w:p w14:paraId="1F659179" w14:textId="44EC45A6" w:rsidR="00BF2ED7" w:rsidRDefault="00F54B17" w:rsidP="00BF2ED7">
      <w:r>
        <w:t xml:space="preserve">The estimation of each of these scores </w:t>
      </w:r>
      <w:r w:rsidR="00BF2ED7" w:rsidRPr="008B5C87">
        <w:t>uses Principal Component Analysis (PCA)</w:t>
      </w:r>
      <w:sdt>
        <w:sdtPr>
          <w:id w:val="-273948794"/>
          <w:citation/>
        </w:sdtPr>
        <w:sdtEndPr/>
        <w:sdtContent>
          <w:r>
            <w:fldChar w:fldCharType="begin"/>
          </w:r>
          <w:r>
            <w:instrText xml:space="preserve"> CITATION Dun89 \l 3081 </w:instrText>
          </w:r>
          <w:r>
            <w:fldChar w:fldCharType="separate"/>
          </w:r>
          <w:r w:rsidR="00092E14">
            <w:rPr>
              <w:noProof/>
            </w:rPr>
            <w:t xml:space="preserve"> (Dunteman, 1989)</w:t>
          </w:r>
          <w:r>
            <w:fldChar w:fldCharType="end"/>
          </w:r>
        </w:sdtContent>
      </w:sdt>
      <w:r w:rsidR="00BF2ED7" w:rsidRPr="008B5C87">
        <w:t>. This is the statistical technique currently used to estimate the SES score</w:t>
      </w:r>
      <w:r>
        <w:t xml:space="preserve"> </w:t>
      </w:r>
      <w:sdt>
        <w:sdtPr>
          <w:id w:val="1149868804"/>
          <w:citation/>
        </w:sdtPr>
        <w:sdtEndPr/>
        <w:sdtContent>
          <w:r>
            <w:fldChar w:fldCharType="begin"/>
          </w:r>
          <w:r w:rsidR="00CC6234">
            <w:instrText xml:space="preserve">CITATION Far13 \t  \l 3081 </w:instrText>
          </w:r>
          <w:r>
            <w:fldChar w:fldCharType="separate"/>
          </w:r>
          <w:r w:rsidR="00092E14">
            <w:rPr>
              <w:noProof/>
            </w:rPr>
            <w:t>(Farish, 2013)</w:t>
          </w:r>
          <w:r>
            <w:fldChar w:fldCharType="end"/>
          </w:r>
        </w:sdtContent>
      </w:sdt>
      <w:r w:rsidR="00BF2ED7" w:rsidRPr="008B5C87">
        <w:t xml:space="preserve">. </w:t>
      </w:r>
    </w:p>
    <w:p w14:paraId="168A85E2" w14:textId="2F6FA023" w:rsidR="00BF2ED7" w:rsidRDefault="00F54B17" w:rsidP="00BF2ED7">
      <w:r>
        <w:t xml:space="preserve">The key difference </w:t>
      </w:r>
      <w:r w:rsidR="00CC6234">
        <w:t xml:space="preserve">from the current SES score estimation </w:t>
      </w:r>
      <w:r>
        <w:t xml:space="preserve">in the following analysis is </w:t>
      </w:r>
      <w:r w:rsidR="00CC6234">
        <w:t>the use of</w:t>
      </w:r>
      <w:r>
        <w:t xml:space="preserve"> household level data, in place of </w:t>
      </w:r>
      <w:r w:rsidR="004D4552" w:rsidRPr="004D4552">
        <w:t>Statistical Areas Level 1</w:t>
      </w:r>
      <w:r w:rsidR="004D4552">
        <w:t xml:space="preserve"> (</w:t>
      </w:r>
      <w:r>
        <w:t>SA1</w:t>
      </w:r>
      <w:r w:rsidR="004D4552">
        <w:t>)</w:t>
      </w:r>
      <w:r>
        <w:t xml:space="preserve"> level data. As </w:t>
      </w:r>
      <w:r w:rsidR="00BF2ED7" w:rsidRPr="008B5C87">
        <w:t>analysis is at the household level, a combination of binary, categorical and continuous variables are used</w:t>
      </w:r>
      <w:r>
        <w:t xml:space="preserve">, differing to the area-level proportions used in the current SES score estimation. </w:t>
      </w:r>
    </w:p>
    <w:p w14:paraId="5B3EE80C" w14:textId="427B618E" w:rsidR="00F54B17" w:rsidRPr="008B5C87" w:rsidRDefault="00F54B17" w:rsidP="00F54B17">
      <w:r w:rsidRPr="008B5C87">
        <w:t xml:space="preserve">The use of </w:t>
      </w:r>
      <w:r w:rsidR="00CC6234" w:rsidRPr="008B5C87">
        <w:t>binary</w:t>
      </w:r>
      <w:r w:rsidR="00CC6234">
        <w:t xml:space="preserve"> and</w:t>
      </w:r>
      <w:r w:rsidR="00CC6234" w:rsidRPr="008B5C87">
        <w:t xml:space="preserve"> categorical</w:t>
      </w:r>
      <w:r w:rsidRPr="008B5C87">
        <w:t xml:space="preserve"> variables means that</w:t>
      </w:r>
      <w:r w:rsidR="007873A9">
        <w:t xml:space="preserve"> a</w:t>
      </w:r>
      <w:r w:rsidRPr="008B5C87">
        <w:t xml:space="preserve"> ‘standard’ PCA cannot be applied. </w:t>
      </w:r>
      <w:r>
        <w:t>Rather</w:t>
      </w:r>
      <w:r w:rsidR="007873A9">
        <w:t>,</w:t>
      </w:r>
      <w:r>
        <w:t xml:space="preserve"> </w:t>
      </w:r>
      <w:r w:rsidR="00D670E4">
        <w:t xml:space="preserve">specialised PCA techniques suitable for the binary and categorical structure of </w:t>
      </w:r>
      <w:r w:rsidR="00CC6234">
        <w:t>the SIH</w:t>
      </w:r>
      <w:r w:rsidR="00D670E4">
        <w:t xml:space="preserve"> data</w:t>
      </w:r>
      <w:r w:rsidR="004D4552">
        <w:t xml:space="preserve"> are used</w:t>
      </w:r>
      <w:r w:rsidR="00D670E4">
        <w:t xml:space="preserve"> </w:t>
      </w:r>
      <w:sdt>
        <w:sdtPr>
          <w:id w:val="1620100156"/>
          <w:citation/>
        </w:sdtPr>
        <w:sdtEndPr/>
        <w:sdtContent>
          <w:r w:rsidR="00D670E4">
            <w:fldChar w:fldCharType="begin"/>
          </w:r>
          <w:r w:rsidR="00D670E4">
            <w:instrText xml:space="preserve"> CITATION Kol09 \l 3081 </w:instrText>
          </w:r>
          <w:r w:rsidR="00D670E4">
            <w:fldChar w:fldCharType="separate"/>
          </w:r>
          <w:r w:rsidR="00092E14">
            <w:rPr>
              <w:noProof/>
            </w:rPr>
            <w:t>(Kolenikov &amp; Angeles, 2009)</w:t>
          </w:r>
          <w:r w:rsidR="00D670E4">
            <w:fldChar w:fldCharType="end"/>
          </w:r>
        </w:sdtContent>
      </w:sdt>
      <w:r w:rsidR="00D670E4">
        <w:t>.</w:t>
      </w:r>
      <w:r w:rsidR="00D93A3A">
        <w:rPr>
          <w:rStyle w:val="FootnoteReference"/>
        </w:rPr>
        <w:footnoteReference w:id="9"/>
      </w:r>
    </w:p>
    <w:p w14:paraId="1758F000" w14:textId="77777777" w:rsidR="00BF2ED7" w:rsidRPr="008B5C87" w:rsidRDefault="00BF2ED7" w:rsidP="00BF2ED7">
      <w:r w:rsidRPr="008B5C87">
        <w:t xml:space="preserve">Household weights provided by the ABS are used for all analysis. </w:t>
      </w:r>
      <w:r w:rsidR="005155A9">
        <w:t xml:space="preserve">The sample comprises </w:t>
      </w:r>
      <w:r w:rsidRPr="008B5C87">
        <w:t xml:space="preserve">1,349 households with children attending either Catholic or Independent schools, representing 786,000 households. </w:t>
      </w:r>
    </w:p>
    <w:p w14:paraId="49FBE918" w14:textId="0FDF13F5" w:rsidR="00727B13" w:rsidRDefault="00727B13" w:rsidP="00727B13">
      <w:pPr>
        <w:pStyle w:val="Heading1"/>
      </w:pPr>
      <w:bookmarkStart w:id="36" w:name="_Ref517945965"/>
      <w:bookmarkStart w:id="37" w:name="_Ref517966754"/>
      <w:bookmarkStart w:id="38" w:name="_Ref518364421"/>
      <w:bookmarkStart w:id="39" w:name="_Toc518377366"/>
      <w:r w:rsidRPr="00301F6F">
        <w:t xml:space="preserve">Estimating </w:t>
      </w:r>
      <w:bookmarkEnd w:id="36"/>
      <w:bookmarkEnd w:id="37"/>
      <w:bookmarkEnd w:id="38"/>
      <w:r w:rsidR="00FD5C7C">
        <w:t xml:space="preserve">CTC scores </w:t>
      </w:r>
      <w:r w:rsidR="00454BD4">
        <w:t xml:space="preserve">including </w:t>
      </w:r>
      <w:r w:rsidR="00FD5C7C">
        <w:t>wealth</w:t>
      </w:r>
      <w:bookmarkEnd w:id="39"/>
    </w:p>
    <w:p w14:paraId="602A274B" w14:textId="77777777" w:rsidR="0064506B" w:rsidRDefault="00491191" w:rsidP="00491191">
      <w:r>
        <w:t>This section details the estimat</w:t>
      </w:r>
      <w:r w:rsidR="00DF264D">
        <w:t xml:space="preserve">ion of </w:t>
      </w:r>
      <w:r w:rsidR="00FD5C7C">
        <w:t xml:space="preserve">three </w:t>
      </w:r>
      <w:r w:rsidR="0064506B">
        <w:t>CTC scores</w:t>
      </w:r>
      <w:r w:rsidR="00FD5C7C">
        <w:t xml:space="preserve">. The first comprises a score using data on the highest education, highest occupation (i.e. skill level) and equivalised total household income. This score is used as a comparator for the scores estimated using wealth information. </w:t>
      </w:r>
    </w:p>
    <w:p w14:paraId="4C323F76" w14:textId="4D46AF7A" w:rsidR="00FD5C7C" w:rsidRDefault="00FD5C7C" w:rsidP="00491191">
      <w:r>
        <w:t xml:space="preserve">The second CTC score uses the same variables as the first, with the addition of net wealth. </w:t>
      </w:r>
      <w:r w:rsidR="00CC6234">
        <w:t>T</w:t>
      </w:r>
      <w:r>
        <w:t>he third score incorporate</w:t>
      </w:r>
      <w:r w:rsidR="00CC6234">
        <w:t>s</w:t>
      </w:r>
      <w:r>
        <w:t xml:space="preserve"> a proxy measure of wealth. </w:t>
      </w:r>
    </w:p>
    <w:p w14:paraId="3EB97C31" w14:textId="21A963FF" w:rsidR="00FD5C7C" w:rsidRDefault="00FD5C7C" w:rsidP="00491191">
      <w:r>
        <w:t>The analysis first examin</w:t>
      </w:r>
      <w:r w:rsidR="00ED77C6">
        <w:t xml:space="preserve">es </w:t>
      </w:r>
      <w:r>
        <w:t>reported wealth, before moving to estimate</w:t>
      </w:r>
      <w:r w:rsidR="001017FD">
        <w:t xml:space="preserve">s of </w:t>
      </w:r>
      <w:r>
        <w:t>proxy wealth score</w:t>
      </w:r>
      <w:r w:rsidR="001017FD">
        <w:t>s</w:t>
      </w:r>
      <w:r>
        <w:t xml:space="preserve">, </w:t>
      </w:r>
      <w:r w:rsidR="001017FD">
        <w:t>followed by</w:t>
      </w:r>
      <w:r>
        <w:t xml:space="preserve"> developing the CTC scores. </w:t>
      </w:r>
    </w:p>
    <w:p w14:paraId="6CDE33F9" w14:textId="77777777" w:rsidR="00FB0E66" w:rsidRDefault="00FD5C7C" w:rsidP="00FD5C7C">
      <w:pPr>
        <w:pStyle w:val="Heading2"/>
      </w:pPr>
      <w:bookmarkStart w:id="40" w:name="_Toc518377367"/>
      <w:r>
        <w:t xml:space="preserve">Analysing </w:t>
      </w:r>
      <w:r w:rsidR="00DF6A1F">
        <w:t xml:space="preserve">net </w:t>
      </w:r>
      <w:r>
        <w:t>wealth</w:t>
      </w:r>
      <w:bookmarkEnd w:id="40"/>
    </w:p>
    <w:p w14:paraId="237CBEEF" w14:textId="77777777" w:rsidR="00FD5C7C" w:rsidRPr="00FD5C7C" w:rsidRDefault="00FD5C7C" w:rsidP="00FD5C7C">
      <w:pPr>
        <w:pStyle w:val="Heading3"/>
      </w:pPr>
      <w:bookmarkStart w:id="41" w:name="_Toc518377368"/>
      <w:r>
        <w:t xml:space="preserve">Reported </w:t>
      </w:r>
      <w:r w:rsidR="00DF6A1F">
        <w:t xml:space="preserve">net </w:t>
      </w:r>
      <w:r>
        <w:t>wealth</w:t>
      </w:r>
      <w:bookmarkEnd w:id="41"/>
    </w:p>
    <w:p w14:paraId="03B5AAD3" w14:textId="66255FFB" w:rsidR="00B6201B" w:rsidRDefault="00FD5C7C" w:rsidP="00DF6A1F">
      <w:r>
        <w:t>The SIH reports net wealth for individual households</w:t>
      </w:r>
      <w:r w:rsidR="00DF6A1F">
        <w:t xml:space="preserve"> as a </w:t>
      </w:r>
      <w:r w:rsidR="00B6201B" w:rsidRPr="00B6201B">
        <w:t>dollar value.</w:t>
      </w:r>
      <w:r w:rsidR="00DF6A1F">
        <w:t xml:space="preserve"> This value is estimated by the ABS after collecting an extensive range of data on household assets and liabilities. Among households with children attending non-government schools, there is a median value of $611,000 and </w:t>
      </w:r>
      <w:r w:rsidR="00DD1199">
        <w:t>average</w:t>
      </w:r>
      <w:r w:rsidR="00DF6A1F">
        <w:t xml:space="preserve"> of $1.1 million. There are clear differences </w:t>
      </w:r>
      <w:r w:rsidR="00CC6234">
        <w:t xml:space="preserve">by </w:t>
      </w:r>
      <w:r w:rsidR="00DF6A1F">
        <w:t xml:space="preserve">school sector attended (see </w:t>
      </w:r>
      <w:r w:rsidR="00DF6A1F">
        <w:fldChar w:fldCharType="begin"/>
      </w:r>
      <w:r w:rsidR="00DF6A1F">
        <w:instrText xml:space="preserve"> REF _Ref518370685 \h </w:instrText>
      </w:r>
      <w:r w:rsidR="00DF6A1F">
        <w:fldChar w:fldCharType="separate"/>
      </w:r>
      <w:r w:rsidR="00092E14">
        <w:t xml:space="preserve">Table </w:t>
      </w:r>
      <w:r w:rsidR="00092E14">
        <w:rPr>
          <w:noProof/>
        </w:rPr>
        <w:t>4</w:t>
      </w:r>
      <w:r w:rsidR="00092E14">
        <w:noBreakHyphen/>
      </w:r>
      <w:r w:rsidR="00092E14">
        <w:rPr>
          <w:noProof/>
        </w:rPr>
        <w:t>1</w:t>
      </w:r>
      <w:r w:rsidR="00DF6A1F">
        <w:fldChar w:fldCharType="end"/>
      </w:r>
      <w:r w:rsidR="00DF6A1F">
        <w:t xml:space="preserve">). </w:t>
      </w:r>
    </w:p>
    <w:p w14:paraId="6B670584" w14:textId="09F06419" w:rsidR="00DF6A1F" w:rsidRDefault="00DF6A1F" w:rsidP="00DF6A1F">
      <w:pPr>
        <w:pStyle w:val="Caption"/>
      </w:pPr>
      <w:bookmarkStart w:id="42" w:name="_Ref518370685"/>
      <w:bookmarkStart w:id="43" w:name="_Toc518645972"/>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w:t>
      </w:r>
      <w:r w:rsidR="0081675E">
        <w:rPr>
          <w:noProof/>
        </w:rPr>
        <w:fldChar w:fldCharType="end"/>
      </w:r>
      <w:bookmarkEnd w:id="42"/>
      <w:r>
        <w:t>: Net wealth in the Survey of Income and Housing, 2015-16</w:t>
      </w:r>
      <w:bookmarkEnd w:id="43"/>
    </w:p>
    <w:tbl>
      <w:tblPr>
        <w:tblStyle w:val="TableGrid"/>
        <w:tblW w:w="0" w:type="auto"/>
        <w:tblLook w:val="04A0" w:firstRow="1" w:lastRow="0" w:firstColumn="1" w:lastColumn="0" w:noHBand="0" w:noVBand="1"/>
        <w:tblCaption w:val="Net wealth in the Survey of Income and Housing, 2015-16"/>
        <w:tblDescription w:val="This is a table depicting the differences in median and average household net worth between Catholic and independent families. Catholic families have less net worth than independent families when analysed as median as well as average values.&#10;"/>
      </w:tblPr>
      <w:tblGrid>
        <w:gridCol w:w="2256"/>
        <w:gridCol w:w="2257"/>
        <w:gridCol w:w="2257"/>
        <w:gridCol w:w="2257"/>
      </w:tblGrid>
      <w:tr w:rsidR="00BA1078" w14:paraId="6B6CECBE" w14:textId="77777777" w:rsidTr="006464CC">
        <w:trPr>
          <w:cnfStyle w:val="100000000000" w:firstRow="1" w:lastRow="0" w:firstColumn="0" w:lastColumn="0" w:oddVBand="0" w:evenVBand="0" w:oddHBand="0" w:evenHBand="0" w:firstRowFirstColumn="0" w:firstRowLastColumn="0" w:lastRowFirstColumn="0" w:lastRowLastColumn="0"/>
          <w:tblHeader/>
        </w:trPr>
        <w:tc>
          <w:tcPr>
            <w:tcW w:w="2256" w:type="dxa"/>
          </w:tcPr>
          <w:p w14:paraId="6A4B80E0" w14:textId="1C096F1E" w:rsidR="00BA1078" w:rsidRDefault="008F1AF6" w:rsidP="00DF6A1F">
            <w:pPr>
              <w:pStyle w:val="Tablegridheading"/>
            </w:pPr>
            <w:r>
              <w:t>School sector</w:t>
            </w:r>
          </w:p>
        </w:tc>
        <w:tc>
          <w:tcPr>
            <w:tcW w:w="2257" w:type="dxa"/>
          </w:tcPr>
          <w:p w14:paraId="6D9C0F2D" w14:textId="77777777" w:rsidR="00BA1078" w:rsidRDefault="00BA1078" w:rsidP="00DF6A1F">
            <w:pPr>
              <w:pStyle w:val="Tablegridheading"/>
            </w:pPr>
            <w:r>
              <w:t>Median</w:t>
            </w:r>
          </w:p>
        </w:tc>
        <w:tc>
          <w:tcPr>
            <w:tcW w:w="2257" w:type="dxa"/>
          </w:tcPr>
          <w:p w14:paraId="16FF3094" w14:textId="77777777" w:rsidR="00BA1078" w:rsidRDefault="00DD1199" w:rsidP="00DF6A1F">
            <w:pPr>
              <w:pStyle w:val="Tablegridheading"/>
            </w:pPr>
            <w:r>
              <w:t>Average</w:t>
            </w:r>
          </w:p>
        </w:tc>
        <w:tc>
          <w:tcPr>
            <w:tcW w:w="2257" w:type="dxa"/>
          </w:tcPr>
          <w:p w14:paraId="56F761B9" w14:textId="77777777" w:rsidR="00BA1078" w:rsidRDefault="00BA1078" w:rsidP="00DF6A1F">
            <w:pPr>
              <w:pStyle w:val="Tablegridheading"/>
            </w:pPr>
            <w:r>
              <w:t>Standard Error</w:t>
            </w:r>
          </w:p>
        </w:tc>
      </w:tr>
      <w:tr w:rsidR="00BA1078" w14:paraId="0253C990" w14:textId="77777777" w:rsidTr="000A5CB7">
        <w:tc>
          <w:tcPr>
            <w:tcW w:w="2256" w:type="dxa"/>
          </w:tcPr>
          <w:p w14:paraId="4CC31C80" w14:textId="77777777" w:rsidR="00BA1078" w:rsidRDefault="00BA1078" w:rsidP="00DF6A1F">
            <w:pPr>
              <w:pStyle w:val="Tablegridtext"/>
            </w:pPr>
            <w:r>
              <w:t>Catholic</w:t>
            </w:r>
          </w:p>
        </w:tc>
        <w:tc>
          <w:tcPr>
            <w:tcW w:w="2257" w:type="dxa"/>
          </w:tcPr>
          <w:p w14:paraId="74292E7E" w14:textId="77777777" w:rsidR="00BA1078" w:rsidRDefault="00BA1078" w:rsidP="00DF6A1F">
            <w:pPr>
              <w:pStyle w:val="Tablegridtext"/>
            </w:pPr>
            <w:r>
              <w:t>$531,397</w:t>
            </w:r>
          </w:p>
        </w:tc>
        <w:tc>
          <w:tcPr>
            <w:tcW w:w="2257" w:type="dxa"/>
            <w:vAlign w:val="top"/>
          </w:tcPr>
          <w:p w14:paraId="6AE9895D" w14:textId="77777777" w:rsidR="00BA1078" w:rsidRPr="001B41FB" w:rsidRDefault="00DF6A1F" w:rsidP="00DF6A1F">
            <w:pPr>
              <w:pStyle w:val="Tablegridtext"/>
            </w:pPr>
            <w:r>
              <w:t>$</w:t>
            </w:r>
            <w:r w:rsidR="00BA1078" w:rsidRPr="001B41FB">
              <w:t>847</w:t>
            </w:r>
            <w:r w:rsidR="00BA1078">
              <w:t>,</w:t>
            </w:r>
            <w:r w:rsidR="00BA1078" w:rsidRPr="001B41FB">
              <w:t>365</w:t>
            </w:r>
          </w:p>
        </w:tc>
        <w:tc>
          <w:tcPr>
            <w:tcW w:w="2257" w:type="dxa"/>
            <w:vAlign w:val="top"/>
          </w:tcPr>
          <w:p w14:paraId="1C479CB7" w14:textId="77777777" w:rsidR="00BA1078" w:rsidRDefault="00DF6A1F" w:rsidP="00DF6A1F">
            <w:pPr>
              <w:pStyle w:val="Tablegridtext"/>
            </w:pPr>
            <w:r>
              <w:t>$</w:t>
            </w:r>
            <w:r w:rsidR="00BA1078" w:rsidRPr="001B41FB">
              <w:t>58</w:t>
            </w:r>
            <w:r w:rsidR="00BA1078">
              <w:t>,</w:t>
            </w:r>
            <w:r w:rsidR="00BA1078" w:rsidRPr="001B41FB">
              <w:t>73</w:t>
            </w:r>
            <w:r w:rsidR="00BA1078">
              <w:t>1</w:t>
            </w:r>
          </w:p>
        </w:tc>
      </w:tr>
      <w:tr w:rsidR="00BA1078" w14:paraId="15E65240" w14:textId="77777777" w:rsidTr="000A5CB7">
        <w:tc>
          <w:tcPr>
            <w:tcW w:w="2256" w:type="dxa"/>
          </w:tcPr>
          <w:p w14:paraId="63684BD0" w14:textId="77777777" w:rsidR="00BA1078" w:rsidRDefault="00BA1078" w:rsidP="00DF6A1F">
            <w:pPr>
              <w:pStyle w:val="Tablegridtext"/>
            </w:pPr>
            <w:r>
              <w:t>Independent</w:t>
            </w:r>
          </w:p>
        </w:tc>
        <w:tc>
          <w:tcPr>
            <w:tcW w:w="2257" w:type="dxa"/>
          </w:tcPr>
          <w:p w14:paraId="333154BD" w14:textId="77777777" w:rsidR="00BA1078" w:rsidRDefault="00BA1078" w:rsidP="00DF6A1F">
            <w:pPr>
              <w:pStyle w:val="Tablegridtext"/>
            </w:pPr>
            <w:r w:rsidRPr="00B6201B">
              <w:t>$773,</w:t>
            </w:r>
            <w:r>
              <w:t>4</w:t>
            </w:r>
            <w:r w:rsidRPr="00B6201B">
              <w:t>00</w:t>
            </w:r>
          </w:p>
        </w:tc>
        <w:tc>
          <w:tcPr>
            <w:tcW w:w="2257" w:type="dxa"/>
            <w:vAlign w:val="top"/>
          </w:tcPr>
          <w:p w14:paraId="068CAFE7" w14:textId="77777777" w:rsidR="00BA1078" w:rsidRPr="009C59F3" w:rsidRDefault="00DF6A1F" w:rsidP="00DF6A1F">
            <w:pPr>
              <w:pStyle w:val="Tablegridtext"/>
            </w:pPr>
            <w:r>
              <w:t>$</w:t>
            </w:r>
            <w:r w:rsidR="00BA1078" w:rsidRPr="009C59F3">
              <w:t>1</w:t>
            </w:r>
            <w:r w:rsidR="00BA1078">
              <w:t>,</w:t>
            </w:r>
            <w:r w:rsidR="00BA1078" w:rsidRPr="009C59F3">
              <w:t>418</w:t>
            </w:r>
            <w:r w:rsidR="00BA1078">
              <w:t>,</w:t>
            </w:r>
            <w:r w:rsidR="00BA1078" w:rsidRPr="009C59F3">
              <w:t>527</w:t>
            </w:r>
          </w:p>
        </w:tc>
        <w:tc>
          <w:tcPr>
            <w:tcW w:w="2257" w:type="dxa"/>
            <w:vAlign w:val="top"/>
          </w:tcPr>
          <w:p w14:paraId="5E44F134" w14:textId="77777777" w:rsidR="00BA1078" w:rsidRDefault="00DF6A1F" w:rsidP="00DF6A1F">
            <w:pPr>
              <w:pStyle w:val="Tablegridtext"/>
            </w:pPr>
            <w:r>
              <w:t>$</w:t>
            </w:r>
            <w:r w:rsidR="00BA1078" w:rsidRPr="009C59F3">
              <w:t>146</w:t>
            </w:r>
            <w:r w:rsidR="00BA1078">
              <w:t>,</w:t>
            </w:r>
            <w:r w:rsidR="00BA1078" w:rsidRPr="009C59F3">
              <w:t>209</w:t>
            </w:r>
          </w:p>
        </w:tc>
      </w:tr>
      <w:tr w:rsidR="00BA1078" w14:paraId="3574C099" w14:textId="77777777" w:rsidTr="000A5CB7">
        <w:tc>
          <w:tcPr>
            <w:tcW w:w="2256" w:type="dxa"/>
          </w:tcPr>
          <w:p w14:paraId="3FEE2C7A" w14:textId="77777777" w:rsidR="00BA1078" w:rsidRDefault="00BA1078" w:rsidP="00DF6A1F">
            <w:pPr>
              <w:pStyle w:val="Tablegridtext"/>
            </w:pPr>
            <w:r>
              <w:t>Both</w:t>
            </w:r>
          </w:p>
        </w:tc>
        <w:tc>
          <w:tcPr>
            <w:tcW w:w="2257" w:type="dxa"/>
          </w:tcPr>
          <w:p w14:paraId="2F2D2C3F" w14:textId="77777777" w:rsidR="00BA1078" w:rsidRDefault="00BA1078" w:rsidP="00DF6A1F">
            <w:pPr>
              <w:pStyle w:val="Tablegridtext"/>
            </w:pPr>
            <w:r>
              <w:t>$611,102</w:t>
            </w:r>
          </w:p>
        </w:tc>
        <w:tc>
          <w:tcPr>
            <w:tcW w:w="2257" w:type="dxa"/>
            <w:vAlign w:val="top"/>
          </w:tcPr>
          <w:p w14:paraId="73074440" w14:textId="77777777" w:rsidR="00BA1078" w:rsidRPr="00112FC8" w:rsidRDefault="00DF6A1F" w:rsidP="00DF6A1F">
            <w:pPr>
              <w:pStyle w:val="Tablegridtext"/>
            </w:pPr>
            <w:r>
              <w:t>$</w:t>
            </w:r>
            <w:r w:rsidR="00BA1078" w:rsidRPr="00112FC8">
              <w:t>1</w:t>
            </w:r>
            <w:r w:rsidR="00BA1078">
              <w:t>,</w:t>
            </w:r>
            <w:r w:rsidR="00BA1078" w:rsidRPr="00112FC8">
              <w:t>103</w:t>
            </w:r>
            <w:r w:rsidR="00BA1078">
              <w:t>,</w:t>
            </w:r>
            <w:r w:rsidR="00BA1078" w:rsidRPr="00112FC8">
              <w:t>214</w:t>
            </w:r>
          </w:p>
        </w:tc>
        <w:tc>
          <w:tcPr>
            <w:tcW w:w="2257" w:type="dxa"/>
            <w:vAlign w:val="top"/>
          </w:tcPr>
          <w:p w14:paraId="78D24382" w14:textId="77777777" w:rsidR="00BA1078" w:rsidRDefault="00DF6A1F" w:rsidP="00DF6A1F">
            <w:pPr>
              <w:pStyle w:val="Tablegridtext"/>
            </w:pPr>
            <w:r>
              <w:t>$</w:t>
            </w:r>
            <w:r w:rsidR="00BA1078" w:rsidRPr="00112FC8">
              <w:t>74</w:t>
            </w:r>
            <w:r w:rsidR="00BA1078">
              <w:t>,</w:t>
            </w:r>
            <w:r w:rsidR="00BA1078" w:rsidRPr="00112FC8">
              <w:t>32</w:t>
            </w:r>
            <w:r w:rsidR="00BA1078">
              <w:t>2</w:t>
            </w:r>
            <w:r w:rsidR="00BA1078" w:rsidRPr="00112FC8">
              <w:t xml:space="preserve"> </w:t>
            </w:r>
          </w:p>
        </w:tc>
      </w:tr>
    </w:tbl>
    <w:p w14:paraId="5B0D767C" w14:textId="7FE7C859" w:rsidR="00BA1078" w:rsidRDefault="00DF6A1F" w:rsidP="00DF6A1F">
      <w:pPr>
        <w:pStyle w:val="Datasource"/>
      </w:pPr>
      <w:r>
        <w:t xml:space="preserve">Source: Analysis of </w:t>
      </w:r>
      <w:r w:rsidR="004D4552">
        <w:rPr>
          <w:noProof/>
        </w:rPr>
        <w:t xml:space="preserve">ABS </w:t>
      </w:r>
      <w:sdt>
        <w:sdtPr>
          <w:rPr>
            <w:noProof/>
          </w:rPr>
          <w:id w:val="-402520203"/>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t xml:space="preserve">. Jackknife replication incorporating all survey data (17,768 observations) was used to estimate standard errors. </w:t>
      </w:r>
    </w:p>
    <w:p w14:paraId="2E876923" w14:textId="163847C7" w:rsidR="00DD1199" w:rsidRDefault="00DF6A1F" w:rsidP="00DD1199">
      <w:r>
        <w:t xml:space="preserve">The large difference between the median and </w:t>
      </w:r>
      <w:r w:rsidR="00DD1199">
        <w:t>average</w:t>
      </w:r>
      <w:r>
        <w:t xml:space="preserve"> values point to a skewed distribution</w:t>
      </w:r>
      <w:r w:rsidR="003E0E45">
        <w:t xml:space="preserve">. This skewed distribution is </w:t>
      </w:r>
      <w:r>
        <w:t xml:space="preserve">apparent in </w:t>
      </w:r>
      <w:r>
        <w:fldChar w:fldCharType="begin"/>
      </w:r>
      <w:r>
        <w:instrText xml:space="preserve"> REF _Ref518370780 \h </w:instrText>
      </w:r>
      <w:r>
        <w:fldChar w:fldCharType="separate"/>
      </w:r>
      <w:r w:rsidR="00092E14">
        <w:t xml:space="preserve">Figure </w:t>
      </w:r>
      <w:r w:rsidR="00092E14">
        <w:rPr>
          <w:noProof/>
        </w:rPr>
        <w:t>4</w:t>
      </w:r>
      <w:r w:rsidR="00092E14">
        <w:noBreakHyphen/>
      </w:r>
      <w:r w:rsidR="00092E14">
        <w:rPr>
          <w:noProof/>
        </w:rPr>
        <w:t>1</w:t>
      </w:r>
      <w:r>
        <w:fldChar w:fldCharType="end"/>
      </w:r>
      <w:r>
        <w:t>, which uses a kernel density graph to report the distribution of net wealth by school sector.</w:t>
      </w:r>
      <w:r>
        <w:rPr>
          <w:rStyle w:val="FootnoteReference"/>
        </w:rPr>
        <w:footnoteReference w:id="10"/>
      </w:r>
      <w:r>
        <w:t xml:space="preserve"> This graph highlights a </w:t>
      </w:r>
      <w:r w:rsidR="00B6201B" w:rsidRPr="00B6201B">
        <w:t>very wide wealth distribution, particularly among households with children attending independent schools.</w:t>
      </w:r>
      <w:r w:rsidR="00DD1199">
        <w:br w:type="page"/>
      </w:r>
    </w:p>
    <w:p w14:paraId="1BD92162" w14:textId="7FBF45EB" w:rsidR="005167AA" w:rsidRDefault="005167AA" w:rsidP="005167AA">
      <w:pPr>
        <w:pStyle w:val="Caption"/>
      </w:pPr>
      <w:bookmarkStart w:id="44" w:name="_Ref518370780"/>
      <w:bookmarkStart w:id="45" w:name="_Toc518645989"/>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4</w:t>
      </w:r>
      <w:r w:rsidR="00FF7BF1">
        <w:rPr>
          <w:noProof/>
        </w:rPr>
        <w:fldChar w:fldCharType="end"/>
      </w:r>
      <w:r w:rsidR="00806A04">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1</w:t>
      </w:r>
      <w:r w:rsidR="00FF7BF1">
        <w:rPr>
          <w:noProof/>
        </w:rPr>
        <w:fldChar w:fldCharType="end"/>
      </w:r>
      <w:bookmarkEnd w:id="44"/>
      <w:r>
        <w:t xml:space="preserve">: Distribution of </w:t>
      </w:r>
      <w:r w:rsidR="00DF6A1F">
        <w:t>net</w:t>
      </w:r>
      <w:r>
        <w:t xml:space="preserve"> wealth</w:t>
      </w:r>
      <w:bookmarkEnd w:id="45"/>
    </w:p>
    <w:p w14:paraId="73E272E2" w14:textId="77777777" w:rsidR="005167AA" w:rsidRDefault="005167AA" w:rsidP="00DD1199">
      <w:pPr>
        <w:jc w:val="center"/>
      </w:pPr>
      <w:r>
        <w:rPr>
          <w:noProof/>
          <w:lang w:eastAsia="en-AU"/>
        </w:rPr>
        <w:drawing>
          <wp:inline distT="0" distB="0" distL="0" distR="0" wp14:anchorId="57E3E03F" wp14:editId="5C227C0C">
            <wp:extent cx="5220000" cy="3796570"/>
            <wp:effectExtent l="0" t="0" r="0" b="0"/>
            <wp:docPr id="38" name="Picture 38" descr="This is a chart depicting the distribution of net worth. The graph highlights a very wide wealth distribution, particularly among households with children attending independent schools.&#10;" title="Distribution of net w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0000" cy="3796570"/>
                    </a:xfrm>
                    <a:prstGeom prst="rect">
                      <a:avLst/>
                    </a:prstGeom>
                    <a:noFill/>
                    <a:ln>
                      <a:noFill/>
                    </a:ln>
                  </pic:spPr>
                </pic:pic>
              </a:graphicData>
            </a:graphic>
          </wp:inline>
        </w:drawing>
      </w:r>
    </w:p>
    <w:p w14:paraId="515E307A" w14:textId="2B7B442B" w:rsidR="005167AA" w:rsidRDefault="005167AA" w:rsidP="005167AA">
      <w:pPr>
        <w:pStyle w:val="Datasource"/>
      </w:pPr>
      <w:r>
        <w:t xml:space="preserve">Source: Analysis </w:t>
      </w:r>
      <w:r w:rsidR="00CD3851">
        <w:t xml:space="preserve">of </w:t>
      </w:r>
      <w:r w:rsidR="00CD3851">
        <w:rPr>
          <w:noProof/>
        </w:rPr>
        <w:t xml:space="preserve">ABS </w:t>
      </w:r>
      <w:sdt>
        <w:sdtPr>
          <w:rPr>
            <w:noProof/>
          </w:rPr>
          <w:id w:val="-1135786942"/>
          <w:citation/>
        </w:sdtPr>
        <w:sdtEndPr/>
        <w:sdtContent>
          <w:r w:rsidR="00CD3851">
            <w:rPr>
              <w:noProof/>
            </w:rPr>
            <w:fldChar w:fldCharType="begin"/>
          </w:r>
          <w:r w:rsidR="00CD3851">
            <w:rPr>
              <w:noProof/>
            </w:rPr>
            <w:instrText xml:space="preserve">CITATION Aus171 \n  \t  \l 3081 </w:instrText>
          </w:r>
          <w:r w:rsidR="00CD3851">
            <w:rPr>
              <w:noProof/>
            </w:rPr>
            <w:fldChar w:fldCharType="separate"/>
          </w:r>
          <w:r w:rsidR="00CD3851">
            <w:rPr>
              <w:noProof/>
            </w:rPr>
            <w:t>(2017c)</w:t>
          </w:r>
          <w:r w:rsidR="00CD3851">
            <w:rPr>
              <w:noProof/>
            </w:rPr>
            <w:fldChar w:fldCharType="end"/>
          </w:r>
        </w:sdtContent>
      </w:sdt>
      <w:r w:rsidR="00CD3851">
        <w:t>.</w:t>
      </w:r>
    </w:p>
    <w:p w14:paraId="25769336" w14:textId="77777777" w:rsidR="005167AA" w:rsidRDefault="005167AA" w:rsidP="00BB3738">
      <w:pPr>
        <w:pStyle w:val="Heading3"/>
      </w:pPr>
      <w:bookmarkStart w:id="46" w:name="_Toc518377369"/>
      <w:r>
        <w:t>Proxy measures of wealth</w:t>
      </w:r>
      <w:bookmarkEnd w:id="46"/>
    </w:p>
    <w:p w14:paraId="50FA3EC1" w14:textId="7BA78FC1" w:rsidR="00BB3738" w:rsidRDefault="00DD1199" w:rsidP="00BB3738">
      <w:r>
        <w:t>There are three sets of proxy wealth data available in the SIH</w:t>
      </w:r>
      <w:r w:rsidR="00C852B3">
        <w:t xml:space="preserve">. These include </w:t>
      </w:r>
      <w:r>
        <w:t xml:space="preserve">housing tenure type, dwelling structure and the number of bedrooms. The tenure type and dwelling structure variables have been turned into binary variables. The resulting averages and standard errors are detailed in </w:t>
      </w:r>
      <w:r>
        <w:fldChar w:fldCharType="begin"/>
      </w:r>
      <w:r>
        <w:instrText xml:space="preserve"> REF _Ref518371387 \h </w:instrText>
      </w:r>
      <w:r>
        <w:fldChar w:fldCharType="separate"/>
      </w:r>
      <w:r w:rsidR="00092E14">
        <w:t xml:space="preserve">Table </w:t>
      </w:r>
      <w:r w:rsidR="00092E14">
        <w:rPr>
          <w:noProof/>
        </w:rPr>
        <w:t>4</w:t>
      </w:r>
      <w:r w:rsidR="00092E14">
        <w:noBreakHyphen/>
      </w:r>
      <w:r w:rsidR="00092E14">
        <w:rPr>
          <w:noProof/>
        </w:rPr>
        <w:t>2</w:t>
      </w:r>
      <w:r>
        <w:fldChar w:fldCharType="end"/>
      </w:r>
      <w:r>
        <w:t xml:space="preserve">. </w:t>
      </w:r>
    </w:p>
    <w:p w14:paraId="2B465E89" w14:textId="5E7D8797" w:rsidR="005167AA" w:rsidRDefault="00DD1199" w:rsidP="00DD1199">
      <w:pPr>
        <w:pStyle w:val="Caption"/>
      </w:pPr>
      <w:bookmarkStart w:id="47" w:name="_Ref518371387"/>
      <w:bookmarkStart w:id="48" w:name="_Toc518645973"/>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2</w:t>
      </w:r>
      <w:r w:rsidR="0081675E">
        <w:rPr>
          <w:noProof/>
        </w:rPr>
        <w:fldChar w:fldCharType="end"/>
      </w:r>
      <w:bookmarkEnd w:id="47"/>
      <w:r>
        <w:t>: Data used to generate proxy wealth score</w:t>
      </w:r>
      <w:bookmarkEnd w:id="48"/>
    </w:p>
    <w:tbl>
      <w:tblPr>
        <w:tblStyle w:val="TableGrid"/>
        <w:tblW w:w="0" w:type="auto"/>
        <w:tblLook w:val="04A0" w:firstRow="1" w:lastRow="0" w:firstColumn="1" w:lastColumn="0" w:noHBand="0" w:noVBand="1"/>
        <w:tblCaption w:val="Data used to generate proxy wealth score"/>
        <w:tblDescription w:val="This is a table illustrating what data is used to generate proxy wealth scores. It is broken into two sections, with tenure type (owner without mortgage, owner with mortgage and renter/other) and dwelling structure )separate house, semi-detached, or flat/unit/caravan). Most people are owners with a mortgage 64.4%, living in a separate house 91.3%.&#10;"/>
      </w:tblPr>
      <w:tblGrid>
        <w:gridCol w:w="5103"/>
        <w:gridCol w:w="1962"/>
        <w:gridCol w:w="1962"/>
      </w:tblGrid>
      <w:tr w:rsidR="00A834F7" w:rsidRPr="00A834F7" w14:paraId="0198206A" w14:textId="77777777" w:rsidTr="00EC1B31">
        <w:trPr>
          <w:cnfStyle w:val="100000000000" w:firstRow="1" w:lastRow="0" w:firstColumn="0" w:lastColumn="0" w:oddVBand="0" w:evenVBand="0" w:oddHBand="0" w:evenHBand="0" w:firstRowFirstColumn="0" w:firstRowLastColumn="0" w:lastRowFirstColumn="0" w:lastRowLastColumn="0"/>
          <w:tblHeader/>
        </w:trPr>
        <w:tc>
          <w:tcPr>
            <w:tcW w:w="5103" w:type="dxa"/>
          </w:tcPr>
          <w:p w14:paraId="45A5813D" w14:textId="77777777" w:rsidR="00A834F7" w:rsidRPr="00A834F7" w:rsidRDefault="00A834F7" w:rsidP="007608D6">
            <w:pPr>
              <w:pStyle w:val="Tablegridheading"/>
            </w:pPr>
          </w:p>
        </w:tc>
        <w:tc>
          <w:tcPr>
            <w:tcW w:w="1962" w:type="dxa"/>
          </w:tcPr>
          <w:p w14:paraId="795BE855" w14:textId="77777777" w:rsidR="00A834F7" w:rsidRPr="00A834F7" w:rsidRDefault="00DD1199" w:rsidP="007608D6">
            <w:pPr>
              <w:pStyle w:val="Tablegridheading"/>
            </w:pPr>
            <w:r>
              <w:t>Average</w:t>
            </w:r>
          </w:p>
        </w:tc>
        <w:tc>
          <w:tcPr>
            <w:tcW w:w="1962" w:type="dxa"/>
          </w:tcPr>
          <w:p w14:paraId="55ED09A7" w14:textId="77777777" w:rsidR="00A834F7" w:rsidRPr="00A834F7" w:rsidRDefault="00A834F7" w:rsidP="007608D6">
            <w:pPr>
              <w:pStyle w:val="Tablegridheading"/>
            </w:pPr>
            <w:r w:rsidRPr="00A834F7">
              <w:t>S</w:t>
            </w:r>
            <w:r w:rsidR="00DD1199">
              <w:t xml:space="preserve">tandard </w:t>
            </w:r>
            <w:r w:rsidRPr="00A834F7">
              <w:t>E</w:t>
            </w:r>
            <w:r w:rsidR="00DD1199">
              <w:t>rror</w:t>
            </w:r>
          </w:p>
        </w:tc>
      </w:tr>
      <w:tr w:rsidR="00FF62EC" w:rsidRPr="00A834F7" w14:paraId="04E0D2F5" w14:textId="77777777" w:rsidTr="00DD1199">
        <w:tc>
          <w:tcPr>
            <w:tcW w:w="5103" w:type="dxa"/>
          </w:tcPr>
          <w:p w14:paraId="442046B1" w14:textId="77777777" w:rsidR="00FF62EC" w:rsidRPr="00A834F7" w:rsidRDefault="007608D6" w:rsidP="007608D6">
            <w:pPr>
              <w:pStyle w:val="Tablegridheading2"/>
            </w:pPr>
            <w:r>
              <w:t xml:space="preserve">Tenure type </w:t>
            </w:r>
          </w:p>
        </w:tc>
        <w:tc>
          <w:tcPr>
            <w:tcW w:w="1962" w:type="dxa"/>
          </w:tcPr>
          <w:p w14:paraId="2544D962" w14:textId="77777777" w:rsidR="00FF62EC" w:rsidRPr="00A834F7" w:rsidRDefault="007608D6" w:rsidP="007608D6">
            <w:pPr>
              <w:pStyle w:val="Tablegridheading2"/>
            </w:pPr>
            <w:r>
              <w:t>%</w:t>
            </w:r>
            <w:r w:rsidR="00384F54">
              <w:t xml:space="preserve"> </w:t>
            </w:r>
          </w:p>
        </w:tc>
        <w:tc>
          <w:tcPr>
            <w:tcW w:w="1962" w:type="dxa"/>
          </w:tcPr>
          <w:p w14:paraId="5D5444D0" w14:textId="77777777" w:rsidR="00FF62EC" w:rsidRPr="00A834F7" w:rsidRDefault="007608D6" w:rsidP="007608D6">
            <w:pPr>
              <w:pStyle w:val="Tablegridheading2"/>
            </w:pPr>
            <w:r>
              <w:t>%</w:t>
            </w:r>
          </w:p>
        </w:tc>
      </w:tr>
      <w:tr w:rsidR="00A834F7" w:rsidRPr="00A834F7" w14:paraId="6302FD9D" w14:textId="77777777" w:rsidTr="00DD1199">
        <w:tc>
          <w:tcPr>
            <w:tcW w:w="5103" w:type="dxa"/>
          </w:tcPr>
          <w:p w14:paraId="4009A9FD" w14:textId="77777777" w:rsidR="00A834F7" w:rsidRPr="00A834F7" w:rsidRDefault="00A834F7" w:rsidP="00DD1199">
            <w:pPr>
              <w:pStyle w:val="Tablegridtext"/>
              <w:ind w:firstLine="321"/>
            </w:pPr>
            <w:r w:rsidRPr="00A834F7">
              <w:t>Owner without a mortgage</w:t>
            </w:r>
          </w:p>
        </w:tc>
        <w:tc>
          <w:tcPr>
            <w:tcW w:w="1962" w:type="dxa"/>
          </w:tcPr>
          <w:p w14:paraId="4DCB3676" w14:textId="77777777" w:rsidR="00A834F7" w:rsidRPr="00A834F7" w:rsidRDefault="00A834F7" w:rsidP="007608D6">
            <w:pPr>
              <w:pStyle w:val="Tablegridtext"/>
            </w:pPr>
            <w:r w:rsidRPr="00A834F7">
              <w:t>15.6%</w:t>
            </w:r>
          </w:p>
        </w:tc>
        <w:tc>
          <w:tcPr>
            <w:tcW w:w="1962" w:type="dxa"/>
          </w:tcPr>
          <w:p w14:paraId="07F527C2" w14:textId="77777777" w:rsidR="00A834F7" w:rsidRPr="00A834F7" w:rsidRDefault="00A834F7" w:rsidP="007608D6">
            <w:pPr>
              <w:pStyle w:val="Tablegridtext"/>
            </w:pPr>
            <w:r w:rsidRPr="00A834F7">
              <w:t>1.3%</w:t>
            </w:r>
          </w:p>
        </w:tc>
      </w:tr>
      <w:tr w:rsidR="00A834F7" w:rsidRPr="00A834F7" w14:paraId="7D5B5F42" w14:textId="77777777" w:rsidTr="00DD1199">
        <w:tc>
          <w:tcPr>
            <w:tcW w:w="5103" w:type="dxa"/>
          </w:tcPr>
          <w:p w14:paraId="04C85C76" w14:textId="77777777" w:rsidR="00A834F7" w:rsidRPr="00A834F7" w:rsidRDefault="00A834F7" w:rsidP="00DD1199">
            <w:pPr>
              <w:pStyle w:val="Tablegridtext"/>
              <w:ind w:firstLine="321"/>
            </w:pPr>
            <w:r w:rsidRPr="00A834F7">
              <w:t>Owner with a mortgage</w:t>
            </w:r>
          </w:p>
        </w:tc>
        <w:tc>
          <w:tcPr>
            <w:tcW w:w="1962" w:type="dxa"/>
          </w:tcPr>
          <w:p w14:paraId="158FC7FA" w14:textId="77777777" w:rsidR="00A834F7" w:rsidRPr="00A834F7" w:rsidRDefault="00A834F7" w:rsidP="007608D6">
            <w:pPr>
              <w:pStyle w:val="Tablegridtext"/>
            </w:pPr>
            <w:r w:rsidRPr="00A834F7">
              <w:t>64.4%</w:t>
            </w:r>
          </w:p>
        </w:tc>
        <w:tc>
          <w:tcPr>
            <w:tcW w:w="1962" w:type="dxa"/>
          </w:tcPr>
          <w:p w14:paraId="47F782A2" w14:textId="77777777" w:rsidR="00A834F7" w:rsidRPr="00A834F7" w:rsidRDefault="00A834F7" w:rsidP="007608D6">
            <w:pPr>
              <w:pStyle w:val="Tablegridtext"/>
            </w:pPr>
            <w:r w:rsidRPr="00A834F7">
              <w:t>1.8%</w:t>
            </w:r>
          </w:p>
        </w:tc>
      </w:tr>
      <w:tr w:rsidR="00A834F7" w:rsidRPr="00A834F7" w14:paraId="02A04B9B" w14:textId="77777777" w:rsidTr="00DD1199">
        <w:tc>
          <w:tcPr>
            <w:tcW w:w="5103" w:type="dxa"/>
          </w:tcPr>
          <w:p w14:paraId="35626216" w14:textId="77777777" w:rsidR="00A834F7" w:rsidRPr="00A834F7" w:rsidRDefault="00A834F7" w:rsidP="00DD1199">
            <w:pPr>
              <w:pStyle w:val="Tablegridtext"/>
              <w:ind w:firstLine="321"/>
            </w:pPr>
            <w:r w:rsidRPr="00A834F7">
              <w:t>Renter/Other</w:t>
            </w:r>
          </w:p>
        </w:tc>
        <w:tc>
          <w:tcPr>
            <w:tcW w:w="1962" w:type="dxa"/>
          </w:tcPr>
          <w:p w14:paraId="1A59AA41" w14:textId="77777777" w:rsidR="00A834F7" w:rsidRPr="00A834F7" w:rsidRDefault="00A834F7" w:rsidP="007608D6">
            <w:pPr>
              <w:pStyle w:val="Tablegridtext"/>
            </w:pPr>
            <w:r w:rsidRPr="00A834F7">
              <w:t>20.0%</w:t>
            </w:r>
          </w:p>
        </w:tc>
        <w:tc>
          <w:tcPr>
            <w:tcW w:w="1962" w:type="dxa"/>
          </w:tcPr>
          <w:p w14:paraId="7CE5454B" w14:textId="77777777" w:rsidR="00A834F7" w:rsidRPr="00A834F7" w:rsidRDefault="00A834F7" w:rsidP="007608D6">
            <w:pPr>
              <w:pStyle w:val="Tablegridtext"/>
            </w:pPr>
            <w:r w:rsidRPr="00A834F7">
              <w:t>1.6%</w:t>
            </w:r>
          </w:p>
        </w:tc>
      </w:tr>
      <w:tr w:rsidR="00A834F7" w:rsidRPr="00A834F7" w14:paraId="1F837011" w14:textId="77777777" w:rsidTr="00DD1199">
        <w:tc>
          <w:tcPr>
            <w:tcW w:w="5103" w:type="dxa"/>
          </w:tcPr>
          <w:p w14:paraId="5A812870" w14:textId="77777777" w:rsidR="00A834F7" w:rsidRPr="00A834F7" w:rsidRDefault="007608D6" w:rsidP="007608D6">
            <w:pPr>
              <w:pStyle w:val="Tablegridheading2"/>
            </w:pPr>
            <w:r w:rsidRPr="00A834F7">
              <w:t>Dwelling structure</w:t>
            </w:r>
          </w:p>
        </w:tc>
        <w:tc>
          <w:tcPr>
            <w:tcW w:w="1962" w:type="dxa"/>
          </w:tcPr>
          <w:p w14:paraId="27F93432" w14:textId="77777777" w:rsidR="00A834F7" w:rsidRPr="00A834F7" w:rsidRDefault="007608D6" w:rsidP="007608D6">
            <w:pPr>
              <w:pStyle w:val="Tablegridheading2"/>
            </w:pPr>
            <w:r>
              <w:t>%</w:t>
            </w:r>
          </w:p>
        </w:tc>
        <w:tc>
          <w:tcPr>
            <w:tcW w:w="1962" w:type="dxa"/>
          </w:tcPr>
          <w:p w14:paraId="1E54350A" w14:textId="77777777" w:rsidR="00A834F7" w:rsidRPr="00A834F7" w:rsidRDefault="007608D6" w:rsidP="007608D6">
            <w:pPr>
              <w:pStyle w:val="Tablegridheading2"/>
            </w:pPr>
            <w:r>
              <w:t>%</w:t>
            </w:r>
          </w:p>
        </w:tc>
      </w:tr>
      <w:tr w:rsidR="00A834F7" w:rsidRPr="00A834F7" w14:paraId="09EFEFA3" w14:textId="77777777" w:rsidTr="00DD1199">
        <w:tc>
          <w:tcPr>
            <w:tcW w:w="5103" w:type="dxa"/>
          </w:tcPr>
          <w:p w14:paraId="106EEED5" w14:textId="77777777" w:rsidR="00A834F7" w:rsidRPr="00A834F7" w:rsidRDefault="00A834F7" w:rsidP="00DD1199">
            <w:pPr>
              <w:pStyle w:val="Tablegridtext"/>
              <w:ind w:firstLine="321"/>
            </w:pPr>
            <w:r w:rsidRPr="00A834F7">
              <w:t>Separate house</w:t>
            </w:r>
          </w:p>
        </w:tc>
        <w:tc>
          <w:tcPr>
            <w:tcW w:w="1962" w:type="dxa"/>
          </w:tcPr>
          <w:p w14:paraId="0ACD0CC4" w14:textId="77777777" w:rsidR="00A834F7" w:rsidRPr="00A834F7" w:rsidRDefault="00A834F7" w:rsidP="007608D6">
            <w:pPr>
              <w:pStyle w:val="Tablegridtext"/>
            </w:pPr>
            <w:r w:rsidRPr="00A834F7">
              <w:t>91.3%</w:t>
            </w:r>
          </w:p>
        </w:tc>
        <w:tc>
          <w:tcPr>
            <w:tcW w:w="1962" w:type="dxa"/>
          </w:tcPr>
          <w:p w14:paraId="776F7532" w14:textId="77777777" w:rsidR="00A834F7" w:rsidRPr="00A834F7" w:rsidRDefault="00A834F7" w:rsidP="007608D6">
            <w:pPr>
              <w:pStyle w:val="Tablegridtext"/>
            </w:pPr>
            <w:r w:rsidRPr="00A834F7">
              <w:t>1.3%</w:t>
            </w:r>
          </w:p>
        </w:tc>
      </w:tr>
      <w:tr w:rsidR="00A834F7" w:rsidRPr="00A834F7" w14:paraId="4B1E4127" w14:textId="77777777" w:rsidTr="00DD1199">
        <w:tc>
          <w:tcPr>
            <w:tcW w:w="5103" w:type="dxa"/>
          </w:tcPr>
          <w:p w14:paraId="54C8E60D" w14:textId="77777777" w:rsidR="00A834F7" w:rsidRPr="00A834F7" w:rsidRDefault="00A834F7" w:rsidP="00DD1199">
            <w:pPr>
              <w:pStyle w:val="Tablegridtext"/>
              <w:ind w:firstLine="321"/>
            </w:pPr>
            <w:r w:rsidRPr="00A834F7">
              <w:t>Semi-detached</w:t>
            </w:r>
          </w:p>
        </w:tc>
        <w:tc>
          <w:tcPr>
            <w:tcW w:w="1962" w:type="dxa"/>
          </w:tcPr>
          <w:p w14:paraId="3A2E7683" w14:textId="77777777" w:rsidR="00A834F7" w:rsidRPr="00A834F7" w:rsidRDefault="00A834F7" w:rsidP="007608D6">
            <w:pPr>
              <w:pStyle w:val="Tablegridtext"/>
            </w:pPr>
            <w:r w:rsidRPr="00A834F7">
              <w:t>6.6%</w:t>
            </w:r>
          </w:p>
        </w:tc>
        <w:tc>
          <w:tcPr>
            <w:tcW w:w="1962" w:type="dxa"/>
          </w:tcPr>
          <w:p w14:paraId="238547BF" w14:textId="77777777" w:rsidR="00A834F7" w:rsidRPr="00A834F7" w:rsidRDefault="00A834F7" w:rsidP="007608D6">
            <w:pPr>
              <w:pStyle w:val="Tablegridtext"/>
            </w:pPr>
            <w:r w:rsidRPr="00A834F7">
              <w:t>1.4%</w:t>
            </w:r>
          </w:p>
        </w:tc>
      </w:tr>
      <w:tr w:rsidR="00A834F7" w:rsidRPr="00A834F7" w14:paraId="25FAD9EC" w14:textId="77777777" w:rsidTr="00DD1199">
        <w:tc>
          <w:tcPr>
            <w:tcW w:w="5103" w:type="dxa"/>
          </w:tcPr>
          <w:p w14:paraId="62B65C0B" w14:textId="5D9E20EE" w:rsidR="00A834F7" w:rsidRPr="00A834F7" w:rsidRDefault="00A834F7" w:rsidP="00DD1199">
            <w:pPr>
              <w:pStyle w:val="Tablegridtext"/>
              <w:ind w:firstLine="321"/>
            </w:pPr>
            <w:r w:rsidRPr="00A834F7">
              <w:t>Flat/</w:t>
            </w:r>
            <w:r w:rsidR="00BD0C29">
              <w:t>U</w:t>
            </w:r>
            <w:r w:rsidRPr="00A834F7">
              <w:t>nit/Caravan</w:t>
            </w:r>
          </w:p>
        </w:tc>
        <w:tc>
          <w:tcPr>
            <w:tcW w:w="1962" w:type="dxa"/>
          </w:tcPr>
          <w:p w14:paraId="08F5FAE6" w14:textId="77777777" w:rsidR="00A834F7" w:rsidRPr="00A834F7" w:rsidRDefault="00A834F7" w:rsidP="007608D6">
            <w:pPr>
              <w:pStyle w:val="Tablegridtext"/>
            </w:pPr>
            <w:r w:rsidRPr="00A834F7">
              <w:t>2.0%</w:t>
            </w:r>
          </w:p>
        </w:tc>
        <w:tc>
          <w:tcPr>
            <w:tcW w:w="1962" w:type="dxa"/>
          </w:tcPr>
          <w:p w14:paraId="5FA7086B" w14:textId="77777777" w:rsidR="00A834F7" w:rsidRPr="00A834F7" w:rsidRDefault="00A834F7" w:rsidP="007608D6">
            <w:pPr>
              <w:pStyle w:val="Tablegridtext"/>
            </w:pPr>
            <w:r w:rsidRPr="00A834F7">
              <w:t>0.4%</w:t>
            </w:r>
          </w:p>
        </w:tc>
      </w:tr>
      <w:tr w:rsidR="00A834F7" w:rsidRPr="00A834F7" w14:paraId="0CEDCF31" w14:textId="77777777" w:rsidTr="00DD1199">
        <w:tc>
          <w:tcPr>
            <w:tcW w:w="5103" w:type="dxa"/>
          </w:tcPr>
          <w:p w14:paraId="2386FF8A" w14:textId="77777777" w:rsidR="00A834F7" w:rsidRPr="00A834F7" w:rsidRDefault="00A834F7" w:rsidP="007608D6">
            <w:pPr>
              <w:pStyle w:val="Tablegridheading2"/>
            </w:pPr>
            <w:r w:rsidRPr="00A834F7">
              <w:t>Number of bed</w:t>
            </w:r>
            <w:r w:rsidR="007608D6">
              <w:t>rooms</w:t>
            </w:r>
          </w:p>
        </w:tc>
        <w:tc>
          <w:tcPr>
            <w:tcW w:w="1962" w:type="dxa"/>
          </w:tcPr>
          <w:p w14:paraId="0D060B95" w14:textId="77777777" w:rsidR="00A834F7" w:rsidRPr="00A834F7" w:rsidRDefault="00A834F7" w:rsidP="007608D6">
            <w:pPr>
              <w:pStyle w:val="Tablegridtext"/>
            </w:pPr>
            <w:r w:rsidRPr="00A834F7">
              <w:t>3.76</w:t>
            </w:r>
            <w:r w:rsidR="007608D6">
              <w:t xml:space="preserve"> bedrooms</w:t>
            </w:r>
          </w:p>
        </w:tc>
        <w:tc>
          <w:tcPr>
            <w:tcW w:w="1962" w:type="dxa"/>
          </w:tcPr>
          <w:p w14:paraId="3BF6FA51" w14:textId="77777777" w:rsidR="00A834F7" w:rsidRPr="00A834F7" w:rsidRDefault="00A834F7" w:rsidP="007608D6">
            <w:pPr>
              <w:pStyle w:val="Tablegridtext"/>
            </w:pPr>
            <w:r w:rsidRPr="00A834F7">
              <w:t>0.04</w:t>
            </w:r>
          </w:p>
        </w:tc>
      </w:tr>
    </w:tbl>
    <w:p w14:paraId="1A325582" w14:textId="5F4FDCF8" w:rsidR="00DD1199" w:rsidRDefault="00DD1199" w:rsidP="00DD1199">
      <w:pPr>
        <w:pStyle w:val="Datasource"/>
      </w:pPr>
      <w:r>
        <w:t>Source: Analysis of</w:t>
      </w:r>
      <w:r w:rsidR="004D4552">
        <w:t xml:space="preserve"> </w:t>
      </w:r>
      <w:r w:rsidR="00B83B99">
        <w:rPr>
          <w:noProof/>
        </w:rPr>
        <w:t xml:space="preserve">ABS </w:t>
      </w:r>
      <w:sdt>
        <w:sdtPr>
          <w:rPr>
            <w:noProof/>
          </w:rPr>
          <w:id w:val="2111616900"/>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r>
        <w:t xml:space="preserve"> Jackknife replication incorporating all survey data (17,768 observations) was used to estimate standard errors. </w:t>
      </w:r>
    </w:p>
    <w:p w14:paraId="4CB3BB3B" w14:textId="5E2D15DC" w:rsidR="00FB03B8" w:rsidRDefault="00FB03B8" w:rsidP="005167AA">
      <w:r>
        <w:t xml:space="preserve">The vast majority of the sample </w:t>
      </w:r>
      <w:r w:rsidR="00BD0C29">
        <w:t xml:space="preserve">in this analysis, </w:t>
      </w:r>
      <w:r>
        <w:t>are home owners with a mortgage, and living in a separate house. The average number of bedrooms is 3.8.</w:t>
      </w:r>
    </w:p>
    <w:p w14:paraId="18071360" w14:textId="5F2CF2F6" w:rsidR="00D262AA" w:rsidRDefault="00BB3738" w:rsidP="005167AA">
      <w:r>
        <w:t xml:space="preserve">A correlation matrix of these variables is </w:t>
      </w:r>
      <w:r w:rsidR="004D4552">
        <w:t>reported</w:t>
      </w:r>
      <w:r w:rsidR="00A74C68">
        <w:t xml:space="preserve"> </w:t>
      </w:r>
      <w:r>
        <w:t xml:space="preserve">in </w:t>
      </w:r>
      <w:r>
        <w:fldChar w:fldCharType="begin"/>
      </w:r>
      <w:r>
        <w:instrText xml:space="preserve"> REF _Ref518371723 \h </w:instrText>
      </w:r>
      <w:r>
        <w:fldChar w:fldCharType="separate"/>
      </w:r>
      <w:r w:rsidR="00092E14">
        <w:t xml:space="preserve">Table </w:t>
      </w:r>
      <w:r w:rsidR="00092E14">
        <w:rPr>
          <w:noProof/>
        </w:rPr>
        <w:t>4</w:t>
      </w:r>
      <w:r w:rsidR="00092E14">
        <w:noBreakHyphen/>
      </w:r>
      <w:r w:rsidR="00092E14">
        <w:rPr>
          <w:noProof/>
        </w:rPr>
        <w:t>4</w:t>
      </w:r>
      <w:r>
        <w:fldChar w:fldCharType="end"/>
      </w:r>
      <w:r>
        <w:t>. The relationships are consistent with expectations</w:t>
      </w:r>
      <w:r w:rsidR="00A74C68">
        <w:t>. T</w:t>
      </w:r>
      <w:r>
        <w:t xml:space="preserve">he strongest positive relationship (0.69) </w:t>
      </w:r>
      <w:r w:rsidR="003E0E45">
        <w:t>is</w:t>
      </w:r>
      <w:r w:rsidR="00A74C68">
        <w:t xml:space="preserve"> </w:t>
      </w:r>
      <w:r w:rsidR="00CC6234">
        <w:t xml:space="preserve">between </w:t>
      </w:r>
      <w:r>
        <w:t xml:space="preserve">separate house </w:t>
      </w:r>
      <w:r w:rsidR="00CC6234">
        <w:t>and</w:t>
      </w:r>
      <w:r>
        <w:t xml:space="preserve"> the number of bedrooms. </w:t>
      </w:r>
      <w:r w:rsidR="00CC6234">
        <w:t>T</w:t>
      </w:r>
      <w:r>
        <w:t xml:space="preserve">he </w:t>
      </w:r>
      <w:r w:rsidR="00A74C68">
        <w:t>strongest</w:t>
      </w:r>
      <w:r w:rsidR="00E63F55">
        <w:t xml:space="preserve"> </w:t>
      </w:r>
      <w:r>
        <w:t xml:space="preserve">negative relationship (-0.87) </w:t>
      </w:r>
      <w:r w:rsidR="00CC6234">
        <w:t xml:space="preserve">is between a </w:t>
      </w:r>
      <w:r>
        <w:t>flat/unit</w:t>
      </w:r>
      <w:r w:rsidR="003E0E45">
        <w:t>/</w:t>
      </w:r>
      <w:r>
        <w:t xml:space="preserve">caravan </w:t>
      </w:r>
      <w:r w:rsidR="00CC6234">
        <w:t>and</w:t>
      </w:r>
      <w:r>
        <w:t xml:space="preserve"> the number of bedrooms. </w:t>
      </w:r>
    </w:p>
    <w:p w14:paraId="627F17B9" w14:textId="52C485C1" w:rsidR="0093295B" w:rsidRDefault="0093295B" w:rsidP="0093295B">
      <w:r>
        <w:t xml:space="preserve">The first </w:t>
      </w:r>
      <w:r w:rsidR="00CC6234">
        <w:t>e</w:t>
      </w:r>
      <w:r>
        <w:t>igenvector and eigenvalue calculated from the correlation matrix</w:t>
      </w:r>
      <w:r w:rsidR="00A74C68">
        <w:t>,</w:t>
      </w:r>
      <w:r>
        <w:t xml:space="preserve"> are presented in </w:t>
      </w:r>
      <w:r>
        <w:fldChar w:fldCharType="begin"/>
      </w:r>
      <w:r>
        <w:instrText xml:space="preserve"> REF _Ref518372747 \h </w:instrText>
      </w:r>
      <w:r>
        <w:fldChar w:fldCharType="separate"/>
      </w:r>
      <w:r w:rsidR="00092E14">
        <w:t xml:space="preserve">Table </w:t>
      </w:r>
      <w:r w:rsidR="00092E14">
        <w:rPr>
          <w:noProof/>
        </w:rPr>
        <w:t>4</w:t>
      </w:r>
      <w:r w:rsidR="00092E14">
        <w:noBreakHyphen/>
      </w:r>
      <w:r w:rsidR="00092E14">
        <w:rPr>
          <w:noProof/>
        </w:rPr>
        <w:t>3</w:t>
      </w:r>
      <w:r>
        <w:fldChar w:fldCharType="end"/>
      </w:r>
      <w:r w:rsidR="003A2881">
        <w:t>. The eigenvector signs and magnitude are consistent with expectations</w:t>
      </w:r>
      <w:r w:rsidR="00A74C68">
        <w:t>. There</w:t>
      </w:r>
      <w:r w:rsidR="003A2881">
        <w:t xml:space="preserve"> is a p</w:t>
      </w:r>
      <w:r w:rsidRPr="00643AF0">
        <w:t xml:space="preserve">ositive eigenvector value for </w:t>
      </w:r>
      <w:r w:rsidR="003A2881">
        <w:t xml:space="preserve">the number of </w:t>
      </w:r>
      <w:r w:rsidRPr="00643AF0">
        <w:t>bedrooms</w:t>
      </w:r>
      <w:r w:rsidR="003A2881">
        <w:t xml:space="preserve"> and owners</w:t>
      </w:r>
      <w:r w:rsidR="00CC6234">
        <w:t xml:space="preserve"> (with and without a mortgage)</w:t>
      </w:r>
      <w:r w:rsidR="00A74C68">
        <w:t>. Conversely, there are</w:t>
      </w:r>
      <w:r w:rsidR="003A2881">
        <w:t xml:space="preserve"> negative values for where the dwelling structure </w:t>
      </w:r>
      <w:r w:rsidR="00CC6234">
        <w:t xml:space="preserve">is </w:t>
      </w:r>
      <w:r w:rsidRPr="00643AF0">
        <w:t xml:space="preserve">semi-detached </w:t>
      </w:r>
      <w:r w:rsidR="00A74C68">
        <w:t xml:space="preserve">is </w:t>
      </w:r>
      <w:r w:rsidR="00CC6234">
        <w:t>a</w:t>
      </w:r>
      <w:r w:rsidRPr="00643AF0">
        <w:t xml:space="preserve"> flat/unit/caravan</w:t>
      </w:r>
      <w:r w:rsidR="003A2881">
        <w:t xml:space="preserve">, </w:t>
      </w:r>
      <w:r w:rsidR="00A74C68">
        <w:t xml:space="preserve">or </w:t>
      </w:r>
      <w:r w:rsidR="003A2881">
        <w:t xml:space="preserve">renters. </w:t>
      </w:r>
    </w:p>
    <w:p w14:paraId="40BE09D8" w14:textId="77777777" w:rsidR="003A2881" w:rsidRDefault="003A2881" w:rsidP="0093295B">
      <w:r>
        <w:t xml:space="preserve">The eigenvalue of 3.94 (56%), indicates that the first eigenvector represents 56 per cent of the variance within the seven proxy wealth variables. </w:t>
      </w:r>
    </w:p>
    <w:p w14:paraId="558C840D" w14:textId="0279409A" w:rsidR="0093295B" w:rsidRDefault="0093295B" w:rsidP="0093295B">
      <w:pPr>
        <w:pStyle w:val="Caption"/>
      </w:pPr>
      <w:bookmarkStart w:id="49" w:name="_Ref518372747"/>
      <w:bookmarkStart w:id="50" w:name="_Toc518645974"/>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3</w:t>
      </w:r>
      <w:r w:rsidR="0081675E">
        <w:rPr>
          <w:noProof/>
        </w:rPr>
        <w:fldChar w:fldCharType="end"/>
      </w:r>
      <w:bookmarkEnd w:id="49"/>
      <w:r>
        <w:t xml:space="preserve">: Proxy wealth variables – first </w:t>
      </w:r>
      <w:r w:rsidR="003C5ABF">
        <w:t>e</w:t>
      </w:r>
      <w:r>
        <w:t>igenvector and eigenvalue</w:t>
      </w:r>
      <w:bookmarkEnd w:id="50"/>
    </w:p>
    <w:tbl>
      <w:tblPr>
        <w:tblStyle w:val="TableGrid"/>
        <w:tblW w:w="9072" w:type="dxa"/>
        <w:tblLook w:val="04A0" w:firstRow="1" w:lastRow="0" w:firstColumn="1" w:lastColumn="0" w:noHBand="0" w:noVBand="1"/>
        <w:tblCaption w:val="Proxy wealth variables – first eigenvector and eigenvalue"/>
        <w:tblDescription w:val="This is a table that shows how the first eigenvector and eigenvalue are calculated from a correlation matrix. As explained in the text above there is a positive eigenvector value for the number of bedrooms and owners, and conversely a negative values for semi-detached dwellings, or renters. &#10;"/>
      </w:tblPr>
      <w:tblGrid>
        <w:gridCol w:w="4536"/>
        <w:gridCol w:w="4536"/>
      </w:tblGrid>
      <w:tr w:rsidR="0093295B" w:rsidRPr="005167AA" w14:paraId="68C29864" w14:textId="77777777" w:rsidTr="00E82694">
        <w:trPr>
          <w:cnfStyle w:val="100000000000" w:firstRow="1" w:lastRow="0" w:firstColumn="0" w:lastColumn="0" w:oddVBand="0" w:evenVBand="0" w:oddHBand="0" w:evenHBand="0" w:firstRowFirstColumn="0" w:firstRowLastColumn="0" w:lastRowFirstColumn="0" w:lastRowLastColumn="0"/>
          <w:tblHeader/>
        </w:trPr>
        <w:tc>
          <w:tcPr>
            <w:tcW w:w="4536" w:type="dxa"/>
          </w:tcPr>
          <w:p w14:paraId="0AB2C5BC" w14:textId="77777777" w:rsidR="0093295B" w:rsidRPr="005167AA" w:rsidRDefault="0093295B" w:rsidP="0080145C">
            <w:pPr>
              <w:pStyle w:val="Tablegridheading"/>
            </w:pPr>
            <w:r>
              <w:t>Variables</w:t>
            </w:r>
          </w:p>
        </w:tc>
        <w:tc>
          <w:tcPr>
            <w:tcW w:w="4536" w:type="dxa"/>
          </w:tcPr>
          <w:p w14:paraId="07587D11" w14:textId="77777777" w:rsidR="0093295B" w:rsidRPr="005167AA" w:rsidRDefault="003A2881" w:rsidP="0080145C">
            <w:pPr>
              <w:pStyle w:val="Tablegridheading"/>
            </w:pPr>
            <w:r>
              <w:t>First e</w:t>
            </w:r>
            <w:r w:rsidR="0093295B">
              <w:t>igenvector</w:t>
            </w:r>
          </w:p>
        </w:tc>
      </w:tr>
      <w:tr w:rsidR="0093295B" w:rsidRPr="005167AA" w14:paraId="7FB202DC" w14:textId="77777777" w:rsidTr="0093295B">
        <w:tc>
          <w:tcPr>
            <w:tcW w:w="4536" w:type="dxa"/>
          </w:tcPr>
          <w:p w14:paraId="0C5D1C68" w14:textId="77777777" w:rsidR="0093295B" w:rsidRPr="005167AA" w:rsidRDefault="0093295B" w:rsidP="0080145C">
            <w:pPr>
              <w:pStyle w:val="Tablegridtext"/>
            </w:pPr>
            <w:r w:rsidRPr="005167AA">
              <w:t>Number of bedrooms</w:t>
            </w:r>
          </w:p>
        </w:tc>
        <w:tc>
          <w:tcPr>
            <w:tcW w:w="4536" w:type="dxa"/>
            <w:vAlign w:val="top"/>
          </w:tcPr>
          <w:p w14:paraId="6B1780B8" w14:textId="77777777" w:rsidR="0093295B" w:rsidRPr="008D1DCB" w:rsidRDefault="0093295B" w:rsidP="0080145C">
            <w:pPr>
              <w:pStyle w:val="Tablegridtext"/>
            </w:pPr>
            <w:r w:rsidRPr="008D1DCB">
              <w:t>0.3797</w:t>
            </w:r>
          </w:p>
        </w:tc>
      </w:tr>
      <w:tr w:rsidR="0093295B" w:rsidRPr="005167AA" w14:paraId="5C5298DF" w14:textId="77777777" w:rsidTr="0093295B">
        <w:tc>
          <w:tcPr>
            <w:tcW w:w="4536" w:type="dxa"/>
          </w:tcPr>
          <w:p w14:paraId="6B24A10A" w14:textId="77777777" w:rsidR="0093295B" w:rsidRPr="005167AA" w:rsidRDefault="0093295B" w:rsidP="0080145C">
            <w:pPr>
              <w:pStyle w:val="Tablegridtext"/>
            </w:pPr>
            <w:r w:rsidRPr="005167AA">
              <w:t>Tenure: Owner without a mortgage</w:t>
            </w:r>
          </w:p>
        </w:tc>
        <w:tc>
          <w:tcPr>
            <w:tcW w:w="4536" w:type="dxa"/>
            <w:vAlign w:val="top"/>
          </w:tcPr>
          <w:p w14:paraId="7742E4DB" w14:textId="77777777" w:rsidR="0093295B" w:rsidRPr="008D1DCB" w:rsidRDefault="0093295B" w:rsidP="0080145C">
            <w:pPr>
              <w:pStyle w:val="Tablegridtext"/>
            </w:pPr>
            <w:r w:rsidRPr="008D1DCB">
              <w:t>0.2784</w:t>
            </w:r>
          </w:p>
        </w:tc>
      </w:tr>
      <w:tr w:rsidR="0093295B" w:rsidRPr="005167AA" w14:paraId="3004576D" w14:textId="77777777" w:rsidTr="0093295B">
        <w:tc>
          <w:tcPr>
            <w:tcW w:w="4536" w:type="dxa"/>
          </w:tcPr>
          <w:p w14:paraId="67BF91D4" w14:textId="77777777" w:rsidR="0093295B" w:rsidRPr="005167AA" w:rsidRDefault="0093295B" w:rsidP="0080145C">
            <w:pPr>
              <w:pStyle w:val="Tablegridtext"/>
            </w:pPr>
            <w:r w:rsidRPr="005167AA">
              <w:t>Tenure: Owner with a mortgage</w:t>
            </w:r>
          </w:p>
        </w:tc>
        <w:tc>
          <w:tcPr>
            <w:tcW w:w="4536" w:type="dxa"/>
            <w:vAlign w:val="top"/>
          </w:tcPr>
          <w:p w14:paraId="3B4A64A8" w14:textId="77777777" w:rsidR="0093295B" w:rsidRPr="008D1DCB" w:rsidRDefault="0093295B" w:rsidP="0080145C">
            <w:pPr>
              <w:pStyle w:val="Tablegridtext"/>
            </w:pPr>
            <w:r w:rsidRPr="008D1DCB">
              <w:t>0.2780</w:t>
            </w:r>
          </w:p>
        </w:tc>
      </w:tr>
      <w:tr w:rsidR="0093295B" w:rsidRPr="005167AA" w14:paraId="6F57D0A0" w14:textId="77777777" w:rsidTr="0093295B">
        <w:tc>
          <w:tcPr>
            <w:tcW w:w="4536" w:type="dxa"/>
          </w:tcPr>
          <w:p w14:paraId="319AB4A2" w14:textId="77777777" w:rsidR="0093295B" w:rsidRPr="005167AA" w:rsidRDefault="0093295B" w:rsidP="0080145C">
            <w:pPr>
              <w:pStyle w:val="Tablegridtext"/>
            </w:pPr>
            <w:r w:rsidRPr="005167AA">
              <w:t>Tenure: Renter/Other</w:t>
            </w:r>
          </w:p>
        </w:tc>
        <w:tc>
          <w:tcPr>
            <w:tcW w:w="4536" w:type="dxa"/>
            <w:vAlign w:val="top"/>
          </w:tcPr>
          <w:p w14:paraId="171081FF" w14:textId="77777777" w:rsidR="0093295B" w:rsidRPr="008D1DCB" w:rsidRDefault="0093295B" w:rsidP="0080145C">
            <w:pPr>
              <w:pStyle w:val="Tablegridtext"/>
            </w:pPr>
            <w:r w:rsidRPr="008D1DCB">
              <w:t>-0.4763</w:t>
            </w:r>
          </w:p>
        </w:tc>
      </w:tr>
      <w:tr w:rsidR="0093295B" w:rsidRPr="005167AA" w14:paraId="323870CA" w14:textId="77777777" w:rsidTr="0093295B">
        <w:tc>
          <w:tcPr>
            <w:tcW w:w="4536" w:type="dxa"/>
          </w:tcPr>
          <w:p w14:paraId="16EB84C9" w14:textId="77777777" w:rsidR="0093295B" w:rsidRPr="005167AA" w:rsidRDefault="0093295B" w:rsidP="0080145C">
            <w:pPr>
              <w:pStyle w:val="Tablegridtext"/>
            </w:pPr>
            <w:r w:rsidRPr="005167AA">
              <w:t>Dwelling structure: Separate house</w:t>
            </w:r>
          </w:p>
        </w:tc>
        <w:tc>
          <w:tcPr>
            <w:tcW w:w="4536" w:type="dxa"/>
            <w:vAlign w:val="top"/>
          </w:tcPr>
          <w:p w14:paraId="6451D3D5" w14:textId="77777777" w:rsidR="0093295B" w:rsidRPr="008D1DCB" w:rsidRDefault="0093295B" w:rsidP="0080145C">
            <w:pPr>
              <w:pStyle w:val="Tablegridtext"/>
            </w:pPr>
            <w:r w:rsidRPr="008D1DCB">
              <w:t>0.4732</w:t>
            </w:r>
          </w:p>
        </w:tc>
      </w:tr>
      <w:tr w:rsidR="0093295B" w:rsidRPr="005167AA" w14:paraId="012A3511" w14:textId="77777777" w:rsidTr="0093295B">
        <w:tc>
          <w:tcPr>
            <w:tcW w:w="4536" w:type="dxa"/>
          </w:tcPr>
          <w:p w14:paraId="3A4BCA21" w14:textId="77777777" w:rsidR="0093295B" w:rsidRPr="005167AA" w:rsidRDefault="0093295B" w:rsidP="0080145C">
            <w:pPr>
              <w:pStyle w:val="Tablegridtext"/>
            </w:pPr>
            <w:r w:rsidRPr="005167AA">
              <w:t>Dwelling structure: Semi-detached</w:t>
            </w:r>
          </w:p>
        </w:tc>
        <w:tc>
          <w:tcPr>
            <w:tcW w:w="4536" w:type="dxa"/>
            <w:vAlign w:val="top"/>
          </w:tcPr>
          <w:p w14:paraId="0896182D" w14:textId="77777777" w:rsidR="0093295B" w:rsidRPr="008D1DCB" w:rsidRDefault="0093295B" w:rsidP="0080145C">
            <w:pPr>
              <w:pStyle w:val="Tablegridtext"/>
            </w:pPr>
            <w:r w:rsidRPr="008D1DCB">
              <w:t>-0.2016</w:t>
            </w:r>
          </w:p>
        </w:tc>
      </w:tr>
      <w:tr w:rsidR="0093295B" w:rsidRPr="005167AA" w14:paraId="184CEE9A" w14:textId="77777777" w:rsidTr="0093295B">
        <w:tc>
          <w:tcPr>
            <w:tcW w:w="4536" w:type="dxa"/>
          </w:tcPr>
          <w:p w14:paraId="4B4281ED" w14:textId="35CE28FC" w:rsidR="0093295B" w:rsidRPr="005167AA" w:rsidRDefault="0093295B" w:rsidP="0080145C">
            <w:pPr>
              <w:pStyle w:val="Tablegridtext"/>
            </w:pPr>
            <w:r w:rsidRPr="005167AA">
              <w:t>Dwelling structure: Flat/</w:t>
            </w:r>
            <w:r w:rsidR="00966289">
              <w:t>U</w:t>
            </w:r>
            <w:r w:rsidRPr="005167AA">
              <w:t>nit/Caravan</w:t>
            </w:r>
          </w:p>
        </w:tc>
        <w:tc>
          <w:tcPr>
            <w:tcW w:w="4536" w:type="dxa"/>
            <w:vAlign w:val="top"/>
          </w:tcPr>
          <w:p w14:paraId="517F3624" w14:textId="77777777" w:rsidR="0093295B" w:rsidRPr="008D1DCB" w:rsidRDefault="0093295B" w:rsidP="0080145C">
            <w:pPr>
              <w:pStyle w:val="Tablegridtext"/>
            </w:pPr>
            <w:r w:rsidRPr="008D1DCB">
              <w:t>-0.4578</w:t>
            </w:r>
          </w:p>
        </w:tc>
      </w:tr>
      <w:tr w:rsidR="0093295B" w:rsidRPr="005167AA" w14:paraId="0050140C" w14:textId="77777777" w:rsidTr="0093295B">
        <w:tc>
          <w:tcPr>
            <w:tcW w:w="4536" w:type="dxa"/>
          </w:tcPr>
          <w:p w14:paraId="5A6A5685" w14:textId="7BE8A7AB" w:rsidR="0093295B" w:rsidRPr="005167AA" w:rsidRDefault="0093295B" w:rsidP="0080145C">
            <w:pPr>
              <w:pStyle w:val="Tablegridheading2"/>
            </w:pPr>
            <w:r>
              <w:t>Eigenvalue</w:t>
            </w:r>
            <w:r w:rsidR="00E63F55">
              <w:t xml:space="preserve"> </w:t>
            </w:r>
          </w:p>
        </w:tc>
        <w:tc>
          <w:tcPr>
            <w:tcW w:w="4536" w:type="dxa"/>
            <w:vAlign w:val="top"/>
          </w:tcPr>
          <w:p w14:paraId="3C861E95" w14:textId="77777777" w:rsidR="0093295B" w:rsidRPr="008D1DCB" w:rsidRDefault="0093295B" w:rsidP="0080145C">
            <w:pPr>
              <w:pStyle w:val="Tablegridheading2"/>
            </w:pPr>
            <w:r w:rsidRPr="00A54EF4">
              <w:t>3.938</w:t>
            </w:r>
            <w:r>
              <w:t>2 (56%)</w:t>
            </w:r>
          </w:p>
        </w:tc>
      </w:tr>
    </w:tbl>
    <w:p w14:paraId="1B1DC2A4" w14:textId="4E9A3FF9" w:rsidR="003A2881" w:rsidRDefault="003A2881" w:rsidP="003A2881">
      <w:pPr>
        <w:pStyle w:val="Datasource"/>
      </w:pPr>
      <w:r>
        <w:t xml:space="preserve">Source: Analysis of </w:t>
      </w:r>
      <w:r w:rsidR="00B83B99">
        <w:rPr>
          <w:noProof/>
        </w:rPr>
        <w:t xml:space="preserve">ABS </w:t>
      </w:r>
      <w:sdt>
        <w:sdtPr>
          <w:rPr>
            <w:noProof/>
          </w:rPr>
          <w:id w:val="1185173841"/>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06F99F2F" w14:textId="77777777" w:rsidR="004D4552" w:rsidRDefault="004D4552" w:rsidP="004D4552">
      <w:r>
        <w:t xml:space="preserve">The eigenvectors, in conjunction with standardised values of the original variables, are used to calculate a proxy wealth score. This score was then standardised to have an average of 100 and standard deviation of 15. </w:t>
      </w:r>
    </w:p>
    <w:p w14:paraId="315C82C1" w14:textId="2CBF9340" w:rsidR="004D4552" w:rsidRPr="006B4042" w:rsidRDefault="004D4552" w:rsidP="004D4552">
      <w:r w:rsidRPr="006B4042">
        <w:t xml:space="preserve">The </w:t>
      </w:r>
      <w:r w:rsidR="003E0E45">
        <w:t xml:space="preserve">three sets of peaks in the </w:t>
      </w:r>
      <w:r w:rsidRPr="006B4042">
        <w:t xml:space="preserve">distribution of </w:t>
      </w:r>
      <w:r>
        <w:t xml:space="preserve">the </w:t>
      </w:r>
      <w:r w:rsidRPr="006B4042">
        <w:t xml:space="preserve">resulting </w:t>
      </w:r>
      <w:r>
        <w:t>proxy w</w:t>
      </w:r>
      <w:r w:rsidRPr="006B4042">
        <w:t xml:space="preserve">ealth </w:t>
      </w:r>
      <w:r>
        <w:t>score</w:t>
      </w:r>
      <w:r w:rsidRPr="006B4042">
        <w:t xml:space="preserve"> highlights</w:t>
      </w:r>
      <w:r>
        <w:t xml:space="preserve"> th</w:t>
      </w:r>
      <w:r w:rsidR="003E0E45">
        <w:t>e</w:t>
      </w:r>
      <w:r>
        <w:t xml:space="preserve"> </w:t>
      </w:r>
      <w:r w:rsidRPr="006B4042">
        <w:t xml:space="preserve">influence </w:t>
      </w:r>
      <w:r w:rsidR="003E0E45">
        <w:t xml:space="preserve">of </w:t>
      </w:r>
      <w:r w:rsidRPr="006B4042">
        <w:t>binary variables</w:t>
      </w:r>
      <w:r>
        <w:t xml:space="preserve"> (see </w:t>
      </w:r>
      <w:r>
        <w:fldChar w:fldCharType="begin"/>
      </w:r>
      <w:r>
        <w:instrText xml:space="preserve"> REF _Ref518377457 \h </w:instrText>
      </w:r>
      <w:r>
        <w:fldChar w:fldCharType="separate"/>
      </w:r>
      <w:r>
        <w:t xml:space="preserve">Figure </w:t>
      </w:r>
      <w:r>
        <w:rPr>
          <w:noProof/>
        </w:rPr>
        <w:t>4</w:t>
      </w:r>
      <w:r>
        <w:noBreakHyphen/>
      </w:r>
      <w:r>
        <w:rPr>
          <w:noProof/>
        </w:rPr>
        <w:t>2</w:t>
      </w:r>
      <w:r>
        <w:fldChar w:fldCharType="end"/>
      </w:r>
      <w:r>
        <w:t xml:space="preserve">). More significantly, the differences between sectors for net wealth presented in </w:t>
      </w:r>
      <w:r>
        <w:fldChar w:fldCharType="begin"/>
      </w:r>
      <w:r>
        <w:instrText xml:space="preserve"> REF _Ref518370685 \h </w:instrText>
      </w:r>
      <w:r>
        <w:fldChar w:fldCharType="separate"/>
      </w:r>
      <w:r>
        <w:t xml:space="preserve">Table </w:t>
      </w:r>
      <w:r>
        <w:rPr>
          <w:noProof/>
        </w:rPr>
        <w:t>4</w:t>
      </w:r>
      <w:r>
        <w:noBreakHyphen/>
      </w:r>
      <w:r>
        <w:rPr>
          <w:noProof/>
        </w:rPr>
        <w:t>1</w:t>
      </w:r>
      <w:r>
        <w:fldChar w:fldCharType="end"/>
      </w:r>
      <w:r>
        <w:t xml:space="preserve"> is not apparent in the </w:t>
      </w:r>
      <w:r w:rsidR="003E0E45">
        <w:t>proxy w</w:t>
      </w:r>
      <w:r w:rsidR="003E0E45" w:rsidRPr="006B4042">
        <w:t xml:space="preserve">ealth </w:t>
      </w:r>
      <w:r w:rsidR="003E0E45">
        <w:t>score</w:t>
      </w:r>
      <w:r>
        <w:t xml:space="preserve">, with the average and median values near identical for both sectors. </w:t>
      </w:r>
    </w:p>
    <w:p w14:paraId="0F5D906B" w14:textId="1C9335EE" w:rsidR="003E0E45" w:rsidRDefault="003E0E45" w:rsidP="003E0E45">
      <w:r>
        <w:t xml:space="preserve">Interpretation of the proxy wealth score is supported by examining the correlation between the original variables and the resulting proxy wealth score (unstandardised). This correlation analysis is reported in </w:t>
      </w:r>
      <w:r>
        <w:fldChar w:fldCharType="begin"/>
      </w:r>
      <w:r>
        <w:instrText xml:space="preserve"> REF _Ref518377346 \h </w:instrText>
      </w:r>
      <w:r>
        <w:fldChar w:fldCharType="separate"/>
      </w:r>
      <w:r>
        <w:t xml:space="preserve">Table </w:t>
      </w:r>
      <w:r>
        <w:rPr>
          <w:noProof/>
        </w:rPr>
        <w:t>4</w:t>
      </w:r>
      <w:r>
        <w:noBreakHyphen/>
      </w:r>
      <w:r>
        <w:rPr>
          <w:noProof/>
        </w:rPr>
        <w:t>5</w:t>
      </w:r>
      <w:r>
        <w:fldChar w:fldCharType="end"/>
      </w:r>
      <w:r>
        <w:t xml:space="preserve">. The analysis shows that the proxy wealth score increases with the number of bedrooms, along with whether the tenure type is owner, and whether the respondent is living in a separate house. Other variables are negative, with the strongest negative relationship represented where tenure type is renter/other. </w:t>
      </w:r>
    </w:p>
    <w:p w14:paraId="5FC0BC7C" w14:textId="77777777" w:rsidR="00742169" w:rsidRDefault="00742169" w:rsidP="005167AA"/>
    <w:p w14:paraId="000BBE0A" w14:textId="77777777" w:rsidR="00742169" w:rsidRDefault="00742169" w:rsidP="005167AA">
      <w:pPr>
        <w:sectPr w:rsidR="00742169" w:rsidSect="004F2C80">
          <w:headerReference w:type="default" r:id="rId18"/>
          <w:footerReference w:type="default" r:id="rId19"/>
          <w:pgSz w:w="11907" w:h="16839" w:code="9"/>
          <w:pgMar w:top="1440" w:right="1440" w:bottom="1440" w:left="1440" w:header="720" w:footer="720" w:gutter="0"/>
          <w:pgNumType w:start="1"/>
          <w:cols w:space="720"/>
          <w:noEndnote/>
          <w:docGrid w:linePitch="326"/>
        </w:sectPr>
      </w:pPr>
    </w:p>
    <w:p w14:paraId="5D8622B4" w14:textId="56BC3DB7" w:rsidR="00742169" w:rsidRDefault="00742169" w:rsidP="00742169">
      <w:pPr>
        <w:pStyle w:val="Caption"/>
      </w:pPr>
      <w:bookmarkStart w:id="51" w:name="_Ref518371723"/>
      <w:bookmarkStart w:id="52" w:name="_Toc518645975"/>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4</w:t>
      </w:r>
      <w:r w:rsidR="0081675E">
        <w:rPr>
          <w:noProof/>
        </w:rPr>
        <w:fldChar w:fldCharType="end"/>
      </w:r>
      <w:bookmarkEnd w:id="51"/>
      <w:r>
        <w:t>: Correlation matrix</w:t>
      </w:r>
      <w:r w:rsidR="00BB3738">
        <w:t>: proxy wealth measure elements</w:t>
      </w:r>
      <w:bookmarkEnd w:id="52"/>
    </w:p>
    <w:tbl>
      <w:tblPr>
        <w:tblStyle w:val="TableGrid"/>
        <w:tblW w:w="14034" w:type="dxa"/>
        <w:tblLayout w:type="fixed"/>
        <w:tblLook w:val="04A0" w:firstRow="1" w:lastRow="0" w:firstColumn="1" w:lastColumn="0" w:noHBand="0" w:noVBand="1"/>
        <w:tblCaption w:val="Correlation matrix: proxy wealth measure elements"/>
        <w:tblDescription w:val="This is a correlation matrix of the elements of proxy wealth measures. As discussed in the text, the relationships are consistent with expectations. The strongest positive relationship (0.69) is between separate house and the number of bedrooms. The strongest negative relationship (-0.87) is between a flat/unit/caravan and the number of bedrooms.&#10;"/>
      </w:tblPr>
      <w:tblGrid>
        <w:gridCol w:w="2127"/>
        <w:gridCol w:w="1701"/>
        <w:gridCol w:w="1701"/>
        <w:gridCol w:w="1701"/>
        <w:gridCol w:w="1701"/>
        <w:gridCol w:w="1701"/>
        <w:gridCol w:w="1701"/>
        <w:gridCol w:w="1701"/>
      </w:tblGrid>
      <w:tr w:rsidR="00742169" w:rsidRPr="00742169" w14:paraId="0E7E4569" w14:textId="77777777" w:rsidTr="00586E30">
        <w:trPr>
          <w:cnfStyle w:val="100000000000" w:firstRow="1" w:lastRow="0" w:firstColumn="0" w:lastColumn="0" w:oddVBand="0" w:evenVBand="0" w:oddHBand="0" w:evenHBand="0" w:firstRowFirstColumn="0" w:firstRowLastColumn="0" w:lastRowFirstColumn="0" w:lastRowLastColumn="0"/>
          <w:tblHeader/>
        </w:trPr>
        <w:tc>
          <w:tcPr>
            <w:tcW w:w="2127" w:type="dxa"/>
          </w:tcPr>
          <w:p w14:paraId="7DEE3F83" w14:textId="77777777" w:rsidR="00742169" w:rsidRPr="00742169" w:rsidRDefault="00742169" w:rsidP="00742169">
            <w:pPr>
              <w:pStyle w:val="Tablegridheading"/>
            </w:pPr>
          </w:p>
        </w:tc>
        <w:tc>
          <w:tcPr>
            <w:tcW w:w="1701" w:type="dxa"/>
          </w:tcPr>
          <w:p w14:paraId="38077030" w14:textId="77777777" w:rsidR="00742169" w:rsidRPr="00742169" w:rsidRDefault="00742169" w:rsidP="00742169">
            <w:pPr>
              <w:pStyle w:val="Tablegridheading"/>
            </w:pPr>
            <w:r w:rsidRPr="00742169">
              <w:t>Number of bedrooms</w:t>
            </w:r>
          </w:p>
        </w:tc>
        <w:tc>
          <w:tcPr>
            <w:tcW w:w="1701" w:type="dxa"/>
          </w:tcPr>
          <w:p w14:paraId="1067B4FC" w14:textId="77777777" w:rsidR="00742169" w:rsidRPr="00742169" w:rsidRDefault="00742169" w:rsidP="00742169">
            <w:pPr>
              <w:pStyle w:val="Tablegridheading"/>
            </w:pPr>
            <w:r w:rsidRPr="00742169">
              <w:t>Tenure</w:t>
            </w:r>
            <w:r w:rsidR="00BB3738">
              <w:t xml:space="preserve"> type</w:t>
            </w:r>
            <w:r w:rsidRPr="00742169">
              <w:t>: Owner without a mortgage</w:t>
            </w:r>
          </w:p>
        </w:tc>
        <w:tc>
          <w:tcPr>
            <w:tcW w:w="1701" w:type="dxa"/>
          </w:tcPr>
          <w:p w14:paraId="7596EF53" w14:textId="77777777" w:rsidR="00742169" w:rsidRPr="00742169" w:rsidRDefault="00742169" w:rsidP="00742169">
            <w:pPr>
              <w:pStyle w:val="Tablegridheading"/>
            </w:pPr>
            <w:r w:rsidRPr="00742169">
              <w:t>Tenure</w:t>
            </w:r>
            <w:r w:rsidR="00BB3738">
              <w:t xml:space="preserve"> type</w:t>
            </w:r>
            <w:r w:rsidRPr="00742169">
              <w:t>: Owner with a mortgage</w:t>
            </w:r>
          </w:p>
        </w:tc>
        <w:tc>
          <w:tcPr>
            <w:tcW w:w="1701" w:type="dxa"/>
          </w:tcPr>
          <w:p w14:paraId="3A6843CE" w14:textId="77777777" w:rsidR="00742169" w:rsidRPr="00742169" w:rsidRDefault="00742169" w:rsidP="00742169">
            <w:pPr>
              <w:pStyle w:val="Tablegridheading"/>
            </w:pPr>
            <w:r w:rsidRPr="00742169">
              <w:t>Tenure</w:t>
            </w:r>
            <w:r w:rsidR="00BB3738">
              <w:t xml:space="preserve"> type</w:t>
            </w:r>
            <w:r w:rsidRPr="00742169">
              <w:t>: Renter/Other</w:t>
            </w:r>
          </w:p>
        </w:tc>
        <w:tc>
          <w:tcPr>
            <w:tcW w:w="1701" w:type="dxa"/>
          </w:tcPr>
          <w:p w14:paraId="4CFE0B07" w14:textId="77777777" w:rsidR="00742169" w:rsidRPr="00742169" w:rsidRDefault="00742169" w:rsidP="00742169">
            <w:pPr>
              <w:pStyle w:val="Tablegridheading"/>
            </w:pPr>
            <w:r w:rsidRPr="00742169">
              <w:t>Dwelling structure: Separate house</w:t>
            </w:r>
          </w:p>
        </w:tc>
        <w:tc>
          <w:tcPr>
            <w:tcW w:w="1701" w:type="dxa"/>
          </w:tcPr>
          <w:p w14:paraId="48F9F98A" w14:textId="77777777" w:rsidR="00742169" w:rsidRPr="00742169" w:rsidRDefault="00742169" w:rsidP="00742169">
            <w:pPr>
              <w:pStyle w:val="Tablegridheading"/>
            </w:pPr>
            <w:r w:rsidRPr="00742169">
              <w:t>Dwelling structure: Semi-detached</w:t>
            </w:r>
          </w:p>
        </w:tc>
        <w:tc>
          <w:tcPr>
            <w:tcW w:w="1701" w:type="dxa"/>
          </w:tcPr>
          <w:p w14:paraId="38E6EF7C" w14:textId="60C8631E" w:rsidR="00742169" w:rsidRPr="00742169" w:rsidRDefault="00742169" w:rsidP="00742169">
            <w:pPr>
              <w:pStyle w:val="Tablegridheading"/>
            </w:pPr>
            <w:r w:rsidRPr="00742169">
              <w:t>Dwelling structure: Flat/</w:t>
            </w:r>
            <w:r w:rsidR="00D43729">
              <w:t>U</w:t>
            </w:r>
            <w:r w:rsidRPr="00742169">
              <w:t>nit/</w:t>
            </w:r>
            <w:r w:rsidR="00643AF0">
              <w:br/>
            </w:r>
            <w:r w:rsidRPr="00742169">
              <w:t>Caravan</w:t>
            </w:r>
          </w:p>
        </w:tc>
      </w:tr>
      <w:tr w:rsidR="00F570F6" w:rsidRPr="00742169" w14:paraId="1B8B2311" w14:textId="77777777" w:rsidTr="00C6713C">
        <w:tc>
          <w:tcPr>
            <w:tcW w:w="2127" w:type="dxa"/>
          </w:tcPr>
          <w:p w14:paraId="1D398D10" w14:textId="77777777" w:rsidR="00F570F6" w:rsidRPr="00742169" w:rsidRDefault="00F570F6" w:rsidP="00F570F6">
            <w:pPr>
              <w:pStyle w:val="Tablegridheading"/>
            </w:pPr>
            <w:r w:rsidRPr="00742169">
              <w:t>Number of bedrooms</w:t>
            </w:r>
          </w:p>
        </w:tc>
        <w:tc>
          <w:tcPr>
            <w:tcW w:w="1701" w:type="dxa"/>
            <w:vAlign w:val="top"/>
          </w:tcPr>
          <w:p w14:paraId="43E54FF7" w14:textId="77777777" w:rsidR="00F570F6" w:rsidRPr="00947B01" w:rsidRDefault="00F570F6" w:rsidP="00F570F6">
            <w:r w:rsidRPr="00947B01">
              <w:t>1</w:t>
            </w:r>
          </w:p>
        </w:tc>
        <w:tc>
          <w:tcPr>
            <w:tcW w:w="1701" w:type="dxa"/>
            <w:shd w:val="thinDiagStripe" w:color="auto" w:fill="auto"/>
            <w:vAlign w:val="top"/>
          </w:tcPr>
          <w:p w14:paraId="4F399690" w14:textId="77777777" w:rsidR="00F570F6" w:rsidRPr="00947B01" w:rsidRDefault="00F570F6" w:rsidP="00F570F6"/>
        </w:tc>
        <w:tc>
          <w:tcPr>
            <w:tcW w:w="1701" w:type="dxa"/>
            <w:tcBorders>
              <w:bottom w:val="single" w:sz="4" w:space="0" w:color="auto"/>
            </w:tcBorders>
            <w:shd w:val="thinDiagStripe" w:color="auto" w:fill="auto"/>
            <w:vAlign w:val="top"/>
          </w:tcPr>
          <w:p w14:paraId="6F51F85D" w14:textId="77777777" w:rsidR="00F570F6" w:rsidRPr="00947B01" w:rsidRDefault="00F570F6" w:rsidP="00F570F6"/>
        </w:tc>
        <w:tc>
          <w:tcPr>
            <w:tcW w:w="1701" w:type="dxa"/>
            <w:tcBorders>
              <w:bottom w:val="single" w:sz="4" w:space="0" w:color="auto"/>
            </w:tcBorders>
            <w:shd w:val="thinDiagStripe" w:color="auto" w:fill="auto"/>
            <w:vAlign w:val="top"/>
          </w:tcPr>
          <w:p w14:paraId="36B1F0C3" w14:textId="77777777" w:rsidR="00F570F6" w:rsidRPr="00947B01" w:rsidRDefault="00F570F6" w:rsidP="00F570F6"/>
        </w:tc>
        <w:tc>
          <w:tcPr>
            <w:tcW w:w="1701" w:type="dxa"/>
            <w:tcBorders>
              <w:bottom w:val="single" w:sz="4" w:space="0" w:color="auto"/>
            </w:tcBorders>
            <w:shd w:val="thinDiagStripe" w:color="auto" w:fill="auto"/>
            <w:vAlign w:val="top"/>
          </w:tcPr>
          <w:p w14:paraId="636E2EBF" w14:textId="77777777" w:rsidR="00F570F6" w:rsidRPr="00947B01" w:rsidRDefault="00F570F6" w:rsidP="00F570F6"/>
        </w:tc>
        <w:tc>
          <w:tcPr>
            <w:tcW w:w="1701" w:type="dxa"/>
            <w:tcBorders>
              <w:bottom w:val="single" w:sz="4" w:space="0" w:color="auto"/>
            </w:tcBorders>
            <w:shd w:val="thinDiagStripe" w:color="auto" w:fill="auto"/>
            <w:vAlign w:val="top"/>
          </w:tcPr>
          <w:p w14:paraId="15044149" w14:textId="77777777" w:rsidR="00F570F6" w:rsidRPr="00947B01" w:rsidRDefault="00F570F6" w:rsidP="00F570F6"/>
        </w:tc>
        <w:tc>
          <w:tcPr>
            <w:tcW w:w="1701" w:type="dxa"/>
            <w:tcBorders>
              <w:bottom w:val="single" w:sz="4" w:space="0" w:color="auto"/>
            </w:tcBorders>
            <w:shd w:val="thinDiagStripe" w:color="auto" w:fill="auto"/>
            <w:vAlign w:val="top"/>
          </w:tcPr>
          <w:p w14:paraId="5F495693" w14:textId="77777777" w:rsidR="00F570F6" w:rsidRPr="00947B01" w:rsidRDefault="00F570F6" w:rsidP="00F570F6"/>
        </w:tc>
      </w:tr>
      <w:tr w:rsidR="00F570F6" w:rsidRPr="00742169" w14:paraId="748D2231" w14:textId="77777777" w:rsidTr="00C6713C">
        <w:tc>
          <w:tcPr>
            <w:tcW w:w="2127" w:type="dxa"/>
          </w:tcPr>
          <w:p w14:paraId="43CCF89A" w14:textId="77777777" w:rsidR="00F570F6" w:rsidRPr="00742169" w:rsidRDefault="00F570F6" w:rsidP="00F570F6">
            <w:pPr>
              <w:pStyle w:val="Tablegridheading"/>
            </w:pPr>
            <w:r w:rsidRPr="00742169">
              <w:t>Tenure</w:t>
            </w:r>
            <w:r w:rsidR="00BB3738">
              <w:t xml:space="preserve"> type</w:t>
            </w:r>
            <w:r w:rsidRPr="00742169">
              <w:t>: Owner without a mortgage</w:t>
            </w:r>
          </w:p>
        </w:tc>
        <w:tc>
          <w:tcPr>
            <w:tcW w:w="1701" w:type="dxa"/>
            <w:vAlign w:val="top"/>
          </w:tcPr>
          <w:p w14:paraId="2969F2FB" w14:textId="77777777" w:rsidR="00F570F6" w:rsidRPr="00947B01" w:rsidRDefault="00F570F6" w:rsidP="00F570F6">
            <w:r w:rsidRPr="00947B01">
              <w:t>0.1534</w:t>
            </w:r>
          </w:p>
        </w:tc>
        <w:tc>
          <w:tcPr>
            <w:tcW w:w="1701" w:type="dxa"/>
            <w:vAlign w:val="top"/>
          </w:tcPr>
          <w:p w14:paraId="609B4227" w14:textId="77777777" w:rsidR="00F570F6" w:rsidRPr="00947B01" w:rsidRDefault="00F570F6" w:rsidP="00F570F6">
            <w:r w:rsidRPr="00947B01">
              <w:t>1</w:t>
            </w:r>
          </w:p>
        </w:tc>
        <w:tc>
          <w:tcPr>
            <w:tcW w:w="1701" w:type="dxa"/>
            <w:tcBorders>
              <w:right w:val="nil"/>
            </w:tcBorders>
            <w:shd w:val="thinDiagStripe" w:color="auto" w:fill="auto"/>
            <w:vAlign w:val="top"/>
          </w:tcPr>
          <w:p w14:paraId="3F45AA22" w14:textId="77777777" w:rsidR="00F570F6" w:rsidRPr="00947B01" w:rsidRDefault="00F570F6" w:rsidP="00F570F6"/>
        </w:tc>
        <w:tc>
          <w:tcPr>
            <w:tcW w:w="1701" w:type="dxa"/>
            <w:tcBorders>
              <w:left w:val="nil"/>
              <w:bottom w:val="single" w:sz="4" w:space="0" w:color="auto"/>
              <w:right w:val="nil"/>
            </w:tcBorders>
            <w:shd w:val="thinDiagStripe" w:color="auto" w:fill="auto"/>
            <w:vAlign w:val="top"/>
          </w:tcPr>
          <w:p w14:paraId="6E9CBDA1" w14:textId="77777777" w:rsidR="00F570F6" w:rsidRPr="00947B01" w:rsidRDefault="00F570F6" w:rsidP="00F570F6"/>
        </w:tc>
        <w:tc>
          <w:tcPr>
            <w:tcW w:w="1701" w:type="dxa"/>
            <w:tcBorders>
              <w:left w:val="nil"/>
              <w:bottom w:val="single" w:sz="4" w:space="0" w:color="auto"/>
              <w:right w:val="nil"/>
            </w:tcBorders>
            <w:shd w:val="thinDiagStripe" w:color="auto" w:fill="auto"/>
            <w:vAlign w:val="top"/>
          </w:tcPr>
          <w:p w14:paraId="0E23BD2E" w14:textId="77777777" w:rsidR="00F570F6" w:rsidRPr="00947B01" w:rsidRDefault="00F570F6" w:rsidP="00F570F6"/>
        </w:tc>
        <w:tc>
          <w:tcPr>
            <w:tcW w:w="1701" w:type="dxa"/>
            <w:tcBorders>
              <w:left w:val="nil"/>
              <w:bottom w:val="single" w:sz="4" w:space="0" w:color="auto"/>
              <w:right w:val="nil"/>
            </w:tcBorders>
            <w:shd w:val="thinDiagStripe" w:color="auto" w:fill="auto"/>
            <w:vAlign w:val="top"/>
          </w:tcPr>
          <w:p w14:paraId="0C1D5293" w14:textId="77777777" w:rsidR="00F570F6" w:rsidRPr="00947B01" w:rsidRDefault="00F570F6" w:rsidP="00F570F6"/>
        </w:tc>
        <w:tc>
          <w:tcPr>
            <w:tcW w:w="1701" w:type="dxa"/>
            <w:tcBorders>
              <w:left w:val="nil"/>
              <w:bottom w:val="single" w:sz="4" w:space="0" w:color="auto"/>
            </w:tcBorders>
            <w:shd w:val="thinDiagStripe" w:color="auto" w:fill="auto"/>
            <w:vAlign w:val="top"/>
          </w:tcPr>
          <w:p w14:paraId="5BF5821B" w14:textId="77777777" w:rsidR="00F570F6" w:rsidRPr="00947B01" w:rsidRDefault="00F570F6" w:rsidP="00F570F6"/>
        </w:tc>
      </w:tr>
      <w:tr w:rsidR="00F570F6" w:rsidRPr="00742169" w14:paraId="33A480E5" w14:textId="77777777" w:rsidTr="00C6713C">
        <w:tc>
          <w:tcPr>
            <w:tcW w:w="2127" w:type="dxa"/>
          </w:tcPr>
          <w:p w14:paraId="6565B094" w14:textId="77777777" w:rsidR="00F570F6" w:rsidRPr="00742169" w:rsidRDefault="00F570F6" w:rsidP="00F570F6">
            <w:pPr>
              <w:pStyle w:val="Tablegridheading"/>
            </w:pPr>
            <w:r w:rsidRPr="00742169">
              <w:t>Tenure</w:t>
            </w:r>
            <w:r w:rsidR="00BB3738">
              <w:t xml:space="preserve"> type</w:t>
            </w:r>
            <w:r w:rsidRPr="00742169">
              <w:t>: Owner with a mortgage</w:t>
            </w:r>
          </w:p>
        </w:tc>
        <w:tc>
          <w:tcPr>
            <w:tcW w:w="1701" w:type="dxa"/>
            <w:vAlign w:val="top"/>
          </w:tcPr>
          <w:p w14:paraId="0934047F" w14:textId="77777777" w:rsidR="00F570F6" w:rsidRPr="00947B01" w:rsidRDefault="00F570F6" w:rsidP="00F570F6">
            <w:r w:rsidRPr="00947B01">
              <w:t>0.1994</w:t>
            </w:r>
          </w:p>
        </w:tc>
        <w:tc>
          <w:tcPr>
            <w:tcW w:w="1701" w:type="dxa"/>
            <w:vAlign w:val="top"/>
          </w:tcPr>
          <w:p w14:paraId="2B9D30BD" w14:textId="77777777" w:rsidR="00F570F6" w:rsidRPr="00947B01" w:rsidRDefault="00F570F6" w:rsidP="00F570F6">
            <w:r w:rsidRPr="00947B01">
              <w:t>-1</w:t>
            </w:r>
          </w:p>
        </w:tc>
        <w:tc>
          <w:tcPr>
            <w:tcW w:w="1701" w:type="dxa"/>
            <w:vAlign w:val="top"/>
          </w:tcPr>
          <w:p w14:paraId="486389C4" w14:textId="77777777" w:rsidR="00F570F6" w:rsidRPr="00947B01" w:rsidRDefault="00F570F6" w:rsidP="00F570F6">
            <w:r w:rsidRPr="00947B01">
              <w:t>1</w:t>
            </w:r>
          </w:p>
        </w:tc>
        <w:tc>
          <w:tcPr>
            <w:tcW w:w="1701" w:type="dxa"/>
            <w:tcBorders>
              <w:right w:val="nil"/>
            </w:tcBorders>
            <w:shd w:val="thinDiagStripe" w:color="auto" w:fill="auto"/>
            <w:vAlign w:val="top"/>
          </w:tcPr>
          <w:p w14:paraId="2DA90C81" w14:textId="77777777" w:rsidR="00F570F6" w:rsidRPr="00947B01" w:rsidRDefault="00F570F6" w:rsidP="00F570F6"/>
        </w:tc>
        <w:tc>
          <w:tcPr>
            <w:tcW w:w="1701" w:type="dxa"/>
            <w:tcBorders>
              <w:left w:val="nil"/>
              <w:bottom w:val="single" w:sz="4" w:space="0" w:color="auto"/>
              <w:right w:val="nil"/>
            </w:tcBorders>
            <w:shd w:val="thinDiagStripe" w:color="auto" w:fill="auto"/>
            <w:vAlign w:val="top"/>
          </w:tcPr>
          <w:p w14:paraId="495184B5" w14:textId="77777777" w:rsidR="00F570F6" w:rsidRPr="00947B01" w:rsidRDefault="00F570F6" w:rsidP="00F570F6"/>
        </w:tc>
        <w:tc>
          <w:tcPr>
            <w:tcW w:w="1701" w:type="dxa"/>
            <w:tcBorders>
              <w:left w:val="nil"/>
              <w:bottom w:val="single" w:sz="4" w:space="0" w:color="auto"/>
              <w:right w:val="nil"/>
            </w:tcBorders>
            <w:shd w:val="thinDiagStripe" w:color="auto" w:fill="auto"/>
            <w:vAlign w:val="top"/>
          </w:tcPr>
          <w:p w14:paraId="575CF768" w14:textId="77777777" w:rsidR="00F570F6" w:rsidRPr="00947B01" w:rsidRDefault="00F570F6" w:rsidP="00F570F6"/>
        </w:tc>
        <w:tc>
          <w:tcPr>
            <w:tcW w:w="1701" w:type="dxa"/>
            <w:tcBorders>
              <w:left w:val="nil"/>
              <w:bottom w:val="single" w:sz="4" w:space="0" w:color="auto"/>
            </w:tcBorders>
            <w:shd w:val="thinDiagStripe" w:color="auto" w:fill="auto"/>
            <w:vAlign w:val="top"/>
          </w:tcPr>
          <w:p w14:paraId="248C40F3" w14:textId="77777777" w:rsidR="00F570F6" w:rsidRPr="00947B01" w:rsidRDefault="00F570F6" w:rsidP="00F570F6"/>
        </w:tc>
      </w:tr>
      <w:tr w:rsidR="00F570F6" w:rsidRPr="00742169" w14:paraId="482991CA" w14:textId="77777777" w:rsidTr="00C6713C">
        <w:tc>
          <w:tcPr>
            <w:tcW w:w="2127" w:type="dxa"/>
          </w:tcPr>
          <w:p w14:paraId="48F1AA22" w14:textId="77777777" w:rsidR="00F570F6" w:rsidRPr="00742169" w:rsidRDefault="00F570F6" w:rsidP="00F570F6">
            <w:pPr>
              <w:pStyle w:val="Tablegridheading"/>
            </w:pPr>
            <w:r w:rsidRPr="00742169">
              <w:t>Tenure</w:t>
            </w:r>
            <w:r w:rsidR="00BB3738">
              <w:t xml:space="preserve"> type</w:t>
            </w:r>
            <w:r w:rsidRPr="00742169">
              <w:t>: Renter/Other</w:t>
            </w:r>
          </w:p>
        </w:tc>
        <w:tc>
          <w:tcPr>
            <w:tcW w:w="1701" w:type="dxa"/>
            <w:vAlign w:val="top"/>
          </w:tcPr>
          <w:p w14:paraId="7A18A520" w14:textId="77777777" w:rsidR="00F570F6" w:rsidRPr="00947B01" w:rsidRDefault="00F570F6" w:rsidP="00F570F6">
            <w:r w:rsidRPr="00947B01">
              <w:t>-0.3912</w:t>
            </w:r>
          </w:p>
        </w:tc>
        <w:tc>
          <w:tcPr>
            <w:tcW w:w="1701" w:type="dxa"/>
            <w:vAlign w:val="top"/>
          </w:tcPr>
          <w:p w14:paraId="1E83C778" w14:textId="77777777" w:rsidR="00F570F6" w:rsidRPr="00947B01" w:rsidRDefault="00F570F6" w:rsidP="00F570F6">
            <w:r w:rsidRPr="00947B01">
              <w:t>-1</w:t>
            </w:r>
          </w:p>
        </w:tc>
        <w:tc>
          <w:tcPr>
            <w:tcW w:w="1701" w:type="dxa"/>
            <w:vAlign w:val="top"/>
          </w:tcPr>
          <w:p w14:paraId="40881066" w14:textId="77777777" w:rsidR="00F570F6" w:rsidRPr="00947B01" w:rsidRDefault="00F570F6" w:rsidP="00F570F6">
            <w:r w:rsidRPr="00947B01">
              <w:t>-1</w:t>
            </w:r>
          </w:p>
        </w:tc>
        <w:tc>
          <w:tcPr>
            <w:tcW w:w="1701" w:type="dxa"/>
            <w:vAlign w:val="top"/>
          </w:tcPr>
          <w:p w14:paraId="3EE9EFAC" w14:textId="77777777" w:rsidR="00F570F6" w:rsidRPr="00947B01" w:rsidRDefault="00F570F6" w:rsidP="00F570F6">
            <w:r w:rsidRPr="00947B01">
              <w:t>1</w:t>
            </w:r>
          </w:p>
        </w:tc>
        <w:tc>
          <w:tcPr>
            <w:tcW w:w="1701" w:type="dxa"/>
            <w:tcBorders>
              <w:right w:val="nil"/>
            </w:tcBorders>
            <w:shd w:val="thinDiagStripe" w:color="auto" w:fill="auto"/>
            <w:vAlign w:val="top"/>
          </w:tcPr>
          <w:p w14:paraId="2F9C726D" w14:textId="77777777" w:rsidR="00F570F6" w:rsidRPr="00947B01" w:rsidRDefault="00F570F6" w:rsidP="00F570F6"/>
        </w:tc>
        <w:tc>
          <w:tcPr>
            <w:tcW w:w="1701" w:type="dxa"/>
            <w:tcBorders>
              <w:left w:val="nil"/>
              <w:bottom w:val="single" w:sz="4" w:space="0" w:color="auto"/>
              <w:right w:val="nil"/>
            </w:tcBorders>
            <w:shd w:val="thinDiagStripe" w:color="auto" w:fill="auto"/>
            <w:vAlign w:val="top"/>
          </w:tcPr>
          <w:p w14:paraId="1FDE8A61" w14:textId="77777777" w:rsidR="00F570F6" w:rsidRPr="00947B01" w:rsidRDefault="00F570F6" w:rsidP="00F570F6"/>
        </w:tc>
        <w:tc>
          <w:tcPr>
            <w:tcW w:w="1701" w:type="dxa"/>
            <w:tcBorders>
              <w:left w:val="nil"/>
              <w:bottom w:val="single" w:sz="4" w:space="0" w:color="auto"/>
            </w:tcBorders>
            <w:shd w:val="thinDiagStripe" w:color="auto" w:fill="auto"/>
            <w:vAlign w:val="top"/>
          </w:tcPr>
          <w:p w14:paraId="376F695B" w14:textId="77777777" w:rsidR="00F570F6" w:rsidRPr="00947B01" w:rsidRDefault="00F570F6" w:rsidP="00F570F6"/>
        </w:tc>
      </w:tr>
      <w:tr w:rsidR="00F570F6" w:rsidRPr="00742169" w14:paraId="15D20848" w14:textId="77777777" w:rsidTr="00C6713C">
        <w:tc>
          <w:tcPr>
            <w:tcW w:w="2127" w:type="dxa"/>
          </w:tcPr>
          <w:p w14:paraId="7DCAC207" w14:textId="77777777" w:rsidR="00F570F6" w:rsidRPr="00742169" w:rsidRDefault="00F570F6" w:rsidP="00F570F6">
            <w:pPr>
              <w:pStyle w:val="Tablegridheading"/>
            </w:pPr>
            <w:r w:rsidRPr="00742169">
              <w:t>Dwelling structure: Separate house</w:t>
            </w:r>
          </w:p>
        </w:tc>
        <w:tc>
          <w:tcPr>
            <w:tcW w:w="1701" w:type="dxa"/>
            <w:vAlign w:val="top"/>
          </w:tcPr>
          <w:p w14:paraId="668289F7" w14:textId="77777777" w:rsidR="00F570F6" w:rsidRPr="00947B01" w:rsidRDefault="00F570F6" w:rsidP="00F570F6">
            <w:r w:rsidRPr="00947B01">
              <w:t>0.6866</w:t>
            </w:r>
          </w:p>
        </w:tc>
        <w:tc>
          <w:tcPr>
            <w:tcW w:w="1701" w:type="dxa"/>
            <w:vAlign w:val="top"/>
          </w:tcPr>
          <w:p w14:paraId="38F3B9A6" w14:textId="77777777" w:rsidR="00F570F6" w:rsidRPr="00947B01" w:rsidRDefault="00F570F6" w:rsidP="00F570F6">
            <w:r w:rsidRPr="00947B01">
              <w:t>0.1783</w:t>
            </w:r>
          </w:p>
        </w:tc>
        <w:tc>
          <w:tcPr>
            <w:tcW w:w="1701" w:type="dxa"/>
            <w:vAlign w:val="top"/>
          </w:tcPr>
          <w:p w14:paraId="7925E4E0" w14:textId="77777777" w:rsidR="00F570F6" w:rsidRPr="00947B01" w:rsidRDefault="00F570F6" w:rsidP="00F570F6">
            <w:r w:rsidRPr="00947B01">
              <w:t>0.4754</w:t>
            </w:r>
          </w:p>
        </w:tc>
        <w:tc>
          <w:tcPr>
            <w:tcW w:w="1701" w:type="dxa"/>
            <w:vAlign w:val="top"/>
          </w:tcPr>
          <w:p w14:paraId="3DCA61D5" w14:textId="77777777" w:rsidR="00F570F6" w:rsidRPr="00947B01" w:rsidRDefault="00F570F6" w:rsidP="00F570F6">
            <w:r w:rsidRPr="00947B01">
              <w:t>-0.6052</w:t>
            </w:r>
          </w:p>
        </w:tc>
        <w:tc>
          <w:tcPr>
            <w:tcW w:w="1701" w:type="dxa"/>
            <w:vAlign w:val="top"/>
          </w:tcPr>
          <w:p w14:paraId="1817F6FB" w14:textId="77777777" w:rsidR="00F570F6" w:rsidRPr="00947B01" w:rsidRDefault="00F570F6" w:rsidP="00F570F6">
            <w:r w:rsidRPr="00947B01">
              <w:t>1</w:t>
            </w:r>
          </w:p>
        </w:tc>
        <w:tc>
          <w:tcPr>
            <w:tcW w:w="1701" w:type="dxa"/>
            <w:tcBorders>
              <w:right w:val="nil"/>
            </w:tcBorders>
            <w:shd w:val="thinDiagStripe" w:color="auto" w:fill="auto"/>
            <w:vAlign w:val="top"/>
          </w:tcPr>
          <w:p w14:paraId="6A6AC36A" w14:textId="77777777" w:rsidR="00F570F6" w:rsidRPr="00947B01" w:rsidRDefault="00F570F6" w:rsidP="00F570F6"/>
        </w:tc>
        <w:tc>
          <w:tcPr>
            <w:tcW w:w="1701" w:type="dxa"/>
            <w:tcBorders>
              <w:left w:val="nil"/>
              <w:bottom w:val="single" w:sz="4" w:space="0" w:color="auto"/>
            </w:tcBorders>
            <w:shd w:val="thinDiagStripe" w:color="auto" w:fill="auto"/>
            <w:vAlign w:val="top"/>
          </w:tcPr>
          <w:p w14:paraId="1CD7973F" w14:textId="77777777" w:rsidR="00F570F6" w:rsidRPr="00947B01" w:rsidRDefault="00F570F6" w:rsidP="00F570F6"/>
        </w:tc>
      </w:tr>
      <w:tr w:rsidR="00F570F6" w:rsidRPr="00742169" w14:paraId="64352987" w14:textId="77777777" w:rsidTr="00C6713C">
        <w:tc>
          <w:tcPr>
            <w:tcW w:w="2127" w:type="dxa"/>
          </w:tcPr>
          <w:p w14:paraId="35947511" w14:textId="77777777" w:rsidR="00F570F6" w:rsidRPr="00742169" w:rsidRDefault="00F570F6" w:rsidP="00F570F6">
            <w:pPr>
              <w:pStyle w:val="Tablegridheading"/>
            </w:pPr>
            <w:r w:rsidRPr="00742169">
              <w:t>Dwelling structure: Semi-detached</w:t>
            </w:r>
          </w:p>
        </w:tc>
        <w:tc>
          <w:tcPr>
            <w:tcW w:w="1701" w:type="dxa"/>
            <w:vAlign w:val="top"/>
          </w:tcPr>
          <w:p w14:paraId="1B5BEEE3" w14:textId="77777777" w:rsidR="00F570F6" w:rsidRPr="00947B01" w:rsidRDefault="00F570F6" w:rsidP="00F570F6">
            <w:r w:rsidRPr="00947B01">
              <w:t>-0.5383</w:t>
            </w:r>
          </w:p>
        </w:tc>
        <w:tc>
          <w:tcPr>
            <w:tcW w:w="1701" w:type="dxa"/>
            <w:vAlign w:val="top"/>
          </w:tcPr>
          <w:p w14:paraId="30E8288C" w14:textId="77777777" w:rsidR="00F570F6" w:rsidRPr="00947B01" w:rsidRDefault="00F570F6" w:rsidP="00F570F6">
            <w:r w:rsidRPr="00947B01">
              <w:t>-0.0954</w:t>
            </w:r>
          </w:p>
        </w:tc>
        <w:tc>
          <w:tcPr>
            <w:tcW w:w="1701" w:type="dxa"/>
            <w:vAlign w:val="top"/>
          </w:tcPr>
          <w:p w14:paraId="55685188" w14:textId="77777777" w:rsidR="00F570F6" w:rsidRPr="00947B01" w:rsidRDefault="00F570F6" w:rsidP="00F570F6">
            <w:r w:rsidRPr="00947B01">
              <w:t>-0.3974</w:t>
            </w:r>
          </w:p>
        </w:tc>
        <w:tc>
          <w:tcPr>
            <w:tcW w:w="1701" w:type="dxa"/>
            <w:vAlign w:val="top"/>
          </w:tcPr>
          <w:p w14:paraId="1E0CC3F9" w14:textId="77777777" w:rsidR="00F570F6" w:rsidRPr="00947B01" w:rsidRDefault="00F570F6" w:rsidP="00F570F6">
            <w:r w:rsidRPr="00947B01">
              <w:t>0.4947</w:t>
            </w:r>
          </w:p>
        </w:tc>
        <w:tc>
          <w:tcPr>
            <w:tcW w:w="1701" w:type="dxa"/>
            <w:vAlign w:val="top"/>
          </w:tcPr>
          <w:p w14:paraId="6AC6DAB5" w14:textId="77777777" w:rsidR="00F570F6" w:rsidRPr="00947B01" w:rsidRDefault="00F570F6" w:rsidP="00F570F6">
            <w:r w:rsidRPr="00947B01">
              <w:t>-1</w:t>
            </w:r>
          </w:p>
        </w:tc>
        <w:tc>
          <w:tcPr>
            <w:tcW w:w="1701" w:type="dxa"/>
            <w:vAlign w:val="top"/>
          </w:tcPr>
          <w:p w14:paraId="69C134E2" w14:textId="77777777" w:rsidR="00F570F6" w:rsidRPr="00947B01" w:rsidRDefault="00F570F6" w:rsidP="00F570F6">
            <w:r w:rsidRPr="00947B01">
              <w:t>1</w:t>
            </w:r>
          </w:p>
        </w:tc>
        <w:tc>
          <w:tcPr>
            <w:tcW w:w="1701" w:type="dxa"/>
            <w:shd w:val="thinDiagStripe" w:color="auto" w:fill="auto"/>
            <w:vAlign w:val="top"/>
          </w:tcPr>
          <w:p w14:paraId="3416A7EE" w14:textId="77777777" w:rsidR="00F570F6" w:rsidRPr="00947B01" w:rsidRDefault="00F570F6" w:rsidP="00F570F6"/>
        </w:tc>
      </w:tr>
      <w:tr w:rsidR="00F570F6" w:rsidRPr="00742169" w14:paraId="1B605368" w14:textId="77777777" w:rsidTr="00643AF0">
        <w:tc>
          <w:tcPr>
            <w:tcW w:w="2127" w:type="dxa"/>
          </w:tcPr>
          <w:p w14:paraId="6687189A" w14:textId="19786ACA" w:rsidR="00F570F6" w:rsidRPr="00742169" w:rsidRDefault="00F570F6" w:rsidP="00F570F6">
            <w:pPr>
              <w:pStyle w:val="Tablegridheading"/>
            </w:pPr>
            <w:r w:rsidRPr="00742169">
              <w:t>Dwelling structure: Flat/</w:t>
            </w:r>
            <w:r w:rsidR="00D43729">
              <w:t>U</w:t>
            </w:r>
            <w:r w:rsidRPr="00742169">
              <w:t>nit/Caravan</w:t>
            </w:r>
          </w:p>
        </w:tc>
        <w:tc>
          <w:tcPr>
            <w:tcW w:w="1701" w:type="dxa"/>
            <w:vAlign w:val="top"/>
          </w:tcPr>
          <w:p w14:paraId="67C7AFBF" w14:textId="77777777" w:rsidR="00F570F6" w:rsidRPr="00947B01" w:rsidRDefault="00F570F6" w:rsidP="00F570F6">
            <w:r w:rsidRPr="00947B01">
              <w:t>-0.8686</w:t>
            </w:r>
          </w:p>
        </w:tc>
        <w:tc>
          <w:tcPr>
            <w:tcW w:w="1701" w:type="dxa"/>
            <w:vAlign w:val="top"/>
          </w:tcPr>
          <w:p w14:paraId="72AE307D" w14:textId="77777777" w:rsidR="00F570F6" w:rsidRPr="00947B01" w:rsidRDefault="00F570F6" w:rsidP="00F570F6">
            <w:r w:rsidRPr="00947B01">
              <w:t>-1</w:t>
            </w:r>
          </w:p>
        </w:tc>
        <w:tc>
          <w:tcPr>
            <w:tcW w:w="1701" w:type="dxa"/>
            <w:vAlign w:val="top"/>
          </w:tcPr>
          <w:p w14:paraId="1F872027" w14:textId="77777777" w:rsidR="00F570F6" w:rsidRPr="00947B01" w:rsidRDefault="00F570F6" w:rsidP="00F570F6">
            <w:r w:rsidRPr="00947B01">
              <w:t>-0.5199</w:t>
            </w:r>
          </w:p>
        </w:tc>
        <w:tc>
          <w:tcPr>
            <w:tcW w:w="1701" w:type="dxa"/>
            <w:vAlign w:val="top"/>
          </w:tcPr>
          <w:p w14:paraId="1DE92BA5" w14:textId="77777777" w:rsidR="00F570F6" w:rsidRPr="00947B01" w:rsidRDefault="00F570F6" w:rsidP="00F570F6">
            <w:r w:rsidRPr="00947B01">
              <w:t>0.6737</w:t>
            </w:r>
          </w:p>
        </w:tc>
        <w:tc>
          <w:tcPr>
            <w:tcW w:w="1701" w:type="dxa"/>
            <w:vAlign w:val="top"/>
          </w:tcPr>
          <w:p w14:paraId="153C2A9E" w14:textId="77777777" w:rsidR="00F570F6" w:rsidRPr="00947B01" w:rsidRDefault="00F570F6" w:rsidP="00F570F6">
            <w:r w:rsidRPr="00947B01">
              <w:t>-1</w:t>
            </w:r>
          </w:p>
        </w:tc>
        <w:tc>
          <w:tcPr>
            <w:tcW w:w="1701" w:type="dxa"/>
            <w:vAlign w:val="top"/>
          </w:tcPr>
          <w:p w14:paraId="403BA26D" w14:textId="77777777" w:rsidR="00F570F6" w:rsidRPr="00947B01" w:rsidRDefault="00F570F6" w:rsidP="00F570F6">
            <w:r w:rsidRPr="00947B01">
              <w:t>-1</w:t>
            </w:r>
          </w:p>
        </w:tc>
        <w:tc>
          <w:tcPr>
            <w:tcW w:w="1701" w:type="dxa"/>
            <w:vAlign w:val="top"/>
          </w:tcPr>
          <w:p w14:paraId="4AD2FDD3" w14:textId="77777777" w:rsidR="00F570F6" w:rsidRDefault="00F570F6" w:rsidP="00F570F6">
            <w:r w:rsidRPr="00947B01">
              <w:t>1</w:t>
            </w:r>
          </w:p>
        </w:tc>
      </w:tr>
    </w:tbl>
    <w:p w14:paraId="596C88C2" w14:textId="7FC20514" w:rsidR="00BB3738" w:rsidRDefault="00BB3738" w:rsidP="00BB3738">
      <w:pPr>
        <w:pStyle w:val="Datasource"/>
        <w:spacing w:after="0"/>
      </w:pPr>
      <w:r>
        <w:t xml:space="preserve">Note: There are negative one values present in </w:t>
      </w:r>
      <w:r>
        <w:fldChar w:fldCharType="begin"/>
      </w:r>
      <w:r>
        <w:instrText xml:space="preserve"> REF _Ref518371723 \h </w:instrText>
      </w:r>
      <w:r>
        <w:fldChar w:fldCharType="separate"/>
      </w:r>
      <w:r w:rsidR="00092E14">
        <w:t xml:space="preserve">Table </w:t>
      </w:r>
      <w:r w:rsidR="00092E14">
        <w:rPr>
          <w:noProof/>
        </w:rPr>
        <w:t>4</w:t>
      </w:r>
      <w:r w:rsidR="00092E14">
        <w:noBreakHyphen/>
      </w:r>
      <w:r w:rsidR="00092E14">
        <w:rPr>
          <w:noProof/>
        </w:rPr>
        <w:t>4</w:t>
      </w:r>
      <w:r>
        <w:fldChar w:fldCharType="end"/>
      </w:r>
      <w:r>
        <w:t xml:space="preserve"> where it is not possible for there to be a correlation within a variable set (i.e. tenure type or dwelling structure).</w:t>
      </w:r>
    </w:p>
    <w:p w14:paraId="33C75B5C" w14:textId="11DF40AF" w:rsidR="0093295B" w:rsidRDefault="00BB3738" w:rsidP="0093295B">
      <w:pPr>
        <w:pStyle w:val="Datasource"/>
      </w:pPr>
      <w:r>
        <w:t xml:space="preserve">Source: Analysis of </w:t>
      </w:r>
      <w:r w:rsidR="00CD3851">
        <w:rPr>
          <w:noProof/>
        </w:rPr>
        <w:t xml:space="preserve">ABS </w:t>
      </w:r>
      <w:sdt>
        <w:sdtPr>
          <w:rPr>
            <w:noProof/>
          </w:rPr>
          <w:id w:val="1219325895"/>
          <w:citation/>
        </w:sdtPr>
        <w:sdtEndPr/>
        <w:sdtContent>
          <w:r w:rsidR="00CD3851">
            <w:rPr>
              <w:noProof/>
            </w:rPr>
            <w:fldChar w:fldCharType="begin"/>
          </w:r>
          <w:r w:rsidR="00CD3851">
            <w:rPr>
              <w:noProof/>
            </w:rPr>
            <w:instrText xml:space="preserve">CITATION Aus171 \n  \t  \l 3081 </w:instrText>
          </w:r>
          <w:r w:rsidR="00CD3851">
            <w:rPr>
              <w:noProof/>
            </w:rPr>
            <w:fldChar w:fldCharType="separate"/>
          </w:r>
          <w:r w:rsidR="00CD3851">
            <w:rPr>
              <w:noProof/>
            </w:rPr>
            <w:t>(2017c)</w:t>
          </w:r>
          <w:r w:rsidR="00CD3851">
            <w:rPr>
              <w:noProof/>
            </w:rPr>
            <w:fldChar w:fldCharType="end"/>
          </w:r>
        </w:sdtContent>
      </w:sdt>
      <w:r w:rsidR="00CD3851">
        <w:t xml:space="preserve">. </w:t>
      </w:r>
    </w:p>
    <w:p w14:paraId="0208ACF2" w14:textId="77777777" w:rsidR="0093295B" w:rsidRDefault="0093295B" w:rsidP="005167AA"/>
    <w:p w14:paraId="21DF6F32" w14:textId="77777777" w:rsidR="00742169" w:rsidRDefault="00742169" w:rsidP="005167AA">
      <w:pPr>
        <w:sectPr w:rsidR="00742169" w:rsidSect="00643AF0">
          <w:headerReference w:type="default" r:id="rId20"/>
          <w:footerReference w:type="default" r:id="rId21"/>
          <w:pgSz w:w="16839" w:h="11907" w:orient="landscape" w:code="9"/>
          <w:pgMar w:top="1440" w:right="1440" w:bottom="1440" w:left="1440" w:header="720" w:footer="720" w:gutter="0"/>
          <w:cols w:space="720"/>
          <w:noEndnote/>
          <w:docGrid w:linePitch="326"/>
        </w:sectPr>
      </w:pPr>
    </w:p>
    <w:p w14:paraId="27DD897F" w14:textId="33ABE900" w:rsidR="00643AF0" w:rsidRDefault="00643AF0" w:rsidP="003A2881">
      <w:pPr>
        <w:pStyle w:val="Caption"/>
        <w:rPr>
          <w:noProof/>
        </w:rPr>
      </w:pPr>
      <w:bookmarkStart w:id="53" w:name="_Ref518373451"/>
      <w:bookmarkStart w:id="54" w:name="_Ref518377457"/>
      <w:bookmarkStart w:id="55" w:name="_Toc518645990"/>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4</w:t>
      </w:r>
      <w:r w:rsidR="00FF7BF1">
        <w:rPr>
          <w:noProof/>
        </w:rPr>
        <w:fldChar w:fldCharType="end"/>
      </w:r>
      <w:r w:rsidR="00806A04">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2</w:t>
      </w:r>
      <w:r w:rsidR="00FF7BF1">
        <w:rPr>
          <w:noProof/>
        </w:rPr>
        <w:fldChar w:fldCharType="end"/>
      </w:r>
      <w:bookmarkEnd w:id="53"/>
      <w:bookmarkEnd w:id="54"/>
      <w:r>
        <w:t xml:space="preserve">: </w:t>
      </w:r>
      <w:r w:rsidR="003A2881">
        <w:t>Distribution of p</w:t>
      </w:r>
      <w:r>
        <w:t xml:space="preserve">roxy wealth </w:t>
      </w:r>
      <w:r w:rsidR="006B4042">
        <w:t>score</w:t>
      </w:r>
      <w:bookmarkEnd w:id="55"/>
    </w:p>
    <w:p w14:paraId="78F09F1B" w14:textId="77777777" w:rsidR="00643AF0" w:rsidRDefault="00643AF0" w:rsidP="00E353F6">
      <w:pPr>
        <w:jc w:val="center"/>
      </w:pPr>
      <w:r>
        <w:rPr>
          <w:noProof/>
          <w:lang w:eastAsia="en-AU"/>
        </w:rPr>
        <w:drawing>
          <wp:inline distT="0" distB="0" distL="0" distR="0" wp14:anchorId="21152166" wp14:editId="5980D9C8">
            <wp:extent cx="5220000" cy="3796578"/>
            <wp:effectExtent l="0" t="0" r="0" b="0"/>
            <wp:docPr id="39" name="Picture 39" descr="This is a chart showing the distribution of proxy wealth scores. The three sets of peaks in the distribution of the resulting proxy wealth score highlights the influence of binary variables. Independent and Catholic families show a similar trend." title="Distribution of proxy wealth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0000" cy="3796578"/>
                    </a:xfrm>
                    <a:prstGeom prst="rect">
                      <a:avLst/>
                    </a:prstGeom>
                    <a:noFill/>
                    <a:ln>
                      <a:noFill/>
                    </a:ln>
                  </pic:spPr>
                </pic:pic>
              </a:graphicData>
            </a:graphic>
          </wp:inline>
        </w:drawing>
      </w:r>
    </w:p>
    <w:p w14:paraId="4214C412" w14:textId="77777777" w:rsidR="00643AF0" w:rsidRDefault="00643AF0" w:rsidP="00E353F6">
      <w:pPr>
        <w:pStyle w:val="Datasource"/>
        <w:spacing w:after="0"/>
      </w:pPr>
      <w:r>
        <w:t xml:space="preserve">Note: </w:t>
      </w:r>
      <w:r w:rsidR="00DD1199">
        <w:t>Average</w:t>
      </w:r>
      <w:r>
        <w:t xml:space="preserve"> = 100, standard deviation = 15. </w:t>
      </w:r>
    </w:p>
    <w:p w14:paraId="31B2CAB8" w14:textId="2F6A5F3E" w:rsidR="00E353F6" w:rsidRDefault="00E353F6" w:rsidP="00E353F6">
      <w:pPr>
        <w:pStyle w:val="Datasource"/>
      </w:pPr>
      <w:r>
        <w:t>Source: Analysis of</w:t>
      </w:r>
      <w:r w:rsidR="00C6713C">
        <w:t xml:space="preserve"> </w:t>
      </w:r>
      <w:r w:rsidR="00B83B99">
        <w:rPr>
          <w:noProof/>
        </w:rPr>
        <w:t xml:space="preserve">ABS </w:t>
      </w:r>
      <w:sdt>
        <w:sdtPr>
          <w:rPr>
            <w:noProof/>
          </w:rPr>
          <w:id w:val="1959684131"/>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47E02666" w14:textId="77777777" w:rsidR="004D4552" w:rsidRDefault="004D4552" w:rsidP="004D4552">
      <w:pPr>
        <w:pStyle w:val="Heading2"/>
      </w:pPr>
      <w:bookmarkStart w:id="56" w:name="_Toc518377370"/>
      <w:r w:rsidRPr="00643AF0">
        <w:t xml:space="preserve">Developing a household-level CTC </w:t>
      </w:r>
      <w:r>
        <w:t xml:space="preserve">score </w:t>
      </w:r>
      <w:r w:rsidRPr="00643AF0">
        <w:t>including wealth</w:t>
      </w:r>
      <w:bookmarkEnd w:id="56"/>
    </w:p>
    <w:p w14:paraId="7D2DF40A" w14:textId="11C4F64C" w:rsidR="004D4552" w:rsidRDefault="004D4552" w:rsidP="004D4552">
      <w:pPr>
        <w:spacing w:after="0"/>
        <w:rPr>
          <w:noProof/>
        </w:rPr>
      </w:pPr>
      <w:r>
        <w:t xml:space="preserve">Building upon the above analysis, three </w:t>
      </w:r>
      <w:r w:rsidRPr="00AB50CA">
        <w:rPr>
          <w:noProof/>
        </w:rPr>
        <w:t xml:space="preserve">household-level </w:t>
      </w:r>
      <w:r>
        <w:rPr>
          <w:noProof/>
        </w:rPr>
        <w:t>CTC scores are</w:t>
      </w:r>
      <w:r w:rsidRPr="00AB50CA">
        <w:rPr>
          <w:noProof/>
        </w:rPr>
        <w:t xml:space="preserve"> constructed using the SIH</w:t>
      </w:r>
      <w:r>
        <w:rPr>
          <w:noProof/>
        </w:rPr>
        <w:t>. This is</w:t>
      </w:r>
      <w:r w:rsidRPr="00AB50CA">
        <w:rPr>
          <w:noProof/>
        </w:rPr>
        <w:t xml:space="preserve"> limited to 1,349 households where at least one child is attending a non-government</w:t>
      </w:r>
      <w:r>
        <w:rPr>
          <w:noProof/>
        </w:rPr>
        <w:t xml:space="preserve"> school:</w:t>
      </w:r>
    </w:p>
    <w:p w14:paraId="66F80D6E" w14:textId="2DC7FC31" w:rsidR="004D4552" w:rsidRPr="00514659" w:rsidRDefault="004D4552" w:rsidP="004D4552">
      <w:pPr>
        <w:pStyle w:val="Dotpoints"/>
        <w:rPr>
          <w:noProof/>
        </w:rPr>
      </w:pPr>
      <w:r>
        <w:rPr>
          <w:noProof/>
        </w:rPr>
        <w:t>CTC score excluding wealth. This score uses household level data aligned</w:t>
      </w:r>
      <w:r w:rsidR="00E63F55">
        <w:rPr>
          <w:noProof/>
        </w:rPr>
        <w:t xml:space="preserve"> </w:t>
      </w:r>
      <w:r>
        <w:rPr>
          <w:noProof/>
        </w:rPr>
        <w:t>with the current SES score method, comprising the h</w:t>
      </w:r>
      <w:r w:rsidRPr="00514659">
        <w:rPr>
          <w:noProof/>
        </w:rPr>
        <w:t>ighest household education</w:t>
      </w:r>
      <w:r>
        <w:rPr>
          <w:noProof/>
        </w:rPr>
        <w:t xml:space="preserve"> level</w:t>
      </w:r>
      <w:r w:rsidRPr="00514659">
        <w:rPr>
          <w:noProof/>
        </w:rPr>
        <w:t xml:space="preserve">, </w:t>
      </w:r>
      <w:r>
        <w:rPr>
          <w:noProof/>
        </w:rPr>
        <w:t xml:space="preserve">highest </w:t>
      </w:r>
      <w:r w:rsidRPr="00514659">
        <w:rPr>
          <w:noProof/>
        </w:rPr>
        <w:t xml:space="preserve">occupation (skill level) and equivalised </w:t>
      </w:r>
      <w:r>
        <w:rPr>
          <w:noProof/>
        </w:rPr>
        <w:t xml:space="preserve">total </w:t>
      </w:r>
      <w:r w:rsidRPr="00514659">
        <w:rPr>
          <w:noProof/>
        </w:rPr>
        <w:t>household income</w:t>
      </w:r>
      <w:r>
        <w:rPr>
          <w:noProof/>
        </w:rPr>
        <w:t>.</w:t>
      </w:r>
      <w:r w:rsidR="003E0E45">
        <w:rPr>
          <w:noProof/>
        </w:rPr>
        <w:t xml:space="preserve"> It is developed to provide a comparator to CTC scores incorporating wealth. </w:t>
      </w:r>
    </w:p>
    <w:p w14:paraId="55282115" w14:textId="6FBF64AB" w:rsidR="004D4552" w:rsidRDefault="004D4552" w:rsidP="004D4552">
      <w:pPr>
        <w:pStyle w:val="Dotpoints"/>
        <w:rPr>
          <w:noProof/>
        </w:rPr>
      </w:pPr>
      <w:r>
        <w:rPr>
          <w:noProof/>
        </w:rPr>
        <w:t xml:space="preserve">CTC score including reported wealth. This uses the same data as the first CTC score, alongside </w:t>
      </w:r>
      <w:r w:rsidRPr="00514659">
        <w:rPr>
          <w:noProof/>
        </w:rPr>
        <w:t>self-reported wealth (excluding superannuation)</w:t>
      </w:r>
      <w:r>
        <w:rPr>
          <w:noProof/>
        </w:rPr>
        <w:t>.</w:t>
      </w:r>
    </w:p>
    <w:p w14:paraId="05FE7DD1" w14:textId="1C85DD2C" w:rsidR="006B4042" w:rsidRDefault="004D4552" w:rsidP="00936F5B">
      <w:pPr>
        <w:pStyle w:val="Dotpoints"/>
      </w:pPr>
      <w:r>
        <w:rPr>
          <w:noProof/>
        </w:rPr>
        <w:t xml:space="preserve">CTC score including proxy wealth. This uses the same data as the first CTC score, alongside </w:t>
      </w:r>
      <w:r w:rsidRPr="00514659">
        <w:rPr>
          <w:noProof/>
        </w:rPr>
        <w:t xml:space="preserve">proxy measures that are also in </w:t>
      </w:r>
      <w:r>
        <w:rPr>
          <w:noProof/>
        </w:rPr>
        <w:t xml:space="preserve">the </w:t>
      </w:r>
      <w:r w:rsidRPr="00514659">
        <w:rPr>
          <w:noProof/>
        </w:rPr>
        <w:t xml:space="preserve">Census (number of bedrooms, housing type </w:t>
      </w:r>
      <w:r>
        <w:rPr>
          <w:noProof/>
        </w:rPr>
        <w:t xml:space="preserve">and </w:t>
      </w:r>
      <w:r w:rsidRPr="00514659">
        <w:rPr>
          <w:noProof/>
        </w:rPr>
        <w:t>tenure).</w:t>
      </w:r>
    </w:p>
    <w:p w14:paraId="0F2D5BE6" w14:textId="77777777" w:rsidR="006B4042" w:rsidRDefault="006B4042" w:rsidP="006B4042">
      <w:pPr>
        <w:sectPr w:rsidR="006B4042" w:rsidSect="008D4789">
          <w:headerReference w:type="default" r:id="rId23"/>
          <w:footerReference w:type="default" r:id="rId24"/>
          <w:pgSz w:w="11907" w:h="16839" w:code="9"/>
          <w:pgMar w:top="1440" w:right="1440" w:bottom="1440" w:left="1440" w:header="720" w:footer="720" w:gutter="0"/>
          <w:cols w:space="720"/>
          <w:noEndnote/>
          <w:docGrid w:linePitch="326"/>
        </w:sectPr>
      </w:pPr>
    </w:p>
    <w:p w14:paraId="5A2B3708" w14:textId="1543D3E0" w:rsidR="006B4042" w:rsidRDefault="006B4042" w:rsidP="006B4042">
      <w:pPr>
        <w:pStyle w:val="Caption"/>
      </w:pPr>
      <w:bookmarkStart w:id="57" w:name="_Ref518377346"/>
      <w:bookmarkStart w:id="58" w:name="_Toc518645976"/>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5</w:t>
      </w:r>
      <w:r w:rsidR="0081675E">
        <w:rPr>
          <w:noProof/>
        </w:rPr>
        <w:fldChar w:fldCharType="end"/>
      </w:r>
      <w:bookmarkEnd w:id="57"/>
      <w:r>
        <w:t>: Correlation matrix: proxy wealth measure elements and proxy wealth score</w:t>
      </w:r>
      <w:bookmarkEnd w:id="58"/>
    </w:p>
    <w:tbl>
      <w:tblPr>
        <w:tblStyle w:val="TableGrid"/>
        <w:tblW w:w="14034" w:type="dxa"/>
        <w:tblLayout w:type="fixed"/>
        <w:tblLook w:val="04A0" w:firstRow="1" w:lastRow="0" w:firstColumn="1" w:lastColumn="0" w:noHBand="0" w:noVBand="1"/>
        <w:tblCaption w:val="Correlation matrix: proxy wealth measure elements and proxy wealth score"/>
        <w:tblDescription w:val="This is a correlation matrix of the elements of proxy wealth measures and proxy wealth scores. The analysis shows that the proxy wealth score increases with the number of bedrooms, along with whether the tenure type is owner, and whether the respondent is living in a separate house. Other variables are negative, with the strongest negative relationship represented where tenure type is renter/other.&#10;"/>
      </w:tblPr>
      <w:tblGrid>
        <w:gridCol w:w="2127"/>
        <w:gridCol w:w="1488"/>
        <w:gridCol w:w="1488"/>
        <w:gridCol w:w="1489"/>
        <w:gridCol w:w="1488"/>
        <w:gridCol w:w="1488"/>
        <w:gridCol w:w="1489"/>
        <w:gridCol w:w="1488"/>
        <w:gridCol w:w="1489"/>
      </w:tblGrid>
      <w:tr w:rsidR="006B4042" w:rsidRPr="00742169" w14:paraId="6D2DC805" w14:textId="77777777" w:rsidTr="00245098">
        <w:trPr>
          <w:cnfStyle w:val="100000000000" w:firstRow="1" w:lastRow="0" w:firstColumn="0" w:lastColumn="0" w:oddVBand="0" w:evenVBand="0" w:oddHBand="0" w:evenHBand="0" w:firstRowFirstColumn="0" w:firstRowLastColumn="0" w:lastRowFirstColumn="0" w:lastRowLastColumn="0"/>
          <w:tblHeader/>
        </w:trPr>
        <w:tc>
          <w:tcPr>
            <w:tcW w:w="2127" w:type="dxa"/>
          </w:tcPr>
          <w:p w14:paraId="46EB1BC0" w14:textId="77777777" w:rsidR="006B4042" w:rsidRPr="00742169" w:rsidRDefault="006B4042" w:rsidP="0080145C">
            <w:pPr>
              <w:pStyle w:val="Tablegridheading"/>
            </w:pPr>
          </w:p>
        </w:tc>
        <w:tc>
          <w:tcPr>
            <w:tcW w:w="1488" w:type="dxa"/>
          </w:tcPr>
          <w:p w14:paraId="44947987" w14:textId="77777777" w:rsidR="006B4042" w:rsidRPr="00742169" w:rsidRDefault="006B4042" w:rsidP="0080145C">
            <w:pPr>
              <w:pStyle w:val="Tablegridheading"/>
            </w:pPr>
            <w:r>
              <w:t>Proxy wealth score</w:t>
            </w:r>
          </w:p>
        </w:tc>
        <w:tc>
          <w:tcPr>
            <w:tcW w:w="1488" w:type="dxa"/>
          </w:tcPr>
          <w:p w14:paraId="0F0715A6" w14:textId="77777777" w:rsidR="006B4042" w:rsidRPr="00742169" w:rsidRDefault="006B4042" w:rsidP="0080145C">
            <w:pPr>
              <w:pStyle w:val="Tablegridheading"/>
            </w:pPr>
            <w:r w:rsidRPr="00742169">
              <w:t>Number of bedrooms</w:t>
            </w:r>
          </w:p>
        </w:tc>
        <w:tc>
          <w:tcPr>
            <w:tcW w:w="1489" w:type="dxa"/>
          </w:tcPr>
          <w:p w14:paraId="1DD64079" w14:textId="77777777" w:rsidR="006B4042" w:rsidRPr="00742169" w:rsidRDefault="006B4042" w:rsidP="0080145C">
            <w:pPr>
              <w:pStyle w:val="Tablegridheading"/>
            </w:pPr>
            <w:r w:rsidRPr="00742169">
              <w:t>Tenure</w:t>
            </w:r>
            <w:r>
              <w:t xml:space="preserve"> type</w:t>
            </w:r>
            <w:r w:rsidRPr="00742169">
              <w:t>: Owner without a mortgage</w:t>
            </w:r>
          </w:p>
        </w:tc>
        <w:tc>
          <w:tcPr>
            <w:tcW w:w="1488" w:type="dxa"/>
          </w:tcPr>
          <w:p w14:paraId="3F741A27" w14:textId="77777777" w:rsidR="006B4042" w:rsidRPr="00742169" w:rsidRDefault="006B4042" w:rsidP="0080145C">
            <w:pPr>
              <w:pStyle w:val="Tablegridheading"/>
            </w:pPr>
            <w:r w:rsidRPr="00742169">
              <w:t>Tenure</w:t>
            </w:r>
            <w:r>
              <w:t xml:space="preserve"> type</w:t>
            </w:r>
            <w:r w:rsidRPr="00742169">
              <w:t>: Owner with a mortgage</w:t>
            </w:r>
          </w:p>
        </w:tc>
        <w:tc>
          <w:tcPr>
            <w:tcW w:w="1488" w:type="dxa"/>
          </w:tcPr>
          <w:p w14:paraId="641C2CD9" w14:textId="77777777" w:rsidR="006B4042" w:rsidRPr="00742169" w:rsidRDefault="006B4042" w:rsidP="0080145C">
            <w:pPr>
              <w:pStyle w:val="Tablegridheading"/>
            </w:pPr>
            <w:r w:rsidRPr="00742169">
              <w:t>Tenure</w:t>
            </w:r>
            <w:r>
              <w:t xml:space="preserve"> type</w:t>
            </w:r>
            <w:r w:rsidRPr="00742169">
              <w:t>: Renter/Other</w:t>
            </w:r>
          </w:p>
        </w:tc>
        <w:tc>
          <w:tcPr>
            <w:tcW w:w="1489" w:type="dxa"/>
          </w:tcPr>
          <w:p w14:paraId="27F16324" w14:textId="77777777" w:rsidR="006B4042" w:rsidRPr="00742169" w:rsidRDefault="006B4042" w:rsidP="0080145C">
            <w:pPr>
              <w:pStyle w:val="Tablegridheading"/>
            </w:pPr>
            <w:r w:rsidRPr="00742169">
              <w:t>Dwelling structure: Separate house</w:t>
            </w:r>
          </w:p>
        </w:tc>
        <w:tc>
          <w:tcPr>
            <w:tcW w:w="1488" w:type="dxa"/>
          </w:tcPr>
          <w:p w14:paraId="72751B8A" w14:textId="77777777" w:rsidR="006B4042" w:rsidRPr="00742169" w:rsidRDefault="006B4042" w:rsidP="0080145C">
            <w:pPr>
              <w:pStyle w:val="Tablegridheading"/>
            </w:pPr>
            <w:r w:rsidRPr="00742169">
              <w:t>Dwelling structure: Semi-detached</w:t>
            </w:r>
          </w:p>
        </w:tc>
        <w:tc>
          <w:tcPr>
            <w:tcW w:w="1489" w:type="dxa"/>
          </w:tcPr>
          <w:p w14:paraId="11AE7792" w14:textId="6BC335CB" w:rsidR="006B4042" w:rsidRPr="00742169" w:rsidRDefault="006B4042" w:rsidP="0080145C">
            <w:pPr>
              <w:pStyle w:val="Tablegridheading"/>
            </w:pPr>
            <w:r w:rsidRPr="00742169">
              <w:t>Dwelling structure: Flat/</w:t>
            </w:r>
            <w:r w:rsidR="00E508EE">
              <w:t>U</w:t>
            </w:r>
            <w:r w:rsidRPr="00742169">
              <w:t>nit/</w:t>
            </w:r>
            <w:r>
              <w:br/>
            </w:r>
            <w:r w:rsidRPr="00742169">
              <w:t>Caravan</w:t>
            </w:r>
          </w:p>
        </w:tc>
      </w:tr>
      <w:tr w:rsidR="006B4042" w:rsidRPr="00742169" w14:paraId="1372BAF6" w14:textId="77777777" w:rsidTr="00CA6B73">
        <w:tc>
          <w:tcPr>
            <w:tcW w:w="2127" w:type="dxa"/>
          </w:tcPr>
          <w:p w14:paraId="105F5990" w14:textId="77777777" w:rsidR="006B4042" w:rsidRPr="00742169" w:rsidRDefault="006B4042" w:rsidP="0080145C">
            <w:pPr>
              <w:pStyle w:val="Tablegridheading"/>
            </w:pPr>
            <w:r>
              <w:t>Proxy wealth score</w:t>
            </w:r>
          </w:p>
        </w:tc>
        <w:tc>
          <w:tcPr>
            <w:tcW w:w="1488" w:type="dxa"/>
            <w:vAlign w:val="top"/>
          </w:tcPr>
          <w:p w14:paraId="34FB9299" w14:textId="77777777" w:rsidR="006B4042" w:rsidRPr="00EC424A" w:rsidRDefault="006B4042" w:rsidP="0080145C">
            <w:pPr>
              <w:pStyle w:val="Tablegridtext"/>
            </w:pPr>
            <w:r w:rsidRPr="00EC424A">
              <w:t>1</w:t>
            </w:r>
          </w:p>
        </w:tc>
        <w:tc>
          <w:tcPr>
            <w:tcW w:w="1488" w:type="dxa"/>
            <w:tcBorders>
              <w:right w:val="nil"/>
            </w:tcBorders>
            <w:shd w:val="thinDiagStripe" w:color="auto" w:fill="auto"/>
            <w:vAlign w:val="top"/>
          </w:tcPr>
          <w:p w14:paraId="3233D4A5" w14:textId="77777777" w:rsidR="006B4042" w:rsidRPr="00EC424A" w:rsidRDefault="006B4042" w:rsidP="0080145C">
            <w:pPr>
              <w:pStyle w:val="Tablegridtext"/>
            </w:pPr>
          </w:p>
        </w:tc>
        <w:tc>
          <w:tcPr>
            <w:tcW w:w="1489" w:type="dxa"/>
            <w:tcBorders>
              <w:left w:val="nil"/>
              <w:bottom w:val="single" w:sz="4" w:space="0" w:color="auto"/>
              <w:right w:val="nil"/>
            </w:tcBorders>
            <w:shd w:val="thinDiagStripe" w:color="auto" w:fill="auto"/>
            <w:vAlign w:val="top"/>
          </w:tcPr>
          <w:p w14:paraId="09718859"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63887FF8"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06A22B6F" w14:textId="77777777" w:rsidR="006B4042" w:rsidRPr="00EC424A" w:rsidRDefault="006B4042" w:rsidP="0080145C">
            <w:pPr>
              <w:pStyle w:val="Tablegridtext"/>
            </w:pPr>
          </w:p>
        </w:tc>
        <w:tc>
          <w:tcPr>
            <w:tcW w:w="1489" w:type="dxa"/>
            <w:tcBorders>
              <w:left w:val="nil"/>
              <w:bottom w:val="single" w:sz="4" w:space="0" w:color="auto"/>
              <w:right w:val="nil"/>
            </w:tcBorders>
            <w:shd w:val="thinDiagStripe" w:color="auto" w:fill="auto"/>
            <w:vAlign w:val="top"/>
          </w:tcPr>
          <w:p w14:paraId="1668E8BD"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51B562F7" w14:textId="77777777" w:rsidR="006B4042" w:rsidRPr="00EC424A" w:rsidRDefault="006B4042" w:rsidP="0080145C">
            <w:pPr>
              <w:pStyle w:val="Tablegridtext"/>
            </w:pPr>
          </w:p>
        </w:tc>
        <w:tc>
          <w:tcPr>
            <w:tcW w:w="1489" w:type="dxa"/>
            <w:tcBorders>
              <w:left w:val="nil"/>
              <w:bottom w:val="single" w:sz="4" w:space="0" w:color="auto"/>
            </w:tcBorders>
            <w:shd w:val="thinDiagStripe" w:color="auto" w:fill="auto"/>
            <w:vAlign w:val="top"/>
          </w:tcPr>
          <w:p w14:paraId="36A2826F" w14:textId="77777777" w:rsidR="006B4042" w:rsidRPr="00EC424A" w:rsidRDefault="006B4042" w:rsidP="0080145C">
            <w:pPr>
              <w:pStyle w:val="Tablegridtext"/>
            </w:pPr>
          </w:p>
        </w:tc>
      </w:tr>
      <w:tr w:rsidR="006B4042" w:rsidRPr="00742169" w14:paraId="35630067" w14:textId="77777777" w:rsidTr="00CA6B73">
        <w:tc>
          <w:tcPr>
            <w:tcW w:w="2127" w:type="dxa"/>
          </w:tcPr>
          <w:p w14:paraId="337B32A7" w14:textId="77777777" w:rsidR="006B4042" w:rsidRPr="00742169" w:rsidRDefault="006B4042" w:rsidP="0080145C">
            <w:pPr>
              <w:pStyle w:val="Tablegridheading"/>
            </w:pPr>
            <w:r w:rsidRPr="00742169">
              <w:t>Number of bedrooms</w:t>
            </w:r>
          </w:p>
        </w:tc>
        <w:tc>
          <w:tcPr>
            <w:tcW w:w="1488" w:type="dxa"/>
            <w:vAlign w:val="top"/>
          </w:tcPr>
          <w:p w14:paraId="18530EDB" w14:textId="77777777" w:rsidR="006B4042" w:rsidRPr="00EC424A" w:rsidRDefault="006B4042" w:rsidP="0080145C">
            <w:pPr>
              <w:pStyle w:val="Tablegridtext"/>
            </w:pPr>
            <w:r w:rsidRPr="00EC424A">
              <w:t>0.5586</w:t>
            </w:r>
          </w:p>
        </w:tc>
        <w:tc>
          <w:tcPr>
            <w:tcW w:w="1488" w:type="dxa"/>
            <w:vAlign w:val="top"/>
          </w:tcPr>
          <w:p w14:paraId="456DA766" w14:textId="77777777" w:rsidR="006B4042" w:rsidRPr="00EC424A" w:rsidRDefault="006B4042" w:rsidP="0080145C">
            <w:pPr>
              <w:pStyle w:val="Tablegridtext"/>
            </w:pPr>
            <w:r w:rsidRPr="00EC424A">
              <w:t>1</w:t>
            </w:r>
          </w:p>
        </w:tc>
        <w:tc>
          <w:tcPr>
            <w:tcW w:w="1489" w:type="dxa"/>
            <w:tcBorders>
              <w:right w:val="nil"/>
            </w:tcBorders>
            <w:shd w:val="thinDiagStripe" w:color="auto" w:fill="auto"/>
            <w:vAlign w:val="top"/>
          </w:tcPr>
          <w:p w14:paraId="1ABBC49B"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30722BE7"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270AFC3C" w14:textId="77777777" w:rsidR="006B4042" w:rsidRPr="00EC424A" w:rsidRDefault="006B4042" w:rsidP="0080145C">
            <w:pPr>
              <w:pStyle w:val="Tablegridtext"/>
            </w:pPr>
          </w:p>
        </w:tc>
        <w:tc>
          <w:tcPr>
            <w:tcW w:w="1489" w:type="dxa"/>
            <w:tcBorders>
              <w:left w:val="nil"/>
              <w:bottom w:val="single" w:sz="4" w:space="0" w:color="auto"/>
              <w:right w:val="nil"/>
            </w:tcBorders>
            <w:shd w:val="thinDiagStripe" w:color="auto" w:fill="auto"/>
            <w:vAlign w:val="top"/>
          </w:tcPr>
          <w:p w14:paraId="6B7B4FED"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74B637E6" w14:textId="77777777" w:rsidR="006B4042" w:rsidRPr="00EC424A" w:rsidRDefault="006B4042" w:rsidP="0080145C">
            <w:pPr>
              <w:pStyle w:val="Tablegridtext"/>
            </w:pPr>
          </w:p>
        </w:tc>
        <w:tc>
          <w:tcPr>
            <w:tcW w:w="1489" w:type="dxa"/>
            <w:tcBorders>
              <w:left w:val="nil"/>
              <w:bottom w:val="single" w:sz="4" w:space="0" w:color="auto"/>
            </w:tcBorders>
            <w:shd w:val="thinDiagStripe" w:color="auto" w:fill="auto"/>
            <w:vAlign w:val="top"/>
          </w:tcPr>
          <w:p w14:paraId="0D8B55B0" w14:textId="77777777" w:rsidR="006B4042" w:rsidRPr="00EC424A" w:rsidRDefault="006B4042" w:rsidP="0080145C">
            <w:pPr>
              <w:pStyle w:val="Tablegridtext"/>
            </w:pPr>
          </w:p>
        </w:tc>
      </w:tr>
      <w:tr w:rsidR="006B4042" w:rsidRPr="00742169" w14:paraId="1541C94C" w14:textId="77777777" w:rsidTr="00CA6B73">
        <w:tc>
          <w:tcPr>
            <w:tcW w:w="2127" w:type="dxa"/>
          </w:tcPr>
          <w:p w14:paraId="3213437D" w14:textId="77777777" w:rsidR="006B4042" w:rsidRPr="00742169" w:rsidRDefault="006B4042" w:rsidP="0080145C">
            <w:pPr>
              <w:pStyle w:val="Tablegridheading"/>
            </w:pPr>
            <w:r w:rsidRPr="00742169">
              <w:t>Tenure</w:t>
            </w:r>
            <w:r>
              <w:t xml:space="preserve"> type</w:t>
            </w:r>
            <w:r w:rsidRPr="00742169">
              <w:t>: Owner without a mortgage</w:t>
            </w:r>
          </w:p>
        </w:tc>
        <w:tc>
          <w:tcPr>
            <w:tcW w:w="1488" w:type="dxa"/>
            <w:vAlign w:val="top"/>
          </w:tcPr>
          <w:p w14:paraId="2810E49C" w14:textId="77777777" w:rsidR="006B4042" w:rsidRPr="00EC424A" w:rsidRDefault="006B4042" w:rsidP="0080145C">
            <w:pPr>
              <w:pStyle w:val="Tablegridtext"/>
            </w:pPr>
            <w:r w:rsidRPr="00EC424A">
              <w:t>0.3724</w:t>
            </w:r>
          </w:p>
        </w:tc>
        <w:tc>
          <w:tcPr>
            <w:tcW w:w="1488" w:type="dxa"/>
            <w:vAlign w:val="top"/>
          </w:tcPr>
          <w:p w14:paraId="2B1EF21D" w14:textId="77777777" w:rsidR="006B4042" w:rsidRPr="00EC424A" w:rsidRDefault="006B4042" w:rsidP="0080145C">
            <w:pPr>
              <w:pStyle w:val="Tablegridtext"/>
            </w:pPr>
            <w:r w:rsidRPr="00EC424A">
              <w:t>0.1534</w:t>
            </w:r>
          </w:p>
        </w:tc>
        <w:tc>
          <w:tcPr>
            <w:tcW w:w="1489" w:type="dxa"/>
            <w:vAlign w:val="top"/>
          </w:tcPr>
          <w:p w14:paraId="5D3B1A46" w14:textId="77777777" w:rsidR="006B4042" w:rsidRPr="00EC424A" w:rsidRDefault="006B4042" w:rsidP="0080145C">
            <w:pPr>
              <w:pStyle w:val="Tablegridtext"/>
            </w:pPr>
            <w:r w:rsidRPr="00EC424A">
              <w:t>1</w:t>
            </w:r>
          </w:p>
        </w:tc>
        <w:tc>
          <w:tcPr>
            <w:tcW w:w="1488" w:type="dxa"/>
            <w:tcBorders>
              <w:right w:val="nil"/>
            </w:tcBorders>
            <w:shd w:val="thinDiagStripe" w:color="auto" w:fill="auto"/>
            <w:vAlign w:val="top"/>
          </w:tcPr>
          <w:p w14:paraId="3F6BE42B"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291D1F50" w14:textId="77777777" w:rsidR="006B4042" w:rsidRPr="00EC424A" w:rsidRDefault="006B4042" w:rsidP="0080145C">
            <w:pPr>
              <w:pStyle w:val="Tablegridtext"/>
            </w:pPr>
          </w:p>
        </w:tc>
        <w:tc>
          <w:tcPr>
            <w:tcW w:w="1489" w:type="dxa"/>
            <w:tcBorders>
              <w:left w:val="nil"/>
              <w:bottom w:val="single" w:sz="4" w:space="0" w:color="auto"/>
              <w:right w:val="nil"/>
            </w:tcBorders>
            <w:shd w:val="thinDiagStripe" w:color="auto" w:fill="auto"/>
            <w:vAlign w:val="top"/>
          </w:tcPr>
          <w:p w14:paraId="5D4703CC"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08698ABF" w14:textId="77777777" w:rsidR="006B4042" w:rsidRPr="00EC424A" w:rsidRDefault="006B4042" w:rsidP="0080145C">
            <w:pPr>
              <w:pStyle w:val="Tablegridtext"/>
            </w:pPr>
          </w:p>
        </w:tc>
        <w:tc>
          <w:tcPr>
            <w:tcW w:w="1489" w:type="dxa"/>
            <w:tcBorders>
              <w:left w:val="nil"/>
              <w:bottom w:val="single" w:sz="4" w:space="0" w:color="auto"/>
            </w:tcBorders>
            <w:shd w:val="thinDiagStripe" w:color="auto" w:fill="auto"/>
            <w:vAlign w:val="top"/>
          </w:tcPr>
          <w:p w14:paraId="53FC6880" w14:textId="77777777" w:rsidR="006B4042" w:rsidRPr="00EC424A" w:rsidRDefault="006B4042" w:rsidP="0080145C">
            <w:pPr>
              <w:pStyle w:val="Tablegridtext"/>
            </w:pPr>
          </w:p>
        </w:tc>
      </w:tr>
      <w:tr w:rsidR="006B4042" w:rsidRPr="00742169" w14:paraId="1083B4E4" w14:textId="77777777" w:rsidTr="00CA6B73">
        <w:tc>
          <w:tcPr>
            <w:tcW w:w="2127" w:type="dxa"/>
          </w:tcPr>
          <w:p w14:paraId="17D43770" w14:textId="77777777" w:rsidR="006B4042" w:rsidRPr="00742169" w:rsidRDefault="006B4042" w:rsidP="0080145C">
            <w:pPr>
              <w:pStyle w:val="Tablegridheading"/>
            </w:pPr>
            <w:r w:rsidRPr="00742169">
              <w:t>Tenure</w:t>
            </w:r>
            <w:r>
              <w:t xml:space="preserve"> type</w:t>
            </w:r>
            <w:r w:rsidRPr="00742169">
              <w:t>: Owner with a mortgage</w:t>
            </w:r>
          </w:p>
        </w:tc>
        <w:tc>
          <w:tcPr>
            <w:tcW w:w="1488" w:type="dxa"/>
            <w:vAlign w:val="top"/>
          </w:tcPr>
          <w:p w14:paraId="435F7A76" w14:textId="77777777" w:rsidR="006B4042" w:rsidRPr="00EC424A" w:rsidRDefault="006B4042" w:rsidP="0080145C">
            <w:pPr>
              <w:pStyle w:val="Tablegridtext"/>
            </w:pPr>
            <w:r w:rsidRPr="00EC424A">
              <w:t>0.7018</w:t>
            </w:r>
          </w:p>
        </w:tc>
        <w:tc>
          <w:tcPr>
            <w:tcW w:w="1488" w:type="dxa"/>
            <w:vAlign w:val="top"/>
          </w:tcPr>
          <w:p w14:paraId="40E9D23D" w14:textId="77777777" w:rsidR="006B4042" w:rsidRPr="00EC424A" w:rsidRDefault="006B4042" w:rsidP="0080145C">
            <w:pPr>
              <w:pStyle w:val="Tablegridtext"/>
            </w:pPr>
            <w:r w:rsidRPr="00EC424A">
              <w:t>0.1994</w:t>
            </w:r>
          </w:p>
        </w:tc>
        <w:tc>
          <w:tcPr>
            <w:tcW w:w="1489" w:type="dxa"/>
            <w:vAlign w:val="top"/>
          </w:tcPr>
          <w:p w14:paraId="6533520A" w14:textId="77777777" w:rsidR="006B4042" w:rsidRPr="00EC424A" w:rsidRDefault="006B4042" w:rsidP="0080145C">
            <w:pPr>
              <w:pStyle w:val="Tablegridtext"/>
            </w:pPr>
            <w:r w:rsidRPr="00EC424A">
              <w:t>-1</w:t>
            </w:r>
          </w:p>
        </w:tc>
        <w:tc>
          <w:tcPr>
            <w:tcW w:w="1488" w:type="dxa"/>
            <w:vAlign w:val="top"/>
          </w:tcPr>
          <w:p w14:paraId="7CDF2857" w14:textId="77777777" w:rsidR="006B4042" w:rsidRPr="00EC424A" w:rsidRDefault="006B4042" w:rsidP="0080145C">
            <w:pPr>
              <w:pStyle w:val="Tablegridtext"/>
            </w:pPr>
            <w:r w:rsidRPr="00EC424A">
              <w:t>1</w:t>
            </w:r>
          </w:p>
        </w:tc>
        <w:tc>
          <w:tcPr>
            <w:tcW w:w="1488" w:type="dxa"/>
            <w:tcBorders>
              <w:right w:val="nil"/>
            </w:tcBorders>
            <w:shd w:val="thinDiagStripe" w:color="auto" w:fill="auto"/>
            <w:vAlign w:val="top"/>
          </w:tcPr>
          <w:p w14:paraId="181B823A" w14:textId="77777777" w:rsidR="006B4042" w:rsidRPr="00EC424A" w:rsidRDefault="006B4042" w:rsidP="0080145C">
            <w:pPr>
              <w:pStyle w:val="Tablegridtext"/>
            </w:pPr>
          </w:p>
        </w:tc>
        <w:tc>
          <w:tcPr>
            <w:tcW w:w="1489" w:type="dxa"/>
            <w:tcBorders>
              <w:left w:val="nil"/>
              <w:bottom w:val="single" w:sz="4" w:space="0" w:color="auto"/>
              <w:right w:val="nil"/>
            </w:tcBorders>
            <w:shd w:val="thinDiagStripe" w:color="auto" w:fill="auto"/>
            <w:vAlign w:val="top"/>
          </w:tcPr>
          <w:p w14:paraId="725F9ED8"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595DB203" w14:textId="77777777" w:rsidR="006B4042" w:rsidRPr="00EC424A" w:rsidRDefault="006B4042" w:rsidP="0080145C">
            <w:pPr>
              <w:pStyle w:val="Tablegridtext"/>
            </w:pPr>
          </w:p>
        </w:tc>
        <w:tc>
          <w:tcPr>
            <w:tcW w:w="1489" w:type="dxa"/>
            <w:tcBorders>
              <w:left w:val="nil"/>
              <w:bottom w:val="single" w:sz="4" w:space="0" w:color="auto"/>
            </w:tcBorders>
            <w:shd w:val="thinDiagStripe" w:color="auto" w:fill="auto"/>
            <w:vAlign w:val="top"/>
          </w:tcPr>
          <w:p w14:paraId="7A830C81" w14:textId="77777777" w:rsidR="006B4042" w:rsidRPr="00EC424A" w:rsidRDefault="006B4042" w:rsidP="0080145C">
            <w:pPr>
              <w:pStyle w:val="Tablegridtext"/>
            </w:pPr>
          </w:p>
        </w:tc>
      </w:tr>
      <w:tr w:rsidR="006B4042" w:rsidRPr="00742169" w14:paraId="66EE6B7F" w14:textId="77777777" w:rsidTr="00CA6B73">
        <w:tc>
          <w:tcPr>
            <w:tcW w:w="2127" w:type="dxa"/>
          </w:tcPr>
          <w:p w14:paraId="27BF4467" w14:textId="77777777" w:rsidR="006B4042" w:rsidRPr="00742169" w:rsidRDefault="006B4042" w:rsidP="0080145C">
            <w:pPr>
              <w:pStyle w:val="Tablegridheading"/>
            </w:pPr>
            <w:r w:rsidRPr="00742169">
              <w:t>Tenure</w:t>
            </w:r>
            <w:r>
              <w:t xml:space="preserve"> type</w:t>
            </w:r>
            <w:r w:rsidRPr="00742169">
              <w:t>: Renter/Other</w:t>
            </w:r>
          </w:p>
        </w:tc>
        <w:tc>
          <w:tcPr>
            <w:tcW w:w="1488" w:type="dxa"/>
            <w:vAlign w:val="top"/>
          </w:tcPr>
          <w:p w14:paraId="6FAFF862" w14:textId="77777777" w:rsidR="006B4042" w:rsidRPr="00EC424A" w:rsidRDefault="006B4042" w:rsidP="0080145C">
            <w:pPr>
              <w:pStyle w:val="Tablegridtext"/>
            </w:pPr>
            <w:r w:rsidRPr="00EC424A">
              <w:t>-0.9480</w:t>
            </w:r>
          </w:p>
        </w:tc>
        <w:tc>
          <w:tcPr>
            <w:tcW w:w="1488" w:type="dxa"/>
            <w:vAlign w:val="top"/>
          </w:tcPr>
          <w:p w14:paraId="4CD8C70E" w14:textId="77777777" w:rsidR="006B4042" w:rsidRPr="00EC424A" w:rsidRDefault="006B4042" w:rsidP="0080145C">
            <w:pPr>
              <w:pStyle w:val="Tablegridtext"/>
            </w:pPr>
            <w:r w:rsidRPr="00EC424A">
              <w:t>-0.3912</w:t>
            </w:r>
          </w:p>
        </w:tc>
        <w:tc>
          <w:tcPr>
            <w:tcW w:w="1489" w:type="dxa"/>
            <w:vAlign w:val="top"/>
          </w:tcPr>
          <w:p w14:paraId="33593CE1" w14:textId="77777777" w:rsidR="006B4042" w:rsidRPr="00EC424A" w:rsidRDefault="006B4042" w:rsidP="0080145C">
            <w:pPr>
              <w:pStyle w:val="Tablegridtext"/>
            </w:pPr>
            <w:r w:rsidRPr="00EC424A">
              <w:t>-1</w:t>
            </w:r>
          </w:p>
        </w:tc>
        <w:tc>
          <w:tcPr>
            <w:tcW w:w="1488" w:type="dxa"/>
            <w:vAlign w:val="top"/>
          </w:tcPr>
          <w:p w14:paraId="01814096" w14:textId="77777777" w:rsidR="006B4042" w:rsidRPr="00EC424A" w:rsidRDefault="006B4042" w:rsidP="0080145C">
            <w:pPr>
              <w:pStyle w:val="Tablegridtext"/>
            </w:pPr>
            <w:r w:rsidRPr="00EC424A">
              <w:t>-1</w:t>
            </w:r>
          </w:p>
        </w:tc>
        <w:tc>
          <w:tcPr>
            <w:tcW w:w="1488" w:type="dxa"/>
            <w:vAlign w:val="top"/>
          </w:tcPr>
          <w:p w14:paraId="56975A7C" w14:textId="77777777" w:rsidR="006B4042" w:rsidRPr="00EC424A" w:rsidRDefault="006B4042" w:rsidP="0080145C">
            <w:pPr>
              <w:pStyle w:val="Tablegridtext"/>
            </w:pPr>
            <w:r w:rsidRPr="00EC424A">
              <w:t>1</w:t>
            </w:r>
          </w:p>
        </w:tc>
        <w:tc>
          <w:tcPr>
            <w:tcW w:w="1489" w:type="dxa"/>
            <w:tcBorders>
              <w:right w:val="nil"/>
            </w:tcBorders>
            <w:shd w:val="thinDiagStripe" w:color="auto" w:fill="auto"/>
            <w:vAlign w:val="top"/>
          </w:tcPr>
          <w:p w14:paraId="07773665" w14:textId="77777777" w:rsidR="006B4042" w:rsidRPr="00EC424A" w:rsidRDefault="006B4042" w:rsidP="0080145C">
            <w:pPr>
              <w:pStyle w:val="Tablegridtext"/>
            </w:pPr>
          </w:p>
        </w:tc>
        <w:tc>
          <w:tcPr>
            <w:tcW w:w="1488" w:type="dxa"/>
            <w:tcBorders>
              <w:left w:val="nil"/>
              <w:bottom w:val="single" w:sz="4" w:space="0" w:color="auto"/>
              <w:right w:val="nil"/>
            </w:tcBorders>
            <w:shd w:val="thinDiagStripe" w:color="auto" w:fill="auto"/>
            <w:vAlign w:val="top"/>
          </w:tcPr>
          <w:p w14:paraId="036E7C7D" w14:textId="77777777" w:rsidR="006B4042" w:rsidRPr="00EC424A" w:rsidRDefault="006B4042" w:rsidP="0080145C">
            <w:pPr>
              <w:pStyle w:val="Tablegridtext"/>
            </w:pPr>
          </w:p>
        </w:tc>
        <w:tc>
          <w:tcPr>
            <w:tcW w:w="1489" w:type="dxa"/>
            <w:tcBorders>
              <w:left w:val="nil"/>
              <w:bottom w:val="single" w:sz="4" w:space="0" w:color="auto"/>
            </w:tcBorders>
            <w:shd w:val="thinDiagStripe" w:color="auto" w:fill="auto"/>
            <w:vAlign w:val="top"/>
          </w:tcPr>
          <w:p w14:paraId="40AA78F0" w14:textId="77777777" w:rsidR="006B4042" w:rsidRPr="00EC424A" w:rsidRDefault="006B4042" w:rsidP="0080145C">
            <w:pPr>
              <w:pStyle w:val="Tablegridtext"/>
            </w:pPr>
          </w:p>
        </w:tc>
      </w:tr>
      <w:tr w:rsidR="006B4042" w:rsidRPr="00742169" w14:paraId="3B2AE6CD" w14:textId="77777777" w:rsidTr="00CA6B73">
        <w:tc>
          <w:tcPr>
            <w:tcW w:w="2127" w:type="dxa"/>
          </w:tcPr>
          <w:p w14:paraId="639EDEF2" w14:textId="77777777" w:rsidR="006B4042" w:rsidRPr="00742169" w:rsidRDefault="006B4042" w:rsidP="0080145C">
            <w:pPr>
              <w:pStyle w:val="Tablegridheading"/>
            </w:pPr>
            <w:r w:rsidRPr="00742169">
              <w:t>Dwelling structure: Separate house</w:t>
            </w:r>
          </w:p>
        </w:tc>
        <w:tc>
          <w:tcPr>
            <w:tcW w:w="1488" w:type="dxa"/>
            <w:vAlign w:val="top"/>
          </w:tcPr>
          <w:p w14:paraId="60DBD4C3" w14:textId="77777777" w:rsidR="006B4042" w:rsidRPr="00EC424A" w:rsidRDefault="006B4042" w:rsidP="0080145C">
            <w:pPr>
              <w:pStyle w:val="Tablegridtext"/>
            </w:pPr>
            <w:r w:rsidRPr="00EC424A">
              <w:t>0.7670</w:t>
            </w:r>
          </w:p>
        </w:tc>
        <w:tc>
          <w:tcPr>
            <w:tcW w:w="1488" w:type="dxa"/>
            <w:vAlign w:val="top"/>
          </w:tcPr>
          <w:p w14:paraId="6C7E176D" w14:textId="77777777" w:rsidR="006B4042" w:rsidRPr="00EC424A" w:rsidRDefault="006B4042" w:rsidP="0080145C">
            <w:pPr>
              <w:pStyle w:val="Tablegridtext"/>
            </w:pPr>
            <w:r w:rsidRPr="00EC424A">
              <w:t>0.6866</w:t>
            </w:r>
          </w:p>
        </w:tc>
        <w:tc>
          <w:tcPr>
            <w:tcW w:w="1489" w:type="dxa"/>
            <w:vAlign w:val="top"/>
          </w:tcPr>
          <w:p w14:paraId="3C55A197" w14:textId="77777777" w:rsidR="006B4042" w:rsidRPr="00EC424A" w:rsidRDefault="006B4042" w:rsidP="0080145C">
            <w:pPr>
              <w:pStyle w:val="Tablegridtext"/>
            </w:pPr>
            <w:r w:rsidRPr="00EC424A">
              <w:t>0.1783</w:t>
            </w:r>
          </w:p>
        </w:tc>
        <w:tc>
          <w:tcPr>
            <w:tcW w:w="1488" w:type="dxa"/>
            <w:vAlign w:val="top"/>
          </w:tcPr>
          <w:p w14:paraId="3C24F466" w14:textId="77777777" w:rsidR="006B4042" w:rsidRPr="00EC424A" w:rsidRDefault="006B4042" w:rsidP="0080145C">
            <w:pPr>
              <w:pStyle w:val="Tablegridtext"/>
            </w:pPr>
            <w:r w:rsidRPr="00EC424A">
              <w:t>0.4754</w:t>
            </w:r>
          </w:p>
        </w:tc>
        <w:tc>
          <w:tcPr>
            <w:tcW w:w="1488" w:type="dxa"/>
            <w:vAlign w:val="top"/>
          </w:tcPr>
          <w:p w14:paraId="70C0BF06" w14:textId="77777777" w:rsidR="006B4042" w:rsidRPr="00EC424A" w:rsidRDefault="006B4042" w:rsidP="0080145C">
            <w:pPr>
              <w:pStyle w:val="Tablegridtext"/>
            </w:pPr>
            <w:r w:rsidRPr="00EC424A">
              <w:t>-0.6052</w:t>
            </w:r>
          </w:p>
        </w:tc>
        <w:tc>
          <w:tcPr>
            <w:tcW w:w="1489" w:type="dxa"/>
            <w:vAlign w:val="top"/>
          </w:tcPr>
          <w:p w14:paraId="2D6D3E72" w14:textId="77777777" w:rsidR="006B4042" w:rsidRPr="00EC424A" w:rsidRDefault="006B4042" w:rsidP="0080145C">
            <w:pPr>
              <w:pStyle w:val="Tablegridtext"/>
            </w:pPr>
            <w:r w:rsidRPr="00EC424A">
              <w:t>1</w:t>
            </w:r>
          </w:p>
        </w:tc>
        <w:tc>
          <w:tcPr>
            <w:tcW w:w="1488" w:type="dxa"/>
            <w:tcBorders>
              <w:right w:val="nil"/>
            </w:tcBorders>
            <w:shd w:val="thinDiagStripe" w:color="auto" w:fill="auto"/>
            <w:vAlign w:val="top"/>
          </w:tcPr>
          <w:p w14:paraId="5301593B" w14:textId="77777777" w:rsidR="006B4042" w:rsidRPr="00EC424A" w:rsidRDefault="006B4042" w:rsidP="0080145C">
            <w:pPr>
              <w:pStyle w:val="Tablegridtext"/>
            </w:pPr>
          </w:p>
        </w:tc>
        <w:tc>
          <w:tcPr>
            <w:tcW w:w="1489" w:type="dxa"/>
            <w:tcBorders>
              <w:left w:val="nil"/>
              <w:bottom w:val="single" w:sz="4" w:space="0" w:color="auto"/>
            </w:tcBorders>
            <w:shd w:val="thinDiagStripe" w:color="auto" w:fill="auto"/>
            <w:vAlign w:val="top"/>
          </w:tcPr>
          <w:p w14:paraId="75C900A6" w14:textId="77777777" w:rsidR="006B4042" w:rsidRPr="00EC424A" w:rsidRDefault="006B4042" w:rsidP="0080145C">
            <w:pPr>
              <w:pStyle w:val="Tablegridtext"/>
            </w:pPr>
          </w:p>
        </w:tc>
      </w:tr>
      <w:tr w:rsidR="006B4042" w:rsidRPr="00742169" w14:paraId="26592112" w14:textId="77777777" w:rsidTr="00CA6B73">
        <w:tc>
          <w:tcPr>
            <w:tcW w:w="2127" w:type="dxa"/>
          </w:tcPr>
          <w:p w14:paraId="77E5221B" w14:textId="77777777" w:rsidR="006B4042" w:rsidRPr="00742169" w:rsidRDefault="006B4042" w:rsidP="0080145C">
            <w:pPr>
              <w:pStyle w:val="Tablegridheading"/>
            </w:pPr>
            <w:r w:rsidRPr="00742169">
              <w:t>Dwelling structure: Semi-detached</w:t>
            </w:r>
          </w:p>
        </w:tc>
        <w:tc>
          <w:tcPr>
            <w:tcW w:w="1488" w:type="dxa"/>
            <w:vAlign w:val="top"/>
          </w:tcPr>
          <w:p w14:paraId="2C5A6BA2" w14:textId="77777777" w:rsidR="006B4042" w:rsidRPr="00EC424A" w:rsidRDefault="006B4042" w:rsidP="0080145C">
            <w:pPr>
              <w:pStyle w:val="Tablegridtext"/>
            </w:pPr>
            <w:r w:rsidRPr="00EC424A">
              <w:t>-0.6360</w:t>
            </w:r>
          </w:p>
        </w:tc>
        <w:tc>
          <w:tcPr>
            <w:tcW w:w="1488" w:type="dxa"/>
            <w:vAlign w:val="top"/>
          </w:tcPr>
          <w:p w14:paraId="23DFE937" w14:textId="77777777" w:rsidR="006B4042" w:rsidRPr="00EC424A" w:rsidRDefault="006B4042" w:rsidP="0080145C">
            <w:pPr>
              <w:pStyle w:val="Tablegridtext"/>
            </w:pPr>
            <w:r w:rsidRPr="00EC424A">
              <w:t>-0.5383</w:t>
            </w:r>
          </w:p>
        </w:tc>
        <w:tc>
          <w:tcPr>
            <w:tcW w:w="1489" w:type="dxa"/>
            <w:vAlign w:val="top"/>
          </w:tcPr>
          <w:p w14:paraId="6002A1C5" w14:textId="77777777" w:rsidR="006B4042" w:rsidRPr="00EC424A" w:rsidRDefault="006B4042" w:rsidP="0080145C">
            <w:pPr>
              <w:pStyle w:val="Tablegridtext"/>
            </w:pPr>
            <w:r w:rsidRPr="00EC424A">
              <w:t>-0.0954</w:t>
            </w:r>
          </w:p>
        </w:tc>
        <w:tc>
          <w:tcPr>
            <w:tcW w:w="1488" w:type="dxa"/>
            <w:vAlign w:val="top"/>
          </w:tcPr>
          <w:p w14:paraId="6004E4A5" w14:textId="77777777" w:rsidR="006B4042" w:rsidRPr="00EC424A" w:rsidRDefault="006B4042" w:rsidP="0080145C">
            <w:pPr>
              <w:pStyle w:val="Tablegridtext"/>
            </w:pPr>
            <w:r w:rsidRPr="00EC424A">
              <w:t>-0.3974</w:t>
            </w:r>
          </w:p>
        </w:tc>
        <w:tc>
          <w:tcPr>
            <w:tcW w:w="1488" w:type="dxa"/>
            <w:vAlign w:val="top"/>
          </w:tcPr>
          <w:p w14:paraId="36C4853A" w14:textId="77777777" w:rsidR="006B4042" w:rsidRPr="00EC424A" w:rsidRDefault="006B4042" w:rsidP="0080145C">
            <w:pPr>
              <w:pStyle w:val="Tablegridtext"/>
            </w:pPr>
            <w:r w:rsidRPr="00EC424A">
              <w:t>0.4947</w:t>
            </w:r>
          </w:p>
        </w:tc>
        <w:tc>
          <w:tcPr>
            <w:tcW w:w="1489" w:type="dxa"/>
            <w:vAlign w:val="top"/>
          </w:tcPr>
          <w:p w14:paraId="2C37E281" w14:textId="77777777" w:rsidR="006B4042" w:rsidRPr="00EC424A" w:rsidRDefault="006B4042" w:rsidP="0080145C">
            <w:pPr>
              <w:pStyle w:val="Tablegridtext"/>
            </w:pPr>
            <w:r w:rsidRPr="00EC424A">
              <w:t>-1</w:t>
            </w:r>
          </w:p>
        </w:tc>
        <w:tc>
          <w:tcPr>
            <w:tcW w:w="1488" w:type="dxa"/>
            <w:vAlign w:val="top"/>
          </w:tcPr>
          <w:p w14:paraId="76F93FEF" w14:textId="77777777" w:rsidR="006B4042" w:rsidRPr="00EC424A" w:rsidRDefault="006B4042" w:rsidP="0080145C">
            <w:pPr>
              <w:pStyle w:val="Tablegridtext"/>
            </w:pPr>
            <w:r w:rsidRPr="00EC424A">
              <w:t>1</w:t>
            </w:r>
          </w:p>
        </w:tc>
        <w:tc>
          <w:tcPr>
            <w:tcW w:w="1489" w:type="dxa"/>
            <w:shd w:val="thinDiagStripe" w:color="auto" w:fill="auto"/>
            <w:vAlign w:val="top"/>
          </w:tcPr>
          <w:p w14:paraId="5316A231" w14:textId="77777777" w:rsidR="006B4042" w:rsidRPr="00EC424A" w:rsidRDefault="006B4042" w:rsidP="0080145C">
            <w:pPr>
              <w:pStyle w:val="Tablegridtext"/>
            </w:pPr>
          </w:p>
        </w:tc>
      </w:tr>
      <w:tr w:rsidR="006B4042" w:rsidRPr="00742169" w14:paraId="0FB0B8D1" w14:textId="77777777" w:rsidTr="0080145C">
        <w:tc>
          <w:tcPr>
            <w:tcW w:w="2127" w:type="dxa"/>
          </w:tcPr>
          <w:p w14:paraId="44567F43" w14:textId="77777777" w:rsidR="006B4042" w:rsidRPr="00742169" w:rsidRDefault="006B4042" w:rsidP="0080145C">
            <w:pPr>
              <w:pStyle w:val="Tablegridheading"/>
            </w:pPr>
            <w:r w:rsidRPr="00742169">
              <w:t>Dwelling structure: Flat/unit/Caravan</w:t>
            </w:r>
          </w:p>
        </w:tc>
        <w:tc>
          <w:tcPr>
            <w:tcW w:w="1488" w:type="dxa"/>
            <w:vAlign w:val="top"/>
          </w:tcPr>
          <w:p w14:paraId="455D115E" w14:textId="77777777" w:rsidR="006B4042" w:rsidRPr="00EC424A" w:rsidRDefault="006B4042" w:rsidP="0080145C">
            <w:pPr>
              <w:pStyle w:val="Tablegridtext"/>
            </w:pPr>
            <w:r w:rsidRPr="00EC424A">
              <w:t>-0.6115</w:t>
            </w:r>
          </w:p>
        </w:tc>
        <w:tc>
          <w:tcPr>
            <w:tcW w:w="1488" w:type="dxa"/>
            <w:vAlign w:val="top"/>
          </w:tcPr>
          <w:p w14:paraId="1E702FCC" w14:textId="77777777" w:rsidR="006B4042" w:rsidRPr="00EC424A" w:rsidRDefault="006B4042" w:rsidP="0080145C">
            <w:pPr>
              <w:pStyle w:val="Tablegridtext"/>
            </w:pPr>
            <w:r w:rsidRPr="00EC424A">
              <w:t>-0.8686</w:t>
            </w:r>
          </w:p>
        </w:tc>
        <w:tc>
          <w:tcPr>
            <w:tcW w:w="1489" w:type="dxa"/>
            <w:vAlign w:val="top"/>
          </w:tcPr>
          <w:p w14:paraId="50E6671F" w14:textId="77777777" w:rsidR="006B4042" w:rsidRPr="00EC424A" w:rsidRDefault="006B4042" w:rsidP="0080145C">
            <w:pPr>
              <w:pStyle w:val="Tablegridtext"/>
            </w:pPr>
            <w:r w:rsidRPr="00EC424A">
              <w:t>-1</w:t>
            </w:r>
          </w:p>
        </w:tc>
        <w:tc>
          <w:tcPr>
            <w:tcW w:w="1488" w:type="dxa"/>
            <w:vAlign w:val="top"/>
          </w:tcPr>
          <w:p w14:paraId="320EEB13" w14:textId="77777777" w:rsidR="006B4042" w:rsidRPr="00EC424A" w:rsidRDefault="006B4042" w:rsidP="0080145C">
            <w:pPr>
              <w:pStyle w:val="Tablegridtext"/>
            </w:pPr>
            <w:r w:rsidRPr="00EC424A">
              <w:t>-0.5199</w:t>
            </w:r>
          </w:p>
        </w:tc>
        <w:tc>
          <w:tcPr>
            <w:tcW w:w="1488" w:type="dxa"/>
            <w:vAlign w:val="top"/>
          </w:tcPr>
          <w:p w14:paraId="015D1771" w14:textId="77777777" w:rsidR="006B4042" w:rsidRPr="00EC424A" w:rsidRDefault="006B4042" w:rsidP="0080145C">
            <w:pPr>
              <w:pStyle w:val="Tablegridtext"/>
            </w:pPr>
            <w:r w:rsidRPr="00EC424A">
              <w:t>0.6737</w:t>
            </w:r>
          </w:p>
        </w:tc>
        <w:tc>
          <w:tcPr>
            <w:tcW w:w="1489" w:type="dxa"/>
            <w:vAlign w:val="top"/>
          </w:tcPr>
          <w:p w14:paraId="6B58EDDD" w14:textId="77777777" w:rsidR="006B4042" w:rsidRPr="00EC424A" w:rsidRDefault="006B4042" w:rsidP="0080145C">
            <w:pPr>
              <w:pStyle w:val="Tablegridtext"/>
            </w:pPr>
            <w:r w:rsidRPr="00EC424A">
              <w:t>-1</w:t>
            </w:r>
          </w:p>
        </w:tc>
        <w:tc>
          <w:tcPr>
            <w:tcW w:w="1488" w:type="dxa"/>
            <w:vAlign w:val="top"/>
          </w:tcPr>
          <w:p w14:paraId="4DAA30BF" w14:textId="77777777" w:rsidR="006B4042" w:rsidRPr="00EC424A" w:rsidRDefault="006B4042" w:rsidP="0080145C">
            <w:pPr>
              <w:pStyle w:val="Tablegridtext"/>
            </w:pPr>
            <w:r w:rsidRPr="00EC424A">
              <w:t>-1</w:t>
            </w:r>
          </w:p>
        </w:tc>
        <w:tc>
          <w:tcPr>
            <w:tcW w:w="1489" w:type="dxa"/>
            <w:vAlign w:val="top"/>
          </w:tcPr>
          <w:p w14:paraId="151CDF57" w14:textId="77777777" w:rsidR="006B4042" w:rsidRDefault="006B4042" w:rsidP="0080145C">
            <w:pPr>
              <w:pStyle w:val="Tablegridtext"/>
            </w:pPr>
            <w:r w:rsidRPr="00EC424A">
              <w:t>1</w:t>
            </w:r>
          </w:p>
        </w:tc>
      </w:tr>
    </w:tbl>
    <w:p w14:paraId="09AEE3D9" w14:textId="62FFFEDC" w:rsidR="006B4042" w:rsidRDefault="006B4042" w:rsidP="006B4042">
      <w:pPr>
        <w:pStyle w:val="Datasource"/>
        <w:spacing w:after="0"/>
      </w:pPr>
      <w:r>
        <w:t xml:space="preserve">Note: There are negative one values present in </w:t>
      </w:r>
      <w:r>
        <w:fldChar w:fldCharType="begin"/>
      </w:r>
      <w:r>
        <w:instrText xml:space="preserve"> REF _Ref518371723 \h </w:instrText>
      </w:r>
      <w:r>
        <w:fldChar w:fldCharType="separate"/>
      </w:r>
      <w:r w:rsidR="00092E14">
        <w:t xml:space="preserve">Table </w:t>
      </w:r>
      <w:r w:rsidR="00092E14">
        <w:rPr>
          <w:noProof/>
        </w:rPr>
        <w:t>4</w:t>
      </w:r>
      <w:r w:rsidR="00092E14">
        <w:noBreakHyphen/>
      </w:r>
      <w:r w:rsidR="00092E14">
        <w:rPr>
          <w:noProof/>
        </w:rPr>
        <w:t>4</w:t>
      </w:r>
      <w:r>
        <w:fldChar w:fldCharType="end"/>
      </w:r>
      <w:r>
        <w:t xml:space="preserve"> where it is not possible for there to be a correlation within a variable set (i.e. tenure type or dwelling structure), or there are no observations (i.e. owner without a mortgage, and being in a flat, unit or caravan).</w:t>
      </w:r>
    </w:p>
    <w:p w14:paraId="48160057" w14:textId="0EDD9E5A" w:rsidR="006B4042" w:rsidRDefault="006B4042" w:rsidP="00FB03B8">
      <w:pPr>
        <w:pStyle w:val="Datasource"/>
      </w:pPr>
      <w:r>
        <w:t xml:space="preserve">Source: Analysis of </w:t>
      </w:r>
      <w:r w:rsidR="00CD3851">
        <w:rPr>
          <w:noProof/>
        </w:rPr>
        <w:t xml:space="preserve">ABS </w:t>
      </w:r>
      <w:sdt>
        <w:sdtPr>
          <w:rPr>
            <w:noProof/>
          </w:rPr>
          <w:id w:val="-869983718"/>
          <w:citation/>
        </w:sdtPr>
        <w:sdtEndPr/>
        <w:sdtContent>
          <w:r w:rsidR="00CD3851">
            <w:rPr>
              <w:noProof/>
            </w:rPr>
            <w:fldChar w:fldCharType="begin"/>
          </w:r>
          <w:r w:rsidR="00CD3851">
            <w:rPr>
              <w:noProof/>
            </w:rPr>
            <w:instrText xml:space="preserve">CITATION Aus171 \n  \t  \l 3081 </w:instrText>
          </w:r>
          <w:r w:rsidR="00CD3851">
            <w:rPr>
              <w:noProof/>
            </w:rPr>
            <w:fldChar w:fldCharType="separate"/>
          </w:r>
          <w:r w:rsidR="00CD3851">
            <w:rPr>
              <w:noProof/>
            </w:rPr>
            <w:t>(2017c)</w:t>
          </w:r>
          <w:r w:rsidR="00CD3851">
            <w:rPr>
              <w:noProof/>
            </w:rPr>
            <w:fldChar w:fldCharType="end"/>
          </w:r>
        </w:sdtContent>
      </w:sdt>
      <w:r w:rsidR="00CD3851">
        <w:t>.</w:t>
      </w:r>
    </w:p>
    <w:p w14:paraId="0F17F80E" w14:textId="77777777" w:rsidR="006B4042" w:rsidRDefault="006B4042" w:rsidP="006B4042"/>
    <w:p w14:paraId="2593DA86" w14:textId="77777777" w:rsidR="006B4042" w:rsidRDefault="006B4042" w:rsidP="006B4042">
      <w:pPr>
        <w:sectPr w:rsidR="006B4042" w:rsidSect="00643AF0">
          <w:headerReference w:type="default" r:id="rId25"/>
          <w:footerReference w:type="default" r:id="rId26"/>
          <w:pgSz w:w="16839" w:h="11907" w:orient="landscape" w:code="9"/>
          <w:pgMar w:top="1440" w:right="1440" w:bottom="1440" w:left="1440" w:header="720" w:footer="720" w:gutter="0"/>
          <w:cols w:space="720"/>
          <w:noEndnote/>
          <w:docGrid w:linePitch="326"/>
        </w:sectPr>
      </w:pPr>
    </w:p>
    <w:p w14:paraId="12ECC59D" w14:textId="77777777" w:rsidR="007D3A2E" w:rsidRDefault="007D3A2E" w:rsidP="007D3A2E">
      <w:pPr>
        <w:pStyle w:val="Heading3"/>
      </w:pPr>
      <w:r>
        <w:t>Household-level CTC score excluding wealth</w:t>
      </w:r>
    </w:p>
    <w:p w14:paraId="2065D986" w14:textId="1FCC6C8F" w:rsidR="007D3A2E" w:rsidRDefault="007D3A2E" w:rsidP="007D3A2E">
      <w:r>
        <w:t xml:space="preserve">The first CTC score </w:t>
      </w:r>
      <w:r w:rsidR="00B8052C">
        <w:t xml:space="preserve">(excluding wealth) </w:t>
      </w:r>
      <w:r>
        <w:t xml:space="preserve">is developed using highest education level, occupational skill level and equivalised weekly household income. </w:t>
      </w:r>
      <w:r w:rsidR="00B8052C">
        <w:t xml:space="preserve">The averages and standard errors of each variable are reported in </w:t>
      </w:r>
      <w:r w:rsidR="00B8052C">
        <w:fldChar w:fldCharType="begin"/>
      </w:r>
      <w:r w:rsidR="00B8052C">
        <w:instrText xml:space="preserve"> REF _Ref518378868 \h </w:instrText>
      </w:r>
      <w:r w:rsidR="00B8052C">
        <w:fldChar w:fldCharType="separate"/>
      </w:r>
      <w:r w:rsidR="00092E14">
        <w:t xml:space="preserve">Table </w:t>
      </w:r>
      <w:r w:rsidR="00092E14">
        <w:rPr>
          <w:noProof/>
        </w:rPr>
        <w:t>4</w:t>
      </w:r>
      <w:r w:rsidR="00092E14">
        <w:noBreakHyphen/>
      </w:r>
      <w:r w:rsidR="00092E14">
        <w:rPr>
          <w:noProof/>
        </w:rPr>
        <w:t>6</w:t>
      </w:r>
      <w:r w:rsidR="00B8052C">
        <w:fldChar w:fldCharType="end"/>
      </w:r>
      <w:r w:rsidR="00B8052C">
        <w:t xml:space="preserve"> and </w:t>
      </w:r>
      <w:r w:rsidR="00B8052C">
        <w:fldChar w:fldCharType="begin"/>
      </w:r>
      <w:r w:rsidR="00B8052C">
        <w:instrText xml:space="preserve"> REF _Ref518378870 \h </w:instrText>
      </w:r>
      <w:r w:rsidR="00B8052C">
        <w:fldChar w:fldCharType="separate"/>
      </w:r>
      <w:r w:rsidR="00092E14">
        <w:t xml:space="preserve">Table </w:t>
      </w:r>
      <w:r w:rsidR="00092E14">
        <w:rPr>
          <w:noProof/>
        </w:rPr>
        <w:t>4</w:t>
      </w:r>
      <w:r w:rsidR="00092E14">
        <w:noBreakHyphen/>
      </w:r>
      <w:r w:rsidR="00092E14">
        <w:rPr>
          <w:noProof/>
        </w:rPr>
        <w:t>7</w:t>
      </w:r>
      <w:r w:rsidR="00B8052C">
        <w:fldChar w:fldCharType="end"/>
      </w:r>
      <w:r w:rsidR="00B8052C">
        <w:t xml:space="preserve">. As there is a distinct order to both the education and skill level variables, these are used as categorical variables within the PCA. </w:t>
      </w:r>
    </w:p>
    <w:p w14:paraId="7E56BA13" w14:textId="49B3147F" w:rsidR="00B8052C" w:rsidRDefault="00B8052C" w:rsidP="007D3A2E">
      <w:r>
        <w:t xml:space="preserve">The correlation matrix for the education, </w:t>
      </w:r>
      <w:r w:rsidR="00FB03B8">
        <w:t xml:space="preserve">occupational </w:t>
      </w:r>
      <w:r>
        <w:t xml:space="preserve">skill level and equivalised weekly household income variables </w:t>
      </w:r>
      <w:r w:rsidR="00CA6B73">
        <w:t>is</w:t>
      </w:r>
      <w:r>
        <w:t xml:space="preserve"> presented in </w:t>
      </w:r>
      <w:r>
        <w:fldChar w:fldCharType="begin"/>
      </w:r>
      <w:r>
        <w:instrText xml:space="preserve"> REF _Ref518379226 \h </w:instrText>
      </w:r>
      <w:r>
        <w:fldChar w:fldCharType="separate"/>
      </w:r>
      <w:r w:rsidR="00092E14">
        <w:t xml:space="preserve">Table </w:t>
      </w:r>
      <w:r w:rsidR="00092E14">
        <w:rPr>
          <w:noProof/>
        </w:rPr>
        <w:t>4</w:t>
      </w:r>
      <w:r w:rsidR="00092E14">
        <w:noBreakHyphen/>
      </w:r>
      <w:r w:rsidR="00092E14">
        <w:rPr>
          <w:noProof/>
        </w:rPr>
        <w:t>8</w:t>
      </w:r>
      <w:r>
        <w:fldChar w:fldCharType="end"/>
      </w:r>
      <w:r>
        <w:t>.</w:t>
      </w:r>
      <w:r w:rsidR="00150920">
        <w:t xml:space="preserve"> The correlation coefficients indicate a stronger relationship between equivalised weekly household income and </w:t>
      </w:r>
      <w:r w:rsidR="00FB03B8">
        <w:t xml:space="preserve">occupational </w:t>
      </w:r>
      <w:r w:rsidR="00150920">
        <w:t xml:space="preserve">skill level, than with education level. This is expected, as </w:t>
      </w:r>
      <w:r w:rsidR="00FB03B8">
        <w:t xml:space="preserve">occupational </w:t>
      </w:r>
      <w:r w:rsidR="00150920">
        <w:t>skill level relates to the occupation currently being worked in</w:t>
      </w:r>
      <w:r w:rsidR="00C65598">
        <w:t xml:space="preserve">. As such, </w:t>
      </w:r>
      <w:r w:rsidR="003E0E45">
        <w:t>occupation</w:t>
      </w:r>
      <w:r w:rsidR="00FB03B8">
        <w:t xml:space="preserve"> may not be </w:t>
      </w:r>
      <w:r w:rsidR="0039685B">
        <w:t xml:space="preserve">indicative </w:t>
      </w:r>
      <w:r w:rsidR="00FB03B8">
        <w:t>of educational attainment.</w:t>
      </w:r>
    </w:p>
    <w:p w14:paraId="602D6748" w14:textId="11C112E2" w:rsidR="008C2DA3" w:rsidRDefault="008C2DA3" w:rsidP="008C2DA3">
      <w:r>
        <w:t xml:space="preserve">The eigenvector and eigenvalues are reported in </w:t>
      </w:r>
      <w:r>
        <w:fldChar w:fldCharType="begin"/>
      </w:r>
      <w:r>
        <w:instrText xml:space="preserve"> REF _Ref518379954 \h </w:instrText>
      </w:r>
      <w:r>
        <w:fldChar w:fldCharType="separate"/>
      </w:r>
      <w:r w:rsidR="00092E14">
        <w:t xml:space="preserve">Table </w:t>
      </w:r>
      <w:r w:rsidR="00092E14">
        <w:rPr>
          <w:noProof/>
        </w:rPr>
        <w:t>4</w:t>
      </w:r>
      <w:r w:rsidR="00092E14">
        <w:noBreakHyphen/>
      </w:r>
      <w:r w:rsidR="00092E14">
        <w:rPr>
          <w:noProof/>
        </w:rPr>
        <w:t>11</w:t>
      </w:r>
      <w:r>
        <w:fldChar w:fldCharType="end"/>
      </w:r>
      <w:r>
        <w:t xml:space="preserve">, with the eigenvalue of 1.99 (66%) indicating the first eigenvector represents 66 per cent of the variance within the three variables. The three eigenvector values range between 0.54 and 0.65, indicating that each is important. </w:t>
      </w:r>
    </w:p>
    <w:p w14:paraId="48E02313" w14:textId="428D2BA5" w:rsidR="00643AF0" w:rsidRDefault="008D4789" w:rsidP="008D4789">
      <w:pPr>
        <w:pStyle w:val="Caption"/>
      </w:pPr>
      <w:bookmarkStart w:id="59" w:name="_Ref518378868"/>
      <w:bookmarkStart w:id="60" w:name="_Toc518645977"/>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6</w:t>
      </w:r>
      <w:r w:rsidR="0081675E">
        <w:rPr>
          <w:noProof/>
        </w:rPr>
        <w:fldChar w:fldCharType="end"/>
      </w:r>
      <w:bookmarkEnd w:id="59"/>
      <w:r>
        <w:t xml:space="preserve">: Education level and </w:t>
      </w:r>
      <w:r w:rsidR="003D3E85">
        <w:t>e</w:t>
      </w:r>
      <w:r>
        <w:t>quivalised weekly household income</w:t>
      </w:r>
      <w:bookmarkEnd w:id="60"/>
    </w:p>
    <w:tbl>
      <w:tblPr>
        <w:tblStyle w:val="TableGrid"/>
        <w:tblW w:w="0" w:type="auto"/>
        <w:tblLook w:val="04A0" w:firstRow="1" w:lastRow="0" w:firstColumn="1" w:lastColumn="0" w:noHBand="0" w:noVBand="1"/>
        <w:tblCaption w:val="Education level and equivalised weekly household income"/>
        <w:tblDescription w:val="This is a table of education level and weekly equivalised household income. It shows that as levels of education rise, so does the weekly household income. &#10;"/>
      </w:tblPr>
      <w:tblGrid>
        <w:gridCol w:w="4111"/>
        <w:gridCol w:w="2458"/>
        <w:gridCol w:w="2458"/>
      </w:tblGrid>
      <w:tr w:rsidR="006F1347" w:rsidRPr="00FD432C" w14:paraId="7D0A9CC5" w14:textId="77777777" w:rsidTr="00936DC8">
        <w:trPr>
          <w:cnfStyle w:val="100000000000" w:firstRow="1" w:lastRow="0" w:firstColumn="0" w:lastColumn="0" w:oddVBand="0" w:evenVBand="0" w:oddHBand="0" w:evenHBand="0" w:firstRowFirstColumn="0" w:firstRowLastColumn="0" w:lastRowFirstColumn="0" w:lastRowLastColumn="0"/>
          <w:tblHeader/>
        </w:trPr>
        <w:tc>
          <w:tcPr>
            <w:tcW w:w="4111" w:type="dxa"/>
          </w:tcPr>
          <w:p w14:paraId="59AE7BA6" w14:textId="77777777" w:rsidR="006F1347" w:rsidRPr="00FD432C" w:rsidRDefault="006F1347" w:rsidP="00FD432C">
            <w:pPr>
              <w:pStyle w:val="Tablegridheading"/>
            </w:pPr>
          </w:p>
        </w:tc>
        <w:tc>
          <w:tcPr>
            <w:tcW w:w="2458" w:type="dxa"/>
          </w:tcPr>
          <w:p w14:paraId="15CA70CA" w14:textId="77777777" w:rsidR="006F1347" w:rsidRPr="00FD432C" w:rsidRDefault="008D4789" w:rsidP="00FD432C">
            <w:pPr>
              <w:pStyle w:val="Tablegridheading"/>
            </w:pPr>
            <w:r>
              <w:t>Average</w:t>
            </w:r>
          </w:p>
        </w:tc>
        <w:tc>
          <w:tcPr>
            <w:tcW w:w="2458" w:type="dxa"/>
          </w:tcPr>
          <w:p w14:paraId="1255B4ED" w14:textId="77777777" w:rsidR="006F1347" w:rsidRPr="00FD432C" w:rsidRDefault="006F1347" w:rsidP="00FD432C">
            <w:pPr>
              <w:pStyle w:val="Tablegridheading"/>
            </w:pPr>
            <w:r>
              <w:t>Standard Error</w:t>
            </w:r>
          </w:p>
        </w:tc>
      </w:tr>
      <w:tr w:rsidR="007608D6" w:rsidRPr="00FD432C" w14:paraId="450FC065" w14:textId="77777777" w:rsidTr="008D4789">
        <w:tc>
          <w:tcPr>
            <w:tcW w:w="4111" w:type="dxa"/>
          </w:tcPr>
          <w:p w14:paraId="1B2D2602" w14:textId="77777777" w:rsidR="007608D6" w:rsidRPr="00FD432C" w:rsidRDefault="007608D6" w:rsidP="007608D6">
            <w:pPr>
              <w:pStyle w:val="Tablegridheading2"/>
            </w:pPr>
            <w:r w:rsidRPr="00FD432C">
              <w:t>Education level</w:t>
            </w:r>
          </w:p>
        </w:tc>
        <w:tc>
          <w:tcPr>
            <w:tcW w:w="2458" w:type="dxa"/>
          </w:tcPr>
          <w:p w14:paraId="2E17D8B2" w14:textId="77777777" w:rsidR="007608D6" w:rsidRPr="00FD432C" w:rsidRDefault="007608D6" w:rsidP="007608D6">
            <w:pPr>
              <w:pStyle w:val="Tablegridheading2"/>
            </w:pPr>
            <w:r>
              <w:t>%</w:t>
            </w:r>
          </w:p>
        </w:tc>
        <w:tc>
          <w:tcPr>
            <w:tcW w:w="2458" w:type="dxa"/>
            <w:vAlign w:val="top"/>
          </w:tcPr>
          <w:p w14:paraId="63E0E074" w14:textId="77777777" w:rsidR="007608D6" w:rsidRPr="00CB38E7" w:rsidRDefault="007608D6" w:rsidP="007608D6">
            <w:pPr>
              <w:pStyle w:val="Tablegridheading2"/>
            </w:pPr>
            <w:r>
              <w:t>%</w:t>
            </w:r>
          </w:p>
        </w:tc>
      </w:tr>
      <w:tr w:rsidR="006F1347" w:rsidRPr="00FD432C" w14:paraId="640D80F2" w14:textId="77777777" w:rsidTr="008D4789">
        <w:tc>
          <w:tcPr>
            <w:tcW w:w="4111" w:type="dxa"/>
          </w:tcPr>
          <w:p w14:paraId="0854BF02" w14:textId="77777777" w:rsidR="006F1347" w:rsidRPr="00FD432C" w:rsidRDefault="006F1347" w:rsidP="008D4789">
            <w:pPr>
              <w:pStyle w:val="Tablegridtext"/>
              <w:ind w:firstLine="321"/>
            </w:pPr>
            <w:r w:rsidRPr="00FD432C">
              <w:t>Left at or below year 9</w:t>
            </w:r>
          </w:p>
        </w:tc>
        <w:tc>
          <w:tcPr>
            <w:tcW w:w="2458" w:type="dxa"/>
          </w:tcPr>
          <w:p w14:paraId="36305AD0" w14:textId="77777777" w:rsidR="006F1347" w:rsidRPr="00FD432C" w:rsidRDefault="006F1347" w:rsidP="006F1347">
            <w:pPr>
              <w:pStyle w:val="Tablegridtext"/>
            </w:pPr>
            <w:r w:rsidRPr="00FD432C">
              <w:t>1.2%</w:t>
            </w:r>
          </w:p>
        </w:tc>
        <w:tc>
          <w:tcPr>
            <w:tcW w:w="2458" w:type="dxa"/>
            <w:vAlign w:val="top"/>
          </w:tcPr>
          <w:p w14:paraId="7818A20B" w14:textId="77777777" w:rsidR="006F1347" w:rsidRPr="00CB38E7" w:rsidRDefault="006F1347" w:rsidP="006F1347">
            <w:pPr>
              <w:pStyle w:val="Tablegridtext"/>
            </w:pPr>
            <w:r w:rsidRPr="00CB38E7">
              <w:t>0.4%</w:t>
            </w:r>
          </w:p>
        </w:tc>
      </w:tr>
      <w:tr w:rsidR="006F1347" w:rsidRPr="00FD432C" w14:paraId="6B63373A" w14:textId="77777777" w:rsidTr="008D4789">
        <w:tc>
          <w:tcPr>
            <w:tcW w:w="4111" w:type="dxa"/>
          </w:tcPr>
          <w:p w14:paraId="7518B4FA" w14:textId="77777777" w:rsidR="006F1347" w:rsidRPr="00FD432C" w:rsidRDefault="006F1347" w:rsidP="008D4789">
            <w:pPr>
              <w:pStyle w:val="Tablegridtext"/>
              <w:ind w:firstLine="321"/>
            </w:pPr>
            <w:r w:rsidRPr="00FD432C">
              <w:t>Year 10, 11 &amp; Cert I/II</w:t>
            </w:r>
          </w:p>
        </w:tc>
        <w:tc>
          <w:tcPr>
            <w:tcW w:w="2458" w:type="dxa"/>
          </w:tcPr>
          <w:p w14:paraId="4FE3DEB2" w14:textId="77777777" w:rsidR="006F1347" w:rsidRPr="00FD432C" w:rsidRDefault="006F1347" w:rsidP="006F1347">
            <w:pPr>
              <w:pStyle w:val="Tablegridtext"/>
            </w:pPr>
            <w:r w:rsidRPr="00FD432C">
              <w:t>4.5%</w:t>
            </w:r>
          </w:p>
        </w:tc>
        <w:tc>
          <w:tcPr>
            <w:tcW w:w="2458" w:type="dxa"/>
            <w:vAlign w:val="top"/>
          </w:tcPr>
          <w:p w14:paraId="73E32083" w14:textId="77777777" w:rsidR="006F1347" w:rsidRPr="00CB38E7" w:rsidRDefault="006F1347" w:rsidP="006F1347">
            <w:pPr>
              <w:pStyle w:val="Tablegridtext"/>
            </w:pPr>
            <w:r w:rsidRPr="00CB38E7">
              <w:t>0.9%</w:t>
            </w:r>
          </w:p>
        </w:tc>
      </w:tr>
      <w:tr w:rsidR="006F1347" w:rsidRPr="00FD432C" w14:paraId="30FE1DB3" w14:textId="77777777" w:rsidTr="008D4789">
        <w:tc>
          <w:tcPr>
            <w:tcW w:w="4111" w:type="dxa"/>
          </w:tcPr>
          <w:p w14:paraId="584A8CCD" w14:textId="77777777" w:rsidR="006F1347" w:rsidRPr="00FD432C" w:rsidRDefault="006F1347" w:rsidP="008D4789">
            <w:pPr>
              <w:pStyle w:val="Tablegridtext"/>
              <w:ind w:firstLine="321"/>
            </w:pPr>
            <w:r w:rsidRPr="00FD432C">
              <w:t>Year 12</w:t>
            </w:r>
          </w:p>
        </w:tc>
        <w:tc>
          <w:tcPr>
            <w:tcW w:w="2458" w:type="dxa"/>
          </w:tcPr>
          <w:p w14:paraId="3F08817E" w14:textId="77777777" w:rsidR="006F1347" w:rsidRPr="00FD432C" w:rsidRDefault="006F1347" w:rsidP="006F1347">
            <w:pPr>
              <w:pStyle w:val="Tablegridtext"/>
            </w:pPr>
            <w:r w:rsidRPr="00FD432C">
              <w:t>8.2%</w:t>
            </w:r>
          </w:p>
        </w:tc>
        <w:tc>
          <w:tcPr>
            <w:tcW w:w="2458" w:type="dxa"/>
            <w:vAlign w:val="top"/>
          </w:tcPr>
          <w:p w14:paraId="445CA3A1" w14:textId="77777777" w:rsidR="006F1347" w:rsidRPr="00CB38E7" w:rsidRDefault="006F1347" w:rsidP="006F1347">
            <w:pPr>
              <w:pStyle w:val="Tablegridtext"/>
            </w:pPr>
            <w:r w:rsidRPr="00CB38E7">
              <w:t>1.0%</w:t>
            </w:r>
          </w:p>
        </w:tc>
      </w:tr>
      <w:tr w:rsidR="006F1347" w:rsidRPr="00FD432C" w14:paraId="5196F599" w14:textId="77777777" w:rsidTr="008D4789">
        <w:tc>
          <w:tcPr>
            <w:tcW w:w="4111" w:type="dxa"/>
          </w:tcPr>
          <w:p w14:paraId="1FC61713" w14:textId="77777777" w:rsidR="006F1347" w:rsidRPr="00FD432C" w:rsidRDefault="006F1347" w:rsidP="008D4789">
            <w:pPr>
              <w:pStyle w:val="Tablegridtext"/>
              <w:ind w:firstLine="321"/>
            </w:pPr>
            <w:r w:rsidRPr="00FD432C">
              <w:t>Certificate III/IV</w:t>
            </w:r>
          </w:p>
        </w:tc>
        <w:tc>
          <w:tcPr>
            <w:tcW w:w="2458" w:type="dxa"/>
          </w:tcPr>
          <w:p w14:paraId="0D6FEC7A" w14:textId="77777777" w:rsidR="006F1347" w:rsidRPr="00FD432C" w:rsidRDefault="006F1347" w:rsidP="006F1347">
            <w:pPr>
              <w:pStyle w:val="Tablegridtext"/>
            </w:pPr>
            <w:r w:rsidRPr="00FD432C">
              <w:t>20.4%</w:t>
            </w:r>
          </w:p>
        </w:tc>
        <w:tc>
          <w:tcPr>
            <w:tcW w:w="2458" w:type="dxa"/>
            <w:vAlign w:val="top"/>
          </w:tcPr>
          <w:p w14:paraId="19CFBD1E" w14:textId="77777777" w:rsidR="006F1347" w:rsidRPr="00CB38E7" w:rsidRDefault="006F1347" w:rsidP="006F1347">
            <w:pPr>
              <w:pStyle w:val="Tablegridtext"/>
            </w:pPr>
            <w:r w:rsidRPr="00CB38E7">
              <w:t>1.6%</w:t>
            </w:r>
          </w:p>
        </w:tc>
      </w:tr>
      <w:tr w:rsidR="006F1347" w:rsidRPr="00FD432C" w14:paraId="1AA77B39" w14:textId="77777777" w:rsidTr="008D4789">
        <w:tc>
          <w:tcPr>
            <w:tcW w:w="4111" w:type="dxa"/>
          </w:tcPr>
          <w:p w14:paraId="2758D649" w14:textId="77777777" w:rsidR="006F1347" w:rsidRPr="00FD432C" w:rsidRDefault="006F1347" w:rsidP="008D4789">
            <w:pPr>
              <w:pStyle w:val="Tablegridtext"/>
              <w:ind w:firstLine="321"/>
            </w:pPr>
            <w:r w:rsidRPr="00FD432C">
              <w:t>Advanced Diploma/Diploma</w:t>
            </w:r>
          </w:p>
        </w:tc>
        <w:tc>
          <w:tcPr>
            <w:tcW w:w="2458" w:type="dxa"/>
          </w:tcPr>
          <w:p w14:paraId="162170FC" w14:textId="77777777" w:rsidR="006F1347" w:rsidRPr="00FD432C" w:rsidRDefault="006F1347" w:rsidP="006F1347">
            <w:pPr>
              <w:pStyle w:val="Tablegridtext"/>
            </w:pPr>
            <w:r w:rsidRPr="00FD432C">
              <w:t>14.5%</w:t>
            </w:r>
          </w:p>
        </w:tc>
        <w:tc>
          <w:tcPr>
            <w:tcW w:w="2458" w:type="dxa"/>
            <w:vAlign w:val="top"/>
          </w:tcPr>
          <w:p w14:paraId="1BF82B72" w14:textId="77777777" w:rsidR="006F1347" w:rsidRPr="00CB38E7" w:rsidRDefault="006F1347" w:rsidP="006F1347">
            <w:pPr>
              <w:pStyle w:val="Tablegridtext"/>
            </w:pPr>
            <w:r w:rsidRPr="00CB38E7">
              <w:t>1.3%</w:t>
            </w:r>
          </w:p>
        </w:tc>
      </w:tr>
      <w:tr w:rsidR="006F1347" w:rsidRPr="00FD432C" w14:paraId="3A65E931" w14:textId="77777777" w:rsidTr="008D4789">
        <w:tc>
          <w:tcPr>
            <w:tcW w:w="4111" w:type="dxa"/>
          </w:tcPr>
          <w:p w14:paraId="262F0623" w14:textId="77777777" w:rsidR="006F1347" w:rsidRPr="00FD432C" w:rsidRDefault="006F1347" w:rsidP="008D4789">
            <w:pPr>
              <w:pStyle w:val="Tablegridtext"/>
              <w:ind w:firstLine="321"/>
            </w:pPr>
            <w:r w:rsidRPr="00FD432C">
              <w:t>Bachelor Degree</w:t>
            </w:r>
          </w:p>
        </w:tc>
        <w:tc>
          <w:tcPr>
            <w:tcW w:w="2458" w:type="dxa"/>
          </w:tcPr>
          <w:p w14:paraId="750B2AAD" w14:textId="77777777" w:rsidR="006F1347" w:rsidRPr="00FD432C" w:rsidRDefault="006F1347" w:rsidP="006F1347">
            <w:pPr>
              <w:pStyle w:val="Tablegridtext"/>
            </w:pPr>
            <w:r w:rsidRPr="00FD432C">
              <w:t>29.3%</w:t>
            </w:r>
          </w:p>
        </w:tc>
        <w:tc>
          <w:tcPr>
            <w:tcW w:w="2458" w:type="dxa"/>
            <w:vAlign w:val="top"/>
          </w:tcPr>
          <w:p w14:paraId="4871375E" w14:textId="77777777" w:rsidR="006F1347" w:rsidRPr="00CB38E7" w:rsidRDefault="006F1347" w:rsidP="006F1347">
            <w:pPr>
              <w:pStyle w:val="Tablegridtext"/>
            </w:pPr>
            <w:r w:rsidRPr="00CB38E7">
              <w:t>1.8%</w:t>
            </w:r>
          </w:p>
        </w:tc>
      </w:tr>
      <w:tr w:rsidR="006F1347" w:rsidRPr="00FD432C" w14:paraId="4623A143" w14:textId="77777777" w:rsidTr="008D4789">
        <w:tc>
          <w:tcPr>
            <w:tcW w:w="4111" w:type="dxa"/>
          </w:tcPr>
          <w:p w14:paraId="72AFC0AF" w14:textId="77777777" w:rsidR="006F1347" w:rsidRPr="00FD432C" w:rsidRDefault="006F1347" w:rsidP="008D4789">
            <w:pPr>
              <w:pStyle w:val="Tablegridtext"/>
              <w:ind w:firstLine="321"/>
            </w:pPr>
            <w:r w:rsidRPr="00FD432C">
              <w:t>Postgraduate</w:t>
            </w:r>
          </w:p>
        </w:tc>
        <w:tc>
          <w:tcPr>
            <w:tcW w:w="2458" w:type="dxa"/>
          </w:tcPr>
          <w:p w14:paraId="5B7FE924" w14:textId="77777777" w:rsidR="006F1347" w:rsidRPr="00FD432C" w:rsidRDefault="006F1347" w:rsidP="006F1347">
            <w:pPr>
              <w:pStyle w:val="Tablegridtext"/>
            </w:pPr>
            <w:r w:rsidRPr="00FD432C">
              <w:t>22.0%</w:t>
            </w:r>
          </w:p>
        </w:tc>
        <w:tc>
          <w:tcPr>
            <w:tcW w:w="2458" w:type="dxa"/>
            <w:vAlign w:val="top"/>
          </w:tcPr>
          <w:p w14:paraId="551FF5C0" w14:textId="77777777" w:rsidR="006F1347" w:rsidRDefault="006F1347" w:rsidP="006F1347">
            <w:pPr>
              <w:pStyle w:val="Tablegridtext"/>
            </w:pPr>
            <w:r w:rsidRPr="00CB38E7">
              <w:t>1.6%</w:t>
            </w:r>
          </w:p>
        </w:tc>
      </w:tr>
      <w:tr w:rsidR="007608D6" w:rsidRPr="00FD432C" w14:paraId="7B0EBD4B" w14:textId="77777777" w:rsidTr="008D4789">
        <w:tc>
          <w:tcPr>
            <w:tcW w:w="4111" w:type="dxa"/>
          </w:tcPr>
          <w:p w14:paraId="5FEE715D" w14:textId="77777777" w:rsidR="007608D6" w:rsidRPr="00FD432C" w:rsidRDefault="007608D6" w:rsidP="007608D6">
            <w:pPr>
              <w:pStyle w:val="Tablegridheading2"/>
            </w:pPr>
            <w:r>
              <w:t>Equivalised weekly household income</w:t>
            </w:r>
          </w:p>
        </w:tc>
        <w:tc>
          <w:tcPr>
            <w:tcW w:w="2458" w:type="dxa"/>
            <w:vAlign w:val="top"/>
          </w:tcPr>
          <w:p w14:paraId="597FD772" w14:textId="67DDDC79" w:rsidR="007608D6" w:rsidRPr="003C5C39" w:rsidRDefault="008D4789" w:rsidP="007608D6">
            <w:pPr>
              <w:pStyle w:val="Tablegridheading2"/>
            </w:pPr>
            <w:r>
              <w:t>$</w:t>
            </w:r>
            <w:r w:rsidR="007608D6" w:rsidRPr="003C5C39">
              <w:t>1</w:t>
            </w:r>
            <w:r w:rsidR="003E0E45">
              <w:t>,</w:t>
            </w:r>
            <w:r w:rsidR="007608D6" w:rsidRPr="003C5C39">
              <w:t>511</w:t>
            </w:r>
          </w:p>
        </w:tc>
        <w:tc>
          <w:tcPr>
            <w:tcW w:w="2458" w:type="dxa"/>
            <w:vAlign w:val="top"/>
          </w:tcPr>
          <w:p w14:paraId="18792861" w14:textId="77777777" w:rsidR="007608D6" w:rsidRDefault="008D4789" w:rsidP="007608D6">
            <w:pPr>
              <w:pStyle w:val="Tablegridheading2"/>
            </w:pPr>
            <w:r>
              <w:t>$</w:t>
            </w:r>
            <w:r w:rsidR="007608D6" w:rsidRPr="003C5C39">
              <w:t>7</w:t>
            </w:r>
            <w:r>
              <w:t>9</w:t>
            </w:r>
          </w:p>
        </w:tc>
      </w:tr>
    </w:tbl>
    <w:p w14:paraId="7F80DEF4" w14:textId="301058F3" w:rsidR="00150920" w:rsidRDefault="008D4789" w:rsidP="00150920">
      <w:pPr>
        <w:pStyle w:val="Datasource"/>
      </w:pPr>
      <w:r>
        <w:t>Source: Analysis of</w:t>
      </w:r>
      <w:r w:rsidR="00CA6B73">
        <w:t xml:space="preserve"> </w:t>
      </w:r>
      <w:r w:rsidR="00B83B99">
        <w:rPr>
          <w:noProof/>
        </w:rPr>
        <w:t xml:space="preserve">ABS </w:t>
      </w:r>
      <w:sdt>
        <w:sdtPr>
          <w:rPr>
            <w:noProof/>
          </w:rPr>
          <w:id w:val="-597492939"/>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 xml:space="preserve">. </w:t>
      </w:r>
      <w:r>
        <w:t xml:space="preserve">Jackknife replication incorporating all survey data (17,768 observations) was used to estimate standard errors. </w:t>
      </w:r>
      <w:r w:rsidR="00150920">
        <w:br w:type="page"/>
      </w:r>
    </w:p>
    <w:p w14:paraId="0DF62876" w14:textId="53EA74A7" w:rsidR="007608D6" w:rsidRDefault="008D4789" w:rsidP="008D4789">
      <w:pPr>
        <w:pStyle w:val="Caption"/>
      </w:pPr>
      <w:bookmarkStart w:id="61" w:name="_Ref518378870"/>
      <w:bookmarkStart w:id="62" w:name="_Toc518645978"/>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7</w:t>
      </w:r>
      <w:r w:rsidR="0081675E">
        <w:rPr>
          <w:noProof/>
        </w:rPr>
        <w:fldChar w:fldCharType="end"/>
      </w:r>
      <w:bookmarkEnd w:id="61"/>
      <w:r>
        <w:t>: Occupational skill level</w:t>
      </w:r>
      <w:bookmarkEnd w:id="62"/>
    </w:p>
    <w:tbl>
      <w:tblPr>
        <w:tblStyle w:val="TableGrid"/>
        <w:tblW w:w="0" w:type="auto"/>
        <w:tblLook w:val="04A0" w:firstRow="1" w:lastRow="0" w:firstColumn="1" w:lastColumn="0" w:noHBand="0" w:noVBand="1"/>
        <w:tblCaption w:val="Occupational skill level"/>
        <w:tblDescription w:val="This is a table of skill level and qualification levels for each skill level. It shows that the highest percentage of people 54.7% have a Bachelor level or higher (skill level 1). The second highest are those with a Certificate IV or Certificate III, including at least 2 years of on-the-job training, 13% (this is considered skill level 4).&#10;"/>
      </w:tblPr>
      <w:tblGrid>
        <w:gridCol w:w="3261"/>
        <w:gridCol w:w="2693"/>
        <w:gridCol w:w="1465"/>
        <w:gridCol w:w="1608"/>
      </w:tblGrid>
      <w:tr w:rsidR="006F1347" w:rsidRPr="00FD432C" w14:paraId="73520FC4" w14:textId="77777777" w:rsidTr="00CA20D1">
        <w:trPr>
          <w:cnfStyle w:val="100000000000" w:firstRow="1" w:lastRow="0" w:firstColumn="0" w:lastColumn="0" w:oddVBand="0" w:evenVBand="0" w:oddHBand="0" w:evenHBand="0" w:firstRowFirstColumn="0" w:firstRowLastColumn="0" w:lastRowFirstColumn="0" w:lastRowLastColumn="0"/>
          <w:tblHeader/>
        </w:trPr>
        <w:tc>
          <w:tcPr>
            <w:tcW w:w="3261" w:type="dxa"/>
          </w:tcPr>
          <w:p w14:paraId="377AE70C" w14:textId="77777777" w:rsidR="006F1347" w:rsidRPr="00FD432C" w:rsidRDefault="006F1347" w:rsidP="00FD432C">
            <w:pPr>
              <w:pStyle w:val="Tablegridheading"/>
            </w:pPr>
            <w:r w:rsidRPr="00FD432C">
              <w:t>Skill level</w:t>
            </w:r>
          </w:p>
        </w:tc>
        <w:tc>
          <w:tcPr>
            <w:tcW w:w="2693" w:type="dxa"/>
          </w:tcPr>
          <w:p w14:paraId="00FE8956" w14:textId="77777777" w:rsidR="006F1347" w:rsidRPr="00FD432C" w:rsidRDefault="008D4789" w:rsidP="00FD432C">
            <w:pPr>
              <w:pStyle w:val="Tablegridheading"/>
            </w:pPr>
            <w:r>
              <w:t>Q</w:t>
            </w:r>
            <w:r w:rsidR="006F1347" w:rsidRPr="00FD432C">
              <w:t>ualification level for skill level</w:t>
            </w:r>
          </w:p>
        </w:tc>
        <w:tc>
          <w:tcPr>
            <w:tcW w:w="1465" w:type="dxa"/>
          </w:tcPr>
          <w:p w14:paraId="3FE750C7" w14:textId="77777777" w:rsidR="006F1347" w:rsidRPr="00FD432C" w:rsidRDefault="006F1347" w:rsidP="00FD432C">
            <w:pPr>
              <w:pStyle w:val="Tablegridheading"/>
            </w:pPr>
            <w:r w:rsidRPr="00FD432C">
              <w:t>Percentage</w:t>
            </w:r>
          </w:p>
        </w:tc>
        <w:tc>
          <w:tcPr>
            <w:tcW w:w="1608" w:type="dxa"/>
          </w:tcPr>
          <w:p w14:paraId="2812C666" w14:textId="77777777" w:rsidR="006F1347" w:rsidRPr="00FD432C" w:rsidRDefault="00D262AA" w:rsidP="00FD432C">
            <w:pPr>
              <w:pStyle w:val="Tablegridheading"/>
            </w:pPr>
            <w:r>
              <w:t>Standard Error</w:t>
            </w:r>
          </w:p>
        </w:tc>
      </w:tr>
      <w:tr w:rsidR="00D262AA" w:rsidRPr="008D4789" w14:paraId="4AB2299D" w14:textId="77777777" w:rsidTr="003E0E45">
        <w:tc>
          <w:tcPr>
            <w:tcW w:w="3261" w:type="dxa"/>
          </w:tcPr>
          <w:p w14:paraId="2E33D4CE" w14:textId="77777777" w:rsidR="00D262AA" w:rsidRPr="00FD432C" w:rsidRDefault="00D262AA" w:rsidP="00D262AA">
            <w:pPr>
              <w:pStyle w:val="Tablegridtext"/>
            </w:pPr>
            <w:r w:rsidRPr="00FD432C">
              <w:t>Unemployed/Not in Labour Force</w:t>
            </w:r>
          </w:p>
        </w:tc>
        <w:tc>
          <w:tcPr>
            <w:tcW w:w="2693" w:type="dxa"/>
          </w:tcPr>
          <w:p w14:paraId="1577AD64" w14:textId="77777777" w:rsidR="00D262AA" w:rsidRPr="00FD432C" w:rsidRDefault="00D262AA" w:rsidP="00D262AA">
            <w:pPr>
              <w:pStyle w:val="Tablegridtext"/>
            </w:pPr>
          </w:p>
        </w:tc>
        <w:tc>
          <w:tcPr>
            <w:tcW w:w="1465" w:type="dxa"/>
          </w:tcPr>
          <w:p w14:paraId="2B43A4E7" w14:textId="77777777" w:rsidR="00D262AA" w:rsidRPr="008D4789" w:rsidRDefault="00D262AA" w:rsidP="008D4789">
            <w:pPr>
              <w:pStyle w:val="Tablegridtext"/>
              <w:jc w:val="left"/>
            </w:pPr>
            <w:r w:rsidRPr="008D4789">
              <w:t>7.3%</w:t>
            </w:r>
          </w:p>
        </w:tc>
        <w:tc>
          <w:tcPr>
            <w:tcW w:w="1608" w:type="dxa"/>
          </w:tcPr>
          <w:p w14:paraId="5D1A0802" w14:textId="77777777" w:rsidR="00D262AA" w:rsidRPr="008D4789" w:rsidRDefault="00D262AA" w:rsidP="008D4789">
            <w:pPr>
              <w:pStyle w:val="Tablegridtext"/>
              <w:jc w:val="left"/>
            </w:pPr>
            <w:r w:rsidRPr="008D4789">
              <w:t>1.0%</w:t>
            </w:r>
          </w:p>
        </w:tc>
      </w:tr>
      <w:tr w:rsidR="00D262AA" w:rsidRPr="008D4789" w14:paraId="16A84679" w14:textId="77777777" w:rsidTr="003E0E45">
        <w:tc>
          <w:tcPr>
            <w:tcW w:w="3261" w:type="dxa"/>
          </w:tcPr>
          <w:p w14:paraId="2FF353AA" w14:textId="77777777" w:rsidR="00D262AA" w:rsidRPr="00FD432C" w:rsidRDefault="00D262AA" w:rsidP="00D262AA">
            <w:pPr>
              <w:pStyle w:val="Tablegridtext"/>
            </w:pPr>
            <w:r w:rsidRPr="00FD432C">
              <w:t>Skill Level 5</w:t>
            </w:r>
          </w:p>
        </w:tc>
        <w:tc>
          <w:tcPr>
            <w:tcW w:w="2693" w:type="dxa"/>
          </w:tcPr>
          <w:p w14:paraId="24DD5C41" w14:textId="77777777" w:rsidR="00D262AA" w:rsidRPr="00FD432C" w:rsidRDefault="00D262AA" w:rsidP="00CA6B73">
            <w:pPr>
              <w:pStyle w:val="Tablegridtext"/>
              <w:jc w:val="left"/>
            </w:pPr>
            <w:r w:rsidRPr="00FD432C">
              <w:t>Certificate I or compulsory secondary education</w:t>
            </w:r>
          </w:p>
        </w:tc>
        <w:tc>
          <w:tcPr>
            <w:tcW w:w="1465" w:type="dxa"/>
          </w:tcPr>
          <w:p w14:paraId="5B28E5A1" w14:textId="77777777" w:rsidR="00D262AA" w:rsidRPr="008D4789" w:rsidRDefault="00D262AA" w:rsidP="008D4789">
            <w:pPr>
              <w:pStyle w:val="Tablegridtext"/>
              <w:jc w:val="left"/>
            </w:pPr>
            <w:r w:rsidRPr="008D4789">
              <w:t>3.7%</w:t>
            </w:r>
          </w:p>
        </w:tc>
        <w:tc>
          <w:tcPr>
            <w:tcW w:w="1608" w:type="dxa"/>
          </w:tcPr>
          <w:p w14:paraId="4AFE3E49" w14:textId="77777777" w:rsidR="00D262AA" w:rsidRPr="008D4789" w:rsidRDefault="00D262AA" w:rsidP="008D4789">
            <w:pPr>
              <w:pStyle w:val="Tablegridtext"/>
              <w:jc w:val="left"/>
            </w:pPr>
            <w:r w:rsidRPr="008D4789">
              <w:t>0.6%</w:t>
            </w:r>
          </w:p>
        </w:tc>
      </w:tr>
      <w:tr w:rsidR="00D262AA" w:rsidRPr="008D4789" w14:paraId="17FF6A87" w14:textId="77777777" w:rsidTr="003E0E45">
        <w:tc>
          <w:tcPr>
            <w:tcW w:w="3261" w:type="dxa"/>
          </w:tcPr>
          <w:p w14:paraId="50A43C2A" w14:textId="77777777" w:rsidR="00D262AA" w:rsidRPr="00FD432C" w:rsidRDefault="00D262AA" w:rsidP="00D262AA">
            <w:pPr>
              <w:pStyle w:val="Tablegridtext"/>
            </w:pPr>
            <w:r w:rsidRPr="00FD432C">
              <w:t>Skill Level 4</w:t>
            </w:r>
          </w:p>
        </w:tc>
        <w:tc>
          <w:tcPr>
            <w:tcW w:w="2693" w:type="dxa"/>
          </w:tcPr>
          <w:p w14:paraId="47A4F78A" w14:textId="77777777" w:rsidR="00D262AA" w:rsidRPr="00FD432C" w:rsidRDefault="00D262AA" w:rsidP="00CA6B73">
            <w:pPr>
              <w:pStyle w:val="Tablegridtext"/>
              <w:jc w:val="left"/>
            </w:pPr>
            <w:r w:rsidRPr="00FD432C">
              <w:t>Certificate II or III</w:t>
            </w:r>
          </w:p>
        </w:tc>
        <w:tc>
          <w:tcPr>
            <w:tcW w:w="1465" w:type="dxa"/>
          </w:tcPr>
          <w:p w14:paraId="1EB952A2" w14:textId="77777777" w:rsidR="00D262AA" w:rsidRPr="008D4789" w:rsidRDefault="00D262AA" w:rsidP="008D4789">
            <w:pPr>
              <w:pStyle w:val="Tablegridtext"/>
              <w:jc w:val="left"/>
            </w:pPr>
            <w:r w:rsidRPr="008D4789">
              <w:t>11.0%</w:t>
            </w:r>
          </w:p>
        </w:tc>
        <w:tc>
          <w:tcPr>
            <w:tcW w:w="1608" w:type="dxa"/>
          </w:tcPr>
          <w:p w14:paraId="46A3E11A" w14:textId="77777777" w:rsidR="00D262AA" w:rsidRPr="008D4789" w:rsidRDefault="00D262AA" w:rsidP="008D4789">
            <w:pPr>
              <w:pStyle w:val="Tablegridtext"/>
              <w:jc w:val="left"/>
            </w:pPr>
            <w:r w:rsidRPr="008D4789">
              <w:t>1.2%</w:t>
            </w:r>
          </w:p>
        </w:tc>
      </w:tr>
      <w:tr w:rsidR="00D262AA" w:rsidRPr="008D4789" w14:paraId="3019AFC3" w14:textId="77777777" w:rsidTr="003E0E45">
        <w:tc>
          <w:tcPr>
            <w:tcW w:w="3261" w:type="dxa"/>
          </w:tcPr>
          <w:p w14:paraId="3CA68CD8" w14:textId="77777777" w:rsidR="00D262AA" w:rsidRPr="00FD432C" w:rsidRDefault="00D262AA" w:rsidP="00D262AA">
            <w:pPr>
              <w:pStyle w:val="Tablegridtext"/>
            </w:pPr>
            <w:r w:rsidRPr="00FD432C">
              <w:t>Skill Level 3</w:t>
            </w:r>
          </w:p>
        </w:tc>
        <w:tc>
          <w:tcPr>
            <w:tcW w:w="2693" w:type="dxa"/>
          </w:tcPr>
          <w:p w14:paraId="5C75FF1A" w14:textId="77777777" w:rsidR="00D262AA" w:rsidRPr="00FD432C" w:rsidRDefault="00D262AA" w:rsidP="00CA6B73">
            <w:pPr>
              <w:pStyle w:val="Tablegridtext"/>
              <w:jc w:val="left"/>
            </w:pPr>
            <w:r w:rsidRPr="00FD432C">
              <w:t>Certificate IV, or Certificate III including at least 2 years OTJ training</w:t>
            </w:r>
          </w:p>
        </w:tc>
        <w:tc>
          <w:tcPr>
            <w:tcW w:w="1465" w:type="dxa"/>
          </w:tcPr>
          <w:p w14:paraId="35C870F9" w14:textId="77777777" w:rsidR="00D262AA" w:rsidRPr="008D4789" w:rsidRDefault="00D262AA" w:rsidP="008D4789">
            <w:pPr>
              <w:pStyle w:val="Tablegridtext"/>
              <w:jc w:val="left"/>
            </w:pPr>
            <w:r w:rsidRPr="008D4789">
              <w:t>13.0%</w:t>
            </w:r>
          </w:p>
        </w:tc>
        <w:tc>
          <w:tcPr>
            <w:tcW w:w="1608" w:type="dxa"/>
          </w:tcPr>
          <w:p w14:paraId="65A2C2D7" w14:textId="77777777" w:rsidR="00D262AA" w:rsidRPr="008D4789" w:rsidRDefault="00D262AA" w:rsidP="008D4789">
            <w:pPr>
              <w:pStyle w:val="Tablegridtext"/>
              <w:jc w:val="left"/>
            </w:pPr>
            <w:r w:rsidRPr="008D4789">
              <w:t>1.3%</w:t>
            </w:r>
          </w:p>
        </w:tc>
      </w:tr>
      <w:tr w:rsidR="00D262AA" w:rsidRPr="008D4789" w14:paraId="673534D2" w14:textId="77777777" w:rsidTr="003E0E45">
        <w:tc>
          <w:tcPr>
            <w:tcW w:w="3261" w:type="dxa"/>
          </w:tcPr>
          <w:p w14:paraId="647896C4" w14:textId="77777777" w:rsidR="00D262AA" w:rsidRPr="00FD432C" w:rsidRDefault="00D262AA" w:rsidP="00D262AA">
            <w:pPr>
              <w:pStyle w:val="Tablegridtext"/>
            </w:pPr>
            <w:r w:rsidRPr="00FD432C">
              <w:t>Skill Level 2</w:t>
            </w:r>
          </w:p>
        </w:tc>
        <w:tc>
          <w:tcPr>
            <w:tcW w:w="2693" w:type="dxa"/>
          </w:tcPr>
          <w:p w14:paraId="013CCF9F" w14:textId="77777777" w:rsidR="00D262AA" w:rsidRPr="00FD432C" w:rsidRDefault="00D262AA" w:rsidP="00CA6B73">
            <w:pPr>
              <w:pStyle w:val="Tablegridtext"/>
              <w:jc w:val="left"/>
            </w:pPr>
            <w:r w:rsidRPr="00FD432C">
              <w:t xml:space="preserve">Associate Degree, Adv. Dip or Dip. </w:t>
            </w:r>
          </w:p>
        </w:tc>
        <w:tc>
          <w:tcPr>
            <w:tcW w:w="1465" w:type="dxa"/>
          </w:tcPr>
          <w:p w14:paraId="14F5C841" w14:textId="77777777" w:rsidR="00D262AA" w:rsidRPr="008D4789" w:rsidRDefault="00D262AA" w:rsidP="008D4789">
            <w:pPr>
              <w:pStyle w:val="Tablegridtext"/>
              <w:jc w:val="left"/>
            </w:pPr>
            <w:r w:rsidRPr="008D4789">
              <w:t>10.5%</w:t>
            </w:r>
          </w:p>
        </w:tc>
        <w:tc>
          <w:tcPr>
            <w:tcW w:w="1608" w:type="dxa"/>
          </w:tcPr>
          <w:p w14:paraId="34100FA6" w14:textId="77777777" w:rsidR="00D262AA" w:rsidRPr="008D4789" w:rsidRDefault="00D262AA" w:rsidP="008D4789">
            <w:pPr>
              <w:pStyle w:val="Tablegridtext"/>
              <w:jc w:val="left"/>
            </w:pPr>
            <w:r w:rsidRPr="008D4789">
              <w:t>1.0%</w:t>
            </w:r>
          </w:p>
        </w:tc>
      </w:tr>
      <w:tr w:rsidR="00D262AA" w:rsidRPr="008D4789" w14:paraId="497BDE45" w14:textId="77777777" w:rsidTr="003E0E45">
        <w:tc>
          <w:tcPr>
            <w:tcW w:w="3261" w:type="dxa"/>
          </w:tcPr>
          <w:p w14:paraId="7F3858DB" w14:textId="77777777" w:rsidR="00D262AA" w:rsidRPr="00FD432C" w:rsidRDefault="00D262AA" w:rsidP="00D262AA">
            <w:pPr>
              <w:pStyle w:val="Tablegridtext"/>
            </w:pPr>
            <w:r w:rsidRPr="00FD432C">
              <w:t>Skill Level 1</w:t>
            </w:r>
          </w:p>
        </w:tc>
        <w:tc>
          <w:tcPr>
            <w:tcW w:w="2693" w:type="dxa"/>
          </w:tcPr>
          <w:p w14:paraId="2FB5B5C2" w14:textId="77777777" w:rsidR="00D262AA" w:rsidRPr="00FD432C" w:rsidRDefault="00D262AA" w:rsidP="00CA6B73">
            <w:pPr>
              <w:pStyle w:val="Tablegridtext"/>
              <w:jc w:val="left"/>
            </w:pPr>
            <w:r w:rsidRPr="00FD432C">
              <w:t xml:space="preserve">Bachelor degree or higher </w:t>
            </w:r>
          </w:p>
        </w:tc>
        <w:tc>
          <w:tcPr>
            <w:tcW w:w="1465" w:type="dxa"/>
          </w:tcPr>
          <w:p w14:paraId="690A920A" w14:textId="77777777" w:rsidR="00D262AA" w:rsidRPr="008D4789" w:rsidRDefault="00D262AA" w:rsidP="008D4789">
            <w:pPr>
              <w:pStyle w:val="Tablegridtext"/>
              <w:jc w:val="left"/>
            </w:pPr>
            <w:r w:rsidRPr="008D4789">
              <w:t>54.7%</w:t>
            </w:r>
          </w:p>
        </w:tc>
        <w:tc>
          <w:tcPr>
            <w:tcW w:w="1608" w:type="dxa"/>
          </w:tcPr>
          <w:p w14:paraId="55917D2C" w14:textId="77777777" w:rsidR="00D262AA" w:rsidRPr="008D4789" w:rsidRDefault="00D262AA" w:rsidP="008D4789">
            <w:pPr>
              <w:pStyle w:val="Tablegridtext"/>
              <w:jc w:val="left"/>
            </w:pPr>
            <w:r w:rsidRPr="008D4789">
              <w:t>1.5%</w:t>
            </w:r>
          </w:p>
        </w:tc>
      </w:tr>
    </w:tbl>
    <w:p w14:paraId="300ADC60" w14:textId="35B738E2" w:rsidR="00FD432C" w:rsidRDefault="008D4789" w:rsidP="008D4789">
      <w:pPr>
        <w:pStyle w:val="Datasource"/>
      </w:pPr>
      <w:r>
        <w:t xml:space="preserve">Source: </w:t>
      </w:r>
      <w:r w:rsidR="00CA6B73">
        <w:t xml:space="preserve">Analysis of </w:t>
      </w:r>
      <w:r w:rsidR="00B83B99">
        <w:rPr>
          <w:noProof/>
        </w:rPr>
        <w:t xml:space="preserve">ABS </w:t>
      </w:r>
      <w:sdt>
        <w:sdtPr>
          <w:rPr>
            <w:noProof/>
          </w:rPr>
          <w:id w:val="1181541684"/>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CA6B73">
        <w:t>.</w:t>
      </w:r>
      <w:r>
        <w:t xml:space="preserve"> Jackknife replication incorporating all survey data (17,768 observations) was used to estimate standard errors.</w:t>
      </w:r>
    </w:p>
    <w:p w14:paraId="2BB52A84" w14:textId="690A0022" w:rsidR="007608D6" w:rsidRDefault="00B8052C" w:rsidP="00B8052C">
      <w:pPr>
        <w:pStyle w:val="Caption"/>
      </w:pPr>
      <w:bookmarkStart w:id="63" w:name="_Ref518379226"/>
      <w:bookmarkStart w:id="64" w:name="_Toc518645979"/>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8</w:t>
      </w:r>
      <w:r w:rsidR="0081675E">
        <w:rPr>
          <w:noProof/>
        </w:rPr>
        <w:fldChar w:fldCharType="end"/>
      </w:r>
      <w:bookmarkEnd w:id="63"/>
      <w:r>
        <w:t>: Correlation matrix-elements of CTC score without wealth</w:t>
      </w:r>
      <w:bookmarkEnd w:id="64"/>
    </w:p>
    <w:tbl>
      <w:tblPr>
        <w:tblStyle w:val="TableGrid"/>
        <w:tblW w:w="0" w:type="auto"/>
        <w:tblLook w:val="04A0" w:firstRow="1" w:lastRow="0" w:firstColumn="1" w:lastColumn="0" w:noHBand="0" w:noVBand="1"/>
        <w:tblCaption w:val="Correlation matrix-elements of CTC score without wealth"/>
        <w:tblDescription w:val="This is a correlation matrix of education level, occupation skill level and equivalised weekly household income. The correlation coefficients indicate a stronger relationship between equivalised weekly household income and occupational skill level, than with education level. This is expected, as occupational skill level relates to the occupation currently being worked in. As such, occupation may not be indicative of educational attainment.&#10;"/>
      </w:tblPr>
      <w:tblGrid>
        <w:gridCol w:w="2259"/>
        <w:gridCol w:w="2250"/>
        <w:gridCol w:w="2259"/>
        <w:gridCol w:w="2259"/>
      </w:tblGrid>
      <w:tr w:rsidR="00B8052C" w:rsidRPr="000A5CB7" w14:paraId="4AF1502D" w14:textId="77777777" w:rsidTr="00CA20D1">
        <w:trPr>
          <w:cnfStyle w:val="100000000000" w:firstRow="1" w:lastRow="0" w:firstColumn="0" w:lastColumn="0" w:oddVBand="0" w:evenVBand="0" w:oddHBand="0" w:evenHBand="0" w:firstRowFirstColumn="0" w:firstRowLastColumn="0" w:lastRowFirstColumn="0" w:lastRowLastColumn="0"/>
          <w:tblHeader/>
        </w:trPr>
        <w:tc>
          <w:tcPr>
            <w:tcW w:w="2259" w:type="dxa"/>
          </w:tcPr>
          <w:p w14:paraId="602CC30C" w14:textId="77777777" w:rsidR="00B8052C" w:rsidRPr="000A5CB7" w:rsidRDefault="00B8052C" w:rsidP="008C2DA3">
            <w:pPr>
              <w:pStyle w:val="Tablegridheading"/>
            </w:pPr>
          </w:p>
        </w:tc>
        <w:tc>
          <w:tcPr>
            <w:tcW w:w="2250" w:type="dxa"/>
          </w:tcPr>
          <w:p w14:paraId="30438CEF" w14:textId="77777777" w:rsidR="00B8052C" w:rsidRPr="000A5CB7" w:rsidRDefault="00B8052C" w:rsidP="008C2DA3">
            <w:pPr>
              <w:pStyle w:val="Tablegridheading"/>
            </w:pPr>
            <w:r w:rsidRPr="000A5CB7">
              <w:t>Education level</w:t>
            </w:r>
          </w:p>
        </w:tc>
        <w:tc>
          <w:tcPr>
            <w:tcW w:w="2259" w:type="dxa"/>
          </w:tcPr>
          <w:p w14:paraId="2A82840B" w14:textId="20084527" w:rsidR="00B8052C" w:rsidRPr="000A5CB7" w:rsidRDefault="00FA4062" w:rsidP="008C2DA3">
            <w:pPr>
              <w:pStyle w:val="Tablegridheading"/>
            </w:pPr>
            <w:r>
              <w:t>Occupational skill</w:t>
            </w:r>
            <w:r w:rsidR="00B8052C" w:rsidRPr="000A5CB7">
              <w:t xml:space="preserve"> level</w:t>
            </w:r>
          </w:p>
        </w:tc>
        <w:tc>
          <w:tcPr>
            <w:tcW w:w="2259" w:type="dxa"/>
          </w:tcPr>
          <w:p w14:paraId="6C105DF4" w14:textId="61F6DE19" w:rsidR="00B8052C" w:rsidRPr="000A5CB7" w:rsidRDefault="00B8052C" w:rsidP="008C2DA3">
            <w:pPr>
              <w:pStyle w:val="Tablegridheading"/>
            </w:pPr>
            <w:r w:rsidRPr="000A5CB7">
              <w:t xml:space="preserve">Equivalised </w:t>
            </w:r>
            <w:r w:rsidR="00642709">
              <w:t>w</w:t>
            </w:r>
            <w:r w:rsidRPr="000A5CB7">
              <w:t xml:space="preserve">eekly </w:t>
            </w:r>
            <w:r w:rsidR="00642709">
              <w:t>h</w:t>
            </w:r>
            <w:r w:rsidRPr="000A5CB7">
              <w:t xml:space="preserve">ousehold </w:t>
            </w:r>
            <w:r w:rsidR="00642709">
              <w:t>i</w:t>
            </w:r>
            <w:r w:rsidRPr="000A5CB7">
              <w:t>ncome</w:t>
            </w:r>
          </w:p>
        </w:tc>
      </w:tr>
      <w:tr w:rsidR="00B8052C" w:rsidRPr="000A5CB7" w14:paraId="7750B9C7" w14:textId="77777777" w:rsidTr="00B8052C">
        <w:tc>
          <w:tcPr>
            <w:tcW w:w="2259" w:type="dxa"/>
          </w:tcPr>
          <w:p w14:paraId="269DB5FA" w14:textId="77777777" w:rsidR="00B8052C" w:rsidRPr="000A5CB7" w:rsidRDefault="00B8052C" w:rsidP="008C2DA3">
            <w:pPr>
              <w:pStyle w:val="Tablegridheading"/>
            </w:pPr>
            <w:r w:rsidRPr="000A5CB7">
              <w:t>Education level</w:t>
            </w:r>
          </w:p>
        </w:tc>
        <w:tc>
          <w:tcPr>
            <w:tcW w:w="2250" w:type="dxa"/>
          </w:tcPr>
          <w:p w14:paraId="0B5AF351" w14:textId="77777777" w:rsidR="00B8052C" w:rsidRPr="000A5CB7" w:rsidRDefault="00B8052C" w:rsidP="008C2DA3">
            <w:pPr>
              <w:pStyle w:val="Tablegridtext"/>
            </w:pPr>
            <w:r w:rsidRPr="000A5CB7">
              <w:t>1</w:t>
            </w:r>
          </w:p>
        </w:tc>
        <w:tc>
          <w:tcPr>
            <w:tcW w:w="2259" w:type="dxa"/>
            <w:tcBorders>
              <w:right w:val="nil"/>
            </w:tcBorders>
            <w:shd w:val="diagStripe" w:color="auto" w:fill="auto"/>
          </w:tcPr>
          <w:p w14:paraId="3B352672" w14:textId="77777777" w:rsidR="00B8052C" w:rsidRPr="000A5CB7" w:rsidRDefault="00B8052C" w:rsidP="008C2DA3">
            <w:pPr>
              <w:pStyle w:val="Tablegridtext"/>
            </w:pPr>
          </w:p>
        </w:tc>
        <w:tc>
          <w:tcPr>
            <w:tcW w:w="2259" w:type="dxa"/>
            <w:tcBorders>
              <w:left w:val="nil"/>
              <w:bottom w:val="single" w:sz="4" w:space="0" w:color="auto"/>
              <w:right w:val="nil"/>
            </w:tcBorders>
            <w:shd w:val="diagStripe" w:color="auto" w:fill="auto"/>
          </w:tcPr>
          <w:p w14:paraId="0110A9DA" w14:textId="77777777" w:rsidR="00B8052C" w:rsidRPr="000A5CB7" w:rsidRDefault="00B8052C" w:rsidP="008C2DA3">
            <w:pPr>
              <w:pStyle w:val="Tablegridtext"/>
            </w:pPr>
          </w:p>
        </w:tc>
      </w:tr>
      <w:tr w:rsidR="00B8052C" w:rsidRPr="000A5CB7" w14:paraId="632F94B4" w14:textId="77777777" w:rsidTr="00B8052C">
        <w:tc>
          <w:tcPr>
            <w:tcW w:w="2259" w:type="dxa"/>
          </w:tcPr>
          <w:p w14:paraId="6EF4003A" w14:textId="70C4B726" w:rsidR="00B8052C" w:rsidRPr="000A5CB7" w:rsidRDefault="00FA4062" w:rsidP="008C2DA3">
            <w:pPr>
              <w:pStyle w:val="Tablegridheading"/>
            </w:pPr>
            <w:r>
              <w:t>Occupational skill</w:t>
            </w:r>
            <w:r w:rsidR="00B8052C" w:rsidRPr="000A5CB7">
              <w:t xml:space="preserve"> level</w:t>
            </w:r>
          </w:p>
        </w:tc>
        <w:tc>
          <w:tcPr>
            <w:tcW w:w="2250" w:type="dxa"/>
          </w:tcPr>
          <w:p w14:paraId="21B99CE5" w14:textId="77777777" w:rsidR="00B8052C" w:rsidRPr="000A5CB7" w:rsidRDefault="00B8052C" w:rsidP="008C2DA3">
            <w:pPr>
              <w:pStyle w:val="Tablegridtext"/>
            </w:pPr>
            <w:r w:rsidRPr="000A5CB7">
              <w:t>0.5828</w:t>
            </w:r>
          </w:p>
        </w:tc>
        <w:tc>
          <w:tcPr>
            <w:tcW w:w="2259" w:type="dxa"/>
          </w:tcPr>
          <w:p w14:paraId="68C4BF5A" w14:textId="77777777" w:rsidR="00B8052C" w:rsidRPr="000A5CB7" w:rsidRDefault="00B8052C" w:rsidP="008C2DA3">
            <w:pPr>
              <w:pStyle w:val="Tablegridtext"/>
            </w:pPr>
            <w:r w:rsidRPr="000A5CB7">
              <w:t>1</w:t>
            </w:r>
          </w:p>
        </w:tc>
        <w:tc>
          <w:tcPr>
            <w:tcW w:w="2259" w:type="dxa"/>
            <w:tcBorders>
              <w:right w:val="nil"/>
            </w:tcBorders>
            <w:shd w:val="diagStripe" w:color="auto" w:fill="auto"/>
          </w:tcPr>
          <w:p w14:paraId="5EEDC872" w14:textId="77777777" w:rsidR="00B8052C" w:rsidRPr="000A5CB7" w:rsidRDefault="00B8052C" w:rsidP="008C2DA3">
            <w:pPr>
              <w:pStyle w:val="Tablegridtext"/>
            </w:pPr>
          </w:p>
        </w:tc>
      </w:tr>
      <w:tr w:rsidR="00B8052C" w:rsidRPr="000A5CB7" w14:paraId="5517D55C" w14:textId="77777777" w:rsidTr="00B8052C">
        <w:tc>
          <w:tcPr>
            <w:tcW w:w="2259" w:type="dxa"/>
          </w:tcPr>
          <w:p w14:paraId="3368AEAF" w14:textId="1EC63850" w:rsidR="00B8052C" w:rsidRPr="000A5CB7" w:rsidRDefault="00B8052C" w:rsidP="00642709">
            <w:pPr>
              <w:pStyle w:val="Tablegridheading"/>
            </w:pPr>
            <w:r w:rsidRPr="000A5CB7">
              <w:t xml:space="preserve">Equivalised </w:t>
            </w:r>
            <w:r w:rsidR="00642709">
              <w:t>w</w:t>
            </w:r>
            <w:r w:rsidRPr="000A5CB7">
              <w:t xml:space="preserve">eekly </w:t>
            </w:r>
            <w:r w:rsidR="00642709">
              <w:t>h</w:t>
            </w:r>
            <w:r w:rsidRPr="000A5CB7">
              <w:t xml:space="preserve">ousehold </w:t>
            </w:r>
            <w:r w:rsidR="00642709">
              <w:t>i</w:t>
            </w:r>
            <w:r w:rsidRPr="000A5CB7">
              <w:t>ncome</w:t>
            </w:r>
          </w:p>
        </w:tc>
        <w:tc>
          <w:tcPr>
            <w:tcW w:w="2250" w:type="dxa"/>
          </w:tcPr>
          <w:p w14:paraId="52023BA0" w14:textId="77777777" w:rsidR="00B8052C" w:rsidRPr="000A5CB7" w:rsidRDefault="00B8052C" w:rsidP="008C2DA3">
            <w:pPr>
              <w:pStyle w:val="Tablegridtext"/>
            </w:pPr>
            <w:r w:rsidRPr="000A5CB7">
              <w:t>0.2812</w:t>
            </w:r>
          </w:p>
        </w:tc>
        <w:tc>
          <w:tcPr>
            <w:tcW w:w="2259" w:type="dxa"/>
          </w:tcPr>
          <w:p w14:paraId="3AB650FA" w14:textId="77777777" w:rsidR="00B8052C" w:rsidRPr="000A5CB7" w:rsidRDefault="00B8052C" w:rsidP="008C2DA3">
            <w:pPr>
              <w:pStyle w:val="Tablegridtext"/>
            </w:pPr>
            <w:r w:rsidRPr="000A5CB7">
              <w:t>0.5970</w:t>
            </w:r>
          </w:p>
        </w:tc>
        <w:tc>
          <w:tcPr>
            <w:tcW w:w="2259" w:type="dxa"/>
          </w:tcPr>
          <w:p w14:paraId="7F4D5737" w14:textId="77777777" w:rsidR="00B8052C" w:rsidRPr="000A5CB7" w:rsidRDefault="00B8052C" w:rsidP="008C2DA3">
            <w:pPr>
              <w:pStyle w:val="Tablegridtext"/>
            </w:pPr>
            <w:r w:rsidRPr="000A5CB7">
              <w:t>1</w:t>
            </w:r>
          </w:p>
        </w:tc>
      </w:tr>
    </w:tbl>
    <w:p w14:paraId="0E611858" w14:textId="53EF4622" w:rsidR="000A5CB7" w:rsidRDefault="00B8052C" w:rsidP="00B8052C">
      <w:pPr>
        <w:pStyle w:val="Datasource"/>
      </w:pPr>
      <w:r>
        <w:t xml:space="preserve">Source: </w:t>
      </w:r>
      <w:r w:rsidR="00CA6B73">
        <w:t>Analysis</w:t>
      </w:r>
      <w:r w:rsidR="00B83B99">
        <w:t xml:space="preserve"> of</w:t>
      </w:r>
      <w:r w:rsidR="00CA6B73">
        <w:t xml:space="preserve"> </w:t>
      </w:r>
      <w:r w:rsidR="00B83B99">
        <w:rPr>
          <w:noProof/>
        </w:rPr>
        <w:t xml:space="preserve">ABS </w:t>
      </w:r>
      <w:sdt>
        <w:sdtPr>
          <w:rPr>
            <w:noProof/>
          </w:rPr>
          <w:id w:val="-1529717417"/>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3DEFAD5A" w14:textId="7398F0DD" w:rsidR="00B8052C" w:rsidRDefault="008C2DA3" w:rsidP="008C2DA3">
      <w:r>
        <w:t xml:space="preserve">The overall importance of each variable to the component score is identified by the correlation coefficients in </w:t>
      </w:r>
      <w:r>
        <w:fldChar w:fldCharType="begin"/>
      </w:r>
      <w:r>
        <w:instrText xml:space="preserve"> REF _Ref518379751 \h </w:instrText>
      </w:r>
      <w:r>
        <w:fldChar w:fldCharType="separate"/>
      </w:r>
      <w:r w:rsidR="00092E14">
        <w:t xml:space="preserve">Table </w:t>
      </w:r>
      <w:r w:rsidR="00092E14">
        <w:rPr>
          <w:noProof/>
        </w:rPr>
        <w:t>4</w:t>
      </w:r>
      <w:r w:rsidR="00092E14">
        <w:noBreakHyphen/>
      </w:r>
      <w:r w:rsidR="00092E14">
        <w:rPr>
          <w:noProof/>
        </w:rPr>
        <w:t>12</w:t>
      </w:r>
      <w:r>
        <w:fldChar w:fldCharType="end"/>
      </w:r>
      <w:r>
        <w:t xml:space="preserve">. In line with expectations, all coefficients are positive, with the strongest </w:t>
      </w:r>
      <w:r w:rsidR="00642709">
        <w:t xml:space="preserve">correlation found for </w:t>
      </w:r>
      <w:r w:rsidR="00FA4062">
        <w:t>occupational skill</w:t>
      </w:r>
      <w:r>
        <w:t xml:space="preserve"> level, followed by education level. </w:t>
      </w:r>
      <w:r w:rsidR="0065303B">
        <w:t>It is notable that equivalised weekly household income has the smallest coefficient</w:t>
      </w:r>
      <w:r w:rsidR="00642709">
        <w:t xml:space="preserve">. This indicates </w:t>
      </w:r>
      <w:r w:rsidR="0065303B">
        <w:t xml:space="preserve">that education and </w:t>
      </w:r>
      <w:r w:rsidR="00FA4062">
        <w:t>occupational skill</w:t>
      </w:r>
      <w:r w:rsidR="0065303B">
        <w:t xml:space="preserve"> level explain </w:t>
      </w:r>
      <w:r w:rsidR="00642709">
        <w:t>a considerable amount</w:t>
      </w:r>
      <w:r w:rsidR="00E63F55">
        <w:t xml:space="preserve"> </w:t>
      </w:r>
      <w:r w:rsidR="0065303B">
        <w:t xml:space="preserve">of the </w:t>
      </w:r>
      <w:r w:rsidR="00E87CBB">
        <w:t xml:space="preserve">variance within the </w:t>
      </w:r>
      <w:r w:rsidR="0065303B">
        <w:t>component score.</w:t>
      </w:r>
      <w:r w:rsidR="00E63F55">
        <w:t xml:space="preserve"> </w:t>
      </w:r>
    </w:p>
    <w:p w14:paraId="2EDA372E" w14:textId="77777777" w:rsidR="0065303B" w:rsidRDefault="0065303B" w:rsidP="0065303B">
      <w:pPr>
        <w:pStyle w:val="Heading3"/>
      </w:pPr>
      <w:r>
        <w:t>Household-level CTC score including reported wealth</w:t>
      </w:r>
    </w:p>
    <w:p w14:paraId="04839F41" w14:textId="666A253E" w:rsidR="0065303B" w:rsidRDefault="0065303B" w:rsidP="00150920">
      <w:r>
        <w:t>The correlation matrix for the elements of a CTC score</w:t>
      </w:r>
      <w:r w:rsidR="007377CD">
        <w:t>,</w:t>
      </w:r>
      <w:r>
        <w:t xml:space="preserve"> including reported wealth</w:t>
      </w:r>
      <w:r w:rsidR="007377CD">
        <w:t>,</w:t>
      </w:r>
      <w:r>
        <w:t xml:space="preserve"> is presented in </w:t>
      </w:r>
      <w:r>
        <w:fldChar w:fldCharType="begin"/>
      </w:r>
      <w:r>
        <w:instrText xml:space="preserve"> REF _Ref518380866 \h </w:instrText>
      </w:r>
      <w:r>
        <w:fldChar w:fldCharType="separate"/>
      </w:r>
      <w:r w:rsidR="00092E14">
        <w:t xml:space="preserve">Table </w:t>
      </w:r>
      <w:r w:rsidR="00092E14">
        <w:rPr>
          <w:noProof/>
        </w:rPr>
        <w:t>4</w:t>
      </w:r>
      <w:r w:rsidR="00092E14">
        <w:noBreakHyphen/>
      </w:r>
      <w:r w:rsidR="00092E14">
        <w:rPr>
          <w:noProof/>
        </w:rPr>
        <w:t>9</w:t>
      </w:r>
      <w:r>
        <w:fldChar w:fldCharType="end"/>
      </w:r>
      <w:r w:rsidR="007377CD">
        <w:t xml:space="preserve">. </w:t>
      </w:r>
      <w:r w:rsidR="00590CFE">
        <w:t>Th</w:t>
      </w:r>
      <w:r>
        <w:t xml:space="preserve">e strongest relationship (0.61) is between equivalised weekly household income and reported wealth. </w:t>
      </w:r>
    </w:p>
    <w:p w14:paraId="4881354A" w14:textId="155713C2" w:rsidR="0065303B" w:rsidRDefault="008D47DB" w:rsidP="00150920">
      <w:r>
        <w:t xml:space="preserve">The eigenvector and eigenvalues are reported in </w:t>
      </w:r>
      <w:r>
        <w:fldChar w:fldCharType="begin"/>
      </w:r>
      <w:r>
        <w:instrText xml:space="preserve"> REF _Ref518379954 \h </w:instrText>
      </w:r>
      <w:r>
        <w:fldChar w:fldCharType="separate"/>
      </w:r>
      <w:r w:rsidR="00092E14">
        <w:t xml:space="preserve">Table </w:t>
      </w:r>
      <w:r w:rsidR="00092E14">
        <w:rPr>
          <w:noProof/>
        </w:rPr>
        <w:t>4</w:t>
      </w:r>
      <w:r w:rsidR="00092E14">
        <w:noBreakHyphen/>
      </w:r>
      <w:r w:rsidR="00092E14">
        <w:rPr>
          <w:noProof/>
        </w:rPr>
        <w:t>11</w:t>
      </w:r>
      <w:r>
        <w:fldChar w:fldCharType="end"/>
      </w:r>
      <w:r>
        <w:t xml:space="preserve">. </w:t>
      </w:r>
      <w:r w:rsidR="00150920" w:rsidRPr="00643AF0">
        <w:t xml:space="preserve">The inclusion of reported wealth alters the eigenvector values of </w:t>
      </w:r>
      <w:r w:rsidR="007377CD">
        <w:t xml:space="preserve">the </w:t>
      </w:r>
      <w:r w:rsidR="00150920" w:rsidRPr="00643AF0">
        <w:t xml:space="preserve">other variables, with the </w:t>
      </w:r>
      <w:r w:rsidR="0065303B">
        <w:t xml:space="preserve">first eigenvector representing 59 per cent of the variance within the four variables. </w:t>
      </w:r>
      <w:r w:rsidR="006F3208">
        <w:t xml:space="preserve">Each eigenvector value is positive, with the highest value </w:t>
      </w:r>
      <w:r w:rsidR="007377CD">
        <w:t xml:space="preserve">found for </w:t>
      </w:r>
      <w:r w:rsidR="00FA4062">
        <w:t>occupational skill</w:t>
      </w:r>
      <w:r w:rsidR="006F3208">
        <w:t xml:space="preserve"> level</w:t>
      </w:r>
      <w:r>
        <w:t>.</w:t>
      </w:r>
    </w:p>
    <w:p w14:paraId="1FE625F6" w14:textId="65058A38" w:rsidR="00150920" w:rsidRDefault="00150920" w:rsidP="00150920">
      <w:r w:rsidRPr="00643AF0">
        <w:t>Reported wealth is strongly related to the resulting component score</w:t>
      </w:r>
      <w:r w:rsidR="006F3208">
        <w:t xml:space="preserve"> (see </w:t>
      </w:r>
      <w:r w:rsidR="006F3208">
        <w:fldChar w:fldCharType="begin"/>
      </w:r>
      <w:r w:rsidR="006F3208">
        <w:instrText xml:space="preserve"> REF _Ref518381269 \h </w:instrText>
      </w:r>
      <w:r w:rsidR="006F3208">
        <w:fldChar w:fldCharType="separate"/>
      </w:r>
      <w:r w:rsidR="00092E14">
        <w:t xml:space="preserve">Table </w:t>
      </w:r>
      <w:r w:rsidR="00092E14">
        <w:rPr>
          <w:noProof/>
        </w:rPr>
        <w:t>4</w:t>
      </w:r>
      <w:r w:rsidR="00092E14">
        <w:noBreakHyphen/>
      </w:r>
      <w:r w:rsidR="00092E14">
        <w:rPr>
          <w:noProof/>
        </w:rPr>
        <w:t>13</w:t>
      </w:r>
      <w:r w:rsidR="006F3208">
        <w:fldChar w:fldCharType="end"/>
      </w:r>
      <w:r w:rsidR="006F3208">
        <w:t>)</w:t>
      </w:r>
      <w:r w:rsidRPr="00643AF0">
        <w:t xml:space="preserve">, and diminishes the role of educational attainment. Hence, </w:t>
      </w:r>
      <w:r w:rsidR="00FB03B8">
        <w:t>reported</w:t>
      </w:r>
      <w:r w:rsidRPr="00643AF0">
        <w:t xml:space="preserve"> wealth has a higher correlation with the resulting component score than educational attainment</w:t>
      </w:r>
      <w:r w:rsidR="00A425DC">
        <w:t>. The</w:t>
      </w:r>
      <w:r w:rsidR="006F3208">
        <w:t xml:space="preserve"> importance of equivalised weekly household income </w:t>
      </w:r>
      <w:r w:rsidR="00A425DC">
        <w:t xml:space="preserve">is </w:t>
      </w:r>
      <w:r w:rsidR="006F3208">
        <w:t>also higher in a CTC score</w:t>
      </w:r>
      <w:r w:rsidR="00590CFE">
        <w:t xml:space="preserve"> that </w:t>
      </w:r>
      <w:r w:rsidR="00A425DC">
        <w:t>includes</w:t>
      </w:r>
      <w:r w:rsidR="006F3208">
        <w:t xml:space="preserve"> reported wealth.</w:t>
      </w:r>
      <w:r w:rsidR="00E63F55">
        <w:t xml:space="preserve"> </w:t>
      </w:r>
    </w:p>
    <w:p w14:paraId="5B4B0C2F" w14:textId="184E90BE" w:rsidR="006F3208" w:rsidRDefault="006F3208" w:rsidP="006F3208">
      <w:pPr>
        <w:pStyle w:val="Caption"/>
      </w:pPr>
      <w:bookmarkStart w:id="65" w:name="_Ref518380866"/>
      <w:bookmarkStart w:id="66" w:name="_Toc518645980"/>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9</w:t>
      </w:r>
      <w:r w:rsidR="0081675E">
        <w:rPr>
          <w:noProof/>
        </w:rPr>
        <w:fldChar w:fldCharType="end"/>
      </w:r>
      <w:bookmarkEnd w:id="65"/>
      <w:r>
        <w:t>: Correlation matrix-elements of CTC score with reported wealth</w:t>
      </w:r>
      <w:bookmarkEnd w:id="66"/>
    </w:p>
    <w:tbl>
      <w:tblPr>
        <w:tblStyle w:val="TableGrid"/>
        <w:tblW w:w="0" w:type="auto"/>
        <w:tblLook w:val="04A0" w:firstRow="1" w:lastRow="0" w:firstColumn="1" w:lastColumn="0" w:noHBand="0" w:noVBand="1"/>
        <w:tblCaption w:val="Correlation matrix-elements of CTC score with reported wealth"/>
        <w:tblDescription w:val="This is a correlation matrix of education level, occupation skill level, equivalised weekly household income and reported wealth. The strongest relationship (0.61) is between equivalised weekly household income and reported wealth.&#10;"/>
      </w:tblPr>
      <w:tblGrid>
        <w:gridCol w:w="2127"/>
        <w:gridCol w:w="1725"/>
        <w:gridCol w:w="1725"/>
        <w:gridCol w:w="1725"/>
        <w:gridCol w:w="1725"/>
      </w:tblGrid>
      <w:tr w:rsidR="006F3208" w:rsidRPr="000A5CB7" w14:paraId="529A1F6F" w14:textId="77777777" w:rsidTr="00CA20D1">
        <w:trPr>
          <w:cnfStyle w:val="100000000000" w:firstRow="1" w:lastRow="0" w:firstColumn="0" w:lastColumn="0" w:oddVBand="0" w:evenVBand="0" w:oddHBand="0" w:evenHBand="0" w:firstRowFirstColumn="0" w:firstRowLastColumn="0" w:lastRowFirstColumn="0" w:lastRowLastColumn="0"/>
          <w:tblHeader/>
        </w:trPr>
        <w:tc>
          <w:tcPr>
            <w:tcW w:w="2127" w:type="dxa"/>
          </w:tcPr>
          <w:p w14:paraId="691F3B4B" w14:textId="77777777" w:rsidR="006F3208" w:rsidRPr="000A5CB7" w:rsidRDefault="006F3208" w:rsidP="00971829">
            <w:pPr>
              <w:pStyle w:val="Tablegridheading"/>
            </w:pPr>
          </w:p>
        </w:tc>
        <w:tc>
          <w:tcPr>
            <w:tcW w:w="1725" w:type="dxa"/>
          </w:tcPr>
          <w:p w14:paraId="6E328C60" w14:textId="77777777" w:rsidR="006F3208" w:rsidRPr="000A5CB7" w:rsidRDefault="006F3208" w:rsidP="00971829">
            <w:pPr>
              <w:pStyle w:val="Tablegridheading"/>
            </w:pPr>
            <w:r w:rsidRPr="000A5CB7">
              <w:t>Education level</w:t>
            </w:r>
          </w:p>
        </w:tc>
        <w:tc>
          <w:tcPr>
            <w:tcW w:w="1725" w:type="dxa"/>
          </w:tcPr>
          <w:p w14:paraId="244040CD" w14:textId="37096BBE" w:rsidR="006F3208" w:rsidRPr="000A5CB7" w:rsidRDefault="00FA4062" w:rsidP="00971829">
            <w:pPr>
              <w:pStyle w:val="Tablegridheading"/>
            </w:pPr>
            <w:r>
              <w:t>Occupational skill</w:t>
            </w:r>
            <w:r w:rsidR="006F3208" w:rsidRPr="000A5CB7">
              <w:t xml:space="preserve"> level</w:t>
            </w:r>
          </w:p>
        </w:tc>
        <w:tc>
          <w:tcPr>
            <w:tcW w:w="1725" w:type="dxa"/>
          </w:tcPr>
          <w:p w14:paraId="5002D11D" w14:textId="77777777" w:rsidR="006F3208" w:rsidRPr="000A5CB7" w:rsidRDefault="006F3208" w:rsidP="00971829">
            <w:pPr>
              <w:pStyle w:val="Tablegridheading"/>
            </w:pPr>
            <w:r w:rsidRPr="000A5CB7">
              <w:t>Equivalised Weekly Household Income</w:t>
            </w:r>
          </w:p>
        </w:tc>
        <w:tc>
          <w:tcPr>
            <w:tcW w:w="1725" w:type="dxa"/>
          </w:tcPr>
          <w:p w14:paraId="171D1ACE" w14:textId="77777777" w:rsidR="006F3208" w:rsidRPr="000A5CB7" w:rsidRDefault="006F3208" w:rsidP="00971829">
            <w:pPr>
              <w:pStyle w:val="Tablegridheading"/>
            </w:pPr>
            <w:r w:rsidRPr="000A5CB7">
              <w:t>Reported wealth</w:t>
            </w:r>
          </w:p>
        </w:tc>
      </w:tr>
      <w:tr w:rsidR="006F3208" w:rsidRPr="000A5CB7" w14:paraId="6C927C2C" w14:textId="77777777" w:rsidTr="00590CFE">
        <w:tc>
          <w:tcPr>
            <w:tcW w:w="2127" w:type="dxa"/>
          </w:tcPr>
          <w:p w14:paraId="7DB4D3EA" w14:textId="77777777" w:rsidR="006F3208" w:rsidRPr="000A5CB7" w:rsidRDefault="006F3208" w:rsidP="00971829">
            <w:pPr>
              <w:pStyle w:val="Tablegridheading"/>
            </w:pPr>
            <w:r w:rsidRPr="000A5CB7">
              <w:t>Education level</w:t>
            </w:r>
          </w:p>
        </w:tc>
        <w:tc>
          <w:tcPr>
            <w:tcW w:w="1725" w:type="dxa"/>
          </w:tcPr>
          <w:p w14:paraId="1D32BC1C" w14:textId="77777777" w:rsidR="006F3208" w:rsidRPr="000A5CB7" w:rsidRDefault="006F3208" w:rsidP="00971829">
            <w:pPr>
              <w:pStyle w:val="Tablegridtext"/>
            </w:pPr>
            <w:r w:rsidRPr="000A5CB7">
              <w:t>1</w:t>
            </w:r>
          </w:p>
        </w:tc>
        <w:tc>
          <w:tcPr>
            <w:tcW w:w="1725" w:type="dxa"/>
            <w:tcBorders>
              <w:right w:val="nil"/>
            </w:tcBorders>
            <w:shd w:val="thinDiagStripe" w:color="auto" w:fill="auto"/>
          </w:tcPr>
          <w:p w14:paraId="3E673AA4" w14:textId="77777777" w:rsidR="006F3208" w:rsidRPr="000A5CB7" w:rsidRDefault="006F3208" w:rsidP="00971829">
            <w:pPr>
              <w:pStyle w:val="Tablegridtext"/>
            </w:pPr>
          </w:p>
        </w:tc>
        <w:tc>
          <w:tcPr>
            <w:tcW w:w="1725" w:type="dxa"/>
            <w:tcBorders>
              <w:left w:val="nil"/>
              <w:bottom w:val="single" w:sz="4" w:space="0" w:color="auto"/>
              <w:right w:val="nil"/>
            </w:tcBorders>
            <w:shd w:val="thinDiagStripe" w:color="auto" w:fill="auto"/>
          </w:tcPr>
          <w:p w14:paraId="19416F76" w14:textId="77777777" w:rsidR="006F3208" w:rsidRPr="000A5CB7" w:rsidRDefault="006F3208" w:rsidP="00971829">
            <w:pPr>
              <w:pStyle w:val="Tablegridtext"/>
            </w:pPr>
          </w:p>
        </w:tc>
        <w:tc>
          <w:tcPr>
            <w:tcW w:w="1725" w:type="dxa"/>
            <w:tcBorders>
              <w:left w:val="nil"/>
              <w:bottom w:val="single" w:sz="4" w:space="0" w:color="auto"/>
              <w:right w:val="nil"/>
            </w:tcBorders>
            <w:shd w:val="thinDiagStripe" w:color="auto" w:fill="auto"/>
          </w:tcPr>
          <w:p w14:paraId="7E5DB916" w14:textId="77777777" w:rsidR="006F3208" w:rsidRPr="000A5CB7" w:rsidRDefault="006F3208" w:rsidP="00971829">
            <w:pPr>
              <w:pStyle w:val="Tablegridtext"/>
            </w:pPr>
          </w:p>
        </w:tc>
      </w:tr>
      <w:tr w:rsidR="006F3208" w:rsidRPr="000A5CB7" w14:paraId="1646D327" w14:textId="77777777" w:rsidTr="00590CFE">
        <w:tc>
          <w:tcPr>
            <w:tcW w:w="2127" w:type="dxa"/>
          </w:tcPr>
          <w:p w14:paraId="4AB29580" w14:textId="19568D41" w:rsidR="006F3208" w:rsidRPr="000A5CB7" w:rsidRDefault="00FA4062" w:rsidP="00971829">
            <w:pPr>
              <w:pStyle w:val="Tablegridheading"/>
            </w:pPr>
            <w:r>
              <w:t>Occupational skill</w:t>
            </w:r>
            <w:r w:rsidR="006F3208" w:rsidRPr="000A5CB7">
              <w:t xml:space="preserve"> level</w:t>
            </w:r>
          </w:p>
        </w:tc>
        <w:tc>
          <w:tcPr>
            <w:tcW w:w="1725" w:type="dxa"/>
          </w:tcPr>
          <w:p w14:paraId="401E3088" w14:textId="77777777" w:rsidR="006F3208" w:rsidRPr="000A5CB7" w:rsidRDefault="006F3208" w:rsidP="00971829">
            <w:pPr>
              <w:pStyle w:val="Tablegridtext"/>
            </w:pPr>
            <w:r w:rsidRPr="000A5CB7">
              <w:t>0.5828</w:t>
            </w:r>
          </w:p>
        </w:tc>
        <w:tc>
          <w:tcPr>
            <w:tcW w:w="1725" w:type="dxa"/>
          </w:tcPr>
          <w:p w14:paraId="6138B3DC" w14:textId="77777777" w:rsidR="006F3208" w:rsidRPr="000A5CB7" w:rsidRDefault="006F3208" w:rsidP="00971829">
            <w:pPr>
              <w:pStyle w:val="Tablegridtext"/>
            </w:pPr>
            <w:r w:rsidRPr="000A5CB7">
              <w:t>1</w:t>
            </w:r>
          </w:p>
        </w:tc>
        <w:tc>
          <w:tcPr>
            <w:tcW w:w="1725" w:type="dxa"/>
            <w:tcBorders>
              <w:right w:val="nil"/>
            </w:tcBorders>
            <w:shd w:val="thinDiagStripe" w:color="auto" w:fill="auto"/>
          </w:tcPr>
          <w:p w14:paraId="5758F2AF" w14:textId="77777777" w:rsidR="006F3208" w:rsidRPr="000A5CB7" w:rsidRDefault="006F3208" w:rsidP="00971829">
            <w:pPr>
              <w:pStyle w:val="Tablegridtext"/>
            </w:pPr>
          </w:p>
        </w:tc>
        <w:tc>
          <w:tcPr>
            <w:tcW w:w="1725" w:type="dxa"/>
            <w:tcBorders>
              <w:left w:val="nil"/>
              <w:bottom w:val="single" w:sz="4" w:space="0" w:color="auto"/>
              <w:right w:val="nil"/>
            </w:tcBorders>
            <w:shd w:val="thinDiagStripe" w:color="auto" w:fill="auto"/>
          </w:tcPr>
          <w:p w14:paraId="0A6315C5" w14:textId="77777777" w:rsidR="006F3208" w:rsidRPr="000A5CB7" w:rsidRDefault="006F3208" w:rsidP="00971829">
            <w:pPr>
              <w:pStyle w:val="Tablegridtext"/>
            </w:pPr>
          </w:p>
        </w:tc>
      </w:tr>
      <w:tr w:rsidR="006F3208" w:rsidRPr="000A5CB7" w14:paraId="3A29351C" w14:textId="77777777" w:rsidTr="00590CFE">
        <w:tc>
          <w:tcPr>
            <w:tcW w:w="2127" w:type="dxa"/>
          </w:tcPr>
          <w:p w14:paraId="361F3591" w14:textId="77777777" w:rsidR="006F3208" w:rsidRPr="000A5CB7" w:rsidRDefault="006F3208" w:rsidP="00971829">
            <w:pPr>
              <w:pStyle w:val="Tablegridheading"/>
            </w:pPr>
            <w:r w:rsidRPr="000A5CB7">
              <w:t>Equivalised Weekly Household Income</w:t>
            </w:r>
          </w:p>
        </w:tc>
        <w:tc>
          <w:tcPr>
            <w:tcW w:w="1725" w:type="dxa"/>
          </w:tcPr>
          <w:p w14:paraId="6656D091" w14:textId="77777777" w:rsidR="006F3208" w:rsidRPr="000A5CB7" w:rsidRDefault="006F3208" w:rsidP="00971829">
            <w:pPr>
              <w:pStyle w:val="Tablegridtext"/>
            </w:pPr>
            <w:r w:rsidRPr="000A5CB7">
              <w:t>0.2812</w:t>
            </w:r>
          </w:p>
        </w:tc>
        <w:tc>
          <w:tcPr>
            <w:tcW w:w="1725" w:type="dxa"/>
          </w:tcPr>
          <w:p w14:paraId="2B8C4329" w14:textId="77777777" w:rsidR="006F3208" w:rsidRPr="000A5CB7" w:rsidRDefault="006F3208" w:rsidP="00971829">
            <w:pPr>
              <w:pStyle w:val="Tablegridtext"/>
            </w:pPr>
            <w:r w:rsidRPr="000A5CB7">
              <w:t>0.5970</w:t>
            </w:r>
          </w:p>
        </w:tc>
        <w:tc>
          <w:tcPr>
            <w:tcW w:w="1725" w:type="dxa"/>
          </w:tcPr>
          <w:p w14:paraId="3EF958BB" w14:textId="77777777" w:rsidR="006F3208" w:rsidRPr="000A5CB7" w:rsidRDefault="006F3208" w:rsidP="00971829">
            <w:pPr>
              <w:pStyle w:val="Tablegridtext"/>
            </w:pPr>
            <w:r w:rsidRPr="000A5CB7">
              <w:t>1</w:t>
            </w:r>
          </w:p>
        </w:tc>
        <w:tc>
          <w:tcPr>
            <w:tcW w:w="1725" w:type="dxa"/>
            <w:tcBorders>
              <w:right w:val="nil"/>
            </w:tcBorders>
            <w:shd w:val="thinDiagStripe" w:color="auto" w:fill="auto"/>
          </w:tcPr>
          <w:p w14:paraId="7ECDD9CB" w14:textId="77777777" w:rsidR="006F3208" w:rsidRPr="000A5CB7" w:rsidRDefault="006F3208" w:rsidP="00971829">
            <w:pPr>
              <w:pStyle w:val="Tablegridtext"/>
            </w:pPr>
          </w:p>
        </w:tc>
      </w:tr>
      <w:tr w:rsidR="006F3208" w:rsidRPr="000A5CB7" w14:paraId="12767A7C" w14:textId="77777777" w:rsidTr="00971829">
        <w:tc>
          <w:tcPr>
            <w:tcW w:w="2127" w:type="dxa"/>
          </w:tcPr>
          <w:p w14:paraId="59E75075" w14:textId="77777777" w:rsidR="006F3208" w:rsidRPr="000A5CB7" w:rsidRDefault="006F3208" w:rsidP="00971829">
            <w:pPr>
              <w:pStyle w:val="Tablegridheading"/>
            </w:pPr>
            <w:r w:rsidRPr="000A5CB7">
              <w:t xml:space="preserve">Reported wealth </w:t>
            </w:r>
          </w:p>
        </w:tc>
        <w:tc>
          <w:tcPr>
            <w:tcW w:w="1725" w:type="dxa"/>
          </w:tcPr>
          <w:p w14:paraId="1A0677D1" w14:textId="77777777" w:rsidR="006F3208" w:rsidRPr="000A5CB7" w:rsidRDefault="006F3208" w:rsidP="00971829">
            <w:pPr>
              <w:pStyle w:val="Tablegridtext"/>
            </w:pPr>
            <w:r w:rsidRPr="000A5CB7">
              <w:t>0.1374</w:t>
            </w:r>
          </w:p>
        </w:tc>
        <w:tc>
          <w:tcPr>
            <w:tcW w:w="1725" w:type="dxa"/>
          </w:tcPr>
          <w:p w14:paraId="052F4234" w14:textId="77777777" w:rsidR="006F3208" w:rsidRPr="000A5CB7" w:rsidRDefault="006F3208" w:rsidP="00971829">
            <w:pPr>
              <w:pStyle w:val="Tablegridtext"/>
            </w:pPr>
            <w:r w:rsidRPr="000A5CB7">
              <w:t>0.4391</w:t>
            </w:r>
          </w:p>
        </w:tc>
        <w:tc>
          <w:tcPr>
            <w:tcW w:w="1725" w:type="dxa"/>
          </w:tcPr>
          <w:p w14:paraId="010B7DFD" w14:textId="77777777" w:rsidR="006F3208" w:rsidRPr="000A5CB7" w:rsidRDefault="006F3208" w:rsidP="00971829">
            <w:pPr>
              <w:pStyle w:val="Tablegridtext"/>
            </w:pPr>
            <w:r w:rsidRPr="000A5CB7">
              <w:t>0.6077</w:t>
            </w:r>
          </w:p>
        </w:tc>
        <w:tc>
          <w:tcPr>
            <w:tcW w:w="1725" w:type="dxa"/>
          </w:tcPr>
          <w:p w14:paraId="30ED161F" w14:textId="77777777" w:rsidR="006F3208" w:rsidRPr="000A5CB7" w:rsidRDefault="006F3208" w:rsidP="00971829">
            <w:pPr>
              <w:pStyle w:val="Tablegridtext"/>
            </w:pPr>
            <w:r w:rsidRPr="000A5CB7">
              <w:t>1</w:t>
            </w:r>
          </w:p>
        </w:tc>
      </w:tr>
    </w:tbl>
    <w:p w14:paraId="67DE2060" w14:textId="33D57042" w:rsidR="00590CFE" w:rsidRDefault="00590CFE" w:rsidP="00590CFE">
      <w:pPr>
        <w:pStyle w:val="Datasource"/>
      </w:pPr>
      <w:r>
        <w:t xml:space="preserve">Source: Analysis of </w:t>
      </w:r>
      <w:r w:rsidR="00B83B99">
        <w:rPr>
          <w:noProof/>
        </w:rPr>
        <w:t xml:space="preserve">ABS </w:t>
      </w:r>
      <w:sdt>
        <w:sdtPr>
          <w:rPr>
            <w:noProof/>
          </w:rPr>
          <w:id w:val="25764530"/>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r>
        <w:t xml:space="preserve"> </w:t>
      </w:r>
    </w:p>
    <w:p w14:paraId="15B7BA44" w14:textId="77777777" w:rsidR="006F3208" w:rsidRDefault="006F3208" w:rsidP="006F3208">
      <w:pPr>
        <w:pStyle w:val="Heading3"/>
      </w:pPr>
      <w:r>
        <w:t>Household-level CTC score including proxy wealth</w:t>
      </w:r>
    </w:p>
    <w:p w14:paraId="44718431" w14:textId="4C381674" w:rsidR="006F3208" w:rsidRDefault="006F3208" w:rsidP="00150920">
      <w:r>
        <w:t xml:space="preserve">The third CTC score that is developed includes the proxy wealth score documented above. The correlation matrix for the four elements is </w:t>
      </w:r>
      <w:r w:rsidR="008D47DB">
        <w:t xml:space="preserve">reported in </w:t>
      </w:r>
      <w:r w:rsidR="008D47DB">
        <w:fldChar w:fldCharType="begin"/>
      </w:r>
      <w:r w:rsidR="008D47DB">
        <w:instrText xml:space="preserve"> REF _Ref518381695 \h </w:instrText>
      </w:r>
      <w:r w:rsidR="008D47DB">
        <w:fldChar w:fldCharType="separate"/>
      </w:r>
      <w:r w:rsidR="00092E14">
        <w:t xml:space="preserve">Table </w:t>
      </w:r>
      <w:r w:rsidR="00092E14">
        <w:rPr>
          <w:noProof/>
        </w:rPr>
        <w:t>4</w:t>
      </w:r>
      <w:r w:rsidR="00092E14">
        <w:noBreakHyphen/>
      </w:r>
      <w:r w:rsidR="00092E14">
        <w:rPr>
          <w:noProof/>
        </w:rPr>
        <w:t>10</w:t>
      </w:r>
      <w:r w:rsidR="008D47DB">
        <w:fldChar w:fldCharType="end"/>
      </w:r>
      <w:r w:rsidR="008D47DB">
        <w:t xml:space="preserve">, indicating a low correlation between the proxy wealth score and the other three variables. </w:t>
      </w:r>
    </w:p>
    <w:p w14:paraId="51E91C33" w14:textId="24FAF952" w:rsidR="008D47DB" w:rsidRDefault="008D47DB" w:rsidP="00150920">
      <w:r>
        <w:t xml:space="preserve">The eigenvector and eigenvalues are reported in </w:t>
      </w:r>
      <w:r>
        <w:fldChar w:fldCharType="begin"/>
      </w:r>
      <w:r>
        <w:instrText xml:space="preserve"> REF _Ref518379954 \h </w:instrText>
      </w:r>
      <w:r>
        <w:fldChar w:fldCharType="separate"/>
      </w:r>
      <w:r w:rsidR="00092E14">
        <w:t xml:space="preserve">Table </w:t>
      </w:r>
      <w:r w:rsidR="00092E14">
        <w:rPr>
          <w:noProof/>
        </w:rPr>
        <w:t>4</w:t>
      </w:r>
      <w:r w:rsidR="00092E14">
        <w:noBreakHyphen/>
      </w:r>
      <w:r w:rsidR="00092E14">
        <w:rPr>
          <w:noProof/>
        </w:rPr>
        <w:t>11</w:t>
      </w:r>
      <w:r>
        <w:fldChar w:fldCharType="end"/>
      </w:r>
      <w:r>
        <w:t xml:space="preserve">. </w:t>
      </w:r>
      <w:r w:rsidRPr="00643AF0">
        <w:t xml:space="preserve">The inclusion of reported wealth alters the eigenvector values of other variables, with the </w:t>
      </w:r>
      <w:r>
        <w:t>first eigenvector representing 51 per cent of the variance within the four variables.</w:t>
      </w:r>
    </w:p>
    <w:p w14:paraId="76EBA68B" w14:textId="76AE0834" w:rsidR="006F3208" w:rsidRDefault="006F3208" w:rsidP="006F3208">
      <w:pPr>
        <w:pStyle w:val="Caption"/>
      </w:pPr>
      <w:bookmarkStart w:id="67" w:name="_Ref518381695"/>
      <w:bookmarkStart w:id="68" w:name="_Toc518645981"/>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10</w:t>
      </w:r>
      <w:r w:rsidR="0081675E">
        <w:rPr>
          <w:noProof/>
        </w:rPr>
        <w:fldChar w:fldCharType="end"/>
      </w:r>
      <w:bookmarkEnd w:id="67"/>
      <w:r>
        <w:t xml:space="preserve">: Correlation matrix-elements of CTC score </w:t>
      </w:r>
      <w:r w:rsidR="008D47DB">
        <w:t>including proxy</w:t>
      </w:r>
      <w:r>
        <w:t xml:space="preserve"> wealth</w:t>
      </w:r>
      <w:r w:rsidR="008D47DB">
        <w:t xml:space="preserve"> score</w:t>
      </w:r>
      <w:bookmarkEnd w:id="68"/>
    </w:p>
    <w:tbl>
      <w:tblPr>
        <w:tblStyle w:val="TableGrid"/>
        <w:tblW w:w="0" w:type="auto"/>
        <w:tblLook w:val="04A0" w:firstRow="1" w:lastRow="0" w:firstColumn="1" w:lastColumn="0" w:noHBand="0" w:noVBand="1"/>
        <w:tblCaption w:val="Correlation matrix-elements of CTC score including proxy wealth score"/>
        <w:tblDescription w:val="This is a correlation matrix of education level, occupation skill level, equivalised weekly household income and proxy wealth scores. This indicates a low correlation between the proxy wealth score and the other variables - education level, occupation skill level, equivalised weekly household income .&#10;"/>
      </w:tblPr>
      <w:tblGrid>
        <w:gridCol w:w="2410"/>
        <w:gridCol w:w="1654"/>
        <w:gridCol w:w="1654"/>
        <w:gridCol w:w="1654"/>
        <w:gridCol w:w="1655"/>
      </w:tblGrid>
      <w:tr w:rsidR="006F3208" w:rsidRPr="000A5CB7" w14:paraId="2F9A7ADD" w14:textId="77777777" w:rsidTr="00CA20D1">
        <w:trPr>
          <w:cnfStyle w:val="100000000000" w:firstRow="1" w:lastRow="0" w:firstColumn="0" w:lastColumn="0" w:oddVBand="0" w:evenVBand="0" w:oddHBand="0" w:evenHBand="0" w:firstRowFirstColumn="0" w:firstRowLastColumn="0" w:lastRowFirstColumn="0" w:lastRowLastColumn="0"/>
          <w:tblHeader/>
        </w:trPr>
        <w:tc>
          <w:tcPr>
            <w:tcW w:w="2410" w:type="dxa"/>
          </w:tcPr>
          <w:p w14:paraId="4961106A" w14:textId="77777777" w:rsidR="006F3208" w:rsidRPr="000A5CB7" w:rsidRDefault="006F3208" w:rsidP="00971829">
            <w:pPr>
              <w:pStyle w:val="Tablegridheading"/>
            </w:pPr>
          </w:p>
        </w:tc>
        <w:tc>
          <w:tcPr>
            <w:tcW w:w="1654" w:type="dxa"/>
          </w:tcPr>
          <w:p w14:paraId="2BBF9E55" w14:textId="77777777" w:rsidR="006F3208" w:rsidRPr="000A5CB7" w:rsidRDefault="006F3208" w:rsidP="00971829">
            <w:pPr>
              <w:pStyle w:val="Tablegridheading"/>
            </w:pPr>
            <w:r w:rsidRPr="000A5CB7">
              <w:t>Education level</w:t>
            </w:r>
          </w:p>
        </w:tc>
        <w:tc>
          <w:tcPr>
            <w:tcW w:w="1654" w:type="dxa"/>
          </w:tcPr>
          <w:p w14:paraId="7129E4F7" w14:textId="480D635E" w:rsidR="006F3208" w:rsidRPr="000A5CB7" w:rsidRDefault="00FA4062" w:rsidP="00971829">
            <w:pPr>
              <w:pStyle w:val="Tablegridheading"/>
            </w:pPr>
            <w:r>
              <w:t>Occupational skill</w:t>
            </w:r>
            <w:r w:rsidR="006F3208" w:rsidRPr="000A5CB7">
              <w:t xml:space="preserve"> level</w:t>
            </w:r>
          </w:p>
        </w:tc>
        <w:tc>
          <w:tcPr>
            <w:tcW w:w="1654" w:type="dxa"/>
          </w:tcPr>
          <w:p w14:paraId="6F41B982" w14:textId="77777777" w:rsidR="006F3208" w:rsidRPr="000A5CB7" w:rsidRDefault="006F3208" w:rsidP="00971829">
            <w:pPr>
              <w:pStyle w:val="Tablegridheading"/>
            </w:pPr>
            <w:r w:rsidRPr="000A5CB7">
              <w:t>Equivalised Weekly Household Income</w:t>
            </w:r>
          </w:p>
        </w:tc>
        <w:tc>
          <w:tcPr>
            <w:tcW w:w="1655" w:type="dxa"/>
          </w:tcPr>
          <w:p w14:paraId="4776B214" w14:textId="77777777" w:rsidR="006F3208" w:rsidRPr="000A5CB7" w:rsidRDefault="006F3208" w:rsidP="00971829">
            <w:pPr>
              <w:pStyle w:val="Tablegridheading"/>
            </w:pPr>
            <w:r w:rsidRPr="000A5CB7">
              <w:t>Proxy wealth score</w:t>
            </w:r>
          </w:p>
        </w:tc>
      </w:tr>
      <w:tr w:rsidR="006F3208" w14:paraId="1A8C34E5" w14:textId="77777777" w:rsidTr="00590CFE">
        <w:tc>
          <w:tcPr>
            <w:tcW w:w="2410" w:type="dxa"/>
          </w:tcPr>
          <w:p w14:paraId="546842B5" w14:textId="77777777" w:rsidR="006F3208" w:rsidRPr="000A5CB7" w:rsidRDefault="006F3208" w:rsidP="00971829">
            <w:pPr>
              <w:pStyle w:val="Tablegridheading"/>
            </w:pPr>
            <w:r w:rsidRPr="000A5CB7">
              <w:t>Education level</w:t>
            </w:r>
          </w:p>
        </w:tc>
        <w:tc>
          <w:tcPr>
            <w:tcW w:w="1654" w:type="dxa"/>
            <w:vAlign w:val="bottom"/>
          </w:tcPr>
          <w:p w14:paraId="3ED3EC1A" w14:textId="77777777" w:rsidR="006F3208" w:rsidRDefault="006F3208" w:rsidP="00971829">
            <w:pPr>
              <w:pStyle w:val="Tablegridtext"/>
            </w:pPr>
            <w:r>
              <w:t>1</w:t>
            </w:r>
          </w:p>
        </w:tc>
        <w:tc>
          <w:tcPr>
            <w:tcW w:w="1654" w:type="dxa"/>
            <w:tcBorders>
              <w:right w:val="nil"/>
            </w:tcBorders>
            <w:shd w:val="thinDiagStripe" w:color="auto" w:fill="auto"/>
            <w:vAlign w:val="bottom"/>
          </w:tcPr>
          <w:p w14:paraId="63156CD2" w14:textId="77777777" w:rsidR="006F3208" w:rsidRDefault="006F3208" w:rsidP="00971829">
            <w:pPr>
              <w:pStyle w:val="Tablegridtext"/>
            </w:pPr>
          </w:p>
        </w:tc>
        <w:tc>
          <w:tcPr>
            <w:tcW w:w="1654" w:type="dxa"/>
            <w:tcBorders>
              <w:left w:val="nil"/>
              <w:bottom w:val="single" w:sz="4" w:space="0" w:color="auto"/>
              <w:right w:val="nil"/>
            </w:tcBorders>
            <w:shd w:val="thinDiagStripe" w:color="auto" w:fill="auto"/>
            <w:vAlign w:val="bottom"/>
          </w:tcPr>
          <w:p w14:paraId="47FCAA27" w14:textId="77777777" w:rsidR="006F3208" w:rsidRDefault="006F3208" w:rsidP="00971829">
            <w:pPr>
              <w:pStyle w:val="Tablegridtext"/>
              <w:rPr>
                <w:sz w:val="20"/>
                <w:szCs w:val="20"/>
              </w:rPr>
            </w:pPr>
          </w:p>
        </w:tc>
        <w:tc>
          <w:tcPr>
            <w:tcW w:w="1655" w:type="dxa"/>
            <w:tcBorders>
              <w:left w:val="nil"/>
              <w:bottom w:val="single" w:sz="4" w:space="0" w:color="auto"/>
              <w:right w:val="nil"/>
            </w:tcBorders>
            <w:shd w:val="thinDiagStripe" w:color="auto" w:fill="auto"/>
            <w:vAlign w:val="bottom"/>
          </w:tcPr>
          <w:p w14:paraId="4318694B" w14:textId="77777777" w:rsidR="006F3208" w:rsidRDefault="006F3208" w:rsidP="00971829">
            <w:pPr>
              <w:pStyle w:val="Tablegridtext"/>
              <w:rPr>
                <w:sz w:val="20"/>
                <w:szCs w:val="20"/>
              </w:rPr>
            </w:pPr>
          </w:p>
        </w:tc>
      </w:tr>
      <w:tr w:rsidR="006F3208" w14:paraId="4BFCB791" w14:textId="77777777" w:rsidTr="00590CFE">
        <w:tc>
          <w:tcPr>
            <w:tcW w:w="2410" w:type="dxa"/>
          </w:tcPr>
          <w:p w14:paraId="0FD5F615" w14:textId="46347C64" w:rsidR="006F3208" w:rsidRPr="000A5CB7" w:rsidRDefault="00FA4062" w:rsidP="00971829">
            <w:pPr>
              <w:pStyle w:val="Tablegridheading"/>
            </w:pPr>
            <w:r>
              <w:t>Occupational skill</w:t>
            </w:r>
            <w:r w:rsidR="006F3208" w:rsidRPr="000A5CB7">
              <w:t xml:space="preserve"> level</w:t>
            </w:r>
          </w:p>
        </w:tc>
        <w:tc>
          <w:tcPr>
            <w:tcW w:w="1654" w:type="dxa"/>
            <w:vAlign w:val="bottom"/>
          </w:tcPr>
          <w:p w14:paraId="1E4E42A5" w14:textId="77777777" w:rsidR="006F3208" w:rsidRDefault="006F3208" w:rsidP="00971829">
            <w:pPr>
              <w:pStyle w:val="Tablegridtext"/>
            </w:pPr>
            <w:r>
              <w:t>0.5828</w:t>
            </w:r>
          </w:p>
        </w:tc>
        <w:tc>
          <w:tcPr>
            <w:tcW w:w="1654" w:type="dxa"/>
            <w:vAlign w:val="bottom"/>
          </w:tcPr>
          <w:p w14:paraId="3B5F8491" w14:textId="77777777" w:rsidR="006F3208" w:rsidRDefault="006F3208" w:rsidP="00971829">
            <w:pPr>
              <w:pStyle w:val="Tablegridtext"/>
            </w:pPr>
            <w:r>
              <w:t>1</w:t>
            </w:r>
          </w:p>
        </w:tc>
        <w:tc>
          <w:tcPr>
            <w:tcW w:w="1654" w:type="dxa"/>
            <w:tcBorders>
              <w:right w:val="nil"/>
            </w:tcBorders>
            <w:shd w:val="thinDiagStripe" w:color="auto" w:fill="auto"/>
            <w:vAlign w:val="bottom"/>
          </w:tcPr>
          <w:p w14:paraId="5A6D733C" w14:textId="77777777" w:rsidR="006F3208" w:rsidRDefault="006F3208" w:rsidP="00971829">
            <w:pPr>
              <w:pStyle w:val="Tablegridtext"/>
            </w:pPr>
          </w:p>
        </w:tc>
        <w:tc>
          <w:tcPr>
            <w:tcW w:w="1655" w:type="dxa"/>
            <w:tcBorders>
              <w:left w:val="nil"/>
              <w:bottom w:val="single" w:sz="4" w:space="0" w:color="auto"/>
              <w:right w:val="nil"/>
            </w:tcBorders>
            <w:shd w:val="thinDiagStripe" w:color="auto" w:fill="auto"/>
            <w:vAlign w:val="bottom"/>
          </w:tcPr>
          <w:p w14:paraId="33EAA65B" w14:textId="77777777" w:rsidR="006F3208" w:rsidRDefault="006F3208" w:rsidP="00971829">
            <w:pPr>
              <w:pStyle w:val="Tablegridtext"/>
              <w:rPr>
                <w:sz w:val="20"/>
                <w:szCs w:val="20"/>
              </w:rPr>
            </w:pPr>
          </w:p>
        </w:tc>
      </w:tr>
      <w:tr w:rsidR="006F3208" w14:paraId="22F21C5C" w14:textId="77777777" w:rsidTr="00590CFE">
        <w:tc>
          <w:tcPr>
            <w:tcW w:w="2410" w:type="dxa"/>
          </w:tcPr>
          <w:p w14:paraId="391B0C98" w14:textId="77777777" w:rsidR="006F3208" w:rsidRPr="000A5CB7" w:rsidRDefault="006F3208" w:rsidP="00971829">
            <w:pPr>
              <w:pStyle w:val="Tablegridheading"/>
            </w:pPr>
            <w:r w:rsidRPr="000A5CB7">
              <w:t>Equivalised Weekly Household Income</w:t>
            </w:r>
          </w:p>
        </w:tc>
        <w:tc>
          <w:tcPr>
            <w:tcW w:w="1654" w:type="dxa"/>
            <w:vAlign w:val="bottom"/>
          </w:tcPr>
          <w:p w14:paraId="5DBEF1AB" w14:textId="77777777" w:rsidR="006F3208" w:rsidRDefault="006F3208" w:rsidP="00971829">
            <w:pPr>
              <w:pStyle w:val="Tablegridtext"/>
            </w:pPr>
            <w:r>
              <w:t>0.2812</w:t>
            </w:r>
          </w:p>
        </w:tc>
        <w:tc>
          <w:tcPr>
            <w:tcW w:w="1654" w:type="dxa"/>
            <w:vAlign w:val="bottom"/>
          </w:tcPr>
          <w:p w14:paraId="014A0DC8" w14:textId="77777777" w:rsidR="006F3208" w:rsidRDefault="006F3208" w:rsidP="00971829">
            <w:pPr>
              <w:pStyle w:val="Tablegridtext"/>
            </w:pPr>
            <w:r>
              <w:t>0.5970</w:t>
            </w:r>
          </w:p>
        </w:tc>
        <w:tc>
          <w:tcPr>
            <w:tcW w:w="1654" w:type="dxa"/>
            <w:vAlign w:val="bottom"/>
          </w:tcPr>
          <w:p w14:paraId="10FF7146" w14:textId="77777777" w:rsidR="006F3208" w:rsidRDefault="006F3208" w:rsidP="00971829">
            <w:pPr>
              <w:pStyle w:val="Tablegridtext"/>
            </w:pPr>
            <w:r>
              <w:t>1</w:t>
            </w:r>
          </w:p>
        </w:tc>
        <w:tc>
          <w:tcPr>
            <w:tcW w:w="1655" w:type="dxa"/>
            <w:tcBorders>
              <w:right w:val="nil"/>
            </w:tcBorders>
            <w:shd w:val="thinDiagStripe" w:color="auto" w:fill="auto"/>
            <w:vAlign w:val="bottom"/>
          </w:tcPr>
          <w:p w14:paraId="32A94613" w14:textId="77777777" w:rsidR="006F3208" w:rsidRDefault="006F3208" w:rsidP="00971829">
            <w:pPr>
              <w:pStyle w:val="Tablegridtext"/>
            </w:pPr>
          </w:p>
        </w:tc>
      </w:tr>
      <w:tr w:rsidR="006F3208" w14:paraId="5C30D9DD" w14:textId="77777777" w:rsidTr="006F3208">
        <w:tc>
          <w:tcPr>
            <w:tcW w:w="2410" w:type="dxa"/>
          </w:tcPr>
          <w:p w14:paraId="3D36C243" w14:textId="77777777" w:rsidR="006F3208" w:rsidRPr="000A5CB7" w:rsidRDefault="006F3208" w:rsidP="00971829">
            <w:pPr>
              <w:pStyle w:val="Tablegridheading"/>
            </w:pPr>
            <w:r w:rsidRPr="000A5CB7">
              <w:t>Proxy wealth score</w:t>
            </w:r>
          </w:p>
        </w:tc>
        <w:tc>
          <w:tcPr>
            <w:tcW w:w="1654" w:type="dxa"/>
            <w:vAlign w:val="bottom"/>
          </w:tcPr>
          <w:p w14:paraId="78C75572" w14:textId="77777777" w:rsidR="006F3208" w:rsidRDefault="006F3208" w:rsidP="00971829">
            <w:pPr>
              <w:pStyle w:val="Tablegridtext"/>
            </w:pPr>
            <w:r>
              <w:t>0.0896</w:t>
            </w:r>
          </w:p>
        </w:tc>
        <w:tc>
          <w:tcPr>
            <w:tcW w:w="1654" w:type="dxa"/>
            <w:vAlign w:val="bottom"/>
          </w:tcPr>
          <w:p w14:paraId="1225FB7D" w14:textId="77777777" w:rsidR="006F3208" w:rsidRDefault="006F3208" w:rsidP="00971829">
            <w:pPr>
              <w:pStyle w:val="Tablegridtext"/>
            </w:pPr>
            <w:r>
              <w:t>0.2238</w:t>
            </w:r>
          </w:p>
        </w:tc>
        <w:tc>
          <w:tcPr>
            <w:tcW w:w="1654" w:type="dxa"/>
            <w:vAlign w:val="bottom"/>
          </w:tcPr>
          <w:p w14:paraId="562DB4AA" w14:textId="77777777" w:rsidR="006F3208" w:rsidRDefault="006F3208" w:rsidP="00971829">
            <w:pPr>
              <w:pStyle w:val="Tablegridtext"/>
            </w:pPr>
            <w:r>
              <w:t>0.0466</w:t>
            </w:r>
          </w:p>
        </w:tc>
        <w:tc>
          <w:tcPr>
            <w:tcW w:w="1655" w:type="dxa"/>
            <w:vAlign w:val="bottom"/>
          </w:tcPr>
          <w:p w14:paraId="3278B7D3" w14:textId="77777777" w:rsidR="006F3208" w:rsidRDefault="006F3208" w:rsidP="00971829">
            <w:pPr>
              <w:pStyle w:val="Tablegridtext"/>
            </w:pPr>
            <w:r>
              <w:t>1</w:t>
            </w:r>
          </w:p>
        </w:tc>
      </w:tr>
    </w:tbl>
    <w:p w14:paraId="52F75481" w14:textId="627445E5" w:rsidR="00590CFE" w:rsidRDefault="00590CFE" w:rsidP="00590CFE">
      <w:pPr>
        <w:pStyle w:val="Datasource"/>
      </w:pPr>
      <w:r>
        <w:t xml:space="preserve">Source: Analysis of </w:t>
      </w:r>
      <w:r w:rsidR="00B83B99">
        <w:rPr>
          <w:noProof/>
        </w:rPr>
        <w:t xml:space="preserve">ABS </w:t>
      </w:r>
      <w:sdt>
        <w:sdtPr>
          <w:rPr>
            <w:noProof/>
          </w:rPr>
          <w:id w:val="-1095863454"/>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2AF84A33" w14:textId="4C393CD5" w:rsidR="00326F83" w:rsidRDefault="00326F83" w:rsidP="00326F83">
      <w:r w:rsidRPr="00643AF0">
        <w:t xml:space="preserve">The inclusion of the proxy wealth </w:t>
      </w:r>
      <w:r>
        <w:t xml:space="preserve">score </w:t>
      </w:r>
      <w:r w:rsidR="007074D7">
        <w:t>does not</w:t>
      </w:r>
      <w:r w:rsidRPr="00643AF0">
        <w:t xml:space="preserve"> alter the other </w:t>
      </w:r>
      <w:r w:rsidR="00FA4062">
        <w:t xml:space="preserve">‘no wealth’ </w:t>
      </w:r>
      <w:r w:rsidRPr="00643AF0">
        <w:t>eigenvector variables</w:t>
      </w:r>
      <w:r>
        <w:t xml:space="preserve">, with the proxy wealth eigenvector value </w:t>
      </w:r>
      <w:r w:rsidR="00590CFE">
        <w:t xml:space="preserve">also relatively low at </w:t>
      </w:r>
      <w:r>
        <w:t xml:space="preserve">0.21. Applying the </w:t>
      </w:r>
      <w:r w:rsidRPr="00643AF0">
        <w:t>SEIFA method of retaining only variables with a</w:t>
      </w:r>
      <w:r w:rsidR="0031271A">
        <w:t>n</w:t>
      </w:r>
      <w:r w:rsidRPr="00643AF0">
        <w:t xml:space="preserve"> eigenvector absolute value of at least 0.3 would </w:t>
      </w:r>
      <w:r w:rsidR="00FA4062">
        <w:t xml:space="preserve">actually </w:t>
      </w:r>
      <w:r w:rsidRPr="00643AF0">
        <w:t xml:space="preserve">see </w:t>
      </w:r>
      <w:r>
        <w:t>the proxy wealth score removed</w:t>
      </w:r>
      <w:r w:rsidR="00FA4062">
        <w:t>, pointing to its lack of significance</w:t>
      </w:r>
      <w:r w:rsidR="0031271A">
        <w:t xml:space="preserve"> (ABS, 2018)</w:t>
      </w:r>
      <w:r w:rsidR="00590CFE">
        <w:t>.</w:t>
      </w:r>
    </w:p>
    <w:p w14:paraId="124347B8" w14:textId="1BE025B1" w:rsidR="006F3208" w:rsidRDefault="00326F83" w:rsidP="00150920">
      <w:r>
        <w:t>Occupation</w:t>
      </w:r>
      <w:r w:rsidR="00FA4062">
        <w:t>al</w:t>
      </w:r>
      <w:r>
        <w:t xml:space="preserve"> skill level is the most important variable influencing the resulting CTC score</w:t>
      </w:r>
      <w:r w:rsidR="0031271A">
        <w:t>.</w:t>
      </w:r>
      <w:r w:rsidR="00E63F55">
        <w:t xml:space="preserve"> </w:t>
      </w:r>
      <w:r w:rsidR="0031271A">
        <w:t xml:space="preserve">The </w:t>
      </w:r>
      <w:r>
        <w:t xml:space="preserve">least important being the proxy wealth score itself (see </w:t>
      </w:r>
      <w:r>
        <w:fldChar w:fldCharType="begin"/>
      </w:r>
      <w:r>
        <w:instrText xml:space="preserve"> REF _Ref518382473 \h </w:instrText>
      </w:r>
      <w:r>
        <w:fldChar w:fldCharType="separate"/>
      </w:r>
      <w:r w:rsidR="00092E14">
        <w:t xml:space="preserve">Table </w:t>
      </w:r>
      <w:r w:rsidR="00092E14">
        <w:rPr>
          <w:noProof/>
        </w:rPr>
        <w:t>4</w:t>
      </w:r>
      <w:r w:rsidR="00092E14">
        <w:noBreakHyphen/>
      </w:r>
      <w:r w:rsidR="00092E14">
        <w:rPr>
          <w:noProof/>
        </w:rPr>
        <w:t>14</w:t>
      </w:r>
      <w:r>
        <w:fldChar w:fldCharType="end"/>
      </w:r>
      <w:r>
        <w:t>). The correlation of the proxy wealth variable with the relevant CTC score</w:t>
      </w:r>
      <w:r w:rsidR="0031271A">
        <w:t>,</w:t>
      </w:r>
      <w:r>
        <w:t xml:space="preserve"> is less than half that of the reported wealth variable (0.3 compared to 0.68).</w:t>
      </w:r>
    </w:p>
    <w:p w14:paraId="3A23125F" w14:textId="77777777" w:rsidR="006F3208" w:rsidRDefault="006F3208" w:rsidP="006F3208">
      <w:pPr>
        <w:pStyle w:val="Heading3"/>
      </w:pPr>
      <w:r>
        <w:t>Overall insights</w:t>
      </w:r>
    </w:p>
    <w:p w14:paraId="6E8486A6" w14:textId="3CBB398A" w:rsidR="00150920" w:rsidRDefault="00B1676B" w:rsidP="00150920">
      <w:r>
        <w:t xml:space="preserve">The above </w:t>
      </w:r>
      <w:r w:rsidR="0081675E">
        <w:t>analysis finds</w:t>
      </w:r>
      <w:r w:rsidR="00150920" w:rsidRPr="00643AF0">
        <w:t xml:space="preserve"> that </w:t>
      </w:r>
      <w:r>
        <w:t>reported</w:t>
      </w:r>
      <w:r w:rsidR="00150920" w:rsidRPr="00643AF0">
        <w:t xml:space="preserve"> wealth is an important contributor to a CTC score, </w:t>
      </w:r>
      <w:r w:rsidR="0081675E">
        <w:t>and</w:t>
      </w:r>
      <w:r w:rsidR="00150920" w:rsidRPr="00643AF0">
        <w:t xml:space="preserve"> that proxy wealth is not.</w:t>
      </w:r>
      <w:r>
        <w:t xml:space="preserve"> As identified in </w:t>
      </w:r>
      <w:r>
        <w:fldChar w:fldCharType="begin"/>
      </w:r>
      <w:r>
        <w:instrText xml:space="preserve"> REF _Ref518379954 \h </w:instrText>
      </w:r>
      <w:r>
        <w:fldChar w:fldCharType="separate"/>
      </w:r>
      <w:r w:rsidR="00092E14">
        <w:t xml:space="preserve">Table </w:t>
      </w:r>
      <w:r w:rsidR="00092E14">
        <w:rPr>
          <w:noProof/>
        </w:rPr>
        <w:t>4</w:t>
      </w:r>
      <w:r w:rsidR="00092E14">
        <w:noBreakHyphen/>
      </w:r>
      <w:r w:rsidR="00092E14">
        <w:rPr>
          <w:noProof/>
        </w:rPr>
        <w:t>11</w:t>
      </w:r>
      <w:r>
        <w:fldChar w:fldCharType="end"/>
      </w:r>
      <w:r>
        <w:t>, reported wealth has a high correlation with a resulting CTC score</w:t>
      </w:r>
      <w:r w:rsidR="0031271A">
        <w:t>. Furthermore</w:t>
      </w:r>
      <w:r>
        <w:t xml:space="preserve">, </w:t>
      </w:r>
      <w:r w:rsidR="0031271A">
        <w:t xml:space="preserve">it </w:t>
      </w:r>
      <w:r>
        <w:t>is more important than educational attainment</w:t>
      </w:r>
      <w:r w:rsidR="0081675E">
        <w:t xml:space="preserve"> in contributing to the CTC score</w:t>
      </w:r>
      <w:r>
        <w:t>. In contrast, a CTC score generated using proxy wealth</w:t>
      </w:r>
      <w:r w:rsidR="00493AFB">
        <w:t>, proxy wealth</w:t>
      </w:r>
      <w:r>
        <w:t xml:space="preserve"> </w:t>
      </w:r>
      <w:r w:rsidR="0031271A">
        <w:t>has</w:t>
      </w:r>
      <w:r>
        <w:t xml:space="preserve"> a</w:t>
      </w:r>
      <w:r w:rsidR="00FA4062">
        <w:t xml:space="preserve"> low</w:t>
      </w:r>
      <w:r>
        <w:t xml:space="preserve"> eigenvector value and correlation with the resulting CTC score. This finding indicates that with the data used in this analysis, proxy wealth </w:t>
      </w:r>
      <w:r w:rsidR="00FA4062">
        <w:t>does not</w:t>
      </w:r>
      <w:r>
        <w:t xml:space="preserve"> provide a suitable alternative to reported wealth in the development of a CTC score. </w:t>
      </w:r>
    </w:p>
    <w:p w14:paraId="6D2E7AB9" w14:textId="4C441DF5" w:rsidR="00150920" w:rsidRDefault="008C2DA3" w:rsidP="008C2DA3">
      <w:pPr>
        <w:pStyle w:val="Caption"/>
      </w:pPr>
      <w:bookmarkStart w:id="69" w:name="_Ref518379954"/>
      <w:bookmarkStart w:id="70" w:name="_Toc518645982"/>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11</w:t>
      </w:r>
      <w:r w:rsidR="0081675E">
        <w:rPr>
          <w:noProof/>
        </w:rPr>
        <w:fldChar w:fldCharType="end"/>
      </w:r>
      <w:bookmarkEnd w:id="69"/>
      <w:r>
        <w:t>: CTC scores-eigenvectors and eigenvalues</w:t>
      </w:r>
      <w:bookmarkEnd w:id="70"/>
    </w:p>
    <w:tbl>
      <w:tblPr>
        <w:tblStyle w:val="TableGrid"/>
        <w:tblW w:w="0" w:type="auto"/>
        <w:tblLook w:val="04A0" w:firstRow="1" w:lastRow="0" w:firstColumn="1" w:lastColumn="0" w:noHBand="0" w:noVBand="1"/>
        <w:tblCaption w:val="CTC scores-eigenvectors and eigenvalues"/>
        <w:tblDescription w:val="This is a table that looks at the education attainment, occupation, household income, reported wealth and proxy wealth scores and compares them with either no wealth, reported wealth or proxy wealth. Reported wealth has a high correlation with a resulting CTC score. Furthermore, it is more important than educational attainment in contributing to the CTC score. &#10;In contrast, a CTC score generated using proxy wealth has a low eigenvector value and correlation with the resulting CTC score. This finding indicates that with the data used in this analysis, proxy wealth does not provide a suitable alternative to reported wealth in the development of a CTC score. &#10;"/>
      </w:tblPr>
      <w:tblGrid>
        <w:gridCol w:w="1339"/>
        <w:gridCol w:w="1271"/>
        <w:gridCol w:w="1291"/>
        <w:gridCol w:w="1272"/>
        <w:gridCol w:w="1291"/>
        <w:gridCol w:w="1272"/>
        <w:gridCol w:w="1291"/>
      </w:tblGrid>
      <w:tr w:rsidR="00150920" w:rsidRPr="00643AF0" w14:paraId="60F183B3" w14:textId="77777777" w:rsidTr="00CA20D1">
        <w:trPr>
          <w:cnfStyle w:val="100000000000" w:firstRow="1" w:lastRow="0" w:firstColumn="0" w:lastColumn="0" w:oddVBand="0" w:evenVBand="0" w:oddHBand="0" w:evenHBand="0" w:firstRowFirstColumn="0" w:firstRowLastColumn="0" w:lastRowFirstColumn="0" w:lastRowLastColumn="0"/>
          <w:tblHeader/>
        </w:trPr>
        <w:tc>
          <w:tcPr>
            <w:tcW w:w="1489" w:type="dxa"/>
          </w:tcPr>
          <w:p w14:paraId="2B27051E" w14:textId="77777777" w:rsidR="00150920" w:rsidRPr="00643AF0" w:rsidRDefault="00150920" w:rsidP="008C2DA3">
            <w:pPr>
              <w:pStyle w:val="Tablegridheading"/>
            </w:pPr>
          </w:p>
        </w:tc>
        <w:tc>
          <w:tcPr>
            <w:tcW w:w="2510" w:type="dxa"/>
            <w:gridSpan w:val="2"/>
          </w:tcPr>
          <w:p w14:paraId="12FC17C2" w14:textId="77777777" w:rsidR="00150920" w:rsidRPr="00643AF0" w:rsidRDefault="00150920" w:rsidP="008C2DA3">
            <w:pPr>
              <w:pStyle w:val="Tablegridheading"/>
              <w:jc w:val="center"/>
            </w:pPr>
            <w:r w:rsidRPr="00643AF0">
              <w:t>No wealth</w:t>
            </w:r>
          </w:p>
        </w:tc>
        <w:tc>
          <w:tcPr>
            <w:tcW w:w="2514" w:type="dxa"/>
            <w:gridSpan w:val="2"/>
          </w:tcPr>
          <w:p w14:paraId="6C28285E" w14:textId="77777777" w:rsidR="00150920" w:rsidRPr="00643AF0" w:rsidRDefault="00150920" w:rsidP="008C2DA3">
            <w:pPr>
              <w:pStyle w:val="Tablegridheading"/>
              <w:jc w:val="center"/>
            </w:pPr>
            <w:r w:rsidRPr="00643AF0">
              <w:t>Reported wealth</w:t>
            </w:r>
          </w:p>
        </w:tc>
        <w:tc>
          <w:tcPr>
            <w:tcW w:w="2514" w:type="dxa"/>
            <w:gridSpan w:val="2"/>
          </w:tcPr>
          <w:p w14:paraId="5BA19582" w14:textId="77777777" w:rsidR="00150920" w:rsidRPr="00643AF0" w:rsidRDefault="00150920" w:rsidP="008C2DA3">
            <w:pPr>
              <w:pStyle w:val="Tablegridheading"/>
              <w:jc w:val="center"/>
            </w:pPr>
            <w:r w:rsidRPr="00643AF0">
              <w:t>Proxy wealth</w:t>
            </w:r>
          </w:p>
        </w:tc>
      </w:tr>
      <w:tr w:rsidR="00150920" w:rsidRPr="00643AF0" w14:paraId="0E7B9C32" w14:textId="77777777" w:rsidTr="008C2DA3">
        <w:tc>
          <w:tcPr>
            <w:tcW w:w="1489" w:type="dxa"/>
          </w:tcPr>
          <w:p w14:paraId="2C566450" w14:textId="77777777" w:rsidR="00150920" w:rsidRPr="00643AF0" w:rsidRDefault="00150920" w:rsidP="008C2DA3"/>
        </w:tc>
        <w:tc>
          <w:tcPr>
            <w:tcW w:w="1271" w:type="dxa"/>
          </w:tcPr>
          <w:p w14:paraId="09531553" w14:textId="77777777" w:rsidR="00150920" w:rsidRPr="00643AF0" w:rsidRDefault="00150920" w:rsidP="008C2DA3">
            <w:pPr>
              <w:pStyle w:val="Tablegridheading2"/>
            </w:pPr>
            <w:r w:rsidRPr="00643AF0">
              <w:t>Eigenvector</w:t>
            </w:r>
          </w:p>
        </w:tc>
        <w:tc>
          <w:tcPr>
            <w:tcW w:w="1239" w:type="dxa"/>
          </w:tcPr>
          <w:p w14:paraId="5365D6D6" w14:textId="77777777" w:rsidR="00150920" w:rsidRPr="00643AF0" w:rsidRDefault="00150920" w:rsidP="008C2DA3">
            <w:pPr>
              <w:pStyle w:val="Tablegridheading2"/>
            </w:pPr>
            <w:r w:rsidRPr="00643AF0">
              <w:t>Correlation</w:t>
            </w:r>
            <w:r w:rsidRPr="00FD432C">
              <w:rPr>
                <w:vertAlign w:val="superscript"/>
              </w:rPr>
              <w:t>a</w:t>
            </w:r>
          </w:p>
        </w:tc>
        <w:tc>
          <w:tcPr>
            <w:tcW w:w="1275" w:type="dxa"/>
          </w:tcPr>
          <w:p w14:paraId="04EFA6BD" w14:textId="77777777" w:rsidR="00150920" w:rsidRPr="00643AF0" w:rsidRDefault="00150920" w:rsidP="008C2DA3">
            <w:pPr>
              <w:pStyle w:val="Tablegridheading2"/>
            </w:pPr>
            <w:r w:rsidRPr="00643AF0">
              <w:t>Eigenvector</w:t>
            </w:r>
          </w:p>
        </w:tc>
        <w:tc>
          <w:tcPr>
            <w:tcW w:w="1239" w:type="dxa"/>
          </w:tcPr>
          <w:p w14:paraId="78DC4FB6" w14:textId="77777777" w:rsidR="00150920" w:rsidRPr="00643AF0" w:rsidRDefault="00150920" w:rsidP="008C2DA3">
            <w:pPr>
              <w:pStyle w:val="Tablegridheading2"/>
            </w:pPr>
            <w:r w:rsidRPr="00643AF0">
              <w:t>Correlation</w:t>
            </w:r>
            <w:r w:rsidRPr="00FD432C">
              <w:rPr>
                <w:vertAlign w:val="superscript"/>
              </w:rPr>
              <w:t>a</w:t>
            </w:r>
          </w:p>
        </w:tc>
        <w:tc>
          <w:tcPr>
            <w:tcW w:w="1275" w:type="dxa"/>
          </w:tcPr>
          <w:p w14:paraId="36EAFC05" w14:textId="77777777" w:rsidR="00150920" w:rsidRPr="00643AF0" w:rsidRDefault="00150920" w:rsidP="008C2DA3">
            <w:pPr>
              <w:pStyle w:val="Tablegridheading2"/>
            </w:pPr>
            <w:r w:rsidRPr="00643AF0">
              <w:t>Eigenvector</w:t>
            </w:r>
          </w:p>
        </w:tc>
        <w:tc>
          <w:tcPr>
            <w:tcW w:w="1239" w:type="dxa"/>
          </w:tcPr>
          <w:p w14:paraId="6FD30BE1" w14:textId="77777777" w:rsidR="00150920" w:rsidRPr="00643AF0" w:rsidRDefault="00150920" w:rsidP="008C2DA3">
            <w:pPr>
              <w:pStyle w:val="Tablegridheading2"/>
            </w:pPr>
            <w:r w:rsidRPr="00643AF0">
              <w:t>Correlation</w:t>
            </w:r>
            <w:r w:rsidRPr="00FD432C">
              <w:rPr>
                <w:vertAlign w:val="superscript"/>
              </w:rPr>
              <w:t>a</w:t>
            </w:r>
          </w:p>
        </w:tc>
      </w:tr>
      <w:tr w:rsidR="00150920" w:rsidRPr="00643AF0" w14:paraId="5830E561" w14:textId="77777777" w:rsidTr="008C2DA3">
        <w:tc>
          <w:tcPr>
            <w:tcW w:w="1489" w:type="dxa"/>
          </w:tcPr>
          <w:p w14:paraId="3723DB8B" w14:textId="77777777" w:rsidR="00150920" w:rsidRPr="00643AF0" w:rsidRDefault="00150920" w:rsidP="008C2DA3">
            <w:pPr>
              <w:pStyle w:val="Tablegridheading2"/>
            </w:pPr>
            <w:r w:rsidRPr="00643AF0">
              <w:t>Educational attainment</w:t>
            </w:r>
          </w:p>
        </w:tc>
        <w:tc>
          <w:tcPr>
            <w:tcW w:w="1271" w:type="dxa"/>
          </w:tcPr>
          <w:p w14:paraId="75AA31DE" w14:textId="77777777" w:rsidR="00150920" w:rsidRPr="00643AF0" w:rsidRDefault="00150920" w:rsidP="008C2DA3">
            <w:pPr>
              <w:pStyle w:val="Tablegridtext"/>
            </w:pPr>
            <w:r w:rsidRPr="00643AF0">
              <w:t>0.5363</w:t>
            </w:r>
          </w:p>
        </w:tc>
        <w:tc>
          <w:tcPr>
            <w:tcW w:w="1239" w:type="dxa"/>
          </w:tcPr>
          <w:p w14:paraId="1D4811B4" w14:textId="77777777" w:rsidR="00150920" w:rsidRPr="00643AF0" w:rsidRDefault="00150920" w:rsidP="008C2DA3">
            <w:pPr>
              <w:pStyle w:val="Tablegridtext"/>
            </w:pPr>
            <w:r w:rsidRPr="00643AF0">
              <w:t>0.7654</w:t>
            </w:r>
          </w:p>
        </w:tc>
        <w:tc>
          <w:tcPr>
            <w:tcW w:w="1275" w:type="dxa"/>
          </w:tcPr>
          <w:p w14:paraId="70DBEA33" w14:textId="77777777" w:rsidR="00150920" w:rsidRPr="00643AF0" w:rsidRDefault="00150920" w:rsidP="008C2DA3">
            <w:pPr>
              <w:pStyle w:val="Tablegridtext"/>
            </w:pPr>
            <w:r w:rsidRPr="00643AF0">
              <w:t>0.4044</w:t>
            </w:r>
          </w:p>
        </w:tc>
        <w:tc>
          <w:tcPr>
            <w:tcW w:w="1239" w:type="dxa"/>
          </w:tcPr>
          <w:p w14:paraId="3FB48F21" w14:textId="77777777" w:rsidR="00150920" w:rsidRPr="00643AF0" w:rsidRDefault="00150920" w:rsidP="008C2DA3">
            <w:pPr>
              <w:pStyle w:val="Tablegridtext"/>
            </w:pPr>
            <w:r w:rsidRPr="00643AF0">
              <w:t>0.6403</w:t>
            </w:r>
          </w:p>
        </w:tc>
        <w:tc>
          <w:tcPr>
            <w:tcW w:w="1275" w:type="dxa"/>
          </w:tcPr>
          <w:p w14:paraId="0CE3AE59" w14:textId="77777777" w:rsidR="00150920" w:rsidRPr="00643AF0" w:rsidRDefault="00150920" w:rsidP="008C2DA3">
            <w:pPr>
              <w:pStyle w:val="Tablegridtext"/>
            </w:pPr>
            <w:r w:rsidRPr="00643AF0">
              <w:t>0.5221</w:t>
            </w:r>
          </w:p>
        </w:tc>
        <w:tc>
          <w:tcPr>
            <w:tcW w:w="1239" w:type="dxa"/>
          </w:tcPr>
          <w:p w14:paraId="15A43924" w14:textId="77777777" w:rsidR="00150920" w:rsidRPr="00643AF0" w:rsidRDefault="00150920" w:rsidP="008C2DA3">
            <w:pPr>
              <w:pStyle w:val="Tablegridtext"/>
            </w:pPr>
            <w:r w:rsidRPr="00643AF0">
              <w:t>0.7512</w:t>
            </w:r>
          </w:p>
        </w:tc>
      </w:tr>
      <w:tr w:rsidR="00150920" w:rsidRPr="00643AF0" w14:paraId="7DEF4E6F" w14:textId="77777777" w:rsidTr="008C2DA3">
        <w:tc>
          <w:tcPr>
            <w:tcW w:w="1489" w:type="dxa"/>
          </w:tcPr>
          <w:p w14:paraId="66DCA921" w14:textId="77777777" w:rsidR="00150920" w:rsidRPr="00643AF0" w:rsidRDefault="00150920" w:rsidP="008C2DA3">
            <w:pPr>
              <w:pStyle w:val="Tablegridheading2"/>
            </w:pPr>
            <w:r w:rsidRPr="00643AF0">
              <w:t>Occupation (skill level)</w:t>
            </w:r>
          </w:p>
        </w:tc>
        <w:tc>
          <w:tcPr>
            <w:tcW w:w="1271" w:type="dxa"/>
          </w:tcPr>
          <w:p w14:paraId="3A515099" w14:textId="77777777" w:rsidR="00150920" w:rsidRPr="00643AF0" w:rsidRDefault="00150920" w:rsidP="008C2DA3">
            <w:pPr>
              <w:pStyle w:val="Tablegridtext"/>
            </w:pPr>
            <w:r w:rsidRPr="00643AF0">
              <w:t>0.6457</w:t>
            </w:r>
          </w:p>
        </w:tc>
        <w:tc>
          <w:tcPr>
            <w:tcW w:w="1239" w:type="dxa"/>
          </w:tcPr>
          <w:p w14:paraId="5C8DCFDA" w14:textId="77777777" w:rsidR="00150920" w:rsidRPr="00643AF0" w:rsidRDefault="00150920" w:rsidP="008C2DA3">
            <w:pPr>
              <w:pStyle w:val="Tablegridtext"/>
            </w:pPr>
            <w:r w:rsidRPr="00643AF0">
              <w:t>0.9262</w:t>
            </w:r>
          </w:p>
        </w:tc>
        <w:tc>
          <w:tcPr>
            <w:tcW w:w="1275" w:type="dxa"/>
          </w:tcPr>
          <w:p w14:paraId="476BC8F8" w14:textId="77777777" w:rsidR="00150920" w:rsidRPr="00643AF0" w:rsidRDefault="00150920" w:rsidP="008C2DA3">
            <w:pPr>
              <w:pStyle w:val="Tablegridtext"/>
            </w:pPr>
            <w:r w:rsidRPr="00643AF0">
              <w:t>0.5661</w:t>
            </w:r>
          </w:p>
        </w:tc>
        <w:tc>
          <w:tcPr>
            <w:tcW w:w="1239" w:type="dxa"/>
          </w:tcPr>
          <w:p w14:paraId="0D09A5B8" w14:textId="77777777" w:rsidR="00150920" w:rsidRPr="00643AF0" w:rsidRDefault="00150920" w:rsidP="008C2DA3">
            <w:pPr>
              <w:pStyle w:val="Tablegridtext"/>
            </w:pPr>
            <w:r w:rsidRPr="00643AF0">
              <w:t>0.9196</w:t>
            </w:r>
          </w:p>
        </w:tc>
        <w:tc>
          <w:tcPr>
            <w:tcW w:w="1275" w:type="dxa"/>
          </w:tcPr>
          <w:p w14:paraId="46272C3B" w14:textId="77777777" w:rsidR="00150920" w:rsidRPr="00643AF0" w:rsidRDefault="00150920" w:rsidP="008C2DA3">
            <w:pPr>
              <w:pStyle w:val="Tablegridtext"/>
            </w:pPr>
            <w:r w:rsidRPr="00643AF0">
              <w:t>0.6414</w:t>
            </w:r>
          </w:p>
        </w:tc>
        <w:tc>
          <w:tcPr>
            <w:tcW w:w="1239" w:type="dxa"/>
          </w:tcPr>
          <w:p w14:paraId="67D8A999" w14:textId="77777777" w:rsidR="00150920" w:rsidRPr="00643AF0" w:rsidRDefault="00150920" w:rsidP="008C2DA3">
            <w:pPr>
              <w:pStyle w:val="Tablegridtext"/>
            </w:pPr>
            <w:r w:rsidRPr="00643AF0">
              <w:t>0.9219</w:t>
            </w:r>
          </w:p>
        </w:tc>
      </w:tr>
      <w:tr w:rsidR="00150920" w:rsidRPr="00643AF0" w14:paraId="293C5C90" w14:textId="77777777" w:rsidTr="00493AFB">
        <w:tc>
          <w:tcPr>
            <w:tcW w:w="1489" w:type="dxa"/>
          </w:tcPr>
          <w:p w14:paraId="60A10231" w14:textId="77777777" w:rsidR="00150920" w:rsidRPr="00643AF0" w:rsidRDefault="00150920" w:rsidP="008C2DA3">
            <w:pPr>
              <w:pStyle w:val="Tablegridheading2"/>
            </w:pPr>
            <w:r w:rsidRPr="00643AF0">
              <w:t>Household income</w:t>
            </w:r>
          </w:p>
        </w:tc>
        <w:tc>
          <w:tcPr>
            <w:tcW w:w="1271" w:type="dxa"/>
            <w:tcBorders>
              <w:bottom w:val="single" w:sz="4" w:space="0" w:color="auto"/>
            </w:tcBorders>
          </w:tcPr>
          <w:p w14:paraId="1BDDF409" w14:textId="77777777" w:rsidR="00150920" w:rsidRPr="00643AF0" w:rsidRDefault="00150920" w:rsidP="008C2DA3">
            <w:pPr>
              <w:pStyle w:val="Tablegridtext"/>
            </w:pPr>
            <w:r w:rsidRPr="00643AF0">
              <w:t>0.5435</w:t>
            </w:r>
          </w:p>
        </w:tc>
        <w:tc>
          <w:tcPr>
            <w:tcW w:w="1239" w:type="dxa"/>
            <w:tcBorders>
              <w:bottom w:val="single" w:sz="4" w:space="0" w:color="auto"/>
            </w:tcBorders>
          </w:tcPr>
          <w:p w14:paraId="2CE7B5C4" w14:textId="77777777" w:rsidR="00150920" w:rsidRPr="00643AF0" w:rsidRDefault="00150920" w:rsidP="008C2DA3">
            <w:pPr>
              <w:pStyle w:val="Tablegridtext"/>
            </w:pPr>
            <w:r w:rsidRPr="00643AF0">
              <w:t>0.6562</w:t>
            </w:r>
          </w:p>
        </w:tc>
        <w:tc>
          <w:tcPr>
            <w:tcW w:w="1275" w:type="dxa"/>
          </w:tcPr>
          <w:p w14:paraId="5034F865" w14:textId="77777777" w:rsidR="00150920" w:rsidRPr="00643AF0" w:rsidRDefault="00150920" w:rsidP="008C2DA3">
            <w:pPr>
              <w:pStyle w:val="Tablegridtext"/>
            </w:pPr>
            <w:r w:rsidRPr="00643AF0">
              <w:t>0.5442</w:t>
            </w:r>
          </w:p>
        </w:tc>
        <w:tc>
          <w:tcPr>
            <w:tcW w:w="1239" w:type="dxa"/>
          </w:tcPr>
          <w:p w14:paraId="1B2A0C84" w14:textId="77777777" w:rsidR="00150920" w:rsidRPr="00643AF0" w:rsidRDefault="00150920" w:rsidP="008C2DA3">
            <w:pPr>
              <w:pStyle w:val="Tablegridtext"/>
            </w:pPr>
            <w:r w:rsidRPr="00643AF0">
              <w:t>0.7695</w:t>
            </w:r>
          </w:p>
        </w:tc>
        <w:tc>
          <w:tcPr>
            <w:tcW w:w="1275" w:type="dxa"/>
            <w:tcBorders>
              <w:bottom w:val="single" w:sz="4" w:space="0" w:color="auto"/>
            </w:tcBorders>
          </w:tcPr>
          <w:p w14:paraId="372EE4EB" w14:textId="77777777" w:rsidR="00150920" w:rsidRPr="00643AF0" w:rsidRDefault="00150920" w:rsidP="008C2DA3">
            <w:pPr>
              <w:pStyle w:val="Tablegridtext"/>
            </w:pPr>
            <w:r w:rsidRPr="00643AF0">
              <w:t>0.5222</w:t>
            </w:r>
          </w:p>
        </w:tc>
        <w:tc>
          <w:tcPr>
            <w:tcW w:w="1239" w:type="dxa"/>
            <w:tcBorders>
              <w:bottom w:val="single" w:sz="4" w:space="0" w:color="auto"/>
            </w:tcBorders>
          </w:tcPr>
          <w:p w14:paraId="1D10D15B" w14:textId="77777777" w:rsidR="00150920" w:rsidRPr="00643AF0" w:rsidRDefault="00150920" w:rsidP="008C2DA3">
            <w:pPr>
              <w:pStyle w:val="Tablegridtext"/>
            </w:pPr>
            <w:r w:rsidRPr="00643AF0">
              <w:t>0.6344</w:t>
            </w:r>
          </w:p>
        </w:tc>
      </w:tr>
      <w:tr w:rsidR="00150920" w:rsidRPr="00643AF0" w14:paraId="10C485EF" w14:textId="77777777" w:rsidTr="00493AFB">
        <w:tc>
          <w:tcPr>
            <w:tcW w:w="1489" w:type="dxa"/>
          </w:tcPr>
          <w:p w14:paraId="0BB7C540" w14:textId="77777777" w:rsidR="00150920" w:rsidRPr="00643AF0" w:rsidRDefault="00150920" w:rsidP="008C2DA3">
            <w:pPr>
              <w:pStyle w:val="Tablegridheading2"/>
            </w:pPr>
            <w:r w:rsidRPr="00643AF0">
              <w:t>Reported wealth</w:t>
            </w:r>
          </w:p>
        </w:tc>
        <w:tc>
          <w:tcPr>
            <w:tcW w:w="1271" w:type="dxa"/>
            <w:tcBorders>
              <w:bottom w:val="single" w:sz="4" w:space="0" w:color="auto"/>
            </w:tcBorders>
            <w:shd w:val="thinDiagStripe" w:color="auto" w:fill="auto"/>
          </w:tcPr>
          <w:p w14:paraId="2416DFEC" w14:textId="77777777" w:rsidR="00150920" w:rsidRPr="00643AF0" w:rsidRDefault="00150920" w:rsidP="008C2DA3">
            <w:pPr>
              <w:pStyle w:val="Tablegridtext"/>
            </w:pPr>
          </w:p>
        </w:tc>
        <w:tc>
          <w:tcPr>
            <w:tcW w:w="1239" w:type="dxa"/>
            <w:tcBorders>
              <w:bottom w:val="single" w:sz="4" w:space="0" w:color="auto"/>
            </w:tcBorders>
            <w:shd w:val="thinDiagStripe" w:color="auto" w:fill="auto"/>
          </w:tcPr>
          <w:p w14:paraId="1C993901" w14:textId="77777777" w:rsidR="00150920" w:rsidRPr="00643AF0" w:rsidRDefault="00150920" w:rsidP="008C2DA3">
            <w:pPr>
              <w:pStyle w:val="Tablegridtext"/>
            </w:pPr>
          </w:p>
        </w:tc>
        <w:tc>
          <w:tcPr>
            <w:tcW w:w="1275" w:type="dxa"/>
            <w:tcBorders>
              <w:bottom w:val="single" w:sz="4" w:space="0" w:color="auto"/>
            </w:tcBorders>
          </w:tcPr>
          <w:p w14:paraId="3D2C8DCA" w14:textId="77777777" w:rsidR="00150920" w:rsidRPr="00643AF0" w:rsidRDefault="00150920" w:rsidP="008C2DA3">
            <w:pPr>
              <w:pStyle w:val="Tablegridtext"/>
            </w:pPr>
            <w:r w:rsidRPr="00643AF0">
              <w:t>0.4689</w:t>
            </w:r>
          </w:p>
        </w:tc>
        <w:tc>
          <w:tcPr>
            <w:tcW w:w="1239" w:type="dxa"/>
            <w:tcBorders>
              <w:bottom w:val="single" w:sz="4" w:space="0" w:color="auto"/>
            </w:tcBorders>
          </w:tcPr>
          <w:p w14:paraId="71486196" w14:textId="77777777" w:rsidR="00150920" w:rsidRPr="00643AF0" w:rsidRDefault="00150920" w:rsidP="008C2DA3">
            <w:pPr>
              <w:pStyle w:val="Tablegridtext"/>
            </w:pPr>
            <w:r w:rsidRPr="00643AF0">
              <w:t>0.6796</w:t>
            </w:r>
          </w:p>
        </w:tc>
        <w:tc>
          <w:tcPr>
            <w:tcW w:w="1275" w:type="dxa"/>
            <w:shd w:val="thinDiagStripe" w:color="auto" w:fill="auto"/>
          </w:tcPr>
          <w:p w14:paraId="00D4A438" w14:textId="77777777" w:rsidR="00150920" w:rsidRPr="00643AF0" w:rsidRDefault="00150920" w:rsidP="008C2DA3">
            <w:pPr>
              <w:pStyle w:val="Tablegridtext"/>
            </w:pPr>
          </w:p>
        </w:tc>
        <w:tc>
          <w:tcPr>
            <w:tcW w:w="1239" w:type="dxa"/>
            <w:tcBorders>
              <w:right w:val="single" w:sz="4" w:space="0" w:color="auto"/>
            </w:tcBorders>
            <w:shd w:val="thinDiagStripe" w:color="auto" w:fill="auto"/>
          </w:tcPr>
          <w:p w14:paraId="78AC9B08" w14:textId="77777777" w:rsidR="00150920" w:rsidRPr="00643AF0" w:rsidRDefault="00150920" w:rsidP="008C2DA3">
            <w:pPr>
              <w:pStyle w:val="Tablegridtext"/>
            </w:pPr>
          </w:p>
        </w:tc>
      </w:tr>
      <w:tr w:rsidR="00150920" w:rsidRPr="00643AF0" w14:paraId="691405F4" w14:textId="77777777" w:rsidTr="00493AFB">
        <w:tc>
          <w:tcPr>
            <w:tcW w:w="1489" w:type="dxa"/>
            <w:tcBorders>
              <w:bottom w:val="single" w:sz="4" w:space="0" w:color="auto"/>
            </w:tcBorders>
          </w:tcPr>
          <w:p w14:paraId="5E52E2C9" w14:textId="77777777" w:rsidR="00150920" w:rsidRPr="00643AF0" w:rsidRDefault="00150920" w:rsidP="008C2DA3">
            <w:pPr>
              <w:pStyle w:val="Tablegridheading2"/>
            </w:pPr>
            <w:r w:rsidRPr="00643AF0">
              <w:t xml:space="preserve">Proxy wealth </w:t>
            </w:r>
            <w:r>
              <w:t>score</w:t>
            </w:r>
          </w:p>
        </w:tc>
        <w:tc>
          <w:tcPr>
            <w:tcW w:w="1271" w:type="dxa"/>
            <w:tcBorders>
              <w:bottom w:val="single" w:sz="4" w:space="0" w:color="auto"/>
            </w:tcBorders>
            <w:shd w:val="thinDiagStripe" w:color="auto" w:fill="auto"/>
          </w:tcPr>
          <w:p w14:paraId="2CD3255E" w14:textId="77777777" w:rsidR="00150920" w:rsidRPr="00643AF0" w:rsidRDefault="00150920" w:rsidP="008C2DA3">
            <w:pPr>
              <w:pStyle w:val="Tablegridtext"/>
            </w:pPr>
          </w:p>
        </w:tc>
        <w:tc>
          <w:tcPr>
            <w:tcW w:w="1239" w:type="dxa"/>
            <w:tcBorders>
              <w:bottom w:val="single" w:sz="4" w:space="0" w:color="auto"/>
            </w:tcBorders>
            <w:shd w:val="thinDiagStripe" w:color="auto" w:fill="auto"/>
          </w:tcPr>
          <w:p w14:paraId="3B4D53A7" w14:textId="77777777" w:rsidR="00150920" w:rsidRPr="00643AF0" w:rsidRDefault="00150920" w:rsidP="008C2DA3">
            <w:pPr>
              <w:pStyle w:val="Tablegridtext"/>
            </w:pPr>
          </w:p>
        </w:tc>
        <w:tc>
          <w:tcPr>
            <w:tcW w:w="1275" w:type="dxa"/>
            <w:tcBorders>
              <w:bottom w:val="single" w:sz="4" w:space="0" w:color="auto"/>
            </w:tcBorders>
            <w:shd w:val="thinDiagStripe" w:color="auto" w:fill="auto"/>
          </w:tcPr>
          <w:p w14:paraId="208EF29B" w14:textId="77777777" w:rsidR="00150920" w:rsidRPr="00643AF0" w:rsidRDefault="00150920" w:rsidP="008C2DA3">
            <w:pPr>
              <w:pStyle w:val="Tablegridtext"/>
            </w:pPr>
          </w:p>
        </w:tc>
        <w:tc>
          <w:tcPr>
            <w:tcW w:w="1239" w:type="dxa"/>
            <w:tcBorders>
              <w:bottom w:val="single" w:sz="4" w:space="0" w:color="auto"/>
            </w:tcBorders>
            <w:shd w:val="thinDiagStripe" w:color="auto" w:fill="auto"/>
          </w:tcPr>
          <w:p w14:paraId="26FDDBFB" w14:textId="77777777" w:rsidR="00150920" w:rsidRPr="00643AF0" w:rsidRDefault="00150920" w:rsidP="008C2DA3">
            <w:pPr>
              <w:pStyle w:val="Tablegridtext"/>
            </w:pPr>
          </w:p>
        </w:tc>
        <w:tc>
          <w:tcPr>
            <w:tcW w:w="1275" w:type="dxa"/>
            <w:tcBorders>
              <w:bottom w:val="single" w:sz="4" w:space="0" w:color="auto"/>
            </w:tcBorders>
          </w:tcPr>
          <w:p w14:paraId="73ED0472" w14:textId="77777777" w:rsidR="00150920" w:rsidRPr="00643AF0" w:rsidRDefault="00150920" w:rsidP="008C2DA3">
            <w:pPr>
              <w:pStyle w:val="Tablegridtext"/>
            </w:pPr>
            <w:r w:rsidRPr="00643AF0">
              <w:t>0.2078</w:t>
            </w:r>
          </w:p>
        </w:tc>
        <w:tc>
          <w:tcPr>
            <w:tcW w:w="1239" w:type="dxa"/>
            <w:tcBorders>
              <w:bottom w:val="single" w:sz="4" w:space="0" w:color="auto"/>
            </w:tcBorders>
          </w:tcPr>
          <w:p w14:paraId="66D08891" w14:textId="77777777" w:rsidR="00150920" w:rsidRPr="00643AF0" w:rsidRDefault="00150920" w:rsidP="008C2DA3">
            <w:pPr>
              <w:pStyle w:val="Tablegridtext"/>
            </w:pPr>
            <w:r w:rsidRPr="00643AF0">
              <w:t>0.3006</w:t>
            </w:r>
          </w:p>
        </w:tc>
      </w:tr>
      <w:tr w:rsidR="00150920" w:rsidRPr="00643AF0" w14:paraId="27955E2C" w14:textId="77777777" w:rsidTr="008C2DA3">
        <w:tc>
          <w:tcPr>
            <w:tcW w:w="1489" w:type="dxa"/>
          </w:tcPr>
          <w:p w14:paraId="40355555" w14:textId="77777777" w:rsidR="00150920" w:rsidRPr="00643AF0" w:rsidRDefault="00150920" w:rsidP="008C2DA3">
            <w:pPr>
              <w:pStyle w:val="Tablegridheading2"/>
            </w:pPr>
            <w:r w:rsidRPr="00643AF0">
              <w:t>Eigenvalue</w:t>
            </w:r>
            <w:r w:rsidRPr="00FD432C">
              <w:rPr>
                <w:vertAlign w:val="superscript"/>
              </w:rPr>
              <w:t>b</w:t>
            </w:r>
          </w:p>
        </w:tc>
        <w:tc>
          <w:tcPr>
            <w:tcW w:w="1271" w:type="dxa"/>
          </w:tcPr>
          <w:p w14:paraId="591762BD" w14:textId="77777777" w:rsidR="00150920" w:rsidRPr="00643AF0" w:rsidRDefault="00150920" w:rsidP="008C2DA3">
            <w:pPr>
              <w:pStyle w:val="Tablegridtext"/>
            </w:pPr>
            <w:r w:rsidRPr="00643AF0">
              <w:t>1.99 (66%)</w:t>
            </w:r>
          </w:p>
        </w:tc>
        <w:tc>
          <w:tcPr>
            <w:tcW w:w="1239" w:type="dxa"/>
          </w:tcPr>
          <w:p w14:paraId="7133C3B9" w14:textId="77777777" w:rsidR="00150920" w:rsidRPr="00643AF0" w:rsidRDefault="00150920" w:rsidP="008C2DA3">
            <w:pPr>
              <w:pStyle w:val="Tablegridtext"/>
            </w:pPr>
          </w:p>
        </w:tc>
        <w:tc>
          <w:tcPr>
            <w:tcW w:w="1275" w:type="dxa"/>
          </w:tcPr>
          <w:p w14:paraId="69E892F4" w14:textId="77777777" w:rsidR="00150920" w:rsidRPr="00643AF0" w:rsidRDefault="00150920" w:rsidP="008C2DA3">
            <w:pPr>
              <w:pStyle w:val="Tablegridtext"/>
            </w:pPr>
            <w:r w:rsidRPr="00643AF0">
              <w:t>2.35 (59%)</w:t>
            </w:r>
          </w:p>
        </w:tc>
        <w:tc>
          <w:tcPr>
            <w:tcW w:w="1239" w:type="dxa"/>
          </w:tcPr>
          <w:p w14:paraId="1A5A997F" w14:textId="77777777" w:rsidR="00150920" w:rsidRPr="00643AF0" w:rsidRDefault="00150920" w:rsidP="008C2DA3">
            <w:pPr>
              <w:pStyle w:val="Tablegridtext"/>
            </w:pPr>
          </w:p>
        </w:tc>
        <w:tc>
          <w:tcPr>
            <w:tcW w:w="1275" w:type="dxa"/>
          </w:tcPr>
          <w:p w14:paraId="20BF6478" w14:textId="77777777" w:rsidR="00150920" w:rsidRPr="00643AF0" w:rsidRDefault="00150920" w:rsidP="008C2DA3">
            <w:pPr>
              <w:pStyle w:val="Tablegridtext"/>
            </w:pPr>
            <w:r w:rsidRPr="00643AF0">
              <w:t>2.03 (51%)</w:t>
            </w:r>
          </w:p>
        </w:tc>
        <w:tc>
          <w:tcPr>
            <w:tcW w:w="1239" w:type="dxa"/>
          </w:tcPr>
          <w:p w14:paraId="697E266F" w14:textId="77777777" w:rsidR="00150920" w:rsidRPr="00643AF0" w:rsidRDefault="00150920" w:rsidP="008C2DA3">
            <w:pPr>
              <w:pStyle w:val="Tablegridtext"/>
            </w:pPr>
          </w:p>
        </w:tc>
      </w:tr>
    </w:tbl>
    <w:p w14:paraId="284A7C67" w14:textId="699A49D8" w:rsidR="00150920" w:rsidRDefault="00150920" w:rsidP="00B1676B">
      <w:pPr>
        <w:pStyle w:val="Datasource"/>
        <w:spacing w:after="0"/>
      </w:pPr>
      <w:r w:rsidRPr="00FD432C">
        <w:t xml:space="preserve">Notes: </w:t>
      </w:r>
      <w:r w:rsidRPr="00FD432C">
        <w:rPr>
          <w:vertAlign w:val="superscript"/>
        </w:rPr>
        <w:t>a</w:t>
      </w:r>
      <w:r w:rsidRPr="00FD432C">
        <w:t xml:space="preserve"> </w:t>
      </w:r>
      <w:r w:rsidR="000E71B6">
        <w:t>C</w:t>
      </w:r>
      <w:r w:rsidRPr="00FD432C">
        <w:t xml:space="preserve">orrelation with resulting component score. </w:t>
      </w:r>
      <w:r w:rsidRPr="00FD432C">
        <w:rPr>
          <w:vertAlign w:val="superscript"/>
        </w:rPr>
        <w:t>b</w:t>
      </w:r>
      <w:r w:rsidRPr="00FD432C">
        <w:t xml:space="preserve"> Value in brackets is percentage of overall variance explained</w:t>
      </w:r>
      <w:r w:rsidR="00B1676B">
        <w:t>.</w:t>
      </w:r>
    </w:p>
    <w:p w14:paraId="4C933AA8" w14:textId="0D11765D" w:rsidR="00B1676B" w:rsidRPr="00643AF0" w:rsidRDefault="00B1676B" w:rsidP="00B1676B">
      <w:pPr>
        <w:pStyle w:val="Datasource"/>
      </w:pPr>
      <w:r>
        <w:t>Source: Analysis of</w:t>
      </w:r>
      <w:r w:rsidR="00493AFB">
        <w:t xml:space="preserve"> </w:t>
      </w:r>
      <w:r w:rsidR="00B83B99">
        <w:rPr>
          <w:noProof/>
        </w:rPr>
        <w:t xml:space="preserve">ABS </w:t>
      </w:r>
      <w:sdt>
        <w:sdtPr>
          <w:rPr>
            <w:noProof/>
          </w:rPr>
          <w:id w:val="-92628828"/>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3A3C3DE8" w14:textId="77777777" w:rsidR="000A5CB7" w:rsidRDefault="000A5CB7" w:rsidP="000A5CB7"/>
    <w:p w14:paraId="341FCF97" w14:textId="77777777" w:rsidR="000A5CB7" w:rsidRDefault="000A5CB7" w:rsidP="000A5CB7">
      <w:pPr>
        <w:sectPr w:rsidR="000A5CB7" w:rsidSect="00DA3FED">
          <w:headerReference w:type="default" r:id="rId27"/>
          <w:footerReference w:type="default" r:id="rId28"/>
          <w:pgSz w:w="11907" w:h="16839" w:code="9"/>
          <w:pgMar w:top="1440" w:right="1440" w:bottom="1440" w:left="1440" w:header="720" w:footer="720" w:gutter="0"/>
          <w:cols w:space="720"/>
          <w:noEndnote/>
          <w:docGrid w:linePitch="326"/>
        </w:sectPr>
      </w:pPr>
    </w:p>
    <w:p w14:paraId="436B9352" w14:textId="62B9FD2C" w:rsidR="000A5CB7" w:rsidRDefault="000A5CB7" w:rsidP="000A5CB7">
      <w:pPr>
        <w:pStyle w:val="Caption"/>
      </w:pPr>
      <w:bookmarkStart w:id="71" w:name="_Ref518379751"/>
      <w:bookmarkStart w:id="72" w:name="_Toc518645983"/>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12</w:t>
      </w:r>
      <w:r w:rsidR="0081675E">
        <w:rPr>
          <w:noProof/>
        </w:rPr>
        <w:fldChar w:fldCharType="end"/>
      </w:r>
      <w:bookmarkEnd w:id="71"/>
      <w:r>
        <w:t xml:space="preserve">: Correlation matrix: components of </w:t>
      </w:r>
      <w:r w:rsidR="00150920">
        <w:t>CTC</w:t>
      </w:r>
      <w:r>
        <w:t xml:space="preserve"> score without wealth, and resulting </w:t>
      </w:r>
      <w:r w:rsidR="00150920">
        <w:t>CTC</w:t>
      </w:r>
      <w:r>
        <w:t xml:space="preserve"> score</w:t>
      </w:r>
      <w:bookmarkEnd w:id="72"/>
    </w:p>
    <w:tbl>
      <w:tblPr>
        <w:tblStyle w:val="TableGrid"/>
        <w:tblW w:w="14034" w:type="dxa"/>
        <w:tblLook w:val="04A0" w:firstRow="1" w:lastRow="0" w:firstColumn="1" w:lastColumn="0" w:noHBand="0" w:noVBand="1"/>
        <w:tblCaption w:val="Correlation matrix: components of CTC score without wealth, and resulting CTC score"/>
        <w:tblDescription w:val="This is a correlation matrix that looks at education level, occupation skill level, equivalised weekly household income and CTC score without wealth.&#10;In line with expectations, all coefficients are positive, with the strongest correlation found for occupational skill level, followed by education level. It is notable that equivalised weekly household income has the smallest coefficient. This indicates that education and occupational skill level explain a considerable amount of the variance within the component score. &#10;"/>
      </w:tblPr>
      <w:tblGrid>
        <w:gridCol w:w="3828"/>
        <w:gridCol w:w="2551"/>
        <w:gridCol w:w="2552"/>
        <w:gridCol w:w="2551"/>
        <w:gridCol w:w="2552"/>
      </w:tblGrid>
      <w:tr w:rsidR="000A5CB7" w:rsidRPr="000A5CB7" w14:paraId="17696843" w14:textId="77777777" w:rsidTr="001A0B56">
        <w:trPr>
          <w:cnfStyle w:val="100000000000" w:firstRow="1" w:lastRow="0" w:firstColumn="0" w:lastColumn="0" w:oddVBand="0" w:evenVBand="0" w:oddHBand="0" w:evenHBand="0" w:firstRowFirstColumn="0" w:firstRowLastColumn="0" w:lastRowFirstColumn="0" w:lastRowLastColumn="0"/>
          <w:tblHeader/>
        </w:trPr>
        <w:tc>
          <w:tcPr>
            <w:tcW w:w="3828" w:type="dxa"/>
          </w:tcPr>
          <w:p w14:paraId="10FF84DD" w14:textId="77777777" w:rsidR="000A5CB7" w:rsidRPr="000A5CB7" w:rsidRDefault="000A5CB7" w:rsidP="000A5CB7">
            <w:pPr>
              <w:pStyle w:val="Tablegridheading"/>
            </w:pPr>
          </w:p>
        </w:tc>
        <w:tc>
          <w:tcPr>
            <w:tcW w:w="2551" w:type="dxa"/>
          </w:tcPr>
          <w:p w14:paraId="3598BE1F" w14:textId="77777777" w:rsidR="000A5CB7" w:rsidRPr="000A5CB7" w:rsidRDefault="000A5CB7" w:rsidP="000A5CB7">
            <w:pPr>
              <w:pStyle w:val="Tablegridheading"/>
            </w:pPr>
            <w:r w:rsidRPr="000A5CB7">
              <w:t>Education level</w:t>
            </w:r>
          </w:p>
        </w:tc>
        <w:tc>
          <w:tcPr>
            <w:tcW w:w="2552" w:type="dxa"/>
          </w:tcPr>
          <w:p w14:paraId="3FC268B4" w14:textId="21F8B913" w:rsidR="000A5CB7" w:rsidRPr="000A5CB7" w:rsidRDefault="00FA4062" w:rsidP="000A5CB7">
            <w:pPr>
              <w:pStyle w:val="Tablegridheading"/>
            </w:pPr>
            <w:r>
              <w:t>Occupational skill</w:t>
            </w:r>
            <w:r w:rsidR="000A5CB7" w:rsidRPr="000A5CB7">
              <w:t xml:space="preserve"> level</w:t>
            </w:r>
          </w:p>
        </w:tc>
        <w:tc>
          <w:tcPr>
            <w:tcW w:w="2551" w:type="dxa"/>
          </w:tcPr>
          <w:p w14:paraId="20379922" w14:textId="54E0687D" w:rsidR="000A5CB7" w:rsidRPr="000A5CB7" w:rsidRDefault="000A5CB7" w:rsidP="000A5CB7">
            <w:pPr>
              <w:pStyle w:val="Tablegridheading"/>
            </w:pPr>
            <w:r w:rsidRPr="000A5CB7">
              <w:t xml:space="preserve">Equivalised </w:t>
            </w:r>
            <w:r w:rsidR="000D6B6A">
              <w:t>w</w:t>
            </w:r>
            <w:r w:rsidRPr="000A5CB7">
              <w:t xml:space="preserve">eekly </w:t>
            </w:r>
            <w:r w:rsidR="000D6B6A">
              <w:t>h</w:t>
            </w:r>
            <w:r w:rsidRPr="000A5CB7">
              <w:t xml:space="preserve">ousehold </w:t>
            </w:r>
            <w:r w:rsidR="000D6B6A">
              <w:t>i</w:t>
            </w:r>
            <w:r w:rsidRPr="000A5CB7">
              <w:t>ncome</w:t>
            </w:r>
          </w:p>
        </w:tc>
        <w:tc>
          <w:tcPr>
            <w:tcW w:w="2552" w:type="dxa"/>
          </w:tcPr>
          <w:p w14:paraId="0FFA7BBB" w14:textId="77777777" w:rsidR="000A5CB7" w:rsidRPr="000A5CB7" w:rsidRDefault="00150920" w:rsidP="000A5CB7">
            <w:pPr>
              <w:pStyle w:val="Tablegridheading"/>
            </w:pPr>
            <w:r>
              <w:t>CTC s</w:t>
            </w:r>
            <w:r w:rsidR="000A5CB7" w:rsidRPr="000A5CB7">
              <w:t>core: Without wealth</w:t>
            </w:r>
          </w:p>
        </w:tc>
      </w:tr>
      <w:tr w:rsidR="000A5CB7" w:rsidRPr="000A5CB7" w14:paraId="0E570A32" w14:textId="77777777" w:rsidTr="00493AFB">
        <w:tc>
          <w:tcPr>
            <w:tcW w:w="3828" w:type="dxa"/>
          </w:tcPr>
          <w:p w14:paraId="41D19613" w14:textId="77777777" w:rsidR="000A5CB7" w:rsidRPr="000A5CB7" w:rsidRDefault="000A5CB7" w:rsidP="000A5CB7">
            <w:pPr>
              <w:pStyle w:val="Tablegridheading"/>
            </w:pPr>
            <w:r w:rsidRPr="000A5CB7">
              <w:t>Education level</w:t>
            </w:r>
          </w:p>
        </w:tc>
        <w:tc>
          <w:tcPr>
            <w:tcW w:w="2551" w:type="dxa"/>
            <w:vAlign w:val="bottom"/>
          </w:tcPr>
          <w:p w14:paraId="20773889" w14:textId="77777777" w:rsidR="000A5CB7" w:rsidRDefault="000A5CB7" w:rsidP="000A5CB7">
            <w:pPr>
              <w:pStyle w:val="Tablegridtext"/>
            </w:pPr>
            <w:r>
              <w:t>1</w:t>
            </w:r>
          </w:p>
        </w:tc>
        <w:tc>
          <w:tcPr>
            <w:tcW w:w="2552" w:type="dxa"/>
            <w:tcBorders>
              <w:right w:val="nil"/>
            </w:tcBorders>
            <w:shd w:val="thinDiagStripe" w:color="auto" w:fill="auto"/>
            <w:vAlign w:val="bottom"/>
          </w:tcPr>
          <w:p w14:paraId="18C0AD40" w14:textId="77777777" w:rsidR="000A5CB7" w:rsidRDefault="000A5CB7" w:rsidP="000A5CB7">
            <w:pPr>
              <w:pStyle w:val="Tablegridtext"/>
            </w:pPr>
          </w:p>
        </w:tc>
        <w:tc>
          <w:tcPr>
            <w:tcW w:w="2551" w:type="dxa"/>
            <w:tcBorders>
              <w:left w:val="nil"/>
              <w:bottom w:val="single" w:sz="4" w:space="0" w:color="auto"/>
              <w:right w:val="nil"/>
            </w:tcBorders>
            <w:shd w:val="thinDiagStripe" w:color="auto" w:fill="auto"/>
            <w:vAlign w:val="bottom"/>
          </w:tcPr>
          <w:p w14:paraId="32C31CAF" w14:textId="77777777" w:rsidR="000A5CB7" w:rsidRDefault="000A5CB7" w:rsidP="000A5CB7">
            <w:pPr>
              <w:pStyle w:val="Tablegridtext"/>
              <w:rPr>
                <w:sz w:val="20"/>
                <w:szCs w:val="20"/>
              </w:rPr>
            </w:pPr>
          </w:p>
        </w:tc>
        <w:tc>
          <w:tcPr>
            <w:tcW w:w="2552" w:type="dxa"/>
            <w:tcBorders>
              <w:left w:val="nil"/>
              <w:bottom w:val="single" w:sz="4" w:space="0" w:color="auto"/>
            </w:tcBorders>
            <w:shd w:val="thinDiagStripe" w:color="auto" w:fill="auto"/>
            <w:vAlign w:val="bottom"/>
          </w:tcPr>
          <w:p w14:paraId="02303467" w14:textId="77777777" w:rsidR="000A5CB7" w:rsidRDefault="000A5CB7" w:rsidP="000A5CB7">
            <w:pPr>
              <w:pStyle w:val="Tablegridtext"/>
              <w:rPr>
                <w:sz w:val="20"/>
                <w:szCs w:val="20"/>
              </w:rPr>
            </w:pPr>
          </w:p>
        </w:tc>
      </w:tr>
      <w:tr w:rsidR="000A5CB7" w:rsidRPr="000A5CB7" w14:paraId="735911B0" w14:textId="77777777" w:rsidTr="00493AFB">
        <w:tc>
          <w:tcPr>
            <w:tcW w:w="3828" w:type="dxa"/>
          </w:tcPr>
          <w:p w14:paraId="3C2ECB2D" w14:textId="1552D64A" w:rsidR="000A5CB7" w:rsidRPr="000A5CB7" w:rsidRDefault="00FA4062" w:rsidP="000A5CB7">
            <w:pPr>
              <w:pStyle w:val="Tablegridheading"/>
            </w:pPr>
            <w:r>
              <w:t>Occupational skill</w:t>
            </w:r>
            <w:r w:rsidR="000A5CB7" w:rsidRPr="000A5CB7">
              <w:t xml:space="preserve"> level</w:t>
            </w:r>
          </w:p>
        </w:tc>
        <w:tc>
          <w:tcPr>
            <w:tcW w:w="2551" w:type="dxa"/>
            <w:vAlign w:val="bottom"/>
          </w:tcPr>
          <w:p w14:paraId="6A3551DD" w14:textId="77777777" w:rsidR="000A5CB7" w:rsidRDefault="000A5CB7" w:rsidP="000A5CB7">
            <w:pPr>
              <w:pStyle w:val="Tablegridtext"/>
            </w:pPr>
            <w:r>
              <w:t>0.5828</w:t>
            </w:r>
          </w:p>
        </w:tc>
        <w:tc>
          <w:tcPr>
            <w:tcW w:w="2552" w:type="dxa"/>
            <w:vAlign w:val="bottom"/>
          </w:tcPr>
          <w:p w14:paraId="1A92874B" w14:textId="77777777" w:rsidR="000A5CB7" w:rsidRDefault="000A5CB7" w:rsidP="000A5CB7">
            <w:pPr>
              <w:pStyle w:val="Tablegridtext"/>
            </w:pPr>
            <w:r>
              <w:t>1</w:t>
            </w:r>
          </w:p>
        </w:tc>
        <w:tc>
          <w:tcPr>
            <w:tcW w:w="2551" w:type="dxa"/>
            <w:tcBorders>
              <w:right w:val="nil"/>
            </w:tcBorders>
            <w:shd w:val="thinDiagStripe" w:color="auto" w:fill="auto"/>
            <w:vAlign w:val="bottom"/>
          </w:tcPr>
          <w:p w14:paraId="025D1354" w14:textId="77777777" w:rsidR="000A5CB7" w:rsidRDefault="000A5CB7" w:rsidP="000A5CB7">
            <w:pPr>
              <w:pStyle w:val="Tablegridtext"/>
            </w:pPr>
          </w:p>
        </w:tc>
        <w:tc>
          <w:tcPr>
            <w:tcW w:w="2552" w:type="dxa"/>
            <w:tcBorders>
              <w:left w:val="nil"/>
              <w:bottom w:val="single" w:sz="4" w:space="0" w:color="auto"/>
            </w:tcBorders>
            <w:shd w:val="thinDiagStripe" w:color="auto" w:fill="auto"/>
            <w:vAlign w:val="bottom"/>
          </w:tcPr>
          <w:p w14:paraId="47BB3124" w14:textId="77777777" w:rsidR="000A5CB7" w:rsidRDefault="000A5CB7" w:rsidP="000A5CB7">
            <w:pPr>
              <w:pStyle w:val="Tablegridtext"/>
              <w:rPr>
                <w:sz w:val="20"/>
                <w:szCs w:val="20"/>
              </w:rPr>
            </w:pPr>
          </w:p>
        </w:tc>
      </w:tr>
      <w:tr w:rsidR="000A5CB7" w:rsidRPr="000A5CB7" w14:paraId="236CD91B" w14:textId="77777777" w:rsidTr="00493AFB">
        <w:tc>
          <w:tcPr>
            <w:tcW w:w="3828" w:type="dxa"/>
          </w:tcPr>
          <w:p w14:paraId="3B087517" w14:textId="27A5A4B8" w:rsidR="000A5CB7" w:rsidRPr="000A5CB7" w:rsidRDefault="000A5CB7" w:rsidP="000A5CB7">
            <w:pPr>
              <w:pStyle w:val="Tablegridheading"/>
            </w:pPr>
            <w:r w:rsidRPr="000A5CB7">
              <w:t xml:space="preserve">Equivalised </w:t>
            </w:r>
            <w:r w:rsidR="000D6B6A">
              <w:t>w</w:t>
            </w:r>
            <w:r w:rsidRPr="000A5CB7">
              <w:t xml:space="preserve">eekly </w:t>
            </w:r>
            <w:r w:rsidR="000D6B6A">
              <w:t>h</w:t>
            </w:r>
            <w:r w:rsidRPr="000A5CB7">
              <w:t xml:space="preserve">ousehold </w:t>
            </w:r>
            <w:r w:rsidR="000D6B6A">
              <w:t>i</w:t>
            </w:r>
            <w:r w:rsidRPr="000A5CB7">
              <w:t>ncome</w:t>
            </w:r>
          </w:p>
        </w:tc>
        <w:tc>
          <w:tcPr>
            <w:tcW w:w="2551" w:type="dxa"/>
            <w:vAlign w:val="bottom"/>
          </w:tcPr>
          <w:p w14:paraId="4E80B96A" w14:textId="77777777" w:rsidR="000A5CB7" w:rsidRDefault="000A5CB7" w:rsidP="000A5CB7">
            <w:pPr>
              <w:pStyle w:val="Tablegridtext"/>
            </w:pPr>
            <w:r>
              <w:t>0.2812</w:t>
            </w:r>
          </w:p>
        </w:tc>
        <w:tc>
          <w:tcPr>
            <w:tcW w:w="2552" w:type="dxa"/>
            <w:vAlign w:val="bottom"/>
          </w:tcPr>
          <w:p w14:paraId="3B55EAFB" w14:textId="77777777" w:rsidR="000A5CB7" w:rsidRDefault="000A5CB7" w:rsidP="000A5CB7">
            <w:pPr>
              <w:pStyle w:val="Tablegridtext"/>
            </w:pPr>
            <w:r>
              <w:t>0.5970</w:t>
            </w:r>
          </w:p>
        </w:tc>
        <w:tc>
          <w:tcPr>
            <w:tcW w:w="2551" w:type="dxa"/>
            <w:vAlign w:val="bottom"/>
          </w:tcPr>
          <w:p w14:paraId="6A245FFF" w14:textId="77777777" w:rsidR="000A5CB7" w:rsidRDefault="000A5CB7" w:rsidP="000A5CB7">
            <w:pPr>
              <w:pStyle w:val="Tablegridtext"/>
            </w:pPr>
            <w:r>
              <w:t>1</w:t>
            </w:r>
          </w:p>
        </w:tc>
        <w:tc>
          <w:tcPr>
            <w:tcW w:w="2552" w:type="dxa"/>
            <w:shd w:val="thinDiagStripe" w:color="auto" w:fill="auto"/>
            <w:vAlign w:val="bottom"/>
          </w:tcPr>
          <w:p w14:paraId="1083980D" w14:textId="77777777" w:rsidR="000A5CB7" w:rsidRDefault="000A5CB7" w:rsidP="000A5CB7">
            <w:pPr>
              <w:pStyle w:val="Tablegridtext"/>
            </w:pPr>
          </w:p>
        </w:tc>
      </w:tr>
      <w:tr w:rsidR="000A5CB7" w:rsidRPr="000A5CB7" w14:paraId="7C6C9904" w14:textId="77777777" w:rsidTr="000A5CB7">
        <w:tc>
          <w:tcPr>
            <w:tcW w:w="3828" w:type="dxa"/>
          </w:tcPr>
          <w:p w14:paraId="21D1A4FF" w14:textId="77777777" w:rsidR="000A5CB7" w:rsidRPr="000A5CB7" w:rsidRDefault="00150920" w:rsidP="000A5CB7">
            <w:pPr>
              <w:pStyle w:val="Tablegridheading"/>
            </w:pPr>
            <w:r>
              <w:t>CTC</w:t>
            </w:r>
            <w:r w:rsidR="000A5CB7" w:rsidRPr="000A5CB7">
              <w:t xml:space="preserve"> score: Without wealth</w:t>
            </w:r>
          </w:p>
        </w:tc>
        <w:tc>
          <w:tcPr>
            <w:tcW w:w="2551" w:type="dxa"/>
            <w:vAlign w:val="bottom"/>
          </w:tcPr>
          <w:p w14:paraId="02B3895B" w14:textId="77777777" w:rsidR="000A5CB7" w:rsidRDefault="000A5CB7" w:rsidP="000A5CB7">
            <w:pPr>
              <w:pStyle w:val="Tablegridtext"/>
            </w:pPr>
            <w:r>
              <w:t>0.7654</w:t>
            </w:r>
          </w:p>
        </w:tc>
        <w:tc>
          <w:tcPr>
            <w:tcW w:w="2552" w:type="dxa"/>
            <w:vAlign w:val="bottom"/>
          </w:tcPr>
          <w:p w14:paraId="3CA91CCF" w14:textId="77777777" w:rsidR="000A5CB7" w:rsidRDefault="000A5CB7" w:rsidP="000A5CB7">
            <w:pPr>
              <w:pStyle w:val="Tablegridtext"/>
            </w:pPr>
            <w:r>
              <w:t>0.9262</w:t>
            </w:r>
          </w:p>
        </w:tc>
        <w:tc>
          <w:tcPr>
            <w:tcW w:w="2551" w:type="dxa"/>
            <w:vAlign w:val="bottom"/>
          </w:tcPr>
          <w:p w14:paraId="3EC3063F" w14:textId="77777777" w:rsidR="000A5CB7" w:rsidRDefault="000A5CB7" w:rsidP="000A5CB7">
            <w:pPr>
              <w:pStyle w:val="Tablegridtext"/>
            </w:pPr>
            <w:r>
              <w:t>0.6562</w:t>
            </w:r>
          </w:p>
        </w:tc>
        <w:tc>
          <w:tcPr>
            <w:tcW w:w="2552" w:type="dxa"/>
            <w:vAlign w:val="bottom"/>
          </w:tcPr>
          <w:p w14:paraId="5AD36F95" w14:textId="77777777" w:rsidR="000A5CB7" w:rsidRDefault="000A5CB7" w:rsidP="000A5CB7">
            <w:pPr>
              <w:pStyle w:val="Tablegridtext"/>
            </w:pPr>
            <w:r>
              <w:t>1</w:t>
            </w:r>
          </w:p>
        </w:tc>
      </w:tr>
    </w:tbl>
    <w:p w14:paraId="5AC02AA1" w14:textId="5F818A0A" w:rsidR="00493AFB" w:rsidRPr="00643AF0" w:rsidRDefault="00493AFB" w:rsidP="00493AFB">
      <w:pPr>
        <w:pStyle w:val="Datasource"/>
      </w:pPr>
      <w:bookmarkStart w:id="73" w:name="_Ref518381269"/>
      <w:r>
        <w:t xml:space="preserve">Source: Analysis of </w:t>
      </w:r>
      <w:r w:rsidR="00B83B99">
        <w:rPr>
          <w:noProof/>
        </w:rPr>
        <w:t xml:space="preserve">ABS </w:t>
      </w:r>
      <w:sdt>
        <w:sdtPr>
          <w:rPr>
            <w:noProof/>
          </w:rPr>
          <w:id w:val="-1570651142"/>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798FAE91" w14:textId="6F9CCA7B" w:rsidR="000A5CB7" w:rsidRDefault="000A5CB7" w:rsidP="000A5CB7">
      <w:pPr>
        <w:pStyle w:val="Caption"/>
      </w:pPr>
      <w:bookmarkStart w:id="74" w:name="_Toc518645984"/>
      <w:r>
        <w:t xml:space="preserve">Table </w:t>
      </w:r>
      <w:r w:rsidR="0081675E">
        <w:rPr>
          <w:noProof/>
        </w:rPr>
        <w:fldChar w:fldCharType="begin"/>
      </w:r>
      <w:r w:rsidR="0081675E">
        <w:rPr>
          <w:noProof/>
        </w:rPr>
        <w:instrText xml:space="preserve"> STYLEREF 1 \s </w:instrText>
      </w:r>
      <w:r w:rsidR="0081675E">
        <w:rPr>
          <w:noProof/>
        </w:rPr>
        <w:fldChar w:fldCharType="separate"/>
      </w:r>
      <w:r w:rsidR="00092E14">
        <w:rPr>
          <w:noProof/>
        </w:rPr>
        <w:t>4</w:t>
      </w:r>
      <w:r w:rsidR="0081675E">
        <w:rPr>
          <w:noProof/>
        </w:rPr>
        <w:fldChar w:fldCharType="end"/>
      </w:r>
      <w:r w:rsidR="008C2DA3">
        <w:noBreakHyphen/>
      </w:r>
      <w:r w:rsidR="0081675E">
        <w:rPr>
          <w:noProof/>
        </w:rPr>
        <w:fldChar w:fldCharType="begin"/>
      </w:r>
      <w:r w:rsidR="0081675E">
        <w:rPr>
          <w:noProof/>
        </w:rPr>
        <w:instrText xml:space="preserve"> SEQ Table \* ARABIC \s 1 </w:instrText>
      </w:r>
      <w:r w:rsidR="0081675E">
        <w:rPr>
          <w:noProof/>
        </w:rPr>
        <w:fldChar w:fldCharType="separate"/>
      </w:r>
      <w:r w:rsidR="00092E14">
        <w:rPr>
          <w:noProof/>
        </w:rPr>
        <w:t>13</w:t>
      </w:r>
      <w:r w:rsidR="0081675E">
        <w:rPr>
          <w:noProof/>
        </w:rPr>
        <w:fldChar w:fldCharType="end"/>
      </w:r>
      <w:bookmarkEnd w:id="73"/>
      <w:r>
        <w:t xml:space="preserve">: Correlation matrix: components of </w:t>
      </w:r>
      <w:r w:rsidR="00150920">
        <w:t>CTC</w:t>
      </w:r>
      <w:r>
        <w:t xml:space="preserve"> score with reported wealth, and resulting </w:t>
      </w:r>
      <w:r w:rsidR="00150920">
        <w:t>CTC</w:t>
      </w:r>
      <w:r>
        <w:t xml:space="preserve"> score</w:t>
      </w:r>
      <w:bookmarkEnd w:id="74"/>
    </w:p>
    <w:tbl>
      <w:tblPr>
        <w:tblStyle w:val="TableGrid"/>
        <w:tblW w:w="0" w:type="auto"/>
        <w:tblLook w:val="04A0" w:firstRow="1" w:lastRow="0" w:firstColumn="1" w:lastColumn="0" w:noHBand="0" w:noVBand="1"/>
        <w:tblCaption w:val="Correlation matrix: components of CTC score with reported wealth, and resulting CTC score"/>
        <w:tblDescription w:val="This is a correlation matrix of the components of CTC score with reported wealth, and resulting CTC score. Reported wealth has a high correlation with a resulting CTC score. Furthermore, it is more important than educational attainment in contributing to the CTC score"/>
      </w:tblPr>
      <w:tblGrid>
        <w:gridCol w:w="2326"/>
        <w:gridCol w:w="2326"/>
        <w:gridCol w:w="2326"/>
        <w:gridCol w:w="2327"/>
        <w:gridCol w:w="2327"/>
        <w:gridCol w:w="2327"/>
      </w:tblGrid>
      <w:tr w:rsidR="000A5CB7" w:rsidRPr="000A5CB7" w14:paraId="641342C4" w14:textId="77777777" w:rsidTr="001A0B56">
        <w:trPr>
          <w:cnfStyle w:val="100000000000" w:firstRow="1" w:lastRow="0" w:firstColumn="0" w:lastColumn="0" w:oddVBand="0" w:evenVBand="0" w:oddHBand="0" w:evenHBand="0" w:firstRowFirstColumn="0" w:firstRowLastColumn="0" w:lastRowFirstColumn="0" w:lastRowLastColumn="0"/>
          <w:tblHeader/>
        </w:trPr>
        <w:tc>
          <w:tcPr>
            <w:tcW w:w="2326" w:type="dxa"/>
          </w:tcPr>
          <w:p w14:paraId="1828F17B" w14:textId="77777777" w:rsidR="000A5CB7" w:rsidRPr="000A5CB7" w:rsidRDefault="000A5CB7" w:rsidP="000A5CB7">
            <w:pPr>
              <w:pStyle w:val="Tablegridheading"/>
            </w:pPr>
          </w:p>
        </w:tc>
        <w:tc>
          <w:tcPr>
            <w:tcW w:w="2326" w:type="dxa"/>
          </w:tcPr>
          <w:p w14:paraId="75C4B873" w14:textId="77777777" w:rsidR="000A5CB7" w:rsidRPr="000A5CB7" w:rsidRDefault="000A5CB7" w:rsidP="000A5CB7">
            <w:pPr>
              <w:pStyle w:val="Tablegridheading"/>
            </w:pPr>
            <w:r w:rsidRPr="000A5CB7">
              <w:t>Education level</w:t>
            </w:r>
          </w:p>
        </w:tc>
        <w:tc>
          <w:tcPr>
            <w:tcW w:w="2326" w:type="dxa"/>
          </w:tcPr>
          <w:p w14:paraId="16E4F988" w14:textId="6D3C2B7A" w:rsidR="000A5CB7" w:rsidRPr="000A5CB7" w:rsidRDefault="00FA4062" w:rsidP="000A5CB7">
            <w:pPr>
              <w:pStyle w:val="Tablegridheading"/>
            </w:pPr>
            <w:r>
              <w:t>Occupational skill</w:t>
            </w:r>
            <w:r w:rsidR="000A5CB7" w:rsidRPr="000A5CB7">
              <w:t xml:space="preserve"> level</w:t>
            </w:r>
          </w:p>
        </w:tc>
        <w:tc>
          <w:tcPr>
            <w:tcW w:w="2327" w:type="dxa"/>
          </w:tcPr>
          <w:p w14:paraId="6945A3A8" w14:textId="22574F30" w:rsidR="000A5CB7" w:rsidRPr="000A5CB7" w:rsidRDefault="000A5CB7" w:rsidP="000A5CB7">
            <w:pPr>
              <w:pStyle w:val="Tablegridheading"/>
            </w:pPr>
            <w:r w:rsidRPr="000A5CB7">
              <w:t xml:space="preserve">Equivalised </w:t>
            </w:r>
            <w:r w:rsidR="00C20E23">
              <w:t>w</w:t>
            </w:r>
            <w:r w:rsidRPr="000A5CB7">
              <w:t xml:space="preserve">eekly </w:t>
            </w:r>
            <w:r w:rsidR="00C20E23">
              <w:t>h</w:t>
            </w:r>
            <w:r w:rsidRPr="000A5CB7">
              <w:t xml:space="preserve">ousehold </w:t>
            </w:r>
            <w:r w:rsidR="00C20E23">
              <w:t>i</w:t>
            </w:r>
            <w:r w:rsidRPr="000A5CB7">
              <w:t>ncome</w:t>
            </w:r>
          </w:p>
        </w:tc>
        <w:tc>
          <w:tcPr>
            <w:tcW w:w="2327" w:type="dxa"/>
          </w:tcPr>
          <w:p w14:paraId="2FA44849" w14:textId="77777777" w:rsidR="000A5CB7" w:rsidRPr="000A5CB7" w:rsidRDefault="000A5CB7" w:rsidP="000A5CB7">
            <w:pPr>
              <w:pStyle w:val="Tablegridheading"/>
            </w:pPr>
            <w:r w:rsidRPr="000A5CB7">
              <w:t>Reported wealth</w:t>
            </w:r>
          </w:p>
        </w:tc>
        <w:tc>
          <w:tcPr>
            <w:tcW w:w="2327" w:type="dxa"/>
          </w:tcPr>
          <w:p w14:paraId="4C75F3B5" w14:textId="0A859D03" w:rsidR="000A5CB7" w:rsidRPr="000A5CB7" w:rsidRDefault="00150920" w:rsidP="000A5CB7">
            <w:pPr>
              <w:pStyle w:val="Tablegridheading"/>
            </w:pPr>
            <w:r>
              <w:t>CTC</w:t>
            </w:r>
            <w:r w:rsidR="000A5CB7" w:rsidRPr="000A5CB7">
              <w:t xml:space="preserve"> score: </w:t>
            </w:r>
            <w:r w:rsidR="00E05BC3">
              <w:t>W</w:t>
            </w:r>
            <w:r w:rsidR="000A5CB7" w:rsidRPr="000A5CB7">
              <w:t>ith reported wealth</w:t>
            </w:r>
          </w:p>
        </w:tc>
      </w:tr>
      <w:tr w:rsidR="000A5CB7" w:rsidRPr="000A5CB7" w14:paraId="253CD884" w14:textId="77777777" w:rsidTr="00493AFB">
        <w:tc>
          <w:tcPr>
            <w:tcW w:w="2326" w:type="dxa"/>
          </w:tcPr>
          <w:p w14:paraId="51F53524" w14:textId="77777777" w:rsidR="000A5CB7" w:rsidRPr="000A5CB7" w:rsidRDefault="000A5CB7" w:rsidP="000A5CB7">
            <w:pPr>
              <w:pStyle w:val="Tablegridheading"/>
            </w:pPr>
            <w:r w:rsidRPr="000A5CB7">
              <w:t>Education level</w:t>
            </w:r>
          </w:p>
        </w:tc>
        <w:tc>
          <w:tcPr>
            <w:tcW w:w="2326" w:type="dxa"/>
          </w:tcPr>
          <w:p w14:paraId="47047B0C" w14:textId="77777777" w:rsidR="000A5CB7" w:rsidRPr="000A5CB7" w:rsidRDefault="000A5CB7" w:rsidP="000A5CB7">
            <w:pPr>
              <w:pStyle w:val="Tablegridtext"/>
            </w:pPr>
            <w:r w:rsidRPr="000A5CB7">
              <w:t>1</w:t>
            </w:r>
          </w:p>
        </w:tc>
        <w:tc>
          <w:tcPr>
            <w:tcW w:w="2326" w:type="dxa"/>
            <w:tcBorders>
              <w:right w:val="nil"/>
            </w:tcBorders>
            <w:shd w:val="thinDiagStripe" w:color="auto" w:fill="auto"/>
          </w:tcPr>
          <w:p w14:paraId="11F15474" w14:textId="77777777" w:rsidR="000A5CB7" w:rsidRPr="000A5CB7" w:rsidRDefault="000A5CB7" w:rsidP="000A5CB7">
            <w:pPr>
              <w:pStyle w:val="Tablegridtext"/>
            </w:pPr>
          </w:p>
        </w:tc>
        <w:tc>
          <w:tcPr>
            <w:tcW w:w="2327" w:type="dxa"/>
            <w:tcBorders>
              <w:left w:val="nil"/>
              <w:bottom w:val="single" w:sz="4" w:space="0" w:color="auto"/>
              <w:right w:val="nil"/>
            </w:tcBorders>
            <w:shd w:val="thinDiagStripe" w:color="auto" w:fill="auto"/>
          </w:tcPr>
          <w:p w14:paraId="7241987D" w14:textId="77777777" w:rsidR="000A5CB7" w:rsidRPr="000A5CB7" w:rsidRDefault="000A5CB7" w:rsidP="000A5CB7">
            <w:pPr>
              <w:pStyle w:val="Tablegridtext"/>
            </w:pPr>
          </w:p>
        </w:tc>
        <w:tc>
          <w:tcPr>
            <w:tcW w:w="2327" w:type="dxa"/>
            <w:tcBorders>
              <w:left w:val="nil"/>
              <w:bottom w:val="single" w:sz="4" w:space="0" w:color="auto"/>
              <w:right w:val="nil"/>
            </w:tcBorders>
            <w:shd w:val="thinDiagStripe" w:color="auto" w:fill="auto"/>
          </w:tcPr>
          <w:p w14:paraId="5983F602" w14:textId="77777777" w:rsidR="000A5CB7" w:rsidRPr="000A5CB7" w:rsidRDefault="000A5CB7" w:rsidP="000A5CB7">
            <w:pPr>
              <w:pStyle w:val="Tablegridtext"/>
            </w:pPr>
          </w:p>
        </w:tc>
        <w:tc>
          <w:tcPr>
            <w:tcW w:w="2327" w:type="dxa"/>
            <w:tcBorders>
              <w:left w:val="nil"/>
              <w:bottom w:val="single" w:sz="4" w:space="0" w:color="auto"/>
            </w:tcBorders>
            <w:shd w:val="thinDiagStripe" w:color="auto" w:fill="auto"/>
          </w:tcPr>
          <w:p w14:paraId="36819BA5" w14:textId="77777777" w:rsidR="000A5CB7" w:rsidRPr="000A5CB7" w:rsidRDefault="000A5CB7" w:rsidP="000A5CB7">
            <w:pPr>
              <w:pStyle w:val="Tablegridtext"/>
            </w:pPr>
          </w:p>
        </w:tc>
      </w:tr>
      <w:tr w:rsidR="000A5CB7" w:rsidRPr="000A5CB7" w14:paraId="7289D537" w14:textId="77777777" w:rsidTr="00493AFB">
        <w:tc>
          <w:tcPr>
            <w:tcW w:w="2326" w:type="dxa"/>
          </w:tcPr>
          <w:p w14:paraId="2A4B160C" w14:textId="5E789971" w:rsidR="000A5CB7" w:rsidRPr="000A5CB7" w:rsidRDefault="00FA4062" w:rsidP="000A5CB7">
            <w:pPr>
              <w:pStyle w:val="Tablegridheading"/>
            </w:pPr>
            <w:r>
              <w:t>Occupational skill</w:t>
            </w:r>
            <w:r w:rsidR="000A5CB7" w:rsidRPr="000A5CB7">
              <w:t xml:space="preserve"> level</w:t>
            </w:r>
          </w:p>
        </w:tc>
        <w:tc>
          <w:tcPr>
            <w:tcW w:w="2326" w:type="dxa"/>
          </w:tcPr>
          <w:p w14:paraId="1D9998E3" w14:textId="77777777" w:rsidR="000A5CB7" w:rsidRPr="000A5CB7" w:rsidRDefault="000A5CB7" w:rsidP="000A5CB7">
            <w:pPr>
              <w:pStyle w:val="Tablegridtext"/>
            </w:pPr>
            <w:r w:rsidRPr="000A5CB7">
              <w:t>0.5828</w:t>
            </w:r>
          </w:p>
        </w:tc>
        <w:tc>
          <w:tcPr>
            <w:tcW w:w="2326" w:type="dxa"/>
          </w:tcPr>
          <w:p w14:paraId="288AFDBB" w14:textId="77777777" w:rsidR="000A5CB7" w:rsidRPr="000A5CB7" w:rsidRDefault="000A5CB7" w:rsidP="000A5CB7">
            <w:pPr>
              <w:pStyle w:val="Tablegridtext"/>
            </w:pPr>
            <w:r w:rsidRPr="000A5CB7">
              <w:t>1</w:t>
            </w:r>
          </w:p>
        </w:tc>
        <w:tc>
          <w:tcPr>
            <w:tcW w:w="2327" w:type="dxa"/>
            <w:tcBorders>
              <w:right w:val="nil"/>
            </w:tcBorders>
            <w:shd w:val="thinDiagStripe" w:color="auto" w:fill="auto"/>
          </w:tcPr>
          <w:p w14:paraId="7734AA6C" w14:textId="77777777" w:rsidR="000A5CB7" w:rsidRPr="000A5CB7" w:rsidRDefault="000A5CB7" w:rsidP="000A5CB7">
            <w:pPr>
              <w:pStyle w:val="Tablegridtext"/>
            </w:pPr>
          </w:p>
        </w:tc>
        <w:tc>
          <w:tcPr>
            <w:tcW w:w="2327" w:type="dxa"/>
            <w:tcBorders>
              <w:left w:val="nil"/>
              <w:bottom w:val="single" w:sz="4" w:space="0" w:color="auto"/>
              <w:right w:val="nil"/>
            </w:tcBorders>
            <w:shd w:val="thinDiagStripe" w:color="auto" w:fill="auto"/>
          </w:tcPr>
          <w:p w14:paraId="3A7AF9FB" w14:textId="77777777" w:rsidR="000A5CB7" w:rsidRPr="000A5CB7" w:rsidRDefault="000A5CB7" w:rsidP="000A5CB7">
            <w:pPr>
              <w:pStyle w:val="Tablegridtext"/>
            </w:pPr>
          </w:p>
        </w:tc>
        <w:tc>
          <w:tcPr>
            <w:tcW w:w="2327" w:type="dxa"/>
            <w:tcBorders>
              <w:left w:val="nil"/>
              <w:bottom w:val="single" w:sz="4" w:space="0" w:color="auto"/>
            </w:tcBorders>
            <w:shd w:val="thinDiagStripe" w:color="auto" w:fill="auto"/>
          </w:tcPr>
          <w:p w14:paraId="1AD4D8B2" w14:textId="77777777" w:rsidR="000A5CB7" w:rsidRPr="000A5CB7" w:rsidRDefault="000A5CB7" w:rsidP="000A5CB7">
            <w:pPr>
              <w:pStyle w:val="Tablegridtext"/>
            </w:pPr>
          </w:p>
        </w:tc>
      </w:tr>
      <w:tr w:rsidR="000A5CB7" w:rsidRPr="000A5CB7" w14:paraId="77F4EF43" w14:textId="77777777" w:rsidTr="00493AFB">
        <w:tc>
          <w:tcPr>
            <w:tcW w:w="2326" w:type="dxa"/>
          </w:tcPr>
          <w:p w14:paraId="2CC593CC" w14:textId="779B50F5" w:rsidR="000A5CB7" w:rsidRPr="000A5CB7" w:rsidRDefault="000A5CB7" w:rsidP="00E05BC3">
            <w:pPr>
              <w:pStyle w:val="Tablegridheading"/>
            </w:pPr>
            <w:r w:rsidRPr="000A5CB7">
              <w:t xml:space="preserve">Equivalised </w:t>
            </w:r>
            <w:r w:rsidR="00E05BC3">
              <w:t>w</w:t>
            </w:r>
            <w:r w:rsidRPr="000A5CB7">
              <w:t xml:space="preserve">eekly </w:t>
            </w:r>
            <w:r w:rsidR="00E05BC3">
              <w:t>h</w:t>
            </w:r>
            <w:r w:rsidRPr="000A5CB7">
              <w:t xml:space="preserve">ousehold </w:t>
            </w:r>
            <w:r w:rsidR="00E05BC3">
              <w:t>i</w:t>
            </w:r>
            <w:r w:rsidRPr="000A5CB7">
              <w:t>ncome</w:t>
            </w:r>
          </w:p>
        </w:tc>
        <w:tc>
          <w:tcPr>
            <w:tcW w:w="2326" w:type="dxa"/>
          </w:tcPr>
          <w:p w14:paraId="32C3B37B" w14:textId="77777777" w:rsidR="000A5CB7" w:rsidRPr="000A5CB7" w:rsidRDefault="000A5CB7" w:rsidP="000A5CB7">
            <w:pPr>
              <w:pStyle w:val="Tablegridtext"/>
            </w:pPr>
            <w:r w:rsidRPr="000A5CB7">
              <w:t>0.2812</w:t>
            </w:r>
          </w:p>
        </w:tc>
        <w:tc>
          <w:tcPr>
            <w:tcW w:w="2326" w:type="dxa"/>
          </w:tcPr>
          <w:p w14:paraId="18C93C45" w14:textId="77777777" w:rsidR="000A5CB7" w:rsidRPr="000A5CB7" w:rsidRDefault="000A5CB7" w:rsidP="000A5CB7">
            <w:pPr>
              <w:pStyle w:val="Tablegridtext"/>
            </w:pPr>
            <w:r w:rsidRPr="000A5CB7">
              <w:t>0.5970</w:t>
            </w:r>
          </w:p>
        </w:tc>
        <w:tc>
          <w:tcPr>
            <w:tcW w:w="2327" w:type="dxa"/>
          </w:tcPr>
          <w:p w14:paraId="7B19DA96" w14:textId="77777777" w:rsidR="000A5CB7" w:rsidRPr="000A5CB7" w:rsidRDefault="000A5CB7" w:rsidP="000A5CB7">
            <w:pPr>
              <w:pStyle w:val="Tablegridtext"/>
            </w:pPr>
            <w:r w:rsidRPr="000A5CB7">
              <w:t>1</w:t>
            </w:r>
          </w:p>
        </w:tc>
        <w:tc>
          <w:tcPr>
            <w:tcW w:w="2327" w:type="dxa"/>
            <w:tcBorders>
              <w:right w:val="nil"/>
            </w:tcBorders>
            <w:shd w:val="thinDiagStripe" w:color="auto" w:fill="auto"/>
          </w:tcPr>
          <w:p w14:paraId="29E39D30" w14:textId="77777777" w:rsidR="000A5CB7" w:rsidRPr="000A5CB7" w:rsidRDefault="000A5CB7" w:rsidP="000A5CB7">
            <w:pPr>
              <w:pStyle w:val="Tablegridtext"/>
            </w:pPr>
          </w:p>
        </w:tc>
        <w:tc>
          <w:tcPr>
            <w:tcW w:w="2327" w:type="dxa"/>
            <w:tcBorders>
              <w:left w:val="nil"/>
              <w:bottom w:val="single" w:sz="4" w:space="0" w:color="auto"/>
            </w:tcBorders>
            <w:shd w:val="thinDiagStripe" w:color="auto" w:fill="auto"/>
          </w:tcPr>
          <w:p w14:paraId="1C11F51C" w14:textId="77777777" w:rsidR="000A5CB7" w:rsidRPr="000A5CB7" w:rsidRDefault="000A5CB7" w:rsidP="000A5CB7">
            <w:pPr>
              <w:pStyle w:val="Tablegridtext"/>
            </w:pPr>
          </w:p>
        </w:tc>
      </w:tr>
      <w:tr w:rsidR="000A5CB7" w:rsidRPr="000A5CB7" w14:paraId="2DA54416" w14:textId="77777777" w:rsidTr="00493AFB">
        <w:tc>
          <w:tcPr>
            <w:tcW w:w="2326" w:type="dxa"/>
          </w:tcPr>
          <w:p w14:paraId="0A8BD11C" w14:textId="77777777" w:rsidR="000A5CB7" w:rsidRPr="000A5CB7" w:rsidRDefault="000A5CB7" w:rsidP="000A5CB7">
            <w:pPr>
              <w:pStyle w:val="Tablegridheading"/>
            </w:pPr>
            <w:r w:rsidRPr="000A5CB7">
              <w:t xml:space="preserve">Reported wealth </w:t>
            </w:r>
          </w:p>
        </w:tc>
        <w:tc>
          <w:tcPr>
            <w:tcW w:w="2326" w:type="dxa"/>
          </w:tcPr>
          <w:p w14:paraId="30E1C4B6" w14:textId="77777777" w:rsidR="000A5CB7" w:rsidRPr="000A5CB7" w:rsidRDefault="000A5CB7" w:rsidP="000A5CB7">
            <w:pPr>
              <w:pStyle w:val="Tablegridtext"/>
            </w:pPr>
            <w:r w:rsidRPr="000A5CB7">
              <w:t>0.1374</w:t>
            </w:r>
          </w:p>
        </w:tc>
        <w:tc>
          <w:tcPr>
            <w:tcW w:w="2326" w:type="dxa"/>
          </w:tcPr>
          <w:p w14:paraId="60445408" w14:textId="77777777" w:rsidR="000A5CB7" w:rsidRPr="000A5CB7" w:rsidRDefault="000A5CB7" w:rsidP="000A5CB7">
            <w:pPr>
              <w:pStyle w:val="Tablegridtext"/>
            </w:pPr>
            <w:r w:rsidRPr="000A5CB7">
              <w:t>0.4391</w:t>
            </w:r>
          </w:p>
        </w:tc>
        <w:tc>
          <w:tcPr>
            <w:tcW w:w="2327" w:type="dxa"/>
          </w:tcPr>
          <w:p w14:paraId="38588F8C" w14:textId="77777777" w:rsidR="000A5CB7" w:rsidRPr="000A5CB7" w:rsidRDefault="000A5CB7" w:rsidP="000A5CB7">
            <w:pPr>
              <w:pStyle w:val="Tablegridtext"/>
            </w:pPr>
            <w:r w:rsidRPr="000A5CB7">
              <w:t>0.6077</w:t>
            </w:r>
          </w:p>
        </w:tc>
        <w:tc>
          <w:tcPr>
            <w:tcW w:w="2327" w:type="dxa"/>
          </w:tcPr>
          <w:p w14:paraId="3887C321" w14:textId="77777777" w:rsidR="000A5CB7" w:rsidRPr="000A5CB7" w:rsidRDefault="000A5CB7" w:rsidP="000A5CB7">
            <w:pPr>
              <w:pStyle w:val="Tablegridtext"/>
            </w:pPr>
            <w:r w:rsidRPr="000A5CB7">
              <w:t>1</w:t>
            </w:r>
          </w:p>
        </w:tc>
        <w:tc>
          <w:tcPr>
            <w:tcW w:w="2327" w:type="dxa"/>
            <w:shd w:val="thinDiagStripe" w:color="auto" w:fill="auto"/>
          </w:tcPr>
          <w:p w14:paraId="4B559796" w14:textId="77777777" w:rsidR="000A5CB7" w:rsidRPr="000A5CB7" w:rsidRDefault="000A5CB7" w:rsidP="000A5CB7">
            <w:pPr>
              <w:pStyle w:val="Tablegridtext"/>
            </w:pPr>
          </w:p>
        </w:tc>
      </w:tr>
      <w:tr w:rsidR="000A5CB7" w:rsidRPr="000A5CB7" w14:paraId="14DAB649" w14:textId="77777777" w:rsidTr="000A5CB7">
        <w:tc>
          <w:tcPr>
            <w:tcW w:w="2326" w:type="dxa"/>
          </w:tcPr>
          <w:p w14:paraId="3831DDBA" w14:textId="1C7DAFD5" w:rsidR="000A5CB7" w:rsidRPr="000A5CB7" w:rsidRDefault="00150920" w:rsidP="000A5CB7">
            <w:pPr>
              <w:pStyle w:val="Tablegridheading"/>
            </w:pPr>
            <w:r>
              <w:t>CTC</w:t>
            </w:r>
            <w:r w:rsidR="000A5CB7" w:rsidRPr="000A5CB7">
              <w:t xml:space="preserve"> score: </w:t>
            </w:r>
            <w:r w:rsidR="00E05BC3">
              <w:t>W</w:t>
            </w:r>
            <w:r w:rsidR="000A5CB7" w:rsidRPr="000A5CB7">
              <w:t>ith reported wealth</w:t>
            </w:r>
          </w:p>
        </w:tc>
        <w:tc>
          <w:tcPr>
            <w:tcW w:w="2326" w:type="dxa"/>
          </w:tcPr>
          <w:p w14:paraId="6C140B53" w14:textId="77777777" w:rsidR="000A5CB7" w:rsidRPr="000A5CB7" w:rsidRDefault="000A5CB7" w:rsidP="000A5CB7">
            <w:pPr>
              <w:pStyle w:val="Tablegridtext"/>
            </w:pPr>
            <w:r w:rsidRPr="000A5CB7">
              <w:t>0.6403</w:t>
            </w:r>
          </w:p>
        </w:tc>
        <w:tc>
          <w:tcPr>
            <w:tcW w:w="2326" w:type="dxa"/>
          </w:tcPr>
          <w:p w14:paraId="5803586D" w14:textId="77777777" w:rsidR="000A5CB7" w:rsidRPr="000A5CB7" w:rsidRDefault="000A5CB7" w:rsidP="000A5CB7">
            <w:pPr>
              <w:pStyle w:val="Tablegridtext"/>
            </w:pPr>
            <w:r w:rsidRPr="000A5CB7">
              <w:t>0.9196</w:t>
            </w:r>
          </w:p>
        </w:tc>
        <w:tc>
          <w:tcPr>
            <w:tcW w:w="2327" w:type="dxa"/>
          </w:tcPr>
          <w:p w14:paraId="13642F62" w14:textId="77777777" w:rsidR="000A5CB7" w:rsidRPr="000A5CB7" w:rsidRDefault="000A5CB7" w:rsidP="000A5CB7">
            <w:pPr>
              <w:pStyle w:val="Tablegridtext"/>
            </w:pPr>
            <w:r w:rsidRPr="000A5CB7">
              <w:t>0.7695</w:t>
            </w:r>
          </w:p>
        </w:tc>
        <w:tc>
          <w:tcPr>
            <w:tcW w:w="2327" w:type="dxa"/>
          </w:tcPr>
          <w:p w14:paraId="057A77A8" w14:textId="77777777" w:rsidR="000A5CB7" w:rsidRPr="000A5CB7" w:rsidRDefault="000A5CB7" w:rsidP="000A5CB7">
            <w:pPr>
              <w:pStyle w:val="Tablegridtext"/>
            </w:pPr>
            <w:r w:rsidRPr="000A5CB7">
              <w:t>0.6796</w:t>
            </w:r>
          </w:p>
        </w:tc>
        <w:tc>
          <w:tcPr>
            <w:tcW w:w="2327" w:type="dxa"/>
          </w:tcPr>
          <w:p w14:paraId="464D0C39" w14:textId="77777777" w:rsidR="000A5CB7" w:rsidRPr="000A5CB7" w:rsidRDefault="000A5CB7" w:rsidP="000A5CB7">
            <w:pPr>
              <w:pStyle w:val="Tablegridtext"/>
            </w:pPr>
            <w:r w:rsidRPr="000A5CB7">
              <w:t>1</w:t>
            </w:r>
          </w:p>
        </w:tc>
      </w:tr>
    </w:tbl>
    <w:p w14:paraId="258FBE40" w14:textId="3617FB1A" w:rsidR="007D3A2E" w:rsidRDefault="00493AFB" w:rsidP="007D3A2E">
      <w:pPr>
        <w:pStyle w:val="Datasource"/>
      </w:pPr>
      <w:r>
        <w:t xml:space="preserve">Source: Analysis of </w:t>
      </w:r>
      <w:r w:rsidR="00B83B99">
        <w:rPr>
          <w:noProof/>
        </w:rPr>
        <w:t xml:space="preserve">ABS </w:t>
      </w:r>
      <w:sdt>
        <w:sdtPr>
          <w:rPr>
            <w:noProof/>
          </w:rPr>
          <w:id w:val="519741019"/>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r w:rsidR="007D3A2E">
        <w:br w:type="page"/>
      </w:r>
    </w:p>
    <w:p w14:paraId="16826BC7" w14:textId="0113259C" w:rsidR="000A5CB7" w:rsidRDefault="00B33921" w:rsidP="000A5CB7">
      <w:pPr>
        <w:pStyle w:val="Caption"/>
      </w:pPr>
      <w:bookmarkStart w:id="75" w:name="_Ref518382473"/>
      <w:bookmarkStart w:id="76" w:name="_Toc518645985"/>
      <w:r>
        <w:t xml:space="preserve">Table </w:t>
      </w:r>
      <w:r>
        <w:rPr>
          <w:noProof/>
        </w:rPr>
        <w:fldChar w:fldCharType="begin"/>
      </w:r>
      <w:r>
        <w:rPr>
          <w:noProof/>
        </w:rPr>
        <w:instrText xml:space="preserve"> STYLEREF 1 \s </w:instrText>
      </w:r>
      <w:r>
        <w:rPr>
          <w:noProof/>
        </w:rPr>
        <w:fldChar w:fldCharType="separate"/>
      </w:r>
      <w:r>
        <w:rPr>
          <w:noProof/>
        </w:rPr>
        <w:t>4</w:t>
      </w:r>
      <w:r>
        <w:rPr>
          <w:noProof/>
        </w:rPr>
        <w:fldChar w:fldCharType="end"/>
      </w:r>
      <w:r>
        <w:noBreakHyphen/>
      </w:r>
      <w:r>
        <w:rPr>
          <w:noProof/>
        </w:rPr>
        <w:fldChar w:fldCharType="begin"/>
      </w:r>
      <w:r>
        <w:rPr>
          <w:noProof/>
        </w:rPr>
        <w:instrText xml:space="preserve"> SEQ Table \* ARABIC \s 1 </w:instrText>
      </w:r>
      <w:r>
        <w:rPr>
          <w:noProof/>
        </w:rPr>
        <w:fldChar w:fldCharType="separate"/>
      </w:r>
      <w:r>
        <w:rPr>
          <w:noProof/>
        </w:rPr>
        <w:t>14</w:t>
      </w:r>
      <w:r>
        <w:rPr>
          <w:noProof/>
        </w:rPr>
        <w:fldChar w:fldCharType="end"/>
      </w:r>
      <w:bookmarkEnd w:id="75"/>
      <w:r>
        <w:t>: Correlation matrix: components of CTC score with proxy wealth, and resulting CTC score</w:t>
      </w:r>
      <w:bookmarkEnd w:id="76"/>
    </w:p>
    <w:tbl>
      <w:tblPr>
        <w:tblStyle w:val="TableGrid"/>
        <w:tblW w:w="0" w:type="auto"/>
        <w:tblLook w:val="04A0" w:firstRow="1" w:lastRow="0" w:firstColumn="1" w:lastColumn="0" w:noHBand="0" w:noVBand="1"/>
        <w:tblCaption w:val="Correlation matrix: components of CTC score without wealth, and resulting CTC score"/>
        <w:tblDescription w:val="This is a correlation matrix that looks at education level, occupation skill level, equivalised weekly household income, proxy wealth scores and CTC score with proxy wealth.&#10;Occupational skill level is the most important variable influencing the resulting CTC score. The least important being the proxy wealth score itself. The correlation of the proxy wealth variable with the relevant CTC score, is less than half that of the reported wealth variable (0.3 compared to 0.68).&#10;"/>
      </w:tblPr>
      <w:tblGrid>
        <w:gridCol w:w="2326"/>
        <w:gridCol w:w="2326"/>
        <w:gridCol w:w="2326"/>
        <w:gridCol w:w="2327"/>
        <w:gridCol w:w="2327"/>
        <w:gridCol w:w="2327"/>
      </w:tblGrid>
      <w:tr w:rsidR="000A5CB7" w:rsidRPr="000A5CB7" w14:paraId="69A50BE7" w14:textId="77777777" w:rsidTr="001F3477">
        <w:trPr>
          <w:cnfStyle w:val="100000000000" w:firstRow="1" w:lastRow="0" w:firstColumn="0" w:lastColumn="0" w:oddVBand="0" w:evenVBand="0" w:oddHBand="0" w:evenHBand="0" w:firstRowFirstColumn="0" w:firstRowLastColumn="0" w:lastRowFirstColumn="0" w:lastRowLastColumn="0"/>
          <w:tblHeader/>
        </w:trPr>
        <w:tc>
          <w:tcPr>
            <w:tcW w:w="2326" w:type="dxa"/>
          </w:tcPr>
          <w:p w14:paraId="246D728F" w14:textId="77777777" w:rsidR="000A5CB7" w:rsidRPr="000A5CB7" w:rsidRDefault="000A5CB7" w:rsidP="000A5CB7">
            <w:pPr>
              <w:pStyle w:val="Tablegridheading"/>
            </w:pPr>
          </w:p>
        </w:tc>
        <w:tc>
          <w:tcPr>
            <w:tcW w:w="2326" w:type="dxa"/>
          </w:tcPr>
          <w:p w14:paraId="15D09372" w14:textId="77777777" w:rsidR="000A5CB7" w:rsidRPr="000A5CB7" w:rsidRDefault="000A5CB7" w:rsidP="000A5CB7">
            <w:pPr>
              <w:pStyle w:val="Tablegridheading"/>
            </w:pPr>
            <w:r w:rsidRPr="000A5CB7">
              <w:t>Education level</w:t>
            </w:r>
          </w:p>
        </w:tc>
        <w:tc>
          <w:tcPr>
            <w:tcW w:w="2326" w:type="dxa"/>
          </w:tcPr>
          <w:p w14:paraId="7DB5386E" w14:textId="2655573B" w:rsidR="000A5CB7" w:rsidRPr="000A5CB7" w:rsidRDefault="00FA4062" w:rsidP="000A5CB7">
            <w:pPr>
              <w:pStyle w:val="Tablegridheading"/>
            </w:pPr>
            <w:r>
              <w:t>Occupational skill</w:t>
            </w:r>
            <w:r w:rsidR="000A5CB7" w:rsidRPr="000A5CB7">
              <w:t xml:space="preserve"> level</w:t>
            </w:r>
          </w:p>
        </w:tc>
        <w:tc>
          <w:tcPr>
            <w:tcW w:w="2327" w:type="dxa"/>
          </w:tcPr>
          <w:p w14:paraId="2C42C0C2" w14:textId="3E373243" w:rsidR="000A5CB7" w:rsidRPr="000A5CB7" w:rsidRDefault="000A5CB7" w:rsidP="000A5CB7">
            <w:pPr>
              <w:pStyle w:val="Tablegridheading"/>
            </w:pPr>
            <w:r w:rsidRPr="000A5CB7">
              <w:t xml:space="preserve">Equivalised </w:t>
            </w:r>
            <w:r w:rsidR="00C20E23">
              <w:t>w</w:t>
            </w:r>
            <w:r w:rsidRPr="000A5CB7">
              <w:t xml:space="preserve">eekly </w:t>
            </w:r>
            <w:r w:rsidR="00C20E23">
              <w:t>h</w:t>
            </w:r>
            <w:r w:rsidRPr="000A5CB7">
              <w:t xml:space="preserve">ousehold </w:t>
            </w:r>
            <w:r w:rsidR="00C20E23">
              <w:t>i</w:t>
            </w:r>
            <w:r w:rsidRPr="000A5CB7">
              <w:t>ncome</w:t>
            </w:r>
          </w:p>
        </w:tc>
        <w:tc>
          <w:tcPr>
            <w:tcW w:w="2327" w:type="dxa"/>
          </w:tcPr>
          <w:p w14:paraId="17E9A26E" w14:textId="77777777" w:rsidR="000A5CB7" w:rsidRPr="000A5CB7" w:rsidRDefault="000A5CB7" w:rsidP="000A5CB7">
            <w:pPr>
              <w:pStyle w:val="Tablegridheading"/>
            </w:pPr>
            <w:r w:rsidRPr="000A5CB7">
              <w:t>Proxy wealth score</w:t>
            </w:r>
          </w:p>
        </w:tc>
        <w:tc>
          <w:tcPr>
            <w:tcW w:w="2327" w:type="dxa"/>
          </w:tcPr>
          <w:p w14:paraId="7909022A" w14:textId="6690190B" w:rsidR="000A5CB7" w:rsidRPr="000A5CB7" w:rsidRDefault="00150920" w:rsidP="000A5CB7">
            <w:pPr>
              <w:pStyle w:val="Tablegridheading"/>
            </w:pPr>
            <w:r>
              <w:t>CTC</w:t>
            </w:r>
            <w:r w:rsidR="000A5CB7" w:rsidRPr="000A5CB7">
              <w:t xml:space="preserve"> score: </w:t>
            </w:r>
            <w:r w:rsidR="00E05BC3">
              <w:t>W</w:t>
            </w:r>
            <w:r w:rsidR="000A5CB7" w:rsidRPr="000A5CB7">
              <w:t>ith proxy wealth</w:t>
            </w:r>
          </w:p>
        </w:tc>
      </w:tr>
      <w:tr w:rsidR="000A5CB7" w:rsidRPr="000A5CB7" w14:paraId="4484C17F" w14:textId="77777777" w:rsidTr="00493AFB">
        <w:tc>
          <w:tcPr>
            <w:tcW w:w="2326" w:type="dxa"/>
          </w:tcPr>
          <w:p w14:paraId="7BC6867D" w14:textId="77777777" w:rsidR="000A5CB7" w:rsidRPr="000A5CB7" w:rsidRDefault="000A5CB7" w:rsidP="000A5CB7">
            <w:pPr>
              <w:pStyle w:val="Tablegridheading"/>
            </w:pPr>
            <w:r w:rsidRPr="000A5CB7">
              <w:t>Education level</w:t>
            </w:r>
          </w:p>
        </w:tc>
        <w:tc>
          <w:tcPr>
            <w:tcW w:w="2326" w:type="dxa"/>
            <w:vAlign w:val="bottom"/>
          </w:tcPr>
          <w:p w14:paraId="0A2266FE" w14:textId="77777777" w:rsidR="000A5CB7" w:rsidRDefault="000A5CB7" w:rsidP="000A5CB7">
            <w:pPr>
              <w:pStyle w:val="Tablegridtext"/>
            </w:pPr>
            <w:r>
              <w:t>1</w:t>
            </w:r>
          </w:p>
        </w:tc>
        <w:tc>
          <w:tcPr>
            <w:tcW w:w="2326" w:type="dxa"/>
            <w:tcBorders>
              <w:right w:val="nil"/>
            </w:tcBorders>
            <w:shd w:val="thinDiagStripe" w:color="auto" w:fill="auto"/>
            <w:vAlign w:val="bottom"/>
          </w:tcPr>
          <w:p w14:paraId="64D5E23B" w14:textId="77777777" w:rsidR="000A5CB7" w:rsidRDefault="000A5CB7" w:rsidP="000A5CB7">
            <w:pPr>
              <w:pStyle w:val="Tablegridtext"/>
            </w:pPr>
          </w:p>
        </w:tc>
        <w:tc>
          <w:tcPr>
            <w:tcW w:w="2327" w:type="dxa"/>
            <w:tcBorders>
              <w:left w:val="nil"/>
              <w:bottom w:val="single" w:sz="4" w:space="0" w:color="auto"/>
              <w:right w:val="nil"/>
            </w:tcBorders>
            <w:shd w:val="thinDiagStripe" w:color="auto" w:fill="auto"/>
            <w:vAlign w:val="bottom"/>
          </w:tcPr>
          <w:p w14:paraId="7C54E7F7" w14:textId="77777777" w:rsidR="000A5CB7" w:rsidRDefault="000A5CB7" w:rsidP="000A5CB7">
            <w:pPr>
              <w:pStyle w:val="Tablegridtext"/>
              <w:rPr>
                <w:sz w:val="20"/>
                <w:szCs w:val="20"/>
              </w:rPr>
            </w:pPr>
          </w:p>
        </w:tc>
        <w:tc>
          <w:tcPr>
            <w:tcW w:w="2327" w:type="dxa"/>
            <w:tcBorders>
              <w:left w:val="nil"/>
              <w:bottom w:val="single" w:sz="4" w:space="0" w:color="auto"/>
              <w:right w:val="nil"/>
            </w:tcBorders>
            <w:shd w:val="thinDiagStripe" w:color="auto" w:fill="auto"/>
            <w:vAlign w:val="bottom"/>
          </w:tcPr>
          <w:p w14:paraId="6053FC91" w14:textId="77777777" w:rsidR="000A5CB7" w:rsidRDefault="000A5CB7" w:rsidP="000A5CB7">
            <w:pPr>
              <w:pStyle w:val="Tablegridtext"/>
              <w:rPr>
                <w:sz w:val="20"/>
                <w:szCs w:val="20"/>
              </w:rPr>
            </w:pPr>
          </w:p>
        </w:tc>
        <w:tc>
          <w:tcPr>
            <w:tcW w:w="2327" w:type="dxa"/>
            <w:tcBorders>
              <w:left w:val="nil"/>
              <w:bottom w:val="single" w:sz="4" w:space="0" w:color="auto"/>
            </w:tcBorders>
            <w:shd w:val="thinDiagStripe" w:color="auto" w:fill="auto"/>
            <w:vAlign w:val="bottom"/>
          </w:tcPr>
          <w:p w14:paraId="110D4109" w14:textId="77777777" w:rsidR="000A5CB7" w:rsidRDefault="000A5CB7" w:rsidP="000A5CB7">
            <w:pPr>
              <w:pStyle w:val="Tablegridtext"/>
              <w:rPr>
                <w:sz w:val="20"/>
                <w:szCs w:val="20"/>
              </w:rPr>
            </w:pPr>
          </w:p>
        </w:tc>
      </w:tr>
      <w:tr w:rsidR="000A5CB7" w:rsidRPr="000A5CB7" w14:paraId="3A3274F8" w14:textId="77777777" w:rsidTr="00493AFB">
        <w:tc>
          <w:tcPr>
            <w:tcW w:w="2326" w:type="dxa"/>
          </w:tcPr>
          <w:p w14:paraId="34000D10" w14:textId="2B4A6452" w:rsidR="000A5CB7" w:rsidRPr="000A5CB7" w:rsidRDefault="00FA4062" w:rsidP="000A5CB7">
            <w:pPr>
              <w:pStyle w:val="Tablegridheading"/>
            </w:pPr>
            <w:r>
              <w:t>Occupational skill</w:t>
            </w:r>
            <w:r w:rsidR="000A5CB7" w:rsidRPr="000A5CB7">
              <w:t xml:space="preserve"> level</w:t>
            </w:r>
          </w:p>
        </w:tc>
        <w:tc>
          <w:tcPr>
            <w:tcW w:w="2326" w:type="dxa"/>
            <w:vAlign w:val="bottom"/>
          </w:tcPr>
          <w:p w14:paraId="0101F62F" w14:textId="77777777" w:rsidR="000A5CB7" w:rsidRDefault="000A5CB7" w:rsidP="000A5CB7">
            <w:pPr>
              <w:pStyle w:val="Tablegridtext"/>
            </w:pPr>
            <w:r>
              <w:t>0.5828</w:t>
            </w:r>
          </w:p>
        </w:tc>
        <w:tc>
          <w:tcPr>
            <w:tcW w:w="2326" w:type="dxa"/>
            <w:vAlign w:val="bottom"/>
          </w:tcPr>
          <w:p w14:paraId="434E149C" w14:textId="77777777" w:rsidR="000A5CB7" w:rsidRDefault="000A5CB7" w:rsidP="000A5CB7">
            <w:pPr>
              <w:pStyle w:val="Tablegridtext"/>
            </w:pPr>
            <w:r>
              <w:t>1</w:t>
            </w:r>
          </w:p>
        </w:tc>
        <w:tc>
          <w:tcPr>
            <w:tcW w:w="2327" w:type="dxa"/>
            <w:tcBorders>
              <w:right w:val="nil"/>
            </w:tcBorders>
            <w:shd w:val="thinDiagStripe" w:color="auto" w:fill="auto"/>
            <w:vAlign w:val="bottom"/>
          </w:tcPr>
          <w:p w14:paraId="25796C9B" w14:textId="77777777" w:rsidR="000A5CB7" w:rsidRDefault="000A5CB7" w:rsidP="000A5CB7">
            <w:pPr>
              <w:pStyle w:val="Tablegridtext"/>
            </w:pPr>
          </w:p>
        </w:tc>
        <w:tc>
          <w:tcPr>
            <w:tcW w:w="2327" w:type="dxa"/>
            <w:tcBorders>
              <w:left w:val="nil"/>
              <w:bottom w:val="single" w:sz="4" w:space="0" w:color="auto"/>
              <w:right w:val="nil"/>
            </w:tcBorders>
            <w:shd w:val="thinDiagStripe" w:color="auto" w:fill="auto"/>
            <w:vAlign w:val="bottom"/>
          </w:tcPr>
          <w:p w14:paraId="3E4843A3" w14:textId="77777777" w:rsidR="000A5CB7" w:rsidRDefault="000A5CB7" w:rsidP="000A5CB7">
            <w:pPr>
              <w:pStyle w:val="Tablegridtext"/>
              <w:rPr>
                <w:sz w:val="20"/>
                <w:szCs w:val="20"/>
              </w:rPr>
            </w:pPr>
          </w:p>
        </w:tc>
        <w:tc>
          <w:tcPr>
            <w:tcW w:w="2327" w:type="dxa"/>
            <w:tcBorders>
              <w:left w:val="nil"/>
              <w:bottom w:val="single" w:sz="4" w:space="0" w:color="auto"/>
            </w:tcBorders>
            <w:shd w:val="thinDiagStripe" w:color="auto" w:fill="auto"/>
            <w:vAlign w:val="bottom"/>
          </w:tcPr>
          <w:p w14:paraId="75578912" w14:textId="77777777" w:rsidR="000A5CB7" w:rsidRDefault="000A5CB7" w:rsidP="000A5CB7">
            <w:pPr>
              <w:pStyle w:val="Tablegridtext"/>
              <w:rPr>
                <w:sz w:val="20"/>
                <w:szCs w:val="20"/>
              </w:rPr>
            </w:pPr>
          </w:p>
        </w:tc>
      </w:tr>
      <w:tr w:rsidR="000A5CB7" w:rsidRPr="000A5CB7" w14:paraId="1CED2426" w14:textId="77777777" w:rsidTr="00493AFB">
        <w:tc>
          <w:tcPr>
            <w:tcW w:w="2326" w:type="dxa"/>
          </w:tcPr>
          <w:p w14:paraId="3CBE2AA1" w14:textId="1834DFE7" w:rsidR="000A5CB7" w:rsidRPr="000A5CB7" w:rsidRDefault="000A5CB7" w:rsidP="00E05BC3">
            <w:pPr>
              <w:pStyle w:val="Tablegridheading"/>
            </w:pPr>
            <w:r w:rsidRPr="000A5CB7">
              <w:t xml:space="preserve">Equivalised </w:t>
            </w:r>
            <w:r w:rsidR="00E05BC3">
              <w:t>w</w:t>
            </w:r>
            <w:r w:rsidRPr="000A5CB7">
              <w:t xml:space="preserve">eekly </w:t>
            </w:r>
            <w:r w:rsidR="00E05BC3">
              <w:t>h</w:t>
            </w:r>
            <w:r w:rsidRPr="000A5CB7">
              <w:t xml:space="preserve">ousehold </w:t>
            </w:r>
            <w:r w:rsidR="00E05BC3">
              <w:t>i</w:t>
            </w:r>
            <w:r w:rsidRPr="000A5CB7">
              <w:t>ncome</w:t>
            </w:r>
          </w:p>
        </w:tc>
        <w:tc>
          <w:tcPr>
            <w:tcW w:w="2326" w:type="dxa"/>
            <w:vAlign w:val="bottom"/>
          </w:tcPr>
          <w:p w14:paraId="667648D7" w14:textId="77777777" w:rsidR="000A5CB7" w:rsidRDefault="000A5CB7" w:rsidP="000A5CB7">
            <w:pPr>
              <w:pStyle w:val="Tablegridtext"/>
            </w:pPr>
            <w:r>
              <w:t>0.2812</w:t>
            </w:r>
          </w:p>
        </w:tc>
        <w:tc>
          <w:tcPr>
            <w:tcW w:w="2326" w:type="dxa"/>
            <w:vAlign w:val="bottom"/>
          </w:tcPr>
          <w:p w14:paraId="62D53E97" w14:textId="77777777" w:rsidR="000A5CB7" w:rsidRDefault="000A5CB7" w:rsidP="000A5CB7">
            <w:pPr>
              <w:pStyle w:val="Tablegridtext"/>
            </w:pPr>
            <w:r>
              <w:t>0.5970</w:t>
            </w:r>
          </w:p>
        </w:tc>
        <w:tc>
          <w:tcPr>
            <w:tcW w:w="2327" w:type="dxa"/>
            <w:vAlign w:val="bottom"/>
          </w:tcPr>
          <w:p w14:paraId="29CF0292" w14:textId="77777777" w:rsidR="000A5CB7" w:rsidRDefault="000A5CB7" w:rsidP="000A5CB7">
            <w:pPr>
              <w:pStyle w:val="Tablegridtext"/>
            </w:pPr>
            <w:r>
              <w:t>1</w:t>
            </w:r>
          </w:p>
        </w:tc>
        <w:tc>
          <w:tcPr>
            <w:tcW w:w="2327" w:type="dxa"/>
            <w:tcBorders>
              <w:right w:val="nil"/>
            </w:tcBorders>
            <w:shd w:val="thinDiagStripe" w:color="auto" w:fill="auto"/>
            <w:vAlign w:val="bottom"/>
          </w:tcPr>
          <w:p w14:paraId="05A25B1B" w14:textId="77777777" w:rsidR="000A5CB7" w:rsidRDefault="000A5CB7" w:rsidP="000A5CB7">
            <w:pPr>
              <w:pStyle w:val="Tablegridtext"/>
            </w:pPr>
          </w:p>
        </w:tc>
        <w:tc>
          <w:tcPr>
            <w:tcW w:w="2327" w:type="dxa"/>
            <w:tcBorders>
              <w:left w:val="nil"/>
              <w:bottom w:val="single" w:sz="4" w:space="0" w:color="auto"/>
            </w:tcBorders>
            <w:shd w:val="thinDiagStripe" w:color="auto" w:fill="auto"/>
            <w:vAlign w:val="bottom"/>
          </w:tcPr>
          <w:p w14:paraId="408DD9E6" w14:textId="77777777" w:rsidR="000A5CB7" w:rsidRDefault="000A5CB7" w:rsidP="000A5CB7">
            <w:pPr>
              <w:pStyle w:val="Tablegridtext"/>
              <w:rPr>
                <w:sz w:val="20"/>
                <w:szCs w:val="20"/>
              </w:rPr>
            </w:pPr>
          </w:p>
        </w:tc>
      </w:tr>
      <w:tr w:rsidR="000A5CB7" w:rsidRPr="000A5CB7" w14:paraId="7BE73AFF" w14:textId="77777777" w:rsidTr="00493AFB">
        <w:tc>
          <w:tcPr>
            <w:tcW w:w="2326" w:type="dxa"/>
          </w:tcPr>
          <w:p w14:paraId="5090863E" w14:textId="77777777" w:rsidR="000A5CB7" w:rsidRPr="000A5CB7" w:rsidRDefault="000A5CB7" w:rsidP="000A5CB7">
            <w:pPr>
              <w:pStyle w:val="Tablegridheading"/>
            </w:pPr>
            <w:r w:rsidRPr="000A5CB7">
              <w:t>Proxy wealth score</w:t>
            </w:r>
          </w:p>
        </w:tc>
        <w:tc>
          <w:tcPr>
            <w:tcW w:w="2326" w:type="dxa"/>
            <w:vAlign w:val="bottom"/>
          </w:tcPr>
          <w:p w14:paraId="537ADA74" w14:textId="77777777" w:rsidR="000A5CB7" w:rsidRDefault="000A5CB7" w:rsidP="000A5CB7">
            <w:pPr>
              <w:pStyle w:val="Tablegridtext"/>
            </w:pPr>
            <w:r>
              <w:t>0.0896</w:t>
            </w:r>
          </w:p>
        </w:tc>
        <w:tc>
          <w:tcPr>
            <w:tcW w:w="2326" w:type="dxa"/>
            <w:vAlign w:val="bottom"/>
          </w:tcPr>
          <w:p w14:paraId="2B1B7D7E" w14:textId="77777777" w:rsidR="000A5CB7" w:rsidRDefault="000A5CB7" w:rsidP="000A5CB7">
            <w:pPr>
              <w:pStyle w:val="Tablegridtext"/>
            </w:pPr>
            <w:r>
              <w:t>0.2238</w:t>
            </w:r>
          </w:p>
        </w:tc>
        <w:tc>
          <w:tcPr>
            <w:tcW w:w="2327" w:type="dxa"/>
            <w:vAlign w:val="bottom"/>
          </w:tcPr>
          <w:p w14:paraId="58AA0D15" w14:textId="77777777" w:rsidR="000A5CB7" w:rsidRDefault="000A5CB7" w:rsidP="000A5CB7">
            <w:pPr>
              <w:pStyle w:val="Tablegridtext"/>
            </w:pPr>
            <w:r>
              <w:t>0.0466</w:t>
            </w:r>
          </w:p>
        </w:tc>
        <w:tc>
          <w:tcPr>
            <w:tcW w:w="2327" w:type="dxa"/>
            <w:vAlign w:val="bottom"/>
          </w:tcPr>
          <w:p w14:paraId="0EC4D552" w14:textId="77777777" w:rsidR="000A5CB7" w:rsidRDefault="000A5CB7" w:rsidP="000A5CB7">
            <w:pPr>
              <w:pStyle w:val="Tablegridtext"/>
            </w:pPr>
            <w:r>
              <w:t>1</w:t>
            </w:r>
          </w:p>
        </w:tc>
        <w:tc>
          <w:tcPr>
            <w:tcW w:w="2327" w:type="dxa"/>
            <w:shd w:val="thinDiagStripe" w:color="auto" w:fill="auto"/>
            <w:vAlign w:val="bottom"/>
          </w:tcPr>
          <w:p w14:paraId="3038537A" w14:textId="77777777" w:rsidR="000A5CB7" w:rsidRDefault="000A5CB7" w:rsidP="000A5CB7">
            <w:pPr>
              <w:pStyle w:val="Tablegridtext"/>
            </w:pPr>
          </w:p>
        </w:tc>
      </w:tr>
      <w:tr w:rsidR="000A5CB7" w:rsidRPr="000A5CB7" w14:paraId="6D742472" w14:textId="77777777" w:rsidTr="000A5CB7">
        <w:tc>
          <w:tcPr>
            <w:tcW w:w="2326" w:type="dxa"/>
          </w:tcPr>
          <w:p w14:paraId="70CF3402" w14:textId="3F7E60C2" w:rsidR="000A5CB7" w:rsidRPr="000A5CB7" w:rsidRDefault="00150920" w:rsidP="000A5CB7">
            <w:pPr>
              <w:pStyle w:val="Tablegridheading"/>
            </w:pPr>
            <w:r>
              <w:t>CTC</w:t>
            </w:r>
            <w:r w:rsidR="000A5CB7" w:rsidRPr="000A5CB7">
              <w:t xml:space="preserve"> score: </w:t>
            </w:r>
            <w:r w:rsidR="00E05BC3">
              <w:t>W</w:t>
            </w:r>
            <w:r w:rsidR="000A5CB7" w:rsidRPr="000A5CB7">
              <w:t>ith proxy wealth</w:t>
            </w:r>
          </w:p>
        </w:tc>
        <w:tc>
          <w:tcPr>
            <w:tcW w:w="2326" w:type="dxa"/>
            <w:vAlign w:val="bottom"/>
          </w:tcPr>
          <w:p w14:paraId="580B15CE" w14:textId="77777777" w:rsidR="000A5CB7" w:rsidRDefault="000A5CB7" w:rsidP="000A5CB7">
            <w:pPr>
              <w:pStyle w:val="Tablegridtext"/>
            </w:pPr>
            <w:r>
              <w:t>0.7512</w:t>
            </w:r>
          </w:p>
        </w:tc>
        <w:tc>
          <w:tcPr>
            <w:tcW w:w="2326" w:type="dxa"/>
            <w:vAlign w:val="bottom"/>
          </w:tcPr>
          <w:p w14:paraId="3C505B06" w14:textId="77777777" w:rsidR="000A5CB7" w:rsidRDefault="000A5CB7" w:rsidP="000A5CB7">
            <w:pPr>
              <w:pStyle w:val="Tablegridtext"/>
            </w:pPr>
            <w:r>
              <w:t>0.9219</w:t>
            </w:r>
          </w:p>
        </w:tc>
        <w:tc>
          <w:tcPr>
            <w:tcW w:w="2327" w:type="dxa"/>
            <w:vAlign w:val="bottom"/>
          </w:tcPr>
          <w:p w14:paraId="71C0D130" w14:textId="77777777" w:rsidR="000A5CB7" w:rsidRDefault="000A5CB7" w:rsidP="000A5CB7">
            <w:pPr>
              <w:pStyle w:val="Tablegridtext"/>
            </w:pPr>
            <w:r>
              <w:t>0.6344</w:t>
            </w:r>
          </w:p>
        </w:tc>
        <w:tc>
          <w:tcPr>
            <w:tcW w:w="2327" w:type="dxa"/>
            <w:vAlign w:val="bottom"/>
          </w:tcPr>
          <w:p w14:paraId="0D2620BE" w14:textId="77777777" w:rsidR="000A5CB7" w:rsidRDefault="000A5CB7" w:rsidP="000A5CB7">
            <w:pPr>
              <w:pStyle w:val="Tablegridtext"/>
            </w:pPr>
            <w:r>
              <w:t>0.3006</w:t>
            </w:r>
          </w:p>
        </w:tc>
        <w:tc>
          <w:tcPr>
            <w:tcW w:w="2327" w:type="dxa"/>
            <w:vAlign w:val="bottom"/>
          </w:tcPr>
          <w:p w14:paraId="0AC2C7B5" w14:textId="77777777" w:rsidR="000A5CB7" w:rsidRDefault="000A5CB7" w:rsidP="000A5CB7">
            <w:pPr>
              <w:pStyle w:val="Tablegridtext"/>
            </w:pPr>
            <w:r>
              <w:t>1</w:t>
            </w:r>
          </w:p>
        </w:tc>
      </w:tr>
    </w:tbl>
    <w:p w14:paraId="7EE7DA8A" w14:textId="43A8EA1E" w:rsidR="00493AFB" w:rsidRPr="00643AF0" w:rsidRDefault="00493AFB" w:rsidP="00493AFB">
      <w:pPr>
        <w:pStyle w:val="Datasource"/>
      </w:pPr>
      <w:r>
        <w:t xml:space="preserve">Source: Analysis of </w:t>
      </w:r>
      <w:r w:rsidR="00B83B99">
        <w:rPr>
          <w:noProof/>
        </w:rPr>
        <w:t xml:space="preserve">ABS </w:t>
      </w:r>
      <w:sdt>
        <w:sdtPr>
          <w:rPr>
            <w:noProof/>
          </w:rPr>
          <w:id w:val="1206609843"/>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r>
        <w:t>.</w:t>
      </w:r>
    </w:p>
    <w:p w14:paraId="762B2D32" w14:textId="77777777" w:rsidR="000A5CB7" w:rsidRDefault="000A5CB7" w:rsidP="000A5CB7"/>
    <w:p w14:paraId="7171CB73" w14:textId="77777777" w:rsidR="000A5CB7" w:rsidRDefault="000A5CB7" w:rsidP="000A5CB7"/>
    <w:p w14:paraId="3596F762" w14:textId="77777777" w:rsidR="000A5CB7" w:rsidRDefault="000A5CB7" w:rsidP="000A5CB7"/>
    <w:p w14:paraId="7B9D4722" w14:textId="77777777" w:rsidR="000A5CB7" w:rsidRDefault="000A5CB7" w:rsidP="000A5CB7"/>
    <w:p w14:paraId="5BBEF011" w14:textId="77777777" w:rsidR="000A5CB7" w:rsidRDefault="000A5CB7" w:rsidP="000A5CB7"/>
    <w:p w14:paraId="470C9ACF" w14:textId="77777777" w:rsidR="000A5CB7" w:rsidRDefault="000A5CB7" w:rsidP="000A5CB7"/>
    <w:p w14:paraId="499BE0D9" w14:textId="77777777" w:rsidR="000A5CB7" w:rsidRDefault="000A5CB7" w:rsidP="000A5CB7">
      <w:pPr>
        <w:sectPr w:rsidR="000A5CB7" w:rsidSect="00643AF0">
          <w:headerReference w:type="default" r:id="rId29"/>
          <w:footerReference w:type="default" r:id="rId30"/>
          <w:pgSz w:w="16839" w:h="11907" w:orient="landscape" w:code="9"/>
          <w:pgMar w:top="1440" w:right="1440" w:bottom="1440" w:left="1440" w:header="720" w:footer="720" w:gutter="0"/>
          <w:cols w:space="720"/>
          <w:noEndnote/>
          <w:docGrid w:linePitch="326"/>
        </w:sectPr>
      </w:pPr>
    </w:p>
    <w:p w14:paraId="7C0DC303" w14:textId="77777777" w:rsidR="00FD432C" w:rsidRDefault="00FD432C" w:rsidP="00FD432C">
      <w:pPr>
        <w:pStyle w:val="Heading2"/>
      </w:pPr>
      <w:bookmarkStart w:id="77" w:name="_Toc518377371"/>
      <w:r w:rsidRPr="00FD432C">
        <w:t xml:space="preserve">Assessing and comparing </w:t>
      </w:r>
      <w:r w:rsidR="00B1676B">
        <w:t>CTC scores</w:t>
      </w:r>
      <w:r w:rsidRPr="00FD432C">
        <w:t xml:space="preserve"> that include wealth</w:t>
      </w:r>
      <w:bookmarkEnd w:id="77"/>
    </w:p>
    <w:p w14:paraId="7CAC3B93" w14:textId="3F93699F" w:rsidR="00FD432C" w:rsidRDefault="00FD432C" w:rsidP="00FD432C">
      <w:r w:rsidRPr="00FD432C">
        <w:t xml:space="preserve">There is no ‘ideal’ method for </w:t>
      </w:r>
      <w:r w:rsidR="00B1676B">
        <w:t xml:space="preserve">directly </w:t>
      </w:r>
      <w:r w:rsidRPr="00FD432C">
        <w:t xml:space="preserve">comparing </w:t>
      </w:r>
      <w:r w:rsidR="00B1676B">
        <w:t>the three different CTC scores. This is because the</w:t>
      </w:r>
      <w:r w:rsidRPr="00FD432C">
        <w:t xml:space="preserve"> scores are standardised (</w:t>
      </w:r>
      <w:r w:rsidR="00DD1199">
        <w:t>average</w:t>
      </w:r>
      <w:r w:rsidRPr="00FD432C">
        <w:t xml:space="preserve">=100, </w:t>
      </w:r>
      <w:r w:rsidR="00493AFB">
        <w:t>standard deviation=</w:t>
      </w:r>
      <w:r w:rsidRPr="00FD432C">
        <w:t xml:space="preserve">15), </w:t>
      </w:r>
      <w:r w:rsidR="00B1676B">
        <w:t xml:space="preserve">and are not directly comparable. </w:t>
      </w:r>
      <w:r w:rsidRPr="00FD432C">
        <w:t xml:space="preserve">Rather, a more appropriate approach is to </w:t>
      </w:r>
      <w:r w:rsidR="00971829">
        <w:t xml:space="preserve">examine the change in household CTC rankings </w:t>
      </w:r>
      <w:r w:rsidRPr="00FD432C">
        <w:t>between the three approaches</w:t>
      </w:r>
      <w:r w:rsidR="00971829">
        <w:t>.</w:t>
      </w:r>
      <w:r w:rsidR="00971829">
        <w:rPr>
          <w:rStyle w:val="FootnoteReference"/>
        </w:rPr>
        <w:footnoteReference w:id="11"/>
      </w:r>
    </w:p>
    <w:p w14:paraId="3CFA3385" w14:textId="2110A0B2" w:rsidR="00881C55" w:rsidRDefault="0081675E" w:rsidP="00881C55">
      <w:pPr>
        <w:rPr>
          <w:noProof/>
        </w:rPr>
      </w:pPr>
      <w:r>
        <w:rPr>
          <w:noProof/>
        </w:rPr>
        <w:t xml:space="preserve">The household ranking when reported wealth is used in a CTC score is </w:t>
      </w:r>
      <w:r w:rsidR="00DC5A18">
        <w:rPr>
          <w:noProof/>
        </w:rPr>
        <w:t xml:space="preserve">a median of </w:t>
      </w:r>
      <w:r>
        <w:rPr>
          <w:noProof/>
        </w:rPr>
        <w:t xml:space="preserve">10 places (0.7%) lower than a CTC score excluding reported wealth. </w:t>
      </w:r>
      <w:r w:rsidRPr="00514659">
        <w:rPr>
          <w:noProof/>
        </w:rPr>
        <w:t xml:space="preserve">There are similar </w:t>
      </w:r>
      <w:r>
        <w:rPr>
          <w:noProof/>
        </w:rPr>
        <w:t xml:space="preserve">median </w:t>
      </w:r>
      <w:r w:rsidRPr="00514659">
        <w:rPr>
          <w:noProof/>
        </w:rPr>
        <w:t>movements by school sector, but there is far greater variability amo</w:t>
      </w:r>
      <w:r>
        <w:rPr>
          <w:noProof/>
        </w:rPr>
        <w:t>ng independent school families (average increase in rank of 16 places) than Catholic school families (average reduction in rank of 4 places)</w:t>
      </w:r>
      <w:r w:rsidR="00CD7FB3">
        <w:rPr>
          <w:noProof/>
        </w:rPr>
        <w:t xml:space="preserve"> (see </w:t>
      </w:r>
      <w:r w:rsidR="00CD7FB3">
        <w:rPr>
          <w:noProof/>
        </w:rPr>
        <w:fldChar w:fldCharType="begin"/>
      </w:r>
      <w:r w:rsidR="00CD7FB3">
        <w:rPr>
          <w:noProof/>
        </w:rPr>
        <w:instrText xml:space="preserve"> REF _Ref518394441 \h </w:instrText>
      </w:r>
      <w:r w:rsidR="00CD7FB3">
        <w:rPr>
          <w:noProof/>
        </w:rPr>
      </w:r>
      <w:r w:rsidR="00CD7FB3">
        <w:rPr>
          <w:noProof/>
        </w:rPr>
        <w:fldChar w:fldCharType="separate"/>
      </w:r>
      <w:r w:rsidR="00092E14">
        <w:t xml:space="preserve">Table </w:t>
      </w:r>
      <w:r w:rsidR="00092E14">
        <w:rPr>
          <w:noProof/>
        </w:rPr>
        <w:t>4</w:t>
      </w:r>
      <w:r w:rsidR="00092E14">
        <w:noBreakHyphen/>
      </w:r>
      <w:r w:rsidR="00092E14">
        <w:rPr>
          <w:noProof/>
        </w:rPr>
        <w:t>15</w:t>
      </w:r>
      <w:r w:rsidR="00CD7FB3">
        <w:rPr>
          <w:noProof/>
        </w:rPr>
        <w:fldChar w:fldCharType="end"/>
      </w:r>
      <w:r w:rsidR="00806A04">
        <w:rPr>
          <w:noProof/>
        </w:rPr>
        <w:t xml:space="preserve"> and </w:t>
      </w:r>
      <w:r w:rsidR="00806A04">
        <w:rPr>
          <w:noProof/>
        </w:rPr>
        <w:fldChar w:fldCharType="begin"/>
      </w:r>
      <w:r w:rsidR="00806A04">
        <w:rPr>
          <w:noProof/>
        </w:rPr>
        <w:instrText xml:space="preserve"> REF _Ref518385388 \h </w:instrText>
      </w:r>
      <w:r w:rsidR="00806A04">
        <w:rPr>
          <w:noProof/>
        </w:rPr>
      </w:r>
      <w:r w:rsidR="00806A04">
        <w:rPr>
          <w:noProof/>
        </w:rPr>
        <w:fldChar w:fldCharType="separate"/>
      </w:r>
      <w:r w:rsidR="00092E14">
        <w:t xml:space="preserve">Figure </w:t>
      </w:r>
      <w:r w:rsidR="00092E14">
        <w:rPr>
          <w:noProof/>
        </w:rPr>
        <w:t>4</w:t>
      </w:r>
      <w:r w:rsidR="00092E14">
        <w:noBreakHyphen/>
      </w:r>
      <w:r w:rsidR="00092E14">
        <w:rPr>
          <w:noProof/>
        </w:rPr>
        <w:t>3</w:t>
      </w:r>
      <w:r w:rsidR="00806A04">
        <w:rPr>
          <w:noProof/>
        </w:rPr>
        <w:fldChar w:fldCharType="end"/>
      </w:r>
      <w:r w:rsidR="00CD7FB3">
        <w:rPr>
          <w:noProof/>
        </w:rPr>
        <w:t>)</w:t>
      </w:r>
      <w:r>
        <w:rPr>
          <w:noProof/>
        </w:rPr>
        <w:t xml:space="preserve">. </w:t>
      </w:r>
    </w:p>
    <w:p w14:paraId="0536F731" w14:textId="43C68860" w:rsidR="00806A04" w:rsidRDefault="0081675E" w:rsidP="00881C55">
      <w:pPr>
        <w:rPr>
          <w:noProof/>
        </w:rPr>
      </w:pPr>
      <w:r>
        <w:rPr>
          <w:noProof/>
        </w:rPr>
        <w:t>Among independent school families, 10 per cent moved 136 or more places higher or 72 places or more lowe</w:t>
      </w:r>
      <w:r w:rsidR="00CD7FB3">
        <w:rPr>
          <w:noProof/>
        </w:rPr>
        <w:t>r</w:t>
      </w:r>
      <w:r>
        <w:rPr>
          <w:noProof/>
        </w:rPr>
        <w:t>, compared to 89 places higher or 81 places lower among Catholic school families</w:t>
      </w:r>
      <w:r w:rsidR="00806A04">
        <w:rPr>
          <w:noProof/>
        </w:rPr>
        <w:t xml:space="preserve"> (see </w:t>
      </w:r>
      <w:r w:rsidR="00806A04">
        <w:rPr>
          <w:noProof/>
        </w:rPr>
        <w:fldChar w:fldCharType="begin"/>
      </w:r>
      <w:r w:rsidR="00806A04">
        <w:rPr>
          <w:noProof/>
        </w:rPr>
        <w:instrText xml:space="preserve"> REF _Ref518398448 \h </w:instrText>
      </w:r>
      <w:r w:rsidR="00806A04">
        <w:rPr>
          <w:noProof/>
        </w:rPr>
      </w:r>
      <w:r w:rsidR="00806A04">
        <w:rPr>
          <w:noProof/>
        </w:rPr>
        <w:fldChar w:fldCharType="separate"/>
      </w:r>
      <w:r w:rsidR="00092E14">
        <w:t xml:space="preserve">Figure </w:t>
      </w:r>
      <w:r w:rsidR="00092E14">
        <w:rPr>
          <w:noProof/>
        </w:rPr>
        <w:t>4</w:t>
      </w:r>
      <w:r w:rsidR="00092E14">
        <w:noBreakHyphen/>
      </w:r>
      <w:r w:rsidR="00092E14">
        <w:rPr>
          <w:noProof/>
        </w:rPr>
        <w:t>4</w:t>
      </w:r>
      <w:r w:rsidR="00806A04">
        <w:rPr>
          <w:noProof/>
        </w:rPr>
        <w:fldChar w:fldCharType="end"/>
      </w:r>
      <w:r w:rsidR="00806A04">
        <w:rPr>
          <w:noProof/>
        </w:rPr>
        <w:t>)</w:t>
      </w:r>
      <w:r>
        <w:rPr>
          <w:noProof/>
        </w:rPr>
        <w:t>.</w:t>
      </w:r>
    </w:p>
    <w:p w14:paraId="42656332" w14:textId="5A470CBC" w:rsidR="00881C55" w:rsidRDefault="00881C55" w:rsidP="00881C55">
      <w:r>
        <w:t xml:space="preserve">There </w:t>
      </w:r>
      <w:r w:rsidR="00A5494F">
        <w:t xml:space="preserve">is </w:t>
      </w:r>
      <w:r>
        <w:t>also a long ‘tail’ of households that see an increase in their CTC score</w:t>
      </w:r>
      <w:r w:rsidR="00E72879">
        <w:t xml:space="preserve">, with </w:t>
      </w:r>
      <w:r w:rsidRPr="00FD432C">
        <w:t xml:space="preserve">5 per cent </w:t>
      </w:r>
      <w:r>
        <w:t>of households mov</w:t>
      </w:r>
      <w:r w:rsidR="00E72879">
        <w:t>ing</w:t>
      </w:r>
      <w:r>
        <w:t xml:space="preserve"> </w:t>
      </w:r>
      <w:r w:rsidRPr="00FD432C">
        <w:t xml:space="preserve">between </w:t>
      </w:r>
      <w:r>
        <w:t>182</w:t>
      </w:r>
      <w:r w:rsidRPr="00FD432C">
        <w:t xml:space="preserve"> and 551 positions)</w:t>
      </w:r>
      <w:r>
        <w:t xml:space="preserve"> (see unbroken blue line in </w:t>
      </w:r>
      <w:r>
        <w:fldChar w:fldCharType="begin"/>
      </w:r>
      <w:r>
        <w:instrText xml:space="preserve"> REF _Ref518385388 \h </w:instrText>
      </w:r>
      <w:r>
        <w:fldChar w:fldCharType="separate"/>
      </w:r>
      <w:r w:rsidR="00092E14">
        <w:t xml:space="preserve">Figure </w:t>
      </w:r>
      <w:r w:rsidR="00092E14">
        <w:rPr>
          <w:noProof/>
        </w:rPr>
        <w:t>4</w:t>
      </w:r>
      <w:r w:rsidR="00092E14">
        <w:noBreakHyphen/>
      </w:r>
      <w:r w:rsidR="00092E14">
        <w:rPr>
          <w:noProof/>
        </w:rPr>
        <w:t>3</w:t>
      </w:r>
      <w:r>
        <w:fldChar w:fldCharType="end"/>
      </w:r>
      <w:r>
        <w:t>).</w:t>
      </w:r>
      <w:r w:rsidRPr="00FD432C">
        <w:t xml:space="preserve"> </w:t>
      </w:r>
    </w:p>
    <w:p w14:paraId="20BFB558" w14:textId="2A3E3AEF" w:rsidR="00806A04" w:rsidRDefault="00806A04" w:rsidP="00806A04">
      <w:pPr>
        <w:rPr>
          <w:noProof/>
        </w:rPr>
      </w:pPr>
      <w:r>
        <w:rPr>
          <w:noProof/>
        </w:rPr>
        <w:t xml:space="preserve">Analysis of </w:t>
      </w:r>
      <w:r w:rsidR="002053C0">
        <w:rPr>
          <w:noProof/>
        </w:rPr>
        <w:t xml:space="preserve">data on </w:t>
      </w:r>
      <w:r w:rsidR="001374D4">
        <w:rPr>
          <w:noProof/>
        </w:rPr>
        <w:t xml:space="preserve">households </w:t>
      </w:r>
      <w:r w:rsidR="00957888">
        <w:rPr>
          <w:noProof/>
        </w:rPr>
        <w:t>expe</w:t>
      </w:r>
      <w:r w:rsidR="00E320C5">
        <w:rPr>
          <w:noProof/>
        </w:rPr>
        <w:t>r</w:t>
      </w:r>
      <w:r w:rsidR="00957888">
        <w:rPr>
          <w:noProof/>
        </w:rPr>
        <w:t>ienc</w:t>
      </w:r>
      <w:r w:rsidR="00493AFB">
        <w:rPr>
          <w:noProof/>
        </w:rPr>
        <w:t>ing</w:t>
      </w:r>
      <w:r w:rsidR="00E63F55">
        <w:rPr>
          <w:noProof/>
        </w:rPr>
        <w:t xml:space="preserve"> </w:t>
      </w:r>
      <w:r w:rsidR="001374D4">
        <w:rPr>
          <w:noProof/>
        </w:rPr>
        <w:t>a material change in CTC rank</w:t>
      </w:r>
      <w:r w:rsidR="00957888">
        <w:rPr>
          <w:noProof/>
        </w:rPr>
        <w:t>,</w:t>
      </w:r>
      <w:r w:rsidR="001374D4">
        <w:rPr>
          <w:noProof/>
        </w:rPr>
        <w:t xml:space="preserve"> following int</w:t>
      </w:r>
      <w:r w:rsidR="00104964">
        <w:rPr>
          <w:noProof/>
        </w:rPr>
        <w:t>r</w:t>
      </w:r>
      <w:r w:rsidR="001374D4">
        <w:rPr>
          <w:noProof/>
        </w:rPr>
        <w:t xml:space="preserve">oduction of reported wealth into the CTC score, provides little guidance </w:t>
      </w:r>
      <w:r w:rsidR="00D903C8">
        <w:rPr>
          <w:noProof/>
        </w:rPr>
        <w:t xml:space="preserve">on the implications of this analysis for school funding (see </w:t>
      </w:r>
      <w:r w:rsidR="00D903C8">
        <w:rPr>
          <w:noProof/>
        </w:rPr>
        <w:fldChar w:fldCharType="begin"/>
      </w:r>
      <w:r w:rsidR="00D903C8">
        <w:rPr>
          <w:noProof/>
        </w:rPr>
        <w:instrText xml:space="preserve"> REF _Ref518399199 \h </w:instrText>
      </w:r>
      <w:r w:rsidR="00D903C8">
        <w:rPr>
          <w:noProof/>
        </w:rPr>
      </w:r>
      <w:r w:rsidR="00D903C8">
        <w:rPr>
          <w:noProof/>
        </w:rPr>
        <w:fldChar w:fldCharType="separate"/>
      </w:r>
      <w:r w:rsidR="00092E14">
        <w:t xml:space="preserve">Figure </w:t>
      </w:r>
      <w:r w:rsidR="00092E14">
        <w:rPr>
          <w:noProof/>
        </w:rPr>
        <w:t>4</w:t>
      </w:r>
      <w:r w:rsidR="00092E14">
        <w:noBreakHyphen/>
      </w:r>
      <w:r w:rsidR="00092E14">
        <w:rPr>
          <w:noProof/>
        </w:rPr>
        <w:t>5</w:t>
      </w:r>
      <w:r w:rsidR="00D903C8">
        <w:rPr>
          <w:noProof/>
        </w:rPr>
        <w:fldChar w:fldCharType="end"/>
      </w:r>
      <w:r w:rsidR="00D903C8">
        <w:rPr>
          <w:noProof/>
        </w:rPr>
        <w:t>). This is because signficant upward and downward changes in household CTC ranking</w:t>
      </w:r>
      <w:r w:rsidR="00957888">
        <w:rPr>
          <w:noProof/>
        </w:rPr>
        <w:t>,</w:t>
      </w:r>
      <w:r w:rsidR="00D903C8">
        <w:rPr>
          <w:noProof/>
        </w:rPr>
        <w:t xml:space="preserve"> when reported wealth is used in the CTC score, occur at all </w:t>
      </w:r>
      <w:r w:rsidR="00FF7BF1">
        <w:rPr>
          <w:noProof/>
        </w:rPr>
        <w:t xml:space="preserve">ranks of the </w:t>
      </w:r>
      <w:r w:rsidR="00D903C8">
        <w:rPr>
          <w:noProof/>
        </w:rPr>
        <w:t>CTC score</w:t>
      </w:r>
      <w:r w:rsidR="00957888">
        <w:rPr>
          <w:noProof/>
        </w:rPr>
        <w:t xml:space="preserve">, </w:t>
      </w:r>
      <w:r w:rsidR="00D903C8">
        <w:rPr>
          <w:noProof/>
        </w:rPr>
        <w:t>whe</w:t>
      </w:r>
      <w:r w:rsidR="00FF7BF1">
        <w:rPr>
          <w:noProof/>
        </w:rPr>
        <w:t>re</w:t>
      </w:r>
      <w:r w:rsidR="00D903C8">
        <w:rPr>
          <w:noProof/>
        </w:rPr>
        <w:t xml:space="preserve"> wealth is excluded.</w:t>
      </w:r>
      <w:r w:rsidR="00E63F55">
        <w:rPr>
          <w:noProof/>
        </w:rPr>
        <w:t xml:space="preserve"> </w:t>
      </w:r>
    </w:p>
    <w:p w14:paraId="64107C63" w14:textId="2C42C7B4" w:rsidR="0081675E" w:rsidRDefault="0081675E" w:rsidP="0081675E">
      <w:r w:rsidRPr="00FD432C">
        <w:t xml:space="preserve">Inclusion of the proxy wealth </w:t>
      </w:r>
      <w:r>
        <w:t>score</w:t>
      </w:r>
      <w:r w:rsidRPr="00FD432C">
        <w:t xml:space="preserve"> </w:t>
      </w:r>
      <w:r w:rsidR="00881C55">
        <w:t>results in</w:t>
      </w:r>
      <w:r w:rsidRPr="00FD432C">
        <w:t xml:space="preserve"> much less variability in </w:t>
      </w:r>
      <w:r w:rsidR="00E22A0B">
        <w:t xml:space="preserve">the </w:t>
      </w:r>
      <w:r w:rsidRPr="00FD432C">
        <w:t xml:space="preserve">change </w:t>
      </w:r>
      <w:r w:rsidR="00E22A0B">
        <w:t xml:space="preserve">in rank between sectors </w:t>
      </w:r>
      <w:r w:rsidRPr="00FD432C">
        <w:t>(median = 1</w:t>
      </w:r>
      <w:r>
        <w:t>7 positions up</w:t>
      </w:r>
      <w:r w:rsidR="00881C55">
        <w:t>; average = 2 positions up</w:t>
      </w:r>
      <w:r w:rsidRPr="00FD432C">
        <w:t xml:space="preserve">), </w:t>
      </w:r>
      <w:r>
        <w:t>reflecting the earlier findings that the proxy wealth score i</w:t>
      </w:r>
      <w:r w:rsidRPr="00FD432C">
        <w:t xml:space="preserve">s less discriminating than reported wealth. </w:t>
      </w:r>
    </w:p>
    <w:p w14:paraId="10D14A6E" w14:textId="10B7EC42" w:rsidR="00881C55" w:rsidRDefault="00881C55" w:rsidP="00881C55">
      <w:pPr>
        <w:pStyle w:val="Caption"/>
      </w:pPr>
      <w:bookmarkStart w:id="78" w:name="_Ref518394441"/>
      <w:bookmarkStart w:id="79" w:name="_Toc518645986"/>
      <w:r>
        <w:t xml:space="preserve">Table </w:t>
      </w:r>
      <w:r w:rsidR="00FF7BF1">
        <w:rPr>
          <w:noProof/>
        </w:rPr>
        <w:fldChar w:fldCharType="begin"/>
      </w:r>
      <w:r w:rsidR="00FF7BF1">
        <w:rPr>
          <w:noProof/>
        </w:rPr>
        <w:instrText xml:space="preserve"> STYLEREF 1 \s </w:instrText>
      </w:r>
      <w:r w:rsidR="00FF7BF1">
        <w:rPr>
          <w:noProof/>
        </w:rPr>
        <w:fldChar w:fldCharType="separate"/>
      </w:r>
      <w:r w:rsidR="00092E14">
        <w:rPr>
          <w:noProof/>
        </w:rPr>
        <w:t>4</w:t>
      </w:r>
      <w:r w:rsidR="00FF7BF1">
        <w:rPr>
          <w:noProof/>
        </w:rPr>
        <w:fldChar w:fldCharType="end"/>
      </w:r>
      <w:r>
        <w:noBreakHyphen/>
      </w:r>
      <w:r w:rsidR="00FF7BF1">
        <w:rPr>
          <w:noProof/>
        </w:rPr>
        <w:fldChar w:fldCharType="begin"/>
      </w:r>
      <w:r w:rsidR="00FF7BF1">
        <w:rPr>
          <w:noProof/>
        </w:rPr>
        <w:instrText xml:space="preserve"> SEQ Table \* ARABIC \s 1 </w:instrText>
      </w:r>
      <w:r w:rsidR="00FF7BF1">
        <w:rPr>
          <w:noProof/>
        </w:rPr>
        <w:fldChar w:fldCharType="separate"/>
      </w:r>
      <w:r w:rsidR="00092E14">
        <w:rPr>
          <w:noProof/>
        </w:rPr>
        <w:t>15</w:t>
      </w:r>
      <w:r w:rsidR="00FF7BF1">
        <w:rPr>
          <w:noProof/>
        </w:rPr>
        <w:fldChar w:fldCharType="end"/>
      </w:r>
      <w:bookmarkEnd w:id="78"/>
      <w:r>
        <w:t xml:space="preserve">: </w:t>
      </w:r>
      <w:r w:rsidRPr="00B1676B">
        <w:t xml:space="preserve">Change in household CTC rank </w:t>
      </w:r>
      <w:r>
        <w:t xml:space="preserve">with inclusion of </w:t>
      </w:r>
      <w:r w:rsidRPr="00B1676B">
        <w:t>wealth</w:t>
      </w:r>
      <w:r>
        <w:t>-</w:t>
      </w:r>
      <w:r w:rsidRPr="00B1676B">
        <w:t>school sectors</w:t>
      </w:r>
      <w:bookmarkEnd w:id="79"/>
    </w:p>
    <w:tbl>
      <w:tblPr>
        <w:tblStyle w:val="TableGrid"/>
        <w:tblW w:w="9072" w:type="dxa"/>
        <w:tblLook w:val="04A0" w:firstRow="1" w:lastRow="0" w:firstColumn="1" w:lastColumn="0" w:noHBand="0" w:noVBand="1"/>
        <w:tblCaption w:val="Change in household CTC rank with inclusion of wealth-school sectors"/>
        <w:tblDescription w:val="This is a table showing the change in rank with reproted wealth and proxy wealth for independent and Catholic sectors, as well as these sectors combined. There is signficant upward and downward changes in household CTC ranking, when reported wealth is used in the CTC score, occur at all ranks of the CTC score, where wealth is excluded"/>
      </w:tblPr>
      <w:tblGrid>
        <w:gridCol w:w="1537"/>
        <w:gridCol w:w="1255"/>
        <w:gridCol w:w="1256"/>
        <w:gridCol w:w="1256"/>
        <w:gridCol w:w="1256"/>
        <w:gridCol w:w="1256"/>
        <w:gridCol w:w="1256"/>
      </w:tblGrid>
      <w:tr w:rsidR="00881C55" w14:paraId="0B01BB8C" w14:textId="0571ED8E" w:rsidTr="00CA20D1">
        <w:trPr>
          <w:cnfStyle w:val="100000000000" w:firstRow="1" w:lastRow="0" w:firstColumn="0" w:lastColumn="0" w:oddVBand="0" w:evenVBand="0" w:oddHBand="0" w:evenHBand="0" w:firstRowFirstColumn="0" w:firstRowLastColumn="0" w:lastRowFirstColumn="0" w:lastRowLastColumn="0"/>
          <w:tblHeader/>
        </w:trPr>
        <w:tc>
          <w:tcPr>
            <w:tcW w:w="1537" w:type="dxa"/>
          </w:tcPr>
          <w:p w14:paraId="48210F7D" w14:textId="77777777" w:rsidR="00881C55" w:rsidRDefault="00881C55" w:rsidP="00B63636">
            <w:pPr>
              <w:pStyle w:val="Tablegridheading"/>
            </w:pPr>
            <w:r>
              <w:t>School sector</w:t>
            </w:r>
          </w:p>
        </w:tc>
        <w:tc>
          <w:tcPr>
            <w:tcW w:w="3767" w:type="dxa"/>
            <w:gridSpan w:val="3"/>
          </w:tcPr>
          <w:p w14:paraId="5E01ED84" w14:textId="15AD74D9" w:rsidR="00881C55" w:rsidRDefault="00881C55" w:rsidP="00881C55">
            <w:pPr>
              <w:pStyle w:val="Tablegridheading"/>
              <w:jc w:val="center"/>
            </w:pPr>
            <w:r>
              <w:t xml:space="preserve">Change in rank: </w:t>
            </w:r>
            <w:r w:rsidR="00560165">
              <w:t>R</w:t>
            </w:r>
            <w:r>
              <w:t>eported wealth</w:t>
            </w:r>
          </w:p>
        </w:tc>
        <w:tc>
          <w:tcPr>
            <w:tcW w:w="3768" w:type="dxa"/>
            <w:gridSpan w:val="3"/>
          </w:tcPr>
          <w:p w14:paraId="63AB7E66" w14:textId="3A685FC1" w:rsidR="00881C55" w:rsidRDefault="00881C55" w:rsidP="00881C55">
            <w:pPr>
              <w:pStyle w:val="Tablegridheading"/>
              <w:jc w:val="center"/>
            </w:pPr>
            <w:r>
              <w:t xml:space="preserve">Change in rank: </w:t>
            </w:r>
            <w:r w:rsidR="00560165">
              <w:t>P</w:t>
            </w:r>
            <w:r>
              <w:t>roxy wealth</w:t>
            </w:r>
          </w:p>
        </w:tc>
      </w:tr>
      <w:tr w:rsidR="00881C55" w14:paraId="24F3364B" w14:textId="77777777" w:rsidTr="00B63636">
        <w:tc>
          <w:tcPr>
            <w:tcW w:w="1537" w:type="dxa"/>
          </w:tcPr>
          <w:p w14:paraId="4D055C47" w14:textId="77777777" w:rsidR="00881C55" w:rsidRDefault="00881C55" w:rsidP="00881C55">
            <w:pPr>
              <w:pStyle w:val="Tablegridheading2"/>
            </w:pPr>
          </w:p>
        </w:tc>
        <w:tc>
          <w:tcPr>
            <w:tcW w:w="1255" w:type="dxa"/>
          </w:tcPr>
          <w:p w14:paraId="61B1E3C9" w14:textId="02C39A6A" w:rsidR="00881C55" w:rsidRDefault="00881C55" w:rsidP="00881C55">
            <w:pPr>
              <w:pStyle w:val="Tablegridheading2"/>
            </w:pPr>
            <w:r>
              <w:t>Median</w:t>
            </w:r>
          </w:p>
        </w:tc>
        <w:tc>
          <w:tcPr>
            <w:tcW w:w="1256" w:type="dxa"/>
          </w:tcPr>
          <w:p w14:paraId="007C879D" w14:textId="2507831D" w:rsidR="00881C55" w:rsidRDefault="00881C55" w:rsidP="00881C55">
            <w:pPr>
              <w:pStyle w:val="Tablegridheading2"/>
            </w:pPr>
            <w:r>
              <w:t>Average</w:t>
            </w:r>
          </w:p>
        </w:tc>
        <w:tc>
          <w:tcPr>
            <w:tcW w:w="1256" w:type="dxa"/>
          </w:tcPr>
          <w:p w14:paraId="446B5399" w14:textId="155ACF37" w:rsidR="00881C55" w:rsidRDefault="00881C55" w:rsidP="00881C55">
            <w:pPr>
              <w:pStyle w:val="Tablegridheading2"/>
            </w:pPr>
            <w:r>
              <w:t>S.E.</w:t>
            </w:r>
          </w:p>
        </w:tc>
        <w:tc>
          <w:tcPr>
            <w:tcW w:w="1256" w:type="dxa"/>
          </w:tcPr>
          <w:p w14:paraId="6472EBF3" w14:textId="2305C0BF" w:rsidR="00881C55" w:rsidRDefault="00881C55" w:rsidP="00881C55">
            <w:pPr>
              <w:pStyle w:val="Tablegridheading2"/>
            </w:pPr>
            <w:r>
              <w:t>Median</w:t>
            </w:r>
          </w:p>
        </w:tc>
        <w:tc>
          <w:tcPr>
            <w:tcW w:w="1256" w:type="dxa"/>
          </w:tcPr>
          <w:p w14:paraId="27D2A6A4" w14:textId="2EC02C44" w:rsidR="00881C55" w:rsidRDefault="00881C55" w:rsidP="00881C55">
            <w:pPr>
              <w:pStyle w:val="Tablegridheading2"/>
            </w:pPr>
            <w:r>
              <w:t>Average</w:t>
            </w:r>
          </w:p>
        </w:tc>
        <w:tc>
          <w:tcPr>
            <w:tcW w:w="1256" w:type="dxa"/>
          </w:tcPr>
          <w:p w14:paraId="574FA17E" w14:textId="1D6EEE1E" w:rsidR="00881C55" w:rsidRDefault="00881C55" w:rsidP="00881C55">
            <w:pPr>
              <w:pStyle w:val="Tablegridheading2"/>
            </w:pPr>
            <w:r>
              <w:t>S.E.</w:t>
            </w:r>
          </w:p>
        </w:tc>
      </w:tr>
      <w:tr w:rsidR="00881C55" w14:paraId="281B9401" w14:textId="451CFB07" w:rsidTr="00881C55">
        <w:tc>
          <w:tcPr>
            <w:tcW w:w="1537" w:type="dxa"/>
          </w:tcPr>
          <w:p w14:paraId="5C848E20" w14:textId="77777777" w:rsidR="00881C55" w:rsidRDefault="00881C55" w:rsidP="00881C55">
            <w:pPr>
              <w:pStyle w:val="Tablegridtext"/>
            </w:pPr>
            <w:r>
              <w:t>Catholic</w:t>
            </w:r>
          </w:p>
        </w:tc>
        <w:tc>
          <w:tcPr>
            <w:tcW w:w="1255" w:type="dxa"/>
          </w:tcPr>
          <w:p w14:paraId="644D382A" w14:textId="3DA7EB57" w:rsidR="00881C55" w:rsidRDefault="00881C55" w:rsidP="00881C55">
            <w:pPr>
              <w:pStyle w:val="Tablegridtext"/>
            </w:pPr>
            <w:r>
              <w:t xml:space="preserve">15 </w:t>
            </w:r>
            <w:r>
              <w:sym w:font="Wingdings" w:char="F0E2"/>
            </w:r>
          </w:p>
        </w:tc>
        <w:tc>
          <w:tcPr>
            <w:tcW w:w="1256" w:type="dxa"/>
            <w:vAlign w:val="top"/>
          </w:tcPr>
          <w:p w14:paraId="01709B99" w14:textId="476323C5" w:rsidR="00881C55" w:rsidRPr="001B41FB" w:rsidRDefault="00881C55" w:rsidP="00881C55">
            <w:pPr>
              <w:pStyle w:val="Tablegridtext"/>
            </w:pPr>
            <w:r>
              <w:t xml:space="preserve">4 </w:t>
            </w:r>
            <w:r>
              <w:sym w:font="Wingdings" w:char="F0E2"/>
            </w:r>
          </w:p>
        </w:tc>
        <w:tc>
          <w:tcPr>
            <w:tcW w:w="1256" w:type="dxa"/>
            <w:vAlign w:val="top"/>
          </w:tcPr>
          <w:p w14:paraId="580DE51E" w14:textId="77777777" w:rsidR="00881C55" w:rsidRDefault="00881C55" w:rsidP="00881C55">
            <w:pPr>
              <w:pStyle w:val="Tablegridtext"/>
            </w:pPr>
            <w:r>
              <w:t>3.4</w:t>
            </w:r>
          </w:p>
        </w:tc>
        <w:tc>
          <w:tcPr>
            <w:tcW w:w="1256" w:type="dxa"/>
          </w:tcPr>
          <w:p w14:paraId="03D70B92" w14:textId="443247E8" w:rsidR="00881C55" w:rsidRDefault="00881C55" w:rsidP="00881C55">
            <w:pPr>
              <w:pStyle w:val="Tablegridtext"/>
            </w:pPr>
            <w:r>
              <w:t xml:space="preserve">16 </w:t>
            </w:r>
            <w:r>
              <w:sym w:font="Wingdings" w:char="F0E1"/>
            </w:r>
          </w:p>
        </w:tc>
        <w:tc>
          <w:tcPr>
            <w:tcW w:w="1256" w:type="dxa"/>
          </w:tcPr>
          <w:p w14:paraId="6BE39336" w14:textId="2CEADC23" w:rsidR="00881C55" w:rsidRDefault="00881C55" w:rsidP="00881C55">
            <w:pPr>
              <w:pStyle w:val="Tablegridtext"/>
            </w:pPr>
            <w:r>
              <w:t xml:space="preserve">3 </w:t>
            </w:r>
            <w:r>
              <w:sym w:font="Wingdings" w:char="F0E1"/>
            </w:r>
          </w:p>
        </w:tc>
        <w:tc>
          <w:tcPr>
            <w:tcW w:w="1256" w:type="dxa"/>
          </w:tcPr>
          <w:p w14:paraId="79CE2C19" w14:textId="6B937EB7" w:rsidR="00881C55" w:rsidRDefault="00881C55" w:rsidP="00881C55">
            <w:pPr>
              <w:pStyle w:val="Tablegridtext"/>
            </w:pPr>
            <w:r>
              <w:t>3</w:t>
            </w:r>
          </w:p>
        </w:tc>
      </w:tr>
      <w:tr w:rsidR="00881C55" w14:paraId="0851CA9F" w14:textId="757EBC1B" w:rsidTr="00881C55">
        <w:tc>
          <w:tcPr>
            <w:tcW w:w="1537" w:type="dxa"/>
          </w:tcPr>
          <w:p w14:paraId="4509C314" w14:textId="77777777" w:rsidR="00881C55" w:rsidRDefault="00881C55" w:rsidP="00881C55">
            <w:pPr>
              <w:pStyle w:val="Tablegridtext"/>
            </w:pPr>
            <w:r>
              <w:t>Independent</w:t>
            </w:r>
          </w:p>
        </w:tc>
        <w:tc>
          <w:tcPr>
            <w:tcW w:w="1255" w:type="dxa"/>
          </w:tcPr>
          <w:p w14:paraId="228DB281" w14:textId="6DFC2BAA" w:rsidR="00881C55" w:rsidRDefault="00881C55" w:rsidP="00881C55">
            <w:pPr>
              <w:pStyle w:val="Tablegridtext"/>
            </w:pPr>
            <w:r>
              <w:t xml:space="preserve">3 </w:t>
            </w:r>
            <w:r>
              <w:sym w:font="Wingdings" w:char="F0E2"/>
            </w:r>
          </w:p>
        </w:tc>
        <w:tc>
          <w:tcPr>
            <w:tcW w:w="1256" w:type="dxa"/>
            <w:vAlign w:val="top"/>
          </w:tcPr>
          <w:p w14:paraId="3105C958" w14:textId="41601A01" w:rsidR="00881C55" w:rsidRPr="009C59F3" w:rsidRDefault="00881C55" w:rsidP="00881C55">
            <w:pPr>
              <w:pStyle w:val="Tablegridtext"/>
            </w:pPr>
            <w:r>
              <w:t xml:space="preserve">16 </w:t>
            </w:r>
            <w:r>
              <w:sym w:font="Wingdings" w:char="F0E1"/>
            </w:r>
          </w:p>
        </w:tc>
        <w:tc>
          <w:tcPr>
            <w:tcW w:w="1256" w:type="dxa"/>
            <w:vAlign w:val="top"/>
          </w:tcPr>
          <w:p w14:paraId="4609FD93" w14:textId="77777777" w:rsidR="00881C55" w:rsidRDefault="00881C55" w:rsidP="00881C55">
            <w:pPr>
              <w:pStyle w:val="Tablegridtext"/>
            </w:pPr>
            <w:r>
              <w:t>5.4</w:t>
            </w:r>
          </w:p>
        </w:tc>
        <w:tc>
          <w:tcPr>
            <w:tcW w:w="1256" w:type="dxa"/>
          </w:tcPr>
          <w:p w14:paraId="1A034FEC" w14:textId="76B0A5CA" w:rsidR="00881C55" w:rsidRDefault="00881C55" w:rsidP="00881C55">
            <w:pPr>
              <w:pStyle w:val="Tablegridtext"/>
            </w:pPr>
            <w:r>
              <w:t xml:space="preserve">17 </w:t>
            </w:r>
            <w:r>
              <w:sym w:font="Wingdings" w:char="F0E1"/>
            </w:r>
          </w:p>
        </w:tc>
        <w:tc>
          <w:tcPr>
            <w:tcW w:w="1256" w:type="dxa"/>
          </w:tcPr>
          <w:p w14:paraId="0C1DCACF" w14:textId="18D30A51" w:rsidR="00881C55" w:rsidRDefault="00881C55" w:rsidP="00881C55">
            <w:pPr>
              <w:pStyle w:val="Tablegridtext"/>
            </w:pPr>
            <w:r>
              <w:t xml:space="preserve">1 </w:t>
            </w:r>
            <w:r>
              <w:sym w:font="Wingdings" w:char="F0E1"/>
            </w:r>
          </w:p>
        </w:tc>
        <w:tc>
          <w:tcPr>
            <w:tcW w:w="1256" w:type="dxa"/>
          </w:tcPr>
          <w:p w14:paraId="2D8DDFA7" w14:textId="47B4071F" w:rsidR="00881C55" w:rsidRDefault="00881C55" w:rsidP="00881C55">
            <w:pPr>
              <w:pStyle w:val="Tablegridtext"/>
            </w:pPr>
            <w:r>
              <w:t>3</w:t>
            </w:r>
          </w:p>
        </w:tc>
      </w:tr>
      <w:tr w:rsidR="00881C55" w14:paraId="3FBD1DF0" w14:textId="36C9D293" w:rsidTr="00881C55">
        <w:tc>
          <w:tcPr>
            <w:tcW w:w="1537" w:type="dxa"/>
          </w:tcPr>
          <w:p w14:paraId="44D6DD8C" w14:textId="77777777" w:rsidR="00881C55" w:rsidRDefault="00881C55" w:rsidP="00B63636">
            <w:pPr>
              <w:pStyle w:val="Tablegridtext"/>
            </w:pPr>
            <w:r>
              <w:t>Both</w:t>
            </w:r>
          </w:p>
        </w:tc>
        <w:tc>
          <w:tcPr>
            <w:tcW w:w="1255" w:type="dxa"/>
          </w:tcPr>
          <w:p w14:paraId="01FE2F03" w14:textId="7E240866" w:rsidR="00881C55" w:rsidRDefault="00881C55" w:rsidP="00B63636">
            <w:pPr>
              <w:pStyle w:val="Tablegridtext"/>
            </w:pPr>
            <w:r>
              <w:t xml:space="preserve">10 </w:t>
            </w:r>
            <w:r>
              <w:sym w:font="Wingdings" w:char="F0E2"/>
            </w:r>
          </w:p>
        </w:tc>
        <w:tc>
          <w:tcPr>
            <w:tcW w:w="1256" w:type="dxa"/>
            <w:vAlign w:val="top"/>
          </w:tcPr>
          <w:p w14:paraId="0F5E2FD4" w14:textId="1ED25F3F" w:rsidR="00881C55" w:rsidRPr="00112FC8" w:rsidRDefault="00881C55" w:rsidP="00B63636">
            <w:pPr>
              <w:pStyle w:val="Tablegridtext"/>
            </w:pPr>
            <w:r>
              <w:t xml:space="preserve">5 </w:t>
            </w:r>
            <w:r>
              <w:sym w:font="Wingdings" w:char="F0E1"/>
            </w:r>
          </w:p>
        </w:tc>
        <w:tc>
          <w:tcPr>
            <w:tcW w:w="1256" w:type="dxa"/>
            <w:vAlign w:val="top"/>
          </w:tcPr>
          <w:p w14:paraId="2B5D922A" w14:textId="77777777" w:rsidR="00881C55" w:rsidRDefault="00881C55" w:rsidP="00B63636">
            <w:pPr>
              <w:pStyle w:val="Tablegridtext"/>
            </w:pPr>
            <w:r>
              <w:t>5</w:t>
            </w:r>
          </w:p>
        </w:tc>
        <w:tc>
          <w:tcPr>
            <w:tcW w:w="1256" w:type="dxa"/>
          </w:tcPr>
          <w:p w14:paraId="77A0211F" w14:textId="3133E431" w:rsidR="00881C55" w:rsidRDefault="00881C55" w:rsidP="00B63636">
            <w:pPr>
              <w:pStyle w:val="Tablegridtext"/>
            </w:pPr>
            <w:r>
              <w:t xml:space="preserve">17 </w:t>
            </w:r>
            <w:r>
              <w:sym w:font="Wingdings" w:char="F0E1"/>
            </w:r>
          </w:p>
        </w:tc>
        <w:tc>
          <w:tcPr>
            <w:tcW w:w="1256" w:type="dxa"/>
          </w:tcPr>
          <w:p w14:paraId="5523ACA7" w14:textId="60CDF9C6" w:rsidR="00881C55" w:rsidRDefault="00881C55" w:rsidP="00B63636">
            <w:pPr>
              <w:pStyle w:val="Tablegridtext"/>
            </w:pPr>
            <w:r>
              <w:t xml:space="preserve">2 </w:t>
            </w:r>
            <w:r>
              <w:sym w:font="Wingdings" w:char="F0E1"/>
            </w:r>
          </w:p>
        </w:tc>
        <w:tc>
          <w:tcPr>
            <w:tcW w:w="1256" w:type="dxa"/>
          </w:tcPr>
          <w:p w14:paraId="1CF51850" w14:textId="58F41AFD" w:rsidR="00881C55" w:rsidRDefault="00881C55" w:rsidP="00B63636">
            <w:pPr>
              <w:pStyle w:val="Tablegridtext"/>
            </w:pPr>
            <w:r>
              <w:t>2</w:t>
            </w:r>
          </w:p>
        </w:tc>
      </w:tr>
    </w:tbl>
    <w:p w14:paraId="1D3D9BA3" w14:textId="7ABB49C5" w:rsidR="00DC5A18" w:rsidRDefault="00DC5A18" w:rsidP="00DC5A18">
      <w:pPr>
        <w:pStyle w:val="Datasource"/>
        <w:spacing w:after="0"/>
      </w:pPr>
      <w:r>
        <w:t xml:space="preserve">Note: The change is rank is from the ranks in a CTC score omitting wealth. </w:t>
      </w:r>
    </w:p>
    <w:p w14:paraId="27CD27F5" w14:textId="7B3E39D5" w:rsidR="00881C55" w:rsidRDefault="00881C55" w:rsidP="00D903C8">
      <w:pPr>
        <w:pStyle w:val="Datasource"/>
      </w:pPr>
      <w:r>
        <w:t>Source:</w:t>
      </w:r>
      <w:r w:rsidR="002053C0">
        <w:t xml:space="preserve"> Analysis of </w:t>
      </w:r>
      <w:r w:rsidR="00B83B99">
        <w:rPr>
          <w:noProof/>
        </w:rPr>
        <w:t xml:space="preserve">ABS </w:t>
      </w:r>
      <w:sdt>
        <w:sdtPr>
          <w:rPr>
            <w:noProof/>
          </w:rPr>
          <w:id w:val="-255511752"/>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 xml:space="preserve">. </w:t>
      </w:r>
      <w:r>
        <w:t xml:space="preserve">Jackknife replication incorporating all survey data (17,768 observations) was used to estimate standard errors. </w:t>
      </w:r>
    </w:p>
    <w:p w14:paraId="7A34B2A0" w14:textId="53097B5B" w:rsidR="00FD432C" w:rsidRDefault="00FD432C" w:rsidP="00FD432C">
      <w:pPr>
        <w:pStyle w:val="Caption"/>
      </w:pPr>
      <w:bookmarkStart w:id="80" w:name="_Ref518385388"/>
      <w:bookmarkStart w:id="81" w:name="_Toc518645991"/>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4</w:t>
      </w:r>
      <w:r w:rsidR="00FF7BF1">
        <w:rPr>
          <w:noProof/>
        </w:rPr>
        <w:fldChar w:fldCharType="end"/>
      </w:r>
      <w:r w:rsidR="00806A04">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3</w:t>
      </w:r>
      <w:r w:rsidR="00FF7BF1">
        <w:rPr>
          <w:noProof/>
        </w:rPr>
        <w:fldChar w:fldCharType="end"/>
      </w:r>
      <w:bookmarkEnd w:id="80"/>
      <w:r>
        <w:t xml:space="preserve">: </w:t>
      </w:r>
      <w:r w:rsidRPr="00FD432C">
        <w:t>Change in household CTC rank based on wealth inclusion</w:t>
      </w:r>
      <w:bookmarkEnd w:id="81"/>
    </w:p>
    <w:p w14:paraId="52B5A3A7" w14:textId="72B49926" w:rsidR="00971829" w:rsidRDefault="00806A04" w:rsidP="00971829">
      <w:pPr>
        <w:pStyle w:val="Datasource"/>
        <w:spacing w:after="0"/>
        <w:jc w:val="center"/>
      </w:pPr>
      <w:r>
        <w:rPr>
          <w:noProof/>
          <w:lang w:eastAsia="en-AU"/>
        </w:rPr>
        <w:drawing>
          <wp:inline distT="0" distB="0" distL="0" distR="0" wp14:anchorId="0ACA040E" wp14:editId="089EB739">
            <wp:extent cx="5220000" cy="3795574"/>
            <wp:effectExtent l="0" t="0" r="0" b="0"/>
            <wp:docPr id="20" name="Picture 20" descr="This is a chart showing the change in CTC rank compated with wealth in the CTC score. &#10;When none to proxy is used, this has the highest variabliity, with reported to proxy having the least amount of variability." title="Change in household CTC rank based on wealth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20000" cy="3795574"/>
                    </a:xfrm>
                    <a:prstGeom prst="rect">
                      <a:avLst/>
                    </a:prstGeom>
                    <a:noFill/>
                    <a:ln>
                      <a:noFill/>
                    </a:ln>
                  </pic:spPr>
                </pic:pic>
              </a:graphicData>
            </a:graphic>
          </wp:inline>
        </w:drawing>
      </w:r>
    </w:p>
    <w:p w14:paraId="3B43BC82" w14:textId="023D37BA" w:rsidR="002053C0" w:rsidRPr="00643AF0" w:rsidRDefault="002053C0" w:rsidP="002053C0">
      <w:pPr>
        <w:pStyle w:val="Datasource"/>
        <w:spacing w:after="120"/>
      </w:pPr>
      <w:bookmarkStart w:id="82" w:name="_Ref518398448"/>
      <w:r>
        <w:t xml:space="preserve">Source: Analysis of </w:t>
      </w:r>
      <w:r w:rsidR="00B83B99">
        <w:rPr>
          <w:noProof/>
        </w:rPr>
        <w:t xml:space="preserve">ABS </w:t>
      </w:r>
      <w:sdt>
        <w:sdtPr>
          <w:rPr>
            <w:noProof/>
          </w:rPr>
          <w:id w:val="-435980815"/>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2129004D" w14:textId="230D9CC3" w:rsidR="00B1676B" w:rsidRDefault="00B1676B" w:rsidP="00B1676B">
      <w:pPr>
        <w:pStyle w:val="Caption"/>
      </w:pPr>
      <w:bookmarkStart w:id="83" w:name="_Toc518645992"/>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4</w:t>
      </w:r>
      <w:r w:rsidR="00FF7BF1">
        <w:rPr>
          <w:noProof/>
        </w:rPr>
        <w:fldChar w:fldCharType="end"/>
      </w:r>
      <w:r w:rsidR="00806A04">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4</w:t>
      </w:r>
      <w:r w:rsidR="00FF7BF1">
        <w:rPr>
          <w:noProof/>
        </w:rPr>
        <w:fldChar w:fldCharType="end"/>
      </w:r>
      <w:bookmarkEnd w:id="82"/>
      <w:r>
        <w:t xml:space="preserve">: </w:t>
      </w:r>
      <w:r w:rsidRPr="00B1676B">
        <w:t xml:space="preserve">Change in household CTC rank </w:t>
      </w:r>
      <w:r>
        <w:t>with inclusion of reported</w:t>
      </w:r>
      <w:r w:rsidRPr="00B1676B">
        <w:t xml:space="preserve"> wealth</w:t>
      </w:r>
      <w:r>
        <w:t>-</w:t>
      </w:r>
      <w:r w:rsidRPr="00B1676B">
        <w:t>school sectors</w:t>
      </w:r>
      <w:bookmarkEnd w:id="83"/>
    </w:p>
    <w:p w14:paraId="3CFD42EB" w14:textId="2AD36FD9" w:rsidR="00971829" w:rsidRDefault="00806A04" w:rsidP="00971829">
      <w:pPr>
        <w:spacing w:after="0"/>
        <w:jc w:val="center"/>
      </w:pPr>
      <w:r>
        <w:rPr>
          <w:noProof/>
          <w:lang w:eastAsia="en-AU"/>
        </w:rPr>
        <w:drawing>
          <wp:inline distT="0" distB="0" distL="0" distR="0" wp14:anchorId="714FEBD2" wp14:editId="11616DA6">
            <wp:extent cx="5220000" cy="3795574"/>
            <wp:effectExtent l="0" t="0" r="0" b="0"/>
            <wp:docPr id="19" name="Picture 19" descr="This is a chart showing the change in CTC score rank by sector. &#10;Among independent school families, 10 per cent moved 136 or more places higher or 72 places or more lower, compared to 89 places higher or 81 places lower among Catholic school families " title="Change in hosehold CTC rank with inclusion of reported wealth by school 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0000" cy="3795574"/>
                    </a:xfrm>
                    <a:prstGeom prst="rect">
                      <a:avLst/>
                    </a:prstGeom>
                    <a:noFill/>
                    <a:ln>
                      <a:noFill/>
                    </a:ln>
                  </pic:spPr>
                </pic:pic>
              </a:graphicData>
            </a:graphic>
          </wp:inline>
        </w:drawing>
      </w:r>
    </w:p>
    <w:p w14:paraId="1396CE49" w14:textId="3A0296EB" w:rsidR="002053C0" w:rsidRPr="00643AF0" w:rsidRDefault="002053C0" w:rsidP="002053C0">
      <w:pPr>
        <w:pStyle w:val="Datasource"/>
      </w:pPr>
      <w:bookmarkStart w:id="84" w:name="_Ref518399199"/>
      <w:r>
        <w:t xml:space="preserve">Source: Analysis of </w:t>
      </w:r>
      <w:r w:rsidR="00B83B99">
        <w:rPr>
          <w:noProof/>
        </w:rPr>
        <w:t xml:space="preserve">ABS </w:t>
      </w:r>
      <w:sdt>
        <w:sdtPr>
          <w:rPr>
            <w:noProof/>
          </w:rPr>
          <w:id w:val="-1317253800"/>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1A626148" w14:textId="698F321B" w:rsidR="00806A04" w:rsidRDefault="00806A04" w:rsidP="00806A04">
      <w:pPr>
        <w:pStyle w:val="Caption"/>
      </w:pPr>
      <w:bookmarkStart w:id="85" w:name="_Toc518645993"/>
      <w:r>
        <w:t xml:space="preserve">Figure </w:t>
      </w:r>
      <w:r w:rsidR="00FF7BF1">
        <w:rPr>
          <w:noProof/>
        </w:rPr>
        <w:fldChar w:fldCharType="begin"/>
      </w:r>
      <w:r w:rsidR="00FF7BF1">
        <w:rPr>
          <w:noProof/>
        </w:rPr>
        <w:instrText xml:space="preserve"> STYLEREF 1 \s </w:instrText>
      </w:r>
      <w:r w:rsidR="00FF7BF1">
        <w:rPr>
          <w:noProof/>
        </w:rPr>
        <w:fldChar w:fldCharType="separate"/>
      </w:r>
      <w:r w:rsidR="00092E14">
        <w:rPr>
          <w:noProof/>
        </w:rPr>
        <w:t>4</w:t>
      </w:r>
      <w:r w:rsidR="00FF7BF1">
        <w:rPr>
          <w:noProof/>
        </w:rPr>
        <w:fldChar w:fldCharType="end"/>
      </w:r>
      <w:r>
        <w:noBreakHyphen/>
      </w:r>
      <w:r w:rsidR="00FF7BF1">
        <w:rPr>
          <w:noProof/>
        </w:rPr>
        <w:fldChar w:fldCharType="begin"/>
      </w:r>
      <w:r w:rsidR="00FF7BF1">
        <w:rPr>
          <w:noProof/>
        </w:rPr>
        <w:instrText xml:space="preserve"> SEQ Figure \* ARABIC \s 1 </w:instrText>
      </w:r>
      <w:r w:rsidR="00FF7BF1">
        <w:rPr>
          <w:noProof/>
        </w:rPr>
        <w:fldChar w:fldCharType="separate"/>
      </w:r>
      <w:r w:rsidR="00092E14">
        <w:rPr>
          <w:noProof/>
        </w:rPr>
        <w:t>5</w:t>
      </w:r>
      <w:r w:rsidR="00FF7BF1">
        <w:rPr>
          <w:noProof/>
        </w:rPr>
        <w:fldChar w:fldCharType="end"/>
      </w:r>
      <w:bookmarkEnd w:id="84"/>
      <w:r>
        <w:t xml:space="preserve">: </w:t>
      </w:r>
      <w:r w:rsidR="001374D4">
        <w:t>CTC score-rank excluding wealth and rank change including reported wealth</w:t>
      </w:r>
      <w:bookmarkEnd w:id="85"/>
    </w:p>
    <w:p w14:paraId="6B3892F7" w14:textId="55F8D82A" w:rsidR="001374D4" w:rsidRDefault="001233C7" w:rsidP="001374D4">
      <w:pPr>
        <w:spacing w:after="0"/>
        <w:jc w:val="center"/>
      </w:pPr>
      <w:r>
        <w:rPr>
          <w:noProof/>
          <w:lang w:eastAsia="en-AU"/>
        </w:rPr>
        <w:drawing>
          <wp:inline distT="0" distB="0" distL="0" distR="0" wp14:anchorId="7B2D6B97" wp14:editId="2D20B1D0">
            <wp:extent cx="5220000" cy="3795574"/>
            <wp:effectExtent l="0" t="0" r="0" b="0"/>
            <wp:docPr id="6" name="Picture 6" descr="This is a scatter plot showing the difference in rank wither reported wealth and when wealth is excluded. &#10;Independent families have a higher CTC score than Catholic families when reported wealth is used. " title="CTC score-rank excluding wealth and rank change including reported 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20000" cy="3795574"/>
                    </a:xfrm>
                    <a:prstGeom prst="rect">
                      <a:avLst/>
                    </a:prstGeom>
                    <a:noFill/>
                    <a:ln>
                      <a:noFill/>
                    </a:ln>
                  </pic:spPr>
                </pic:pic>
              </a:graphicData>
            </a:graphic>
          </wp:inline>
        </w:drawing>
      </w:r>
    </w:p>
    <w:p w14:paraId="10C9BCC1" w14:textId="300C86ED" w:rsidR="002053C0" w:rsidRPr="00643AF0" w:rsidRDefault="002053C0" w:rsidP="002053C0">
      <w:pPr>
        <w:pStyle w:val="Datasource"/>
      </w:pPr>
      <w:r>
        <w:t xml:space="preserve">Source: Analysis of </w:t>
      </w:r>
      <w:r w:rsidR="00B83B99">
        <w:rPr>
          <w:noProof/>
        </w:rPr>
        <w:t xml:space="preserve">ABS </w:t>
      </w:r>
      <w:sdt>
        <w:sdtPr>
          <w:rPr>
            <w:noProof/>
          </w:rPr>
          <w:id w:val="317387798"/>
          <w:citation/>
        </w:sdtPr>
        <w:sdtEndPr/>
        <w:sdtContent>
          <w:r w:rsidR="00B83B99">
            <w:rPr>
              <w:noProof/>
            </w:rPr>
            <w:fldChar w:fldCharType="begin"/>
          </w:r>
          <w:r w:rsidR="00B83B99">
            <w:rPr>
              <w:noProof/>
            </w:rPr>
            <w:instrText xml:space="preserve">CITATION Aus171 \n  \t  \l 3081 </w:instrText>
          </w:r>
          <w:r w:rsidR="00B83B99">
            <w:rPr>
              <w:noProof/>
            </w:rPr>
            <w:fldChar w:fldCharType="separate"/>
          </w:r>
          <w:r w:rsidR="00B83B99">
            <w:rPr>
              <w:noProof/>
            </w:rPr>
            <w:t>(2017c)</w:t>
          </w:r>
          <w:r w:rsidR="00B83B99">
            <w:rPr>
              <w:noProof/>
            </w:rPr>
            <w:fldChar w:fldCharType="end"/>
          </w:r>
        </w:sdtContent>
      </w:sdt>
      <w:r w:rsidR="00B83B99">
        <w:t>.</w:t>
      </w:r>
    </w:p>
    <w:p w14:paraId="5CA2DD9E" w14:textId="77777777" w:rsidR="001374D4" w:rsidRPr="001374D4" w:rsidRDefault="001374D4" w:rsidP="001374D4"/>
    <w:p w14:paraId="6EEDFD2D" w14:textId="77777777" w:rsidR="00FB0E66" w:rsidRDefault="00FB0E66" w:rsidP="00FB0E66">
      <w:pPr>
        <w:pStyle w:val="Heading1"/>
      </w:pPr>
      <w:bookmarkStart w:id="86" w:name="_Ref517945969"/>
      <w:bookmarkStart w:id="87" w:name="_Toc518377372"/>
      <w:r>
        <w:t>Key findings and implications</w:t>
      </w:r>
      <w:bookmarkEnd w:id="86"/>
      <w:bookmarkEnd w:id="87"/>
    </w:p>
    <w:p w14:paraId="3B1690D9" w14:textId="412FD98E" w:rsidR="00FD432C" w:rsidRDefault="003759D5" w:rsidP="00FD432C">
      <w:bookmarkStart w:id="88" w:name="_Toc481431402"/>
      <w:r>
        <w:t xml:space="preserve">The analysis in this report finds that household wealth, as measured in the SIH with reported wealth, </w:t>
      </w:r>
      <w:r w:rsidR="00FD432C" w:rsidRPr="00FD432C">
        <w:t>lead</w:t>
      </w:r>
      <w:r w:rsidR="005A293B">
        <w:t>s</w:t>
      </w:r>
      <w:r w:rsidR="00FD432C" w:rsidRPr="00FD432C">
        <w:t xml:space="preserve"> to material change in a CTC score</w:t>
      </w:r>
      <w:r w:rsidR="00FD4753">
        <w:t>.</w:t>
      </w:r>
      <w:r w:rsidR="00E63F55">
        <w:t xml:space="preserve"> </w:t>
      </w:r>
      <w:r w:rsidR="00FD4753">
        <w:t>This is</w:t>
      </w:r>
      <w:r>
        <w:t xml:space="preserve"> compared to a CTC score </w:t>
      </w:r>
      <w:r w:rsidR="005A293B">
        <w:t>omitting</w:t>
      </w:r>
      <w:r>
        <w:t xml:space="preserve"> any measure of wealth. Th</w:t>
      </w:r>
      <w:r w:rsidR="00FD4753">
        <w:t>e</w:t>
      </w:r>
      <w:r>
        <w:t xml:space="preserve"> </w:t>
      </w:r>
      <w:r w:rsidR="004B23E4">
        <w:t xml:space="preserve">inclusion of wealth in a CTC score is </w:t>
      </w:r>
      <w:r>
        <w:t xml:space="preserve">consistent with international </w:t>
      </w:r>
      <w:r w:rsidR="004B23E4">
        <w:t>practice</w:t>
      </w:r>
      <w:r>
        <w:t xml:space="preserve">, which </w:t>
      </w:r>
      <w:r w:rsidR="005A293B">
        <w:t xml:space="preserve">argues for the inclusion of household wealth in the estimation of economic </w:t>
      </w:r>
      <w:r w:rsidR="00C52911">
        <w:t>well-being</w:t>
      </w:r>
      <w:r w:rsidR="005A293B">
        <w:t xml:space="preserve">, in conjunction with data on income and consumption. </w:t>
      </w:r>
    </w:p>
    <w:p w14:paraId="76E87F54" w14:textId="55D2A871" w:rsidR="005A293B" w:rsidRPr="00FD432C" w:rsidRDefault="00FD432C" w:rsidP="005A293B">
      <w:r w:rsidRPr="00FD432C">
        <w:t xml:space="preserve">The inclusion </w:t>
      </w:r>
      <w:r w:rsidR="004B23E4">
        <w:t xml:space="preserve">of </w:t>
      </w:r>
      <w:r w:rsidR="004B23E4" w:rsidRPr="00FD432C">
        <w:t xml:space="preserve">wealth based on proxy measures </w:t>
      </w:r>
      <w:r w:rsidRPr="00FD432C">
        <w:t>in a CTC score leads to less change in CTC ranking</w:t>
      </w:r>
      <w:r w:rsidR="002053C0">
        <w:t>s</w:t>
      </w:r>
      <w:r w:rsidRPr="00FD432C">
        <w:t xml:space="preserve">, when compared to a CTC score omitting wealth. This is </w:t>
      </w:r>
      <w:r w:rsidR="00AF3442">
        <w:t xml:space="preserve">because </w:t>
      </w:r>
      <w:r w:rsidRPr="00FD432C">
        <w:t xml:space="preserve">the proxy wealth measures are unable to </w:t>
      </w:r>
      <w:r w:rsidR="005A293B">
        <w:t xml:space="preserve">capture the breadth of </w:t>
      </w:r>
      <w:r w:rsidR="002B20DE">
        <w:t>reported</w:t>
      </w:r>
      <w:r w:rsidRPr="00FD432C">
        <w:t xml:space="preserve"> wealth. </w:t>
      </w:r>
      <w:r w:rsidR="005A293B" w:rsidRPr="00FD432C">
        <w:t xml:space="preserve">At face value, </w:t>
      </w:r>
      <w:r w:rsidR="005A293B">
        <w:t xml:space="preserve">the current </w:t>
      </w:r>
      <w:r w:rsidR="005A293B" w:rsidRPr="00FD432C">
        <w:t xml:space="preserve">findings </w:t>
      </w:r>
      <w:r w:rsidR="005A293B">
        <w:t xml:space="preserve">using </w:t>
      </w:r>
      <w:r w:rsidR="004B23E4">
        <w:t>proxy weal</w:t>
      </w:r>
      <w:r w:rsidR="00A702CC">
        <w:t xml:space="preserve">th </w:t>
      </w:r>
      <w:r w:rsidR="005A293B">
        <w:t>data</w:t>
      </w:r>
      <w:r w:rsidR="00AF3442">
        <w:t>,</w:t>
      </w:r>
      <w:r w:rsidR="005A293B">
        <w:t xml:space="preserve"> available in the SIH</w:t>
      </w:r>
      <w:r w:rsidR="00AF3442">
        <w:t>,</w:t>
      </w:r>
      <w:r w:rsidR="005A293B">
        <w:t xml:space="preserve"> </w:t>
      </w:r>
      <w:r w:rsidR="005A293B" w:rsidRPr="00FD432C">
        <w:t xml:space="preserve">do not make a strong case for the inclusion of wealth (based on proxies) in a CTC score. </w:t>
      </w:r>
    </w:p>
    <w:p w14:paraId="6BBFA514" w14:textId="64925AAF" w:rsidR="00FD432C" w:rsidRPr="00FD432C" w:rsidRDefault="005A293B" w:rsidP="00FD432C">
      <w:r>
        <w:t>A key omission in the current analysis</w:t>
      </w:r>
      <w:r w:rsidR="006C4D1A">
        <w:t xml:space="preserve"> however,</w:t>
      </w:r>
      <w:r>
        <w:t xml:space="preserve"> is location</w:t>
      </w:r>
      <w:r w:rsidR="002053C0">
        <w:t xml:space="preserve"> and its implications for household wealth</w:t>
      </w:r>
      <w:r>
        <w:t xml:space="preserve">. Housing value, which is a large component of household wealth, varies greatly across Australia, and even within the same city. </w:t>
      </w:r>
    </w:p>
    <w:p w14:paraId="7E68BC10" w14:textId="0D7418C4" w:rsidR="00FD432C" w:rsidRPr="00FD432C" w:rsidRDefault="00FD432C" w:rsidP="00FD432C">
      <w:r w:rsidRPr="00FD432C">
        <w:t xml:space="preserve">While the inclusion of </w:t>
      </w:r>
      <w:r w:rsidR="005A293B">
        <w:t>reported</w:t>
      </w:r>
      <w:r w:rsidRPr="00FD432C">
        <w:t xml:space="preserve"> wealth in a CTC</w:t>
      </w:r>
      <w:r w:rsidR="001A08B4">
        <w:t xml:space="preserve"> measure</w:t>
      </w:r>
      <w:r w:rsidRPr="00FD432C">
        <w:t xml:space="preserve"> is considered important, the household wealth data required for this purpose is not currently available on a population wide basis at the individual household level. </w:t>
      </w:r>
    </w:p>
    <w:p w14:paraId="0EBA41D3" w14:textId="55046545" w:rsidR="00FD432C" w:rsidRPr="00FD432C" w:rsidRDefault="00FD432C" w:rsidP="00FD432C">
      <w:r w:rsidRPr="00FD432C">
        <w:t>These limitations may</w:t>
      </w:r>
      <w:r w:rsidR="006C4D1A">
        <w:t xml:space="preserve"> </w:t>
      </w:r>
      <w:r w:rsidRPr="00FD432C">
        <w:t xml:space="preserve">be </w:t>
      </w:r>
      <w:r w:rsidR="00DC5A18">
        <w:t xml:space="preserve">able to be </w:t>
      </w:r>
      <w:r w:rsidRPr="00FD432C">
        <w:t>overcome</w:t>
      </w:r>
      <w:r w:rsidR="006C4D1A">
        <w:t>. An examination of</w:t>
      </w:r>
      <w:r w:rsidRPr="00FD432C">
        <w:t xml:space="preserve"> whether household wealth can be accurately imputed using available income and other data</w:t>
      </w:r>
      <w:r w:rsidR="005A293B">
        <w:t xml:space="preserve"> </w:t>
      </w:r>
      <w:r w:rsidR="006C4D1A">
        <w:t xml:space="preserve">such as the </w:t>
      </w:r>
      <w:r w:rsidR="005A293B">
        <w:t xml:space="preserve">proxy measures included in </w:t>
      </w:r>
      <w:r w:rsidR="006C4D1A">
        <w:t xml:space="preserve">this </w:t>
      </w:r>
      <w:r w:rsidR="005A293B">
        <w:t>analysis</w:t>
      </w:r>
      <w:r w:rsidR="006C4D1A">
        <w:t xml:space="preserve">, could be </w:t>
      </w:r>
      <w:r w:rsidR="00DC5A18">
        <w:t>undertaken</w:t>
      </w:r>
      <w:r w:rsidRPr="00FD432C">
        <w:t xml:space="preserve">. This could </w:t>
      </w:r>
      <w:r w:rsidR="002053C0">
        <w:t xml:space="preserve">also draw upon </w:t>
      </w:r>
      <w:r w:rsidRPr="00FD432C">
        <w:t>data collected by the Australian Taxation Office, alongside data on property values held by State and Territory Governments. This data, when combined with Census data, may be able to provide an accurate representation of household wealth.</w:t>
      </w:r>
    </w:p>
    <w:p w14:paraId="4FBD0785" w14:textId="67E935F6" w:rsidR="00B7299F" w:rsidRDefault="002053C0" w:rsidP="00B7299F">
      <w:r>
        <w:t xml:space="preserve">The findings in this report provide some guidance on implications for funding </w:t>
      </w:r>
      <w:r w:rsidR="00DC5A18">
        <w:t xml:space="preserve">provided </w:t>
      </w:r>
      <w:r>
        <w:t xml:space="preserve">to individual schools. If reported wealth </w:t>
      </w:r>
      <w:r w:rsidR="00DC5A18">
        <w:t xml:space="preserve">(or an accurate proxy) </w:t>
      </w:r>
      <w:r>
        <w:t xml:space="preserve">could be used to generate school CTC scores, the current findings suggest Catholic school families would experience a very small reduction in their relative CTC position. Conversely, independent school families would experience a small increase. The distribution of these changes could however vary greatly with and between schools. </w:t>
      </w:r>
      <w:r w:rsidR="00B7299F">
        <w:br w:type="page"/>
      </w:r>
    </w:p>
    <w:p w14:paraId="21D66178" w14:textId="77777777" w:rsidR="00CB0FFA" w:rsidRDefault="00095D9E" w:rsidP="00A12411">
      <w:pPr>
        <w:pStyle w:val="HeadingTOC"/>
      </w:pPr>
      <w:bookmarkStart w:id="89" w:name="_Toc518377373"/>
      <w:r w:rsidRPr="006242E5">
        <w:t>References</w:t>
      </w:r>
      <w:bookmarkEnd w:id="88"/>
      <w:bookmarkEnd w:id="89"/>
    </w:p>
    <w:p w14:paraId="194FCEC2" w14:textId="77777777" w:rsidR="00B443E5" w:rsidRDefault="00FB0E66" w:rsidP="00B443E5">
      <w:pPr>
        <w:pStyle w:val="Bibliography"/>
        <w:ind w:left="720" w:hanging="720"/>
        <w:rPr>
          <w:noProof/>
        </w:rPr>
      </w:pPr>
      <w:r>
        <w:fldChar w:fldCharType="begin"/>
      </w:r>
      <w:r>
        <w:instrText xml:space="preserve"> BIBLIOGRAPHY  \l 3081 </w:instrText>
      </w:r>
      <w:r>
        <w:fldChar w:fldCharType="separate"/>
      </w:r>
      <w:r w:rsidR="00B443E5">
        <w:rPr>
          <w:noProof/>
        </w:rPr>
        <w:t xml:space="preserve">Australian Bureau of Statistics. (2005). </w:t>
      </w:r>
      <w:r w:rsidR="00B443E5">
        <w:rPr>
          <w:i/>
          <w:iCs/>
          <w:noProof/>
        </w:rPr>
        <w:t>Information Paper: ANZSCO - Australian and New Zealand Standard Classification of Occupations, 2005, Cat. No. 1221.0.</w:t>
      </w:r>
      <w:r w:rsidR="00B443E5">
        <w:rPr>
          <w:noProof/>
        </w:rPr>
        <w:t xml:space="preserve"> Canberra: Australian Bureau of Statistics.</w:t>
      </w:r>
    </w:p>
    <w:p w14:paraId="25BBB295" w14:textId="77777777" w:rsidR="00B443E5" w:rsidRDefault="00B443E5" w:rsidP="00B443E5">
      <w:pPr>
        <w:pStyle w:val="Bibliography"/>
        <w:ind w:left="720" w:hanging="720"/>
        <w:rPr>
          <w:noProof/>
        </w:rPr>
      </w:pPr>
      <w:r>
        <w:rPr>
          <w:noProof/>
        </w:rPr>
        <w:t xml:space="preserve">Australian Bureau of Statistics. (2016). </w:t>
      </w:r>
      <w:r>
        <w:rPr>
          <w:i/>
          <w:iCs/>
          <w:noProof/>
        </w:rPr>
        <w:t>Census of Population and Housing: Census Dictionary, 2016, Cat. No. 2901.0.</w:t>
      </w:r>
      <w:r>
        <w:rPr>
          <w:noProof/>
        </w:rPr>
        <w:t xml:space="preserve"> Canberra: Australian Bureau of Statistics.</w:t>
      </w:r>
    </w:p>
    <w:p w14:paraId="2CBECA42" w14:textId="77777777" w:rsidR="00B443E5" w:rsidRDefault="00B443E5" w:rsidP="00B443E5">
      <w:pPr>
        <w:pStyle w:val="Bibliography"/>
        <w:ind w:left="720" w:hanging="720"/>
        <w:rPr>
          <w:noProof/>
        </w:rPr>
      </w:pPr>
      <w:r>
        <w:rPr>
          <w:noProof/>
        </w:rPr>
        <w:t>Australian Bureau of Statistics. (2017a). Household Income and Wealth, Australia: Summary of Results, 2015–16 , Cat. No. 6523.0. Canberra, Australian Capital Territory, Australia: Australian Bureau of Statistics.</w:t>
      </w:r>
    </w:p>
    <w:p w14:paraId="2E620E6F" w14:textId="77777777" w:rsidR="00B443E5" w:rsidRDefault="00B443E5" w:rsidP="00B443E5">
      <w:pPr>
        <w:pStyle w:val="Bibliography"/>
        <w:ind w:left="720" w:hanging="720"/>
        <w:rPr>
          <w:noProof/>
        </w:rPr>
      </w:pPr>
      <w:r>
        <w:rPr>
          <w:noProof/>
        </w:rPr>
        <w:t xml:space="preserve">Australian Bureau of Statistics. (2017b). </w:t>
      </w:r>
      <w:r>
        <w:rPr>
          <w:i/>
          <w:iCs/>
          <w:noProof/>
        </w:rPr>
        <w:t>Key Concepts</w:t>
      </w:r>
      <w:r>
        <w:rPr>
          <w:noProof/>
        </w:rPr>
        <w:t>. Retrieved from Household Income and Wealth, Australia, 2015-16: http://www.abs.gov.au/ausstats/abs@.nsf/Lookup/by%20Subject/6523.0~2015-16~Main%20Features~Key%20Concepts~3</w:t>
      </w:r>
    </w:p>
    <w:p w14:paraId="02D0849B" w14:textId="77777777" w:rsidR="00B443E5" w:rsidRDefault="00B443E5" w:rsidP="00B443E5">
      <w:pPr>
        <w:pStyle w:val="Bibliography"/>
        <w:ind w:left="720" w:hanging="720"/>
        <w:rPr>
          <w:noProof/>
        </w:rPr>
      </w:pPr>
      <w:r>
        <w:rPr>
          <w:noProof/>
        </w:rPr>
        <w:t>Australian Bureau of Statistics. (2017c, October 25). Microdata: Household Expenditure, Income and Housing, 2015-16, Cat. No. 6540.0. Canberra, Australian Capital Territory, Australia.</w:t>
      </w:r>
    </w:p>
    <w:p w14:paraId="147BDE57" w14:textId="77777777" w:rsidR="00B443E5" w:rsidRDefault="00B443E5" w:rsidP="00B443E5">
      <w:pPr>
        <w:pStyle w:val="Bibliography"/>
        <w:ind w:left="720" w:hanging="720"/>
        <w:rPr>
          <w:noProof/>
        </w:rPr>
      </w:pPr>
      <w:r>
        <w:rPr>
          <w:noProof/>
        </w:rPr>
        <w:t xml:space="preserve">Australian Bureau of Statistics. (2018). </w:t>
      </w:r>
      <w:r>
        <w:rPr>
          <w:i/>
          <w:iCs/>
          <w:noProof/>
        </w:rPr>
        <w:t>Socio-Economic Indexes for Areas (SEIFA): Technical Paper, Cat. No. 2033.0.55.001.</w:t>
      </w:r>
      <w:r>
        <w:rPr>
          <w:noProof/>
        </w:rPr>
        <w:t xml:space="preserve"> Canberra: Australian Bureau of Statistics.</w:t>
      </w:r>
    </w:p>
    <w:p w14:paraId="6F0D73A4" w14:textId="77777777" w:rsidR="00B443E5" w:rsidRDefault="00B443E5" w:rsidP="00B443E5">
      <w:pPr>
        <w:pStyle w:val="Bibliography"/>
        <w:ind w:left="720" w:hanging="720"/>
        <w:rPr>
          <w:noProof/>
        </w:rPr>
      </w:pPr>
      <w:r>
        <w:rPr>
          <w:noProof/>
        </w:rPr>
        <w:t xml:space="preserve">Catholic Education Commission of Victoria. (2017). </w:t>
      </w:r>
      <w:r>
        <w:rPr>
          <w:i/>
          <w:iCs/>
          <w:noProof/>
        </w:rPr>
        <w:t>Capacity to contribute and school SES scores.</w:t>
      </w:r>
      <w:r>
        <w:rPr>
          <w:noProof/>
        </w:rPr>
        <w:t xml:space="preserve"> Melbourne: Catholic Education Commission of Victoria.</w:t>
      </w:r>
    </w:p>
    <w:p w14:paraId="721A48B8" w14:textId="77777777" w:rsidR="00B443E5" w:rsidRDefault="00B443E5" w:rsidP="00B443E5">
      <w:pPr>
        <w:pStyle w:val="Bibliography"/>
        <w:ind w:left="720" w:hanging="720"/>
        <w:rPr>
          <w:noProof/>
        </w:rPr>
      </w:pPr>
      <w:r>
        <w:rPr>
          <w:noProof/>
        </w:rPr>
        <w:t xml:space="preserve">Centre for International Research on Education Systems, Victoria University. (2017). </w:t>
      </w:r>
      <w:r>
        <w:rPr>
          <w:i/>
          <w:iCs/>
          <w:noProof/>
        </w:rPr>
        <w:t>The Socio-Economic Status (SES) score methodology used in recurrent school funding arrangements – Research Paper.</w:t>
      </w:r>
      <w:r>
        <w:rPr>
          <w:noProof/>
        </w:rPr>
        <w:t xml:space="preserve"> Canberra: Australian Government Department of Education and Training.</w:t>
      </w:r>
    </w:p>
    <w:p w14:paraId="7564BBA4" w14:textId="77777777" w:rsidR="00B443E5" w:rsidRDefault="00B443E5" w:rsidP="00B443E5">
      <w:pPr>
        <w:pStyle w:val="Bibliography"/>
        <w:ind w:left="720" w:hanging="720"/>
        <w:rPr>
          <w:noProof/>
        </w:rPr>
      </w:pPr>
      <w:r>
        <w:rPr>
          <w:noProof/>
        </w:rPr>
        <w:t xml:space="preserve">Department of Education, Training and Youth Affairs. (1999). </w:t>
      </w:r>
      <w:r>
        <w:rPr>
          <w:i/>
          <w:iCs/>
          <w:noProof/>
        </w:rPr>
        <w:t>SES Simulation Project: Validation Report.</w:t>
      </w:r>
      <w:r>
        <w:rPr>
          <w:noProof/>
        </w:rPr>
        <w:t xml:space="preserve"> Canberra: Department of Education, Training and Youth Affairs.</w:t>
      </w:r>
    </w:p>
    <w:p w14:paraId="347F8C13" w14:textId="77777777" w:rsidR="00B443E5" w:rsidRDefault="00B443E5" w:rsidP="00B443E5">
      <w:pPr>
        <w:pStyle w:val="Bibliography"/>
        <w:ind w:left="720" w:hanging="720"/>
        <w:rPr>
          <w:noProof/>
        </w:rPr>
      </w:pPr>
      <w:r>
        <w:rPr>
          <w:noProof/>
        </w:rPr>
        <w:t xml:space="preserve">Duncan, G., Daly, M., McDonough, P., &amp; Williams, D. (2002). Optimal Indicators of Socioeconomic Status for Health Research. </w:t>
      </w:r>
      <w:r>
        <w:rPr>
          <w:i/>
          <w:iCs/>
          <w:noProof/>
        </w:rPr>
        <w:t>American Journal of Public Health, 92</w:t>
      </w:r>
      <w:r>
        <w:rPr>
          <w:noProof/>
        </w:rPr>
        <w:t>(7), 1151-1158.</w:t>
      </w:r>
    </w:p>
    <w:p w14:paraId="1C2D745E" w14:textId="77777777" w:rsidR="00B443E5" w:rsidRDefault="00B443E5" w:rsidP="00B443E5">
      <w:pPr>
        <w:pStyle w:val="Bibliography"/>
        <w:ind w:left="720" w:hanging="720"/>
        <w:rPr>
          <w:noProof/>
        </w:rPr>
      </w:pPr>
      <w:r>
        <w:rPr>
          <w:noProof/>
        </w:rPr>
        <w:t xml:space="preserve">Dunteman, G. H. (1989). </w:t>
      </w:r>
      <w:r>
        <w:rPr>
          <w:i/>
          <w:iCs/>
          <w:noProof/>
        </w:rPr>
        <w:t>Principal Components Analysis.</w:t>
      </w:r>
      <w:r>
        <w:rPr>
          <w:noProof/>
        </w:rPr>
        <w:t xml:space="preserve"> Newbury Park, California: Sage Publications.</w:t>
      </w:r>
    </w:p>
    <w:p w14:paraId="16D60E39" w14:textId="77777777" w:rsidR="00B443E5" w:rsidRDefault="00B443E5" w:rsidP="00B443E5">
      <w:pPr>
        <w:pStyle w:val="Bibliography"/>
        <w:ind w:left="720" w:hanging="720"/>
        <w:rPr>
          <w:noProof/>
        </w:rPr>
      </w:pPr>
      <w:r>
        <w:rPr>
          <w:noProof/>
        </w:rPr>
        <w:t xml:space="preserve">Farish, S. (2013). </w:t>
      </w:r>
      <w:r>
        <w:rPr>
          <w:i/>
          <w:iCs/>
          <w:noProof/>
        </w:rPr>
        <w:t>Recalculation of the Modified A Socioeconomic Status (SES) Indicator using 2011 Australian Bureau of Statistics Census Data.</w:t>
      </w:r>
      <w:r>
        <w:rPr>
          <w:noProof/>
        </w:rPr>
        <w:t xml:space="preserve"> Canberra: Department of Education, Employment and Workplace Relations.</w:t>
      </w:r>
    </w:p>
    <w:p w14:paraId="2CEC4C8B" w14:textId="77777777" w:rsidR="00B443E5" w:rsidRDefault="00B443E5" w:rsidP="00B443E5">
      <w:pPr>
        <w:pStyle w:val="Bibliography"/>
        <w:ind w:left="720" w:hanging="720"/>
        <w:rPr>
          <w:noProof/>
        </w:rPr>
      </w:pPr>
      <w:r>
        <w:rPr>
          <w:noProof/>
        </w:rPr>
        <w:t xml:space="preserve">Farish, S. (2017). Senate Employment Legislation Committee inquiry into the Australian Education Amendment Bill 2017. </w:t>
      </w:r>
      <w:r>
        <w:rPr>
          <w:i/>
          <w:iCs/>
          <w:noProof/>
        </w:rPr>
        <w:t>Senate Education and Employment Legislation Committee</w:t>
      </w:r>
      <w:r>
        <w:rPr>
          <w:noProof/>
        </w:rPr>
        <w:t xml:space="preserve"> (pp. 1-8). Canberra: Commonwealth of Australia.</w:t>
      </w:r>
    </w:p>
    <w:p w14:paraId="00412DF1" w14:textId="77777777" w:rsidR="00B443E5" w:rsidRDefault="00B443E5" w:rsidP="00B443E5">
      <w:pPr>
        <w:pStyle w:val="Bibliography"/>
        <w:ind w:left="720" w:hanging="720"/>
        <w:rPr>
          <w:noProof/>
        </w:rPr>
      </w:pPr>
      <w:r>
        <w:rPr>
          <w:noProof/>
        </w:rPr>
        <w:t xml:space="preserve">Kolenikov, S., &amp; Angeles, G. (2009, March). Socioeconomic status measurement with discrete proxy variables: Is principal component analysis a reliable answer? </w:t>
      </w:r>
      <w:r>
        <w:rPr>
          <w:i/>
          <w:iCs/>
          <w:noProof/>
        </w:rPr>
        <w:t>Review of Income and Wealth, 55</w:t>
      </w:r>
      <w:r>
        <w:rPr>
          <w:noProof/>
        </w:rPr>
        <w:t>(1), pp. 128-165.</w:t>
      </w:r>
    </w:p>
    <w:p w14:paraId="5F8C27ED" w14:textId="77777777" w:rsidR="00B443E5" w:rsidRDefault="00B443E5" w:rsidP="00B443E5">
      <w:pPr>
        <w:pStyle w:val="Bibliography"/>
        <w:ind w:left="720" w:hanging="720"/>
        <w:rPr>
          <w:noProof/>
        </w:rPr>
      </w:pPr>
      <w:r>
        <w:rPr>
          <w:noProof/>
        </w:rPr>
        <w:t xml:space="preserve">Organisation for Economic Co-operation and Development. (2013). </w:t>
      </w:r>
      <w:r>
        <w:rPr>
          <w:i/>
          <w:iCs/>
          <w:noProof/>
        </w:rPr>
        <w:t>OECD Framework for Statistics on the Distribution of Household Income, Consumption and Wealth.</w:t>
      </w:r>
      <w:r>
        <w:rPr>
          <w:noProof/>
        </w:rPr>
        <w:t xml:space="preserve"> Paris: OECD Publishing.</w:t>
      </w:r>
    </w:p>
    <w:p w14:paraId="25CCA311" w14:textId="25823147" w:rsidR="00835CD9" w:rsidRPr="00CD5A74" w:rsidRDefault="00FB0E66" w:rsidP="00B443E5">
      <w:pPr>
        <w:pStyle w:val="Reference"/>
        <w:jc w:val="left"/>
      </w:pPr>
      <w:r>
        <w:fldChar w:fldCharType="end"/>
      </w:r>
    </w:p>
    <w:sectPr w:rsidR="00835CD9" w:rsidRPr="00CD5A74" w:rsidSect="00DA3FED">
      <w:headerReference w:type="default" r:id="rId34"/>
      <w:footerReference w:type="default" r:id="rId35"/>
      <w:pgSz w:w="11907" w:h="16839" w:code="9"/>
      <w:pgMar w:top="1440" w:right="1440" w:bottom="1440" w:left="1440" w:header="720" w:footer="720"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BF8F81" w16cid:durableId="1EE85440"/>
  <w16cid:commentId w16cid:paraId="00696B52" w16cid:durableId="1EE8470F"/>
  <w16cid:commentId w16cid:paraId="0C54AA41" w16cid:durableId="1EE84710"/>
  <w16cid:commentId w16cid:paraId="70C5DE2A" w16cid:durableId="1EE84711"/>
  <w16cid:commentId w16cid:paraId="02FEDF42" w16cid:durableId="1EE84712"/>
  <w16cid:commentId w16cid:paraId="382D512C" w16cid:durableId="1EE84713"/>
  <w16cid:commentId w16cid:paraId="4674075A" w16cid:durableId="1EE84714"/>
  <w16cid:commentId w16cid:paraId="1F4FE761" w16cid:durableId="1EE84715"/>
  <w16cid:commentId w16cid:paraId="088586A3" w16cid:durableId="1EE84716"/>
  <w16cid:commentId w16cid:paraId="245EF1A3" w16cid:durableId="1EE84717"/>
  <w16cid:commentId w16cid:paraId="43FA2F7E" w16cid:durableId="1EE84718"/>
  <w16cid:commentId w16cid:paraId="2DFFF78F" w16cid:durableId="1EE84719"/>
  <w16cid:commentId w16cid:paraId="29B15823" w16cid:durableId="1EE8471A"/>
  <w16cid:commentId w16cid:paraId="4177DBF3" w16cid:durableId="1EE8471B"/>
  <w16cid:commentId w16cid:paraId="5DCD57BE" w16cid:durableId="1EE8471C"/>
  <w16cid:commentId w16cid:paraId="6445D813" w16cid:durableId="1EE8471D"/>
  <w16cid:commentId w16cid:paraId="7104382D" w16cid:durableId="1EE8471E"/>
  <w16cid:commentId w16cid:paraId="2A0F57DE" w16cid:durableId="1EE8471F"/>
  <w16cid:commentId w16cid:paraId="2D471A6A" w16cid:durableId="1EE84720"/>
  <w16cid:commentId w16cid:paraId="78051105" w16cid:durableId="1EE84721"/>
  <w16cid:commentId w16cid:paraId="417F514B" w16cid:durableId="1EE84722"/>
  <w16cid:commentId w16cid:paraId="6008D1C3" w16cid:durableId="1EE84723"/>
  <w16cid:commentId w16cid:paraId="152CF3A2" w16cid:durableId="1EE84724"/>
  <w16cid:commentId w16cid:paraId="7020BD39" w16cid:durableId="1EE84725"/>
  <w16cid:commentId w16cid:paraId="6A308F1F" w16cid:durableId="1EE84726"/>
  <w16cid:commentId w16cid:paraId="6C30DAFE" w16cid:durableId="1EE84727"/>
  <w16cid:commentId w16cid:paraId="185EB64C" w16cid:durableId="1EE84728"/>
  <w16cid:commentId w16cid:paraId="3D9DDCE5" w16cid:durableId="1EE84729"/>
  <w16cid:commentId w16cid:paraId="68F8E9CE" w16cid:durableId="1EE8472A"/>
  <w16cid:commentId w16cid:paraId="6F0576E1" w16cid:durableId="1EE854DF"/>
  <w16cid:commentId w16cid:paraId="6EE48AB3" w16cid:durableId="1EE8472B"/>
  <w16cid:commentId w16cid:paraId="3AEF29DA" w16cid:durableId="1EE8472C"/>
  <w16cid:commentId w16cid:paraId="5B8F887C" w16cid:durableId="1EE8472D"/>
  <w16cid:commentId w16cid:paraId="3232523C" w16cid:durableId="1EE8472E"/>
  <w16cid:commentId w16cid:paraId="6E086F6D" w16cid:durableId="1EE847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E540D" w14:textId="77777777" w:rsidR="001E36E1" w:rsidRDefault="001E36E1" w:rsidP="00C44628">
      <w:r>
        <w:separator/>
      </w:r>
    </w:p>
  </w:endnote>
  <w:endnote w:type="continuationSeparator" w:id="0">
    <w:p w14:paraId="4082D74B" w14:textId="77777777" w:rsidR="001E36E1" w:rsidRDefault="001E36E1" w:rsidP="00C4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ta-Normal">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C1804" w14:textId="77777777" w:rsidR="001E36E1" w:rsidRDefault="001E36E1" w:rsidP="00C44628">
    <w:pPr>
      <w:pStyle w:val="Footer"/>
    </w:pPr>
    <w:r>
      <w:rPr>
        <w:noProof/>
        <w:lang w:val="en-AU" w:eastAsia="en-AU"/>
      </w:rPr>
      <w:drawing>
        <wp:anchor distT="0" distB="0" distL="114300" distR="114300" simplePos="0" relativeHeight="251686912" behindDoc="0" locked="1" layoutInCell="1" allowOverlap="1" wp14:anchorId="73C3F484" wp14:editId="3F8860FE">
          <wp:simplePos x="0" y="0"/>
          <wp:positionH relativeFrom="column">
            <wp:posOffset>4914900</wp:posOffset>
          </wp:positionH>
          <wp:positionV relativeFrom="paragraph">
            <wp:posOffset>-211455</wp:posOffset>
          </wp:positionV>
          <wp:extent cx="1609090" cy="7302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RSED_CIRES big TRANS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090" cy="730250"/>
                  </a:xfrm>
                  <a:prstGeom prst="rect">
                    <a:avLst/>
                  </a:prstGeom>
                </pic:spPr>
              </pic:pic>
            </a:graphicData>
          </a:graphic>
          <wp14:sizeRelH relativeFrom="page">
            <wp14:pctWidth>0</wp14:pctWidth>
          </wp14:sizeRelH>
          <wp14:sizeRelV relativeFrom="page">
            <wp14:pctHeight>0</wp14:pctHeight>
          </wp14:sizeRelV>
        </wp:anchor>
      </w:drawing>
    </w:r>
    <w:r>
      <w:tab/>
    </w:r>
    <w:r>
      <w:tab/>
    </w:r>
    <w:r>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777D3" w14:textId="77777777" w:rsidR="001E36E1" w:rsidRPr="0087495B" w:rsidRDefault="001E36E1" w:rsidP="00DC5A18">
    <w:pPr>
      <w:pStyle w:val="Footer"/>
      <w:tabs>
        <w:tab w:val="clear" w:pos="9027"/>
        <w:tab w:val="right" w:pos="13467"/>
      </w:tabs>
    </w:pPr>
    <w:r w:rsidRPr="0087495B">
      <w:t xml:space="preserve">Centre for International Research on </w:t>
    </w:r>
    <w:r w:rsidRPr="00472572">
      <w:t>Education</w:t>
    </w:r>
    <w:r w:rsidRPr="0087495B">
      <w:t xml:space="preserve"> Systems</w:t>
    </w:r>
    <w:r w:rsidRPr="0087495B">
      <w:tab/>
      <w:t>Victoria University</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21A4B" w14:textId="77777777" w:rsidR="001E36E1" w:rsidRPr="0087495B" w:rsidRDefault="001E36E1"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82E6F" w14:textId="77777777" w:rsidR="001E36E1" w:rsidRDefault="001E36E1" w:rsidP="00C44628">
    <w:pPr>
      <w:rPr>
        <w:rFonts w:eastAsiaTheme="majorEastAsia"/>
        <w:noProof/>
      </w:rPr>
    </w:pPr>
    <w:r>
      <w:rPr>
        <w:noProof/>
        <w:lang w:eastAsia="en-AU"/>
      </w:rPr>
      <mc:AlternateContent>
        <mc:Choice Requires="wps">
          <w:drawing>
            <wp:anchor distT="0" distB="0" distL="114300" distR="114300" simplePos="0" relativeHeight="251693056" behindDoc="0" locked="1" layoutInCell="1" allowOverlap="1" wp14:anchorId="6DFDBF9F" wp14:editId="02A35C0F">
              <wp:simplePos x="0" y="0"/>
              <wp:positionH relativeFrom="margin">
                <wp:posOffset>2865755</wp:posOffset>
              </wp:positionH>
              <wp:positionV relativeFrom="paragraph">
                <wp:posOffset>114935</wp:posOffset>
              </wp:positionV>
              <wp:extent cx="0" cy="604800"/>
              <wp:effectExtent l="0" t="0" r="19050" b="24130"/>
              <wp:wrapNone/>
              <wp:docPr id="8" name="Straight Connector 8" descr="This is a decorative line"/>
              <wp:cNvGraphicFramePr/>
              <a:graphic xmlns:a="http://schemas.openxmlformats.org/drawingml/2006/main">
                <a:graphicData uri="http://schemas.microsoft.com/office/word/2010/wordprocessingShape">
                  <wps:wsp>
                    <wps:cNvCnPr/>
                    <wps:spPr>
                      <a:xfrm>
                        <a:off x="0" y="0"/>
                        <a:ext cx="0" cy="604800"/>
                      </a:xfrm>
                      <a:prstGeom prst="line">
                        <a:avLst/>
                      </a:prstGeom>
                      <a:ln w="6350">
                        <a:solidFill>
                          <a:srgbClr val="00008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F11044B" id="Straight Connector 8" o:spid="_x0000_s1026" alt="This is a decorative line" style="position:absolute;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25.65pt,9.05pt" to="225.6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" strokecolor="navy" strokeweight=".5pt">
              <w10:wrap anchorx="margin"/>
              <w10:anchorlock/>
            </v:line>
          </w:pict>
        </mc:Fallback>
      </mc:AlternateContent>
    </w:r>
    <w:r w:rsidRPr="002F0610">
      <w:rPr>
        <w:noProof/>
        <w:lang w:eastAsia="en-AU"/>
      </w:rPr>
      <w:drawing>
        <wp:anchor distT="0" distB="0" distL="114300" distR="114300" simplePos="0" relativeHeight="251692032" behindDoc="0" locked="1" layoutInCell="1" allowOverlap="1" wp14:anchorId="1E70BE1A" wp14:editId="152434EC">
          <wp:simplePos x="0" y="0"/>
          <wp:positionH relativeFrom="margin">
            <wp:posOffset>903605</wp:posOffset>
          </wp:positionH>
          <wp:positionV relativeFrom="paragraph">
            <wp:posOffset>79375</wp:posOffset>
          </wp:positionV>
          <wp:extent cx="1807200" cy="633600"/>
          <wp:effectExtent l="0" t="0" r="3175" b="0"/>
          <wp:wrapNone/>
          <wp:docPr id="11" name="Picture 11" descr="This is decorative, a logo of Victoria University " title="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University-logo-high-res-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7200" cy="6336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9984" behindDoc="0" locked="1" layoutInCell="1" allowOverlap="1" wp14:anchorId="4F8F077F" wp14:editId="35CFF2A0">
          <wp:simplePos x="0" y="0"/>
          <wp:positionH relativeFrom="margin">
            <wp:posOffset>3018134</wp:posOffset>
          </wp:positionH>
          <wp:positionV relativeFrom="paragraph">
            <wp:posOffset>114935</wp:posOffset>
          </wp:positionV>
          <wp:extent cx="1756800" cy="633600"/>
          <wp:effectExtent l="0" t="0" r="0" b="0"/>
          <wp:wrapNone/>
          <wp:docPr id="10" name="Picture 10" descr="This is decorative. A logo of CIRE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ES big.jpg"/>
                  <pic:cNvPicPr/>
                </pic:nvPicPr>
                <pic:blipFill rotWithShape="1">
                  <a:blip r:embed="rId3" cstate="print">
                    <a:extLst>
                      <a:ext uri="{28A0092B-C50C-407E-A947-70E740481C1C}">
                        <a14:useLocalDpi xmlns:a14="http://schemas.microsoft.com/office/drawing/2010/main" val="0"/>
                      </a:ext>
                    </a:extLst>
                  </a:blip>
                  <a:srcRect l="2712" t="13613" r="7960" b="15745"/>
                  <a:stretch/>
                </pic:blipFill>
                <pic:spPr bwMode="auto">
                  <a:xfrm>
                    <a:off x="0" y="0"/>
                    <a:ext cx="1756800" cy="6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5A4232" w14:textId="77777777" w:rsidR="001E36E1" w:rsidRDefault="001E36E1" w:rsidP="00C44628">
    <w:pPr>
      <w:rPr>
        <w:rFonts w:eastAsiaTheme="majorEastAsia"/>
        <w:noProof/>
      </w:rPr>
    </w:pPr>
  </w:p>
  <w:p w14:paraId="74AA6B53" w14:textId="77777777" w:rsidR="001E36E1" w:rsidRDefault="001E36E1" w:rsidP="00C44628">
    <w:pPr>
      <w:rPr>
        <w:rFonts w:eastAsiaTheme="majorEastAsia"/>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BD53" w14:textId="77777777" w:rsidR="001E36E1" w:rsidRDefault="001E36E1" w:rsidP="00B742BC">
    <w:pPr>
      <w:pStyle w:val="InsideCoverHeading"/>
    </w:pPr>
    <w:r>
      <w:t>About CIRES</w:t>
    </w:r>
  </w:p>
  <w:p w14:paraId="11E219E2" w14:textId="77777777" w:rsidR="001E36E1" w:rsidRDefault="001E36E1" w:rsidP="00B742BC">
    <w:pPr>
      <w:pStyle w:val="FootnoteText"/>
      <w:spacing w:after="0"/>
    </w:pPr>
    <w:r>
      <w:t>The Centre for International Research on Education Systems, located at Victoria University, conducts strategic research that identifies how well education systems work, for whom, and how they can be improved to work well for all. The Centre undertakes large-scale survey and policy-related projects covering every state and territory in Australia and every sector of education and training. It also undertakes international comparative research examining the features and performance of education systems around the world.</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D22FB" w14:textId="77777777" w:rsidR="001E36E1" w:rsidRPr="0087495B" w:rsidRDefault="001E36E1"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E9F8B" w14:textId="77777777" w:rsidR="001E36E1" w:rsidRPr="0087495B" w:rsidRDefault="001E36E1"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91565" w14:textId="77777777" w:rsidR="001E36E1" w:rsidRPr="0087495B" w:rsidRDefault="001E36E1" w:rsidP="00BB3738">
    <w:pPr>
      <w:pStyle w:val="Footer"/>
      <w:tabs>
        <w:tab w:val="clear" w:pos="9027"/>
        <w:tab w:val="right" w:pos="13892"/>
      </w:tabs>
    </w:pPr>
    <w:r w:rsidRPr="0087495B">
      <w:t xml:space="preserve">Centre for International Research on </w:t>
    </w:r>
    <w:r w:rsidRPr="00472572">
      <w:t>Education</w:t>
    </w:r>
    <w:r w:rsidRPr="0087495B">
      <w:t xml:space="preserve"> Systems</w:t>
    </w:r>
    <w:r w:rsidRPr="0087495B">
      <w:tab/>
      <w:t>Victoria University</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6ED44" w14:textId="77777777" w:rsidR="001E36E1" w:rsidRPr="0087495B" w:rsidRDefault="001E36E1"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80A2E" w14:textId="77777777" w:rsidR="001E36E1" w:rsidRPr="0087495B" w:rsidRDefault="001E36E1" w:rsidP="00BB3738">
    <w:pPr>
      <w:pStyle w:val="Footer"/>
      <w:tabs>
        <w:tab w:val="clear" w:pos="9027"/>
        <w:tab w:val="right" w:pos="13892"/>
      </w:tabs>
    </w:pPr>
    <w:r w:rsidRPr="0087495B">
      <w:t xml:space="preserve">Centre for International Research on </w:t>
    </w:r>
    <w:r w:rsidRPr="00472572">
      <w:t>Education</w:t>
    </w:r>
    <w:r w:rsidRPr="0087495B">
      <w:t xml:space="preserve"> Systems</w:t>
    </w:r>
    <w:r w:rsidRPr="0087495B">
      <w:tab/>
      <w:t>Victoria University</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69CDB" w14:textId="77777777" w:rsidR="001E36E1" w:rsidRPr="0087495B" w:rsidRDefault="001E36E1"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86D7B" w14:textId="77777777" w:rsidR="001E36E1" w:rsidRDefault="001E36E1" w:rsidP="00C44628">
      <w:r>
        <w:separator/>
      </w:r>
    </w:p>
  </w:footnote>
  <w:footnote w:type="continuationSeparator" w:id="0">
    <w:p w14:paraId="4583389E" w14:textId="77777777" w:rsidR="001E36E1" w:rsidRDefault="001E36E1" w:rsidP="00C44628">
      <w:r>
        <w:continuationSeparator/>
      </w:r>
    </w:p>
  </w:footnote>
  <w:footnote w:id="1">
    <w:p w14:paraId="6C980411" w14:textId="2FC2255B" w:rsidR="001E36E1" w:rsidRDefault="001E36E1">
      <w:pPr>
        <w:pStyle w:val="FootnoteText"/>
      </w:pPr>
      <w:r>
        <w:rPr>
          <w:rStyle w:val="FootnoteReference"/>
        </w:rPr>
        <w:footnoteRef/>
      </w:r>
      <w:r>
        <w:t xml:space="preserve"> These, and other concerns, are examined in further detail within </w:t>
      </w:r>
      <w:r>
        <w:rPr>
          <w:noProof/>
        </w:rPr>
        <w:t>Centre for International Research on Education Systems, Victoria University (2017)</w:t>
      </w:r>
      <w:r>
        <w:t>.</w:t>
      </w:r>
    </w:p>
  </w:footnote>
  <w:footnote w:id="2">
    <w:p w14:paraId="48A3FB41" w14:textId="31631DC9" w:rsidR="001E36E1" w:rsidRDefault="001E36E1">
      <w:pPr>
        <w:pStyle w:val="FootnoteText"/>
      </w:pPr>
      <w:r>
        <w:rPr>
          <w:rStyle w:val="FootnoteReference"/>
        </w:rPr>
        <w:footnoteRef/>
      </w:r>
      <w:r>
        <w:t xml:space="preserve"> The author is grateful for research assistance from Andres Molina, and feedback from members of the NSRB expert panel and the Department of Education and Training staff. All views and errors are those of the author. </w:t>
      </w:r>
    </w:p>
  </w:footnote>
  <w:footnote w:id="3">
    <w:p w14:paraId="1FBA2D56" w14:textId="77777777" w:rsidR="001E36E1" w:rsidRDefault="001E36E1" w:rsidP="001C63C2">
      <w:pPr>
        <w:pStyle w:val="FootnoteText"/>
      </w:pPr>
      <w:r>
        <w:rPr>
          <w:rStyle w:val="FootnoteReference"/>
        </w:rPr>
        <w:footnoteRef/>
      </w:r>
      <w:r>
        <w:t xml:space="preserve"> These, and other concerns, are examined in further detail within </w:t>
      </w:r>
      <w:r>
        <w:rPr>
          <w:noProof/>
        </w:rPr>
        <w:t>Centre for International Research on Education Systems, Victoria University (2017).</w:t>
      </w:r>
    </w:p>
  </w:footnote>
  <w:footnote w:id="4">
    <w:p w14:paraId="2BFFBF71" w14:textId="77777777" w:rsidR="001E36E1" w:rsidRDefault="001E36E1">
      <w:pPr>
        <w:pStyle w:val="FootnoteText"/>
      </w:pPr>
      <w:r>
        <w:rPr>
          <w:rStyle w:val="FootnoteReference"/>
        </w:rPr>
        <w:footnoteRef/>
      </w:r>
      <w:r>
        <w:t xml:space="preserve"> The analysis reported in </w:t>
      </w:r>
      <w:r>
        <w:rPr>
          <w:noProof/>
        </w:rPr>
        <w:t xml:space="preserve">CECV (2017) used 2013-14 data. This is updated in </w:t>
      </w:r>
      <w:r>
        <w:rPr>
          <w:noProof/>
        </w:rPr>
        <w:fldChar w:fldCharType="begin"/>
      </w:r>
      <w:r>
        <w:rPr>
          <w:noProof/>
        </w:rPr>
        <w:instrText xml:space="preserve"> REF _Ref518303428 \h </w:instrText>
      </w:r>
      <w:r>
        <w:rPr>
          <w:noProof/>
        </w:rPr>
      </w:r>
      <w:r>
        <w:rPr>
          <w:noProof/>
        </w:rPr>
        <w:fldChar w:fldCharType="separate"/>
      </w:r>
      <w:r>
        <w:t xml:space="preserve">Figure </w:t>
      </w:r>
      <w:r>
        <w:rPr>
          <w:noProof/>
        </w:rPr>
        <w:t>2</w:t>
      </w:r>
      <w:r>
        <w:noBreakHyphen/>
      </w:r>
      <w:r>
        <w:rPr>
          <w:noProof/>
        </w:rPr>
        <w:t>1</w:t>
      </w:r>
      <w:r>
        <w:rPr>
          <w:noProof/>
        </w:rPr>
        <w:fldChar w:fldCharType="end"/>
      </w:r>
      <w:r>
        <w:rPr>
          <w:noProof/>
        </w:rPr>
        <w:t xml:space="preserve"> with 2015-16 data.</w:t>
      </w:r>
      <w:r>
        <w:t xml:space="preserve"> </w:t>
      </w:r>
    </w:p>
  </w:footnote>
  <w:footnote w:id="5">
    <w:p w14:paraId="0D601078" w14:textId="77777777" w:rsidR="001E36E1" w:rsidRDefault="001E36E1" w:rsidP="00094F57">
      <w:pPr>
        <w:pStyle w:val="FootnoteText"/>
      </w:pPr>
      <w:r>
        <w:rPr>
          <w:rStyle w:val="FootnoteReference"/>
        </w:rPr>
        <w:footnoteRef/>
      </w:r>
      <w:r>
        <w:t xml:space="preserve"> Only in Index of Economic Resources. </w:t>
      </w:r>
    </w:p>
  </w:footnote>
  <w:footnote w:id="6">
    <w:p w14:paraId="39648AD5" w14:textId="77777777" w:rsidR="001E36E1" w:rsidRDefault="001E36E1">
      <w:pPr>
        <w:pStyle w:val="FootnoteText"/>
      </w:pPr>
      <w:r>
        <w:rPr>
          <w:rStyle w:val="FootnoteReference"/>
        </w:rPr>
        <w:footnoteRef/>
      </w:r>
      <w:r>
        <w:t xml:space="preserve"> The Basic </w:t>
      </w:r>
      <w:r w:rsidRPr="008B5C87">
        <w:t>Confidentialised Unit Record File (CURF)</w:t>
      </w:r>
      <w:r>
        <w:t xml:space="preserve"> is used. </w:t>
      </w:r>
    </w:p>
  </w:footnote>
  <w:footnote w:id="7">
    <w:p w14:paraId="612EF2E8" w14:textId="77777777" w:rsidR="001E36E1" w:rsidRDefault="001E36E1" w:rsidP="00AA7325">
      <w:pPr>
        <w:pStyle w:val="FootnoteText"/>
      </w:pPr>
      <w:r>
        <w:rPr>
          <w:rStyle w:val="FootnoteReference"/>
        </w:rPr>
        <w:footnoteRef/>
      </w:r>
      <w:r>
        <w:t xml:space="preserve"> Skill levels are described in Appendix 2 of </w:t>
      </w:r>
      <w:sdt>
        <w:sdtPr>
          <w:id w:val="1623806627"/>
          <w:citation/>
        </w:sdtPr>
        <w:sdtEndPr/>
        <w:sdtContent>
          <w:r>
            <w:fldChar w:fldCharType="begin"/>
          </w:r>
          <w:r>
            <w:instrText xml:space="preserve"> CITATION Aus05 \l 3081 </w:instrText>
          </w:r>
          <w:r>
            <w:fldChar w:fldCharType="separate"/>
          </w:r>
          <w:r>
            <w:rPr>
              <w:noProof/>
            </w:rPr>
            <w:t>(Australian Bureau of Statistics, 2005)</w:t>
          </w:r>
          <w:r>
            <w:fldChar w:fldCharType="end"/>
          </w:r>
        </w:sdtContent>
      </w:sdt>
      <w:r>
        <w:t xml:space="preserve">. For analysis purposes, skill levels have been reversed in the analysis, such that skill level 1 has been recoded to 5, and skill level 2 to 4, and so on. When there is no-one currently employed in a household, a 0 value has been assigned. This means these households are retained in the analysis with 6 levels applied. </w:t>
      </w:r>
    </w:p>
  </w:footnote>
  <w:footnote w:id="8">
    <w:p w14:paraId="61298CD7" w14:textId="48A8823E" w:rsidR="001E36E1" w:rsidRDefault="001E36E1" w:rsidP="00AA7325">
      <w:pPr>
        <w:pStyle w:val="FootnoteText"/>
      </w:pPr>
      <w:r>
        <w:rPr>
          <w:rStyle w:val="FootnoteReference"/>
        </w:rPr>
        <w:footnoteRef/>
      </w:r>
      <w:r>
        <w:t xml:space="preserve"> </w:t>
      </w:r>
      <w:r w:rsidRPr="00AA7325">
        <w:t xml:space="preserve">The ABS </w:t>
      </w:r>
      <w:r>
        <w:t>applies</w:t>
      </w:r>
      <w:r w:rsidRPr="00AA7325">
        <w:t xml:space="preserve"> the OECD-modified equivalence scale</w:t>
      </w:r>
      <w:r>
        <w:t xml:space="preserve">. This </w:t>
      </w:r>
      <w:r w:rsidRPr="00AA7325">
        <w:t>assigns a value of 1 to the household head, 0.5 to each additional person 15 years or older and 0.3 to each child under 15 years</w:t>
      </w:r>
      <w:r>
        <w:t xml:space="preserve"> </w:t>
      </w:r>
      <w:r>
        <w:rPr>
          <w:noProof/>
        </w:rPr>
        <w:t>(ABS, 2017b)</w:t>
      </w:r>
      <w:r w:rsidRPr="00AA7325">
        <w:t>.</w:t>
      </w:r>
    </w:p>
  </w:footnote>
  <w:footnote w:id="9">
    <w:p w14:paraId="120CF6CA" w14:textId="14CC472B" w:rsidR="001E36E1" w:rsidRDefault="001E36E1">
      <w:pPr>
        <w:pStyle w:val="FootnoteText"/>
      </w:pPr>
      <w:r>
        <w:rPr>
          <w:rStyle w:val="FootnoteReference"/>
        </w:rPr>
        <w:footnoteRef/>
      </w:r>
      <w:r>
        <w:t xml:space="preserve"> The analysis uses Stata 15.1, with the p</w:t>
      </w:r>
      <w:r w:rsidRPr="00D93A3A">
        <w:t>olychoric and polychoricpca</w:t>
      </w:r>
      <w:r>
        <w:t xml:space="preserve"> </w:t>
      </w:r>
      <w:r w:rsidRPr="00D93A3A">
        <w:t>Stata ado programs.</w:t>
      </w:r>
      <w:r>
        <w:t xml:space="preserve"> </w:t>
      </w:r>
      <w:r w:rsidRPr="00D93A3A">
        <w:t>These programs first standardise/centre data, generate correlation matri</w:t>
      </w:r>
      <w:r>
        <w:t>c</w:t>
      </w:r>
      <w:r w:rsidRPr="00D93A3A">
        <w:t xml:space="preserve">es, and then undertake PCA by </w:t>
      </w:r>
      <w:r>
        <w:t>calculating</w:t>
      </w:r>
      <w:r w:rsidRPr="00D93A3A">
        <w:t xml:space="preserve"> the eigenvalues, eigenvectors, and associated component scores.</w:t>
      </w:r>
      <w:r>
        <w:t xml:space="preserve"> In some instances, the correlation matrices were required to be adjusted manually, the eigenvalues and eigenvectors generated using the Stata </w:t>
      </w:r>
      <w:r w:rsidRPr="00D93A3A">
        <w:t xml:space="preserve">matrix symeigen </w:t>
      </w:r>
      <w:r>
        <w:t xml:space="preserve">function, and component scores manually calculated. </w:t>
      </w:r>
    </w:p>
  </w:footnote>
  <w:footnote w:id="10">
    <w:p w14:paraId="16645F54" w14:textId="77777777" w:rsidR="001E36E1" w:rsidRDefault="001E36E1">
      <w:pPr>
        <w:pStyle w:val="FootnoteText"/>
      </w:pPr>
      <w:r>
        <w:rPr>
          <w:rStyle w:val="FootnoteReference"/>
        </w:rPr>
        <w:footnoteRef/>
      </w:r>
      <w:r>
        <w:t xml:space="preserve"> A kernel density graph is like a histogram showing the distribution of a variable. The key difference to a histogram is that a kernel density graph is smoothed, averaging over variations in the data distribution.</w:t>
      </w:r>
    </w:p>
  </w:footnote>
  <w:footnote w:id="11">
    <w:p w14:paraId="23A9D8FB" w14:textId="24F5397A" w:rsidR="001E36E1" w:rsidRDefault="001E36E1">
      <w:pPr>
        <w:pStyle w:val="FootnoteText"/>
      </w:pPr>
      <w:r>
        <w:rPr>
          <w:rStyle w:val="FootnoteReference"/>
        </w:rPr>
        <w:footnoteRef/>
      </w:r>
      <w:r>
        <w:t xml:space="preserve"> A similar approach was used by the Australian Council for Educational Research (ACER) in </w:t>
      </w:r>
      <w:r w:rsidRPr="002053C0">
        <w:t>Department of Education, Training and Youth Affairs</w:t>
      </w:r>
      <w:r>
        <w:t xml:space="preserve"> </w:t>
      </w:r>
      <w:sdt>
        <w:sdtPr>
          <w:id w:val="-1006282646"/>
          <w:citation/>
        </w:sdtPr>
        <w:sdtEndPr/>
        <w:sdtContent>
          <w:r>
            <w:fldChar w:fldCharType="begin"/>
          </w:r>
          <w:r>
            <w:instrText xml:space="preserve">CITATION Dep99 \n  \t  \l 3081 </w:instrText>
          </w:r>
          <w:r>
            <w:fldChar w:fldCharType="separate"/>
          </w:r>
          <w:r>
            <w:rPr>
              <w:noProof/>
            </w:rPr>
            <w:t>(1999)</w:t>
          </w:r>
          <w:r>
            <w:fldChar w:fldCharType="end"/>
          </w:r>
        </w:sdtContent>
      </w:sdt>
      <w:r>
        <w:t xml:space="preserve">. ACER compared rankings of a school-level SES index from LSAY for 76 non-government schools, to the SES scores generated in preliminary SES score estimation.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35BA5" w14:textId="77777777" w:rsidR="001E36E1" w:rsidRPr="00BD17A3" w:rsidRDefault="001E36E1" w:rsidP="00C4462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A494E"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683840" behindDoc="0" locked="0" layoutInCell="0" allowOverlap="1" wp14:anchorId="00285AC7" wp14:editId="272F43FC">
              <wp:simplePos x="0" y="0"/>
              <wp:positionH relativeFrom="page">
                <wp:posOffset>5732145</wp:posOffset>
              </wp:positionH>
              <wp:positionV relativeFrom="topMargin">
                <wp:posOffset>346710</wp:posOffset>
              </wp:positionV>
              <wp:extent cx="710565" cy="20880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208800"/>
                      </a:xfrm>
                      <a:prstGeom prst="rect">
                        <a:avLst/>
                      </a:prstGeom>
                      <a:solidFill>
                        <a:srgbClr val="C00000"/>
                      </a:solidFill>
                      <a:extLst/>
                    </wps:spPr>
                    <wps:txbx>
                      <w:txbxContent>
                        <w:p w14:paraId="3128A41E" w14:textId="602D640D" w:rsidR="001E36E1" w:rsidRPr="00D34B38" w:rsidRDefault="001E36E1" w:rsidP="00D34B38">
                          <w:pPr>
                            <w:jc w:val="center"/>
                            <w:rPr>
                              <w:rStyle w:val="PageNumber"/>
                            </w:rPr>
                          </w:pPr>
                          <w:r w:rsidRPr="00D34B38">
                            <w:rPr>
                              <w:rStyle w:val="PageNumber"/>
                            </w:rPr>
                            <w:fldChar w:fldCharType="begin"/>
                          </w:r>
                          <w:r w:rsidRPr="00D34B38">
                            <w:rPr>
                              <w:rStyle w:val="PageNumber"/>
                            </w:rPr>
                            <w:instrText xml:space="preserve"> PAGE   \* MERGEFORMAT </w:instrText>
                          </w:r>
                          <w:r w:rsidRPr="00D34B38">
                            <w:rPr>
                              <w:rStyle w:val="PageNumber"/>
                            </w:rPr>
                            <w:fldChar w:fldCharType="separate"/>
                          </w:r>
                          <w:r w:rsidR="000C756D">
                            <w:rPr>
                              <w:rStyle w:val="PageNumber"/>
                              <w:noProof/>
                            </w:rPr>
                            <w:t>iv</w:t>
                          </w:r>
                          <w:r w:rsidRPr="00D34B38">
                            <w:rPr>
                              <w:rStyle w:val="PageNumber"/>
                            </w:rPr>
                            <w:fldChar w:fldCharType="end"/>
                          </w:r>
                        </w:p>
                        <w:p w14:paraId="7F2CE311" w14:textId="77777777" w:rsidR="001E36E1" w:rsidRDefault="001E36E1" w:rsidP="00C44628"/>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00285AC7" id="_x0000_t202" coordsize="21600,21600" o:spt="202" path="m,l,21600r21600,l21600,xe">
              <v:stroke joinstyle="miter"/>
              <v:path gradientshapeok="t" o:connecttype="rect"/>
            </v:shapetype>
            <v:shape id="Text Box 2" o:spid="_x0000_s1029" type="#_x0000_t202" style="position:absolute;left:0;text-align:left;margin-left:451.35pt;margin-top:27.3pt;width:55.95pt;height:16.4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" o:allowincell="f" fillcolor="#c00000" stroked="f">
              <v:textbox inset=",0,,0">
                <w:txbxContent>
                  <w:p w14:paraId="3128A41E" w14:textId="602D640D" w:rsidR="001E36E1" w:rsidRPr="00D34B38" w:rsidRDefault="001E36E1" w:rsidP="00D34B38">
                    <w:pPr>
                      <w:jc w:val="center"/>
                      <w:rPr>
                        <w:rStyle w:val="PageNumber"/>
                      </w:rPr>
                    </w:pPr>
                    <w:r w:rsidRPr="00D34B38">
                      <w:rPr>
                        <w:rStyle w:val="PageNumber"/>
                      </w:rPr>
                      <w:fldChar w:fldCharType="begin"/>
                    </w:r>
                    <w:r w:rsidRPr="00D34B38">
                      <w:rPr>
                        <w:rStyle w:val="PageNumber"/>
                      </w:rPr>
                      <w:instrText xml:space="preserve"> PAGE   \* MERGEFORMAT </w:instrText>
                    </w:r>
                    <w:r w:rsidRPr="00D34B38">
                      <w:rPr>
                        <w:rStyle w:val="PageNumber"/>
                      </w:rPr>
                      <w:fldChar w:fldCharType="separate"/>
                    </w:r>
                    <w:r w:rsidR="000C756D">
                      <w:rPr>
                        <w:rStyle w:val="PageNumber"/>
                        <w:noProof/>
                      </w:rPr>
                      <w:t>iv</w:t>
                    </w:r>
                    <w:r w:rsidRPr="00D34B38">
                      <w:rPr>
                        <w:rStyle w:val="PageNumber"/>
                      </w:rPr>
                      <w:fldChar w:fldCharType="end"/>
                    </w:r>
                  </w:p>
                  <w:p w14:paraId="7F2CE311" w14:textId="77777777" w:rsidR="001E36E1" w:rsidRDefault="001E36E1" w:rsidP="00C44628"/>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B9132"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697152" behindDoc="0" locked="0" layoutInCell="0" allowOverlap="1" wp14:anchorId="5B4FDD29" wp14:editId="21E4421E">
              <wp:simplePos x="0" y="0"/>
              <wp:positionH relativeFrom="page">
                <wp:posOffset>5732145</wp:posOffset>
              </wp:positionH>
              <wp:positionV relativeFrom="topMargin">
                <wp:posOffset>346710</wp:posOffset>
              </wp:positionV>
              <wp:extent cx="620395" cy="208800"/>
              <wp:effectExtent l="0" t="0" r="0" b="127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1B699A73" w14:textId="058C95F9"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11</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5B4FDD29" id="_x0000_t202" coordsize="21600,21600" o:spt="202" path="m,l,21600r21600,l21600,xe">
              <v:stroke joinstyle="miter"/>
              <v:path gradientshapeok="t" o:connecttype="rect"/>
            </v:shapetype>
            <v:shape id="Text Box 97" o:spid="_x0000_s1030" type="#_x0000_t202" style="position:absolute;left:0;text-align:left;margin-left:451.35pt;margin-top:27.3pt;width:48.85pt;height:16.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BzMrjsBAgAA5AMAAA4AAAAA&#10;AAAAAAAAAAAALgIAAGRycy9lMm9Eb2MueG1sUEsBAi0AFAAGAAgAAAAhAAXvv9jgAAAACgEAAA8A&#10;AAAAAAAAAAAAAAAAWwQAAGRycy9kb3ducmV2LnhtbFBLBQYAAAAABAAEAPMAAABoBQAAAAA=&#10;" o:allowincell="f" fillcolor="#c00000" stroked="f">
              <v:textbox inset=",0,,0">
                <w:txbxContent>
                  <w:p w14:paraId="1B699A73" w14:textId="058C95F9"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11</w:t>
                    </w:r>
                    <w:r w:rsidRPr="00C25C17">
                      <w:rPr>
                        <w:rStyle w:val="PageNumber"/>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9956"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701248" behindDoc="0" locked="0" layoutInCell="0" allowOverlap="1" wp14:anchorId="4CC932AB" wp14:editId="5DA9A5AF">
              <wp:simplePos x="0" y="0"/>
              <wp:positionH relativeFrom="page">
                <wp:posOffset>8951595</wp:posOffset>
              </wp:positionH>
              <wp:positionV relativeFrom="topMargin">
                <wp:posOffset>346710</wp:posOffset>
              </wp:positionV>
              <wp:extent cx="620395" cy="208800"/>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36390A5A" w14:textId="3B186083"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12</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4CC932AB" id="_x0000_t202" coordsize="21600,21600" o:spt="202" path="m,l,21600r21600,l21600,xe">
              <v:stroke joinstyle="miter"/>
              <v:path gradientshapeok="t" o:connecttype="rect"/>
            </v:shapetype>
            <v:shape id="Text Box 5" o:spid="_x0000_s1031" type="#_x0000_t202" style="position:absolute;left:0;text-align:left;margin-left:704.85pt;margin-top:27.3pt;width:48.85pt;height:16.45pt;z-index:25170124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" o:allowincell="f" fillcolor="#c00000" stroked="f">
              <v:textbox inset=",0,,0">
                <w:txbxContent>
                  <w:p w14:paraId="36390A5A" w14:textId="3B186083"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12</w:t>
                    </w:r>
                    <w:r w:rsidRPr="00C25C17">
                      <w:rPr>
                        <w:rStyle w:val="PageNumber"/>
                      </w:rPr>
                      <w:fldChar w:fldCharType="end"/>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FA8F0"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703296" behindDoc="0" locked="0" layoutInCell="0" allowOverlap="1" wp14:anchorId="50460310" wp14:editId="28F06A82">
              <wp:simplePos x="0" y="0"/>
              <wp:positionH relativeFrom="page">
                <wp:posOffset>5732145</wp:posOffset>
              </wp:positionH>
              <wp:positionV relativeFrom="topMargin">
                <wp:posOffset>346710</wp:posOffset>
              </wp:positionV>
              <wp:extent cx="620395" cy="20880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7E71162B" w14:textId="4B9CEEBD"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13</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50460310" id="_x0000_t202" coordsize="21600,21600" o:spt="202" path="m,l,21600r21600,l21600,xe">
              <v:stroke joinstyle="miter"/>
              <v:path gradientshapeok="t" o:connecttype="rect"/>
            </v:shapetype>
            <v:shape id="Text Box 7" o:spid="_x0000_s1032" type="#_x0000_t202" style="position:absolute;left:0;text-align:left;margin-left:451.35pt;margin-top:27.3pt;width:48.85pt;height:16.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AixrT8BAgAA4gMAAA4AAAAA&#10;AAAAAAAAAAAALgIAAGRycy9lMm9Eb2MueG1sUEsBAi0AFAAGAAgAAAAhAAXvv9jgAAAACgEAAA8A&#10;AAAAAAAAAAAAAAAAWwQAAGRycy9kb3ducmV2LnhtbFBLBQYAAAAABAAEAPMAAABoBQAAAAA=&#10;" o:allowincell="f" fillcolor="#c00000" stroked="f">
              <v:textbox inset=",0,,0">
                <w:txbxContent>
                  <w:p w14:paraId="7E71162B" w14:textId="4B9CEEBD"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13</w:t>
                    </w:r>
                    <w:r w:rsidRPr="00C25C17">
                      <w:rPr>
                        <w:rStyle w:val="PageNumber"/>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A5A10"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704320" behindDoc="0" locked="0" layoutInCell="0" allowOverlap="1" wp14:anchorId="2A32D412" wp14:editId="7AFE7E04">
              <wp:simplePos x="0" y="0"/>
              <wp:positionH relativeFrom="page">
                <wp:posOffset>8951595</wp:posOffset>
              </wp:positionH>
              <wp:positionV relativeFrom="topMargin">
                <wp:posOffset>346710</wp:posOffset>
              </wp:positionV>
              <wp:extent cx="620395" cy="208800"/>
              <wp:effectExtent l="0" t="0" r="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7F2524C3" w14:textId="61B2185C"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14</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2A32D412" id="_x0000_t202" coordsize="21600,21600" o:spt="202" path="m,l,21600r21600,l21600,xe">
              <v:stroke joinstyle="miter"/>
              <v:path gradientshapeok="t" o:connecttype="rect"/>
            </v:shapetype>
            <v:shape id="Text Box 14" o:spid="_x0000_s1033" type="#_x0000_t202" style="position:absolute;left:0;text-align:left;margin-left:704.85pt;margin-top:27.3pt;width:48.85pt;height:16.45pt;z-index:25170432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" o:allowincell="f" fillcolor="#c00000" stroked="f">
              <v:textbox inset=",0,,0">
                <w:txbxContent>
                  <w:p w14:paraId="7F2524C3" w14:textId="61B2185C"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14</w:t>
                    </w:r>
                    <w:r w:rsidRPr="00C25C17">
                      <w:rPr>
                        <w:rStyle w:val="PageNumber"/>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C3685"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699200" behindDoc="0" locked="0" layoutInCell="0" allowOverlap="1" wp14:anchorId="296B22EF" wp14:editId="0E27FA40">
              <wp:simplePos x="0" y="0"/>
              <wp:positionH relativeFrom="page">
                <wp:posOffset>5732145</wp:posOffset>
              </wp:positionH>
              <wp:positionV relativeFrom="topMargin">
                <wp:posOffset>346710</wp:posOffset>
              </wp:positionV>
              <wp:extent cx="620395" cy="208800"/>
              <wp:effectExtent l="0"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4C9E6329" w14:textId="034BCAF1"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15</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296B22EF" id="_x0000_t202" coordsize="21600,21600" o:spt="202" path="m,l,21600r21600,l21600,xe">
              <v:stroke joinstyle="miter"/>
              <v:path gradientshapeok="t" o:connecttype="rect"/>
            </v:shapetype>
            <v:shape id="Text Box 4" o:spid="_x0000_s1034" type="#_x0000_t202" style="position:absolute;left:0;text-align:left;margin-left:451.35pt;margin-top:27.3pt;width:48.85pt;height:16.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M+2CoMBAgAA4gMAAA4AAAAA&#10;AAAAAAAAAAAALgIAAGRycy9lMm9Eb2MueG1sUEsBAi0AFAAGAAgAAAAhAAXvv9jgAAAACgEAAA8A&#10;AAAAAAAAAAAAAAAAWwQAAGRycy9kb3ducmV2LnhtbFBLBQYAAAAABAAEAPMAAABoBQAAAAA=&#10;" o:allowincell="f" fillcolor="#c00000" stroked="f">
              <v:textbox inset=",0,,0">
                <w:txbxContent>
                  <w:p w14:paraId="4C9E6329" w14:textId="034BCAF1"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15</w:t>
                    </w:r>
                    <w:r w:rsidRPr="00C25C17">
                      <w:rPr>
                        <w:rStyle w:val="PageNumber"/>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43A53"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706368" behindDoc="0" locked="0" layoutInCell="0" allowOverlap="1" wp14:anchorId="01DEF3B1" wp14:editId="61378160">
              <wp:simplePos x="0" y="0"/>
              <wp:positionH relativeFrom="page">
                <wp:posOffset>8932545</wp:posOffset>
              </wp:positionH>
              <wp:positionV relativeFrom="topMargin">
                <wp:posOffset>346710</wp:posOffset>
              </wp:positionV>
              <wp:extent cx="620395" cy="208800"/>
              <wp:effectExtent l="0"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58EED84C" w14:textId="61427A7E"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20</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01DEF3B1" id="_x0000_t202" coordsize="21600,21600" o:spt="202" path="m,l,21600r21600,l21600,xe">
              <v:stroke joinstyle="miter"/>
              <v:path gradientshapeok="t" o:connecttype="rect"/>
            </v:shapetype>
            <v:shape id="Text Box 16" o:spid="_x0000_s1035" type="#_x0000_t202" style="position:absolute;left:0;text-align:left;margin-left:703.35pt;margin-top:27.3pt;width:48.85pt;height:16.45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" o:allowincell="f" fillcolor="#c00000" stroked="f">
              <v:textbox inset=",0,,0">
                <w:txbxContent>
                  <w:p w14:paraId="58EED84C" w14:textId="61427A7E"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20</w:t>
                    </w:r>
                    <w:r w:rsidRPr="00C25C17">
                      <w:rPr>
                        <w:rStyle w:val="PageNumber"/>
                      </w:rPr>
                      <w:fldChar w:fldCharType="end"/>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802AD" w14:textId="77777777" w:rsidR="001E36E1" w:rsidRDefault="001E36E1" w:rsidP="00C44628">
    <w:r w:rsidRPr="00AA5264">
      <w:rPr>
        <w:rFonts w:eastAsiaTheme="majorEastAsia"/>
        <w:noProof/>
        <w:lang w:eastAsia="en-AU"/>
      </w:rPr>
      <mc:AlternateContent>
        <mc:Choice Requires="wps">
          <w:drawing>
            <wp:anchor distT="0" distB="0" distL="114300" distR="114300" simplePos="0" relativeHeight="251708416" behindDoc="0" locked="0" layoutInCell="0" allowOverlap="1" wp14:anchorId="6D5F6DEB" wp14:editId="0108C616">
              <wp:simplePos x="0" y="0"/>
              <wp:positionH relativeFrom="page">
                <wp:posOffset>5732145</wp:posOffset>
              </wp:positionH>
              <wp:positionV relativeFrom="topMargin">
                <wp:posOffset>346710</wp:posOffset>
              </wp:positionV>
              <wp:extent cx="620395" cy="208800"/>
              <wp:effectExtent l="0" t="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5ED9D8DA" w14:textId="377D8FCB"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26</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6D5F6DEB" id="_x0000_t202" coordsize="21600,21600" o:spt="202" path="m,l,21600r21600,l21600,xe">
              <v:stroke joinstyle="miter"/>
              <v:path gradientshapeok="t" o:connecttype="rect"/>
            </v:shapetype>
            <v:shape id="Text Box 17" o:spid="_x0000_s1036" type="#_x0000_t202" style="position:absolute;left:0;text-align:left;margin-left:451.35pt;margin-top:27.3pt;width:48.85pt;height:16.4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AwB32EBAgAA5AMAAA4AAAAA&#10;AAAAAAAAAAAALgIAAGRycy9lMm9Eb2MueG1sUEsBAi0AFAAGAAgAAAAhAAXvv9jgAAAACgEAAA8A&#10;AAAAAAAAAAAAAAAAWwQAAGRycy9kb3ducmV2LnhtbFBLBQYAAAAABAAEAPMAAABoBQAAAAA=&#10;" o:allowincell="f" fillcolor="#c00000" stroked="f">
              <v:textbox inset=",0,,0">
                <w:txbxContent>
                  <w:p w14:paraId="5ED9D8DA" w14:textId="377D8FCB" w:rsidR="001E36E1" w:rsidRPr="00C25C17" w:rsidRDefault="001E36E1"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0C756D">
                      <w:rPr>
                        <w:rStyle w:val="PageNumber"/>
                        <w:noProof/>
                      </w:rPr>
                      <w:t>26</w:t>
                    </w:r>
                    <w:r w:rsidRPr="00C25C17">
                      <w:rPr>
                        <w:rStyle w:val="PageNumber"/>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764EF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A2E641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38B2C7F"/>
    <w:multiLevelType w:val="hybridMultilevel"/>
    <w:tmpl w:val="EDD49CC8"/>
    <w:lvl w:ilvl="0" w:tplc="21808DF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7C70955"/>
    <w:multiLevelType w:val="hybridMultilevel"/>
    <w:tmpl w:val="8AFC59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F268D7"/>
    <w:multiLevelType w:val="hybridMultilevel"/>
    <w:tmpl w:val="8AEE6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2A5929"/>
    <w:multiLevelType w:val="hybridMultilevel"/>
    <w:tmpl w:val="272C43EE"/>
    <w:lvl w:ilvl="0" w:tplc="5358C2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5329C5"/>
    <w:multiLevelType w:val="hybridMultilevel"/>
    <w:tmpl w:val="6E203304"/>
    <w:lvl w:ilvl="0" w:tplc="A3AEBDA2">
      <w:start w:val="1"/>
      <w:numFmt w:val="bullet"/>
      <w:lvlText w:val="•"/>
      <w:lvlJc w:val="left"/>
      <w:pPr>
        <w:tabs>
          <w:tab w:val="num" w:pos="720"/>
        </w:tabs>
        <w:ind w:left="720" w:hanging="360"/>
      </w:pPr>
      <w:rPr>
        <w:rFonts w:ascii="Arial" w:hAnsi="Arial" w:hint="default"/>
      </w:rPr>
    </w:lvl>
    <w:lvl w:ilvl="1" w:tplc="8C2E54DC" w:tentative="1">
      <w:start w:val="1"/>
      <w:numFmt w:val="bullet"/>
      <w:lvlText w:val="•"/>
      <w:lvlJc w:val="left"/>
      <w:pPr>
        <w:tabs>
          <w:tab w:val="num" w:pos="1440"/>
        </w:tabs>
        <w:ind w:left="1440" w:hanging="360"/>
      </w:pPr>
      <w:rPr>
        <w:rFonts w:ascii="Arial" w:hAnsi="Arial" w:hint="default"/>
      </w:rPr>
    </w:lvl>
    <w:lvl w:ilvl="2" w:tplc="E9842FAA" w:tentative="1">
      <w:start w:val="1"/>
      <w:numFmt w:val="bullet"/>
      <w:lvlText w:val="•"/>
      <w:lvlJc w:val="left"/>
      <w:pPr>
        <w:tabs>
          <w:tab w:val="num" w:pos="2160"/>
        </w:tabs>
        <w:ind w:left="2160" w:hanging="360"/>
      </w:pPr>
      <w:rPr>
        <w:rFonts w:ascii="Arial" w:hAnsi="Arial" w:hint="default"/>
      </w:rPr>
    </w:lvl>
    <w:lvl w:ilvl="3" w:tplc="DC2C201E" w:tentative="1">
      <w:start w:val="1"/>
      <w:numFmt w:val="bullet"/>
      <w:lvlText w:val="•"/>
      <w:lvlJc w:val="left"/>
      <w:pPr>
        <w:tabs>
          <w:tab w:val="num" w:pos="2880"/>
        </w:tabs>
        <w:ind w:left="2880" w:hanging="360"/>
      </w:pPr>
      <w:rPr>
        <w:rFonts w:ascii="Arial" w:hAnsi="Arial" w:hint="default"/>
      </w:rPr>
    </w:lvl>
    <w:lvl w:ilvl="4" w:tplc="6F4A0B34" w:tentative="1">
      <w:start w:val="1"/>
      <w:numFmt w:val="bullet"/>
      <w:lvlText w:val="•"/>
      <w:lvlJc w:val="left"/>
      <w:pPr>
        <w:tabs>
          <w:tab w:val="num" w:pos="3600"/>
        </w:tabs>
        <w:ind w:left="3600" w:hanging="360"/>
      </w:pPr>
      <w:rPr>
        <w:rFonts w:ascii="Arial" w:hAnsi="Arial" w:hint="default"/>
      </w:rPr>
    </w:lvl>
    <w:lvl w:ilvl="5" w:tplc="116228B6" w:tentative="1">
      <w:start w:val="1"/>
      <w:numFmt w:val="bullet"/>
      <w:lvlText w:val="•"/>
      <w:lvlJc w:val="left"/>
      <w:pPr>
        <w:tabs>
          <w:tab w:val="num" w:pos="4320"/>
        </w:tabs>
        <w:ind w:left="4320" w:hanging="360"/>
      </w:pPr>
      <w:rPr>
        <w:rFonts w:ascii="Arial" w:hAnsi="Arial" w:hint="default"/>
      </w:rPr>
    </w:lvl>
    <w:lvl w:ilvl="6" w:tplc="41C209FE" w:tentative="1">
      <w:start w:val="1"/>
      <w:numFmt w:val="bullet"/>
      <w:lvlText w:val="•"/>
      <w:lvlJc w:val="left"/>
      <w:pPr>
        <w:tabs>
          <w:tab w:val="num" w:pos="5040"/>
        </w:tabs>
        <w:ind w:left="5040" w:hanging="360"/>
      </w:pPr>
      <w:rPr>
        <w:rFonts w:ascii="Arial" w:hAnsi="Arial" w:hint="default"/>
      </w:rPr>
    </w:lvl>
    <w:lvl w:ilvl="7" w:tplc="BB9828D8" w:tentative="1">
      <w:start w:val="1"/>
      <w:numFmt w:val="bullet"/>
      <w:lvlText w:val="•"/>
      <w:lvlJc w:val="left"/>
      <w:pPr>
        <w:tabs>
          <w:tab w:val="num" w:pos="5760"/>
        </w:tabs>
        <w:ind w:left="5760" w:hanging="360"/>
      </w:pPr>
      <w:rPr>
        <w:rFonts w:ascii="Arial" w:hAnsi="Arial" w:hint="default"/>
      </w:rPr>
    </w:lvl>
    <w:lvl w:ilvl="8" w:tplc="4F10A0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DA6851"/>
    <w:multiLevelType w:val="hybridMultilevel"/>
    <w:tmpl w:val="60F85E18"/>
    <w:lvl w:ilvl="0" w:tplc="39BAFA54">
      <w:start w:val="1"/>
      <w:numFmt w:val="decimal"/>
      <w:pStyle w:val="Numberedlistwithspac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D7BB4"/>
    <w:multiLevelType w:val="multilevel"/>
    <w:tmpl w:val="410E2C24"/>
    <w:lvl w:ilvl="0">
      <w:start w:val="1"/>
      <w:numFmt w:val="decimal"/>
      <w:suff w:val="space"/>
      <w:lvlText w:val="Chapter %1"/>
      <w:lvlJc w:val="left"/>
      <w:rPr>
        <w:rFonts w:cs="Times New Roman" w:hint="default"/>
      </w:rPr>
    </w:lvl>
    <w:lvl w:ilvl="1">
      <w:start w:val="1"/>
      <w:numFmt w:val="decimal"/>
      <w:lvlText w:val="%2"/>
      <w:lvlJc w:val="left"/>
      <w:pPr>
        <w:tabs>
          <w:tab w:val="num" w:pos="567"/>
        </w:tabs>
        <w:ind w:left="567" w:hanging="567"/>
      </w:pPr>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9" w15:restartNumberingAfterBreak="0">
    <w:nsid w:val="1A835957"/>
    <w:multiLevelType w:val="hybridMultilevel"/>
    <w:tmpl w:val="331AC542"/>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0657AED"/>
    <w:multiLevelType w:val="hybridMultilevel"/>
    <w:tmpl w:val="F06AB0E4"/>
    <w:lvl w:ilvl="0" w:tplc="AA82C100">
      <w:start w:val="1"/>
      <w:numFmt w:val="bullet"/>
      <w:pStyle w:val="Tablegriddotpoints"/>
      <w:lvlText w:val=""/>
      <w:lvlJc w:val="left"/>
      <w:pPr>
        <w:tabs>
          <w:tab w:val="num" w:pos="567"/>
        </w:tabs>
        <w:ind w:left="567" w:hanging="283"/>
      </w:pPr>
      <w:rPr>
        <w:rFonts w:ascii="Symbol" w:hAnsi="Symbol" w:cs="Times New Roman" w:hint="default"/>
        <w:b w:val="0"/>
        <w:i w:val="0"/>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0178F8"/>
    <w:multiLevelType w:val="singleLevel"/>
    <w:tmpl w:val="E4FE8910"/>
    <w:lvl w:ilvl="0">
      <w:start w:val="1"/>
      <w:numFmt w:val="bullet"/>
      <w:lvlText w:val="•"/>
      <w:lvlJc w:val="left"/>
      <w:pPr>
        <w:tabs>
          <w:tab w:val="num" w:pos="340"/>
        </w:tabs>
        <w:ind w:left="340" w:hanging="340"/>
      </w:pPr>
      <w:rPr>
        <w:rFonts w:ascii="Times New Roman" w:hAnsi="Times New Roman" w:cs="Times New Roman" w:hint="default"/>
      </w:rPr>
    </w:lvl>
  </w:abstractNum>
  <w:abstractNum w:abstractNumId="12" w15:restartNumberingAfterBreak="0">
    <w:nsid w:val="2BB20D3F"/>
    <w:multiLevelType w:val="hybridMultilevel"/>
    <w:tmpl w:val="9E581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DB26D7"/>
    <w:multiLevelType w:val="hybridMultilevel"/>
    <w:tmpl w:val="101EAF1E"/>
    <w:lvl w:ilvl="0" w:tplc="986AA41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644493"/>
    <w:multiLevelType w:val="hybridMultilevel"/>
    <w:tmpl w:val="73305E94"/>
    <w:lvl w:ilvl="0" w:tplc="B2A4E106">
      <w:start w:val="1"/>
      <w:numFmt w:val="bullet"/>
      <w:pStyle w:val="Dotpoin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CD2064E"/>
    <w:multiLevelType w:val="hybridMultilevel"/>
    <w:tmpl w:val="2E9A1070"/>
    <w:lvl w:ilvl="0" w:tplc="B4AA8DF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7A2905"/>
    <w:multiLevelType w:val="hybridMultilevel"/>
    <w:tmpl w:val="85187E4A"/>
    <w:lvl w:ilvl="0" w:tplc="813AF5D6">
      <w:start w:val="1"/>
      <w:numFmt w:val="decimal"/>
      <w:pStyle w:val="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3F3687"/>
    <w:multiLevelType w:val="hybridMultilevel"/>
    <w:tmpl w:val="15EEC956"/>
    <w:lvl w:ilvl="0" w:tplc="9E803E82">
      <w:start w:val="1"/>
      <w:numFmt w:val="bullet"/>
      <w:lvlText w:val="•"/>
      <w:lvlJc w:val="left"/>
      <w:pPr>
        <w:tabs>
          <w:tab w:val="num" w:pos="720"/>
        </w:tabs>
        <w:ind w:left="720" w:hanging="360"/>
      </w:pPr>
      <w:rPr>
        <w:rFonts w:ascii="Times New Roman" w:hAnsi="Times New Roman" w:hint="default"/>
      </w:rPr>
    </w:lvl>
    <w:lvl w:ilvl="1" w:tplc="7C9E5DC8" w:tentative="1">
      <w:start w:val="1"/>
      <w:numFmt w:val="bullet"/>
      <w:lvlText w:val="•"/>
      <w:lvlJc w:val="left"/>
      <w:pPr>
        <w:tabs>
          <w:tab w:val="num" w:pos="1440"/>
        </w:tabs>
        <w:ind w:left="1440" w:hanging="360"/>
      </w:pPr>
      <w:rPr>
        <w:rFonts w:ascii="Times New Roman" w:hAnsi="Times New Roman" w:hint="default"/>
      </w:rPr>
    </w:lvl>
    <w:lvl w:ilvl="2" w:tplc="505400B6" w:tentative="1">
      <w:start w:val="1"/>
      <w:numFmt w:val="bullet"/>
      <w:lvlText w:val="•"/>
      <w:lvlJc w:val="left"/>
      <w:pPr>
        <w:tabs>
          <w:tab w:val="num" w:pos="2160"/>
        </w:tabs>
        <w:ind w:left="2160" w:hanging="360"/>
      </w:pPr>
      <w:rPr>
        <w:rFonts w:ascii="Times New Roman" w:hAnsi="Times New Roman" w:hint="default"/>
      </w:rPr>
    </w:lvl>
    <w:lvl w:ilvl="3" w:tplc="BAE4347E" w:tentative="1">
      <w:start w:val="1"/>
      <w:numFmt w:val="bullet"/>
      <w:lvlText w:val="•"/>
      <w:lvlJc w:val="left"/>
      <w:pPr>
        <w:tabs>
          <w:tab w:val="num" w:pos="2880"/>
        </w:tabs>
        <w:ind w:left="2880" w:hanging="360"/>
      </w:pPr>
      <w:rPr>
        <w:rFonts w:ascii="Times New Roman" w:hAnsi="Times New Roman" w:hint="default"/>
      </w:rPr>
    </w:lvl>
    <w:lvl w:ilvl="4" w:tplc="2842D17A" w:tentative="1">
      <w:start w:val="1"/>
      <w:numFmt w:val="bullet"/>
      <w:lvlText w:val="•"/>
      <w:lvlJc w:val="left"/>
      <w:pPr>
        <w:tabs>
          <w:tab w:val="num" w:pos="3600"/>
        </w:tabs>
        <w:ind w:left="3600" w:hanging="360"/>
      </w:pPr>
      <w:rPr>
        <w:rFonts w:ascii="Times New Roman" w:hAnsi="Times New Roman" w:hint="default"/>
      </w:rPr>
    </w:lvl>
    <w:lvl w:ilvl="5" w:tplc="CE8C5528" w:tentative="1">
      <w:start w:val="1"/>
      <w:numFmt w:val="bullet"/>
      <w:lvlText w:val="•"/>
      <w:lvlJc w:val="left"/>
      <w:pPr>
        <w:tabs>
          <w:tab w:val="num" w:pos="4320"/>
        </w:tabs>
        <w:ind w:left="4320" w:hanging="360"/>
      </w:pPr>
      <w:rPr>
        <w:rFonts w:ascii="Times New Roman" w:hAnsi="Times New Roman" w:hint="default"/>
      </w:rPr>
    </w:lvl>
    <w:lvl w:ilvl="6" w:tplc="7960D1A2" w:tentative="1">
      <w:start w:val="1"/>
      <w:numFmt w:val="bullet"/>
      <w:lvlText w:val="•"/>
      <w:lvlJc w:val="left"/>
      <w:pPr>
        <w:tabs>
          <w:tab w:val="num" w:pos="5040"/>
        </w:tabs>
        <w:ind w:left="5040" w:hanging="360"/>
      </w:pPr>
      <w:rPr>
        <w:rFonts w:ascii="Times New Roman" w:hAnsi="Times New Roman" w:hint="default"/>
      </w:rPr>
    </w:lvl>
    <w:lvl w:ilvl="7" w:tplc="B192E15C" w:tentative="1">
      <w:start w:val="1"/>
      <w:numFmt w:val="bullet"/>
      <w:lvlText w:val="•"/>
      <w:lvlJc w:val="left"/>
      <w:pPr>
        <w:tabs>
          <w:tab w:val="num" w:pos="5760"/>
        </w:tabs>
        <w:ind w:left="5760" w:hanging="360"/>
      </w:pPr>
      <w:rPr>
        <w:rFonts w:ascii="Times New Roman" w:hAnsi="Times New Roman" w:hint="default"/>
      </w:rPr>
    </w:lvl>
    <w:lvl w:ilvl="8" w:tplc="07161B1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B87A63"/>
    <w:multiLevelType w:val="hybridMultilevel"/>
    <w:tmpl w:val="4EEAFAE6"/>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37531D1"/>
    <w:multiLevelType w:val="hybridMultilevel"/>
    <w:tmpl w:val="AE36D21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E3219E3"/>
    <w:multiLevelType w:val="hybridMultilevel"/>
    <w:tmpl w:val="B9462E56"/>
    <w:lvl w:ilvl="0" w:tplc="500E7A26">
      <w:start w:val="1"/>
      <w:numFmt w:val="bullet"/>
      <w:pStyle w:val="Dotpointswith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50434FC0"/>
    <w:multiLevelType w:val="hybridMultilevel"/>
    <w:tmpl w:val="585C544C"/>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B656E00"/>
    <w:multiLevelType w:val="hybridMultilevel"/>
    <w:tmpl w:val="BC0A81C4"/>
    <w:lvl w:ilvl="0" w:tplc="0C09000F">
      <w:start w:val="1"/>
      <w:numFmt w:val="decimal"/>
      <w:lvlText w:val="%1."/>
      <w:lvlJc w:val="left"/>
      <w:pPr>
        <w:tabs>
          <w:tab w:val="num" w:pos="900"/>
        </w:tabs>
        <w:ind w:left="900" w:hanging="360"/>
      </w:pPr>
    </w:lvl>
    <w:lvl w:ilvl="1" w:tplc="00FC3B0E">
      <w:start w:val="1"/>
      <w:numFmt w:val="bullet"/>
      <w:lvlText w:val=""/>
      <w:lvlJc w:val="left"/>
      <w:pPr>
        <w:tabs>
          <w:tab w:val="num" w:pos="567"/>
        </w:tabs>
        <w:ind w:left="567" w:hanging="283"/>
      </w:pPr>
      <w:rPr>
        <w:rFonts w:ascii="Symbol" w:hAnsi="Symbol" w:hint="default"/>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5E4E2037"/>
    <w:multiLevelType w:val="hybridMultilevel"/>
    <w:tmpl w:val="08E46E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8844EF4"/>
    <w:multiLevelType w:val="hybridMultilevel"/>
    <w:tmpl w:val="A516AB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9367911"/>
    <w:multiLevelType w:val="hybridMultilevel"/>
    <w:tmpl w:val="867A770A"/>
    <w:lvl w:ilvl="0" w:tplc="37426540">
      <w:start w:val="1"/>
      <w:numFmt w:val="bullet"/>
      <w:lvlText w:val="•"/>
      <w:lvlJc w:val="left"/>
      <w:pPr>
        <w:tabs>
          <w:tab w:val="num" w:pos="720"/>
        </w:tabs>
        <w:ind w:left="720" w:hanging="360"/>
      </w:pPr>
      <w:rPr>
        <w:rFonts w:ascii="Arial" w:hAnsi="Arial" w:hint="default"/>
      </w:rPr>
    </w:lvl>
    <w:lvl w:ilvl="1" w:tplc="C1709D6A" w:tentative="1">
      <w:start w:val="1"/>
      <w:numFmt w:val="bullet"/>
      <w:lvlText w:val="•"/>
      <w:lvlJc w:val="left"/>
      <w:pPr>
        <w:tabs>
          <w:tab w:val="num" w:pos="1440"/>
        </w:tabs>
        <w:ind w:left="1440" w:hanging="360"/>
      </w:pPr>
      <w:rPr>
        <w:rFonts w:ascii="Arial" w:hAnsi="Arial" w:hint="default"/>
      </w:rPr>
    </w:lvl>
    <w:lvl w:ilvl="2" w:tplc="6A7ED418" w:tentative="1">
      <w:start w:val="1"/>
      <w:numFmt w:val="bullet"/>
      <w:lvlText w:val="•"/>
      <w:lvlJc w:val="left"/>
      <w:pPr>
        <w:tabs>
          <w:tab w:val="num" w:pos="2160"/>
        </w:tabs>
        <w:ind w:left="2160" w:hanging="360"/>
      </w:pPr>
      <w:rPr>
        <w:rFonts w:ascii="Arial" w:hAnsi="Arial" w:hint="default"/>
      </w:rPr>
    </w:lvl>
    <w:lvl w:ilvl="3" w:tplc="4EEE7FBC" w:tentative="1">
      <w:start w:val="1"/>
      <w:numFmt w:val="bullet"/>
      <w:lvlText w:val="•"/>
      <w:lvlJc w:val="left"/>
      <w:pPr>
        <w:tabs>
          <w:tab w:val="num" w:pos="2880"/>
        </w:tabs>
        <w:ind w:left="2880" w:hanging="360"/>
      </w:pPr>
      <w:rPr>
        <w:rFonts w:ascii="Arial" w:hAnsi="Arial" w:hint="default"/>
      </w:rPr>
    </w:lvl>
    <w:lvl w:ilvl="4" w:tplc="B994D3B2" w:tentative="1">
      <w:start w:val="1"/>
      <w:numFmt w:val="bullet"/>
      <w:lvlText w:val="•"/>
      <w:lvlJc w:val="left"/>
      <w:pPr>
        <w:tabs>
          <w:tab w:val="num" w:pos="3600"/>
        </w:tabs>
        <w:ind w:left="3600" w:hanging="360"/>
      </w:pPr>
      <w:rPr>
        <w:rFonts w:ascii="Arial" w:hAnsi="Arial" w:hint="default"/>
      </w:rPr>
    </w:lvl>
    <w:lvl w:ilvl="5" w:tplc="D5D83B20" w:tentative="1">
      <w:start w:val="1"/>
      <w:numFmt w:val="bullet"/>
      <w:lvlText w:val="•"/>
      <w:lvlJc w:val="left"/>
      <w:pPr>
        <w:tabs>
          <w:tab w:val="num" w:pos="4320"/>
        </w:tabs>
        <w:ind w:left="4320" w:hanging="360"/>
      </w:pPr>
      <w:rPr>
        <w:rFonts w:ascii="Arial" w:hAnsi="Arial" w:hint="default"/>
      </w:rPr>
    </w:lvl>
    <w:lvl w:ilvl="6" w:tplc="A4F27994" w:tentative="1">
      <w:start w:val="1"/>
      <w:numFmt w:val="bullet"/>
      <w:lvlText w:val="•"/>
      <w:lvlJc w:val="left"/>
      <w:pPr>
        <w:tabs>
          <w:tab w:val="num" w:pos="5040"/>
        </w:tabs>
        <w:ind w:left="5040" w:hanging="360"/>
      </w:pPr>
      <w:rPr>
        <w:rFonts w:ascii="Arial" w:hAnsi="Arial" w:hint="default"/>
      </w:rPr>
    </w:lvl>
    <w:lvl w:ilvl="7" w:tplc="8A00885A" w:tentative="1">
      <w:start w:val="1"/>
      <w:numFmt w:val="bullet"/>
      <w:lvlText w:val="•"/>
      <w:lvlJc w:val="left"/>
      <w:pPr>
        <w:tabs>
          <w:tab w:val="num" w:pos="5760"/>
        </w:tabs>
        <w:ind w:left="5760" w:hanging="360"/>
      </w:pPr>
      <w:rPr>
        <w:rFonts w:ascii="Arial" w:hAnsi="Arial" w:hint="default"/>
      </w:rPr>
    </w:lvl>
    <w:lvl w:ilvl="8" w:tplc="8D52EBD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7A0887"/>
    <w:multiLevelType w:val="hybridMultilevel"/>
    <w:tmpl w:val="934C547C"/>
    <w:lvl w:ilvl="0" w:tplc="ADD2E812">
      <w:start w:val="1"/>
      <w:numFmt w:val="bullet"/>
      <w:lvlText w:val="•"/>
      <w:lvlJc w:val="left"/>
      <w:pPr>
        <w:tabs>
          <w:tab w:val="num" w:pos="720"/>
        </w:tabs>
        <w:ind w:left="720" w:hanging="360"/>
      </w:pPr>
      <w:rPr>
        <w:rFonts w:ascii="Arial" w:hAnsi="Arial" w:hint="default"/>
      </w:rPr>
    </w:lvl>
    <w:lvl w:ilvl="1" w:tplc="A998B4C6" w:tentative="1">
      <w:start w:val="1"/>
      <w:numFmt w:val="bullet"/>
      <w:lvlText w:val="•"/>
      <w:lvlJc w:val="left"/>
      <w:pPr>
        <w:tabs>
          <w:tab w:val="num" w:pos="1440"/>
        </w:tabs>
        <w:ind w:left="1440" w:hanging="360"/>
      </w:pPr>
      <w:rPr>
        <w:rFonts w:ascii="Arial" w:hAnsi="Arial" w:hint="default"/>
      </w:rPr>
    </w:lvl>
    <w:lvl w:ilvl="2" w:tplc="B156B676" w:tentative="1">
      <w:start w:val="1"/>
      <w:numFmt w:val="bullet"/>
      <w:lvlText w:val="•"/>
      <w:lvlJc w:val="left"/>
      <w:pPr>
        <w:tabs>
          <w:tab w:val="num" w:pos="2160"/>
        </w:tabs>
        <w:ind w:left="2160" w:hanging="360"/>
      </w:pPr>
      <w:rPr>
        <w:rFonts w:ascii="Arial" w:hAnsi="Arial" w:hint="default"/>
      </w:rPr>
    </w:lvl>
    <w:lvl w:ilvl="3" w:tplc="473C3810" w:tentative="1">
      <w:start w:val="1"/>
      <w:numFmt w:val="bullet"/>
      <w:lvlText w:val="•"/>
      <w:lvlJc w:val="left"/>
      <w:pPr>
        <w:tabs>
          <w:tab w:val="num" w:pos="2880"/>
        </w:tabs>
        <w:ind w:left="2880" w:hanging="360"/>
      </w:pPr>
      <w:rPr>
        <w:rFonts w:ascii="Arial" w:hAnsi="Arial" w:hint="default"/>
      </w:rPr>
    </w:lvl>
    <w:lvl w:ilvl="4" w:tplc="3D2AC5C4" w:tentative="1">
      <w:start w:val="1"/>
      <w:numFmt w:val="bullet"/>
      <w:lvlText w:val="•"/>
      <w:lvlJc w:val="left"/>
      <w:pPr>
        <w:tabs>
          <w:tab w:val="num" w:pos="3600"/>
        </w:tabs>
        <w:ind w:left="3600" w:hanging="360"/>
      </w:pPr>
      <w:rPr>
        <w:rFonts w:ascii="Arial" w:hAnsi="Arial" w:hint="default"/>
      </w:rPr>
    </w:lvl>
    <w:lvl w:ilvl="5" w:tplc="8188C2AE" w:tentative="1">
      <w:start w:val="1"/>
      <w:numFmt w:val="bullet"/>
      <w:lvlText w:val="•"/>
      <w:lvlJc w:val="left"/>
      <w:pPr>
        <w:tabs>
          <w:tab w:val="num" w:pos="4320"/>
        </w:tabs>
        <w:ind w:left="4320" w:hanging="360"/>
      </w:pPr>
      <w:rPr>
        <w:rFonts w:ascii="Arial" w:hAnsi="Arial" w:hint="default"/>
      </w:rPr>
    </w:lvl>
    <w:lvl w:ilvl="6" w:tplc="25A827DC" w:tentative="1">
      <w:start w:val="1"/>
      <w:numFmt w:val="bullet"/>
      <w:lvlText w:val="•"/>
      <w:lvlJc w:val="left"/>
      <w:pPr>
        <w:tabs>
          <w:tab w:val="num" w:pos="5040"/>
        </w:tabs>
        <w:ind w:left="5040" w:hanging="360"/>
      </w:pPr>
      <w:rPr>
        <w:rFonts w:ascii="Arial" w:hAnsi="Arial" w:hint="default"/>
      </w:rPr>
    </w:lvl>
    <w:lvl w:ilvl="7" w:tplc="8152A6E0" w:tentative="1">
      <w:start w:val="1"/>
      <w:numFmt w:val="bullet"/>
      <w:lvlText w:val="•"/>
      <w:lvlJc w:val="left"/>
      <w:pPr>
        <w:tabs>
          <w:tab w:val="num" w:pos="5760"/>
        </w:tabs>
        <w:ind w:left="5760" w:hanging="360"/>
      </w:pPr>
      <w:rPr>
        <w:rFonts w:ascii="Arial" w:hAnsi="Arial" w:hint="default"/>
      </w:rPr>
    </w:lvl>
    <w:lvl w:ilvl="8" w:tplc="9342D60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5422773"/>
    <w:multiLevelType w:val="hybridMultilevel"/>
    <w:tmpl w:val="1DFE014A"/>
    <w:lvl w:ilvl="0" w:tplc="DC98468C">
      <w:start w:val="1"/>
      <w:numFmt w:val="bullet"/>
      <w:lvlText w:val="•"/>
      <w:lvlJc w:val="left"/>
      <w:pPr>
        <w:tabs>
          <w:tab w:val="num" w:pos="720"/>
        </w:tabs>
        <w:ind w:left="720" w:hanging="360"/>
      </w:pPr>
      <w:rPr>
        <w:rFonts w:ascii="Arial" w:hAnsi="Arial" w:hint="default"/>
      </w:rPr>
    </w:lvl>
    <w:lvl w:ilvl="1" w:tplc="D9E0E1F0" w:tentative="1">
      <w:start w:val="1"/>
      <w:numFmt w:val="bullet"/>
      <w:lvlText w:val="•"/>
      <w:lvlJc w:val="left"/>
      <w:pPr>
        <w:tabs>
          <w:tab w:val="num" w:pos="1440"/>
        </w:tabs>
        <w:ind w:left="1440" w:hanging="360"/>
      </w:pPr>
      <w:rPr>
        <w:rFonts w:ascii="Arial" w:hAnsi="Arial" w:hint="default"/>
      </w:rPr>
    </w:lvl>
    <w:lvl w:ilvl="2" w:tplc="3C584A70" w:tentative="1">
      <w:start w:val="1"/>
      <w:numFmt w:val="bullet"/>
      <w:lvlText w:val="•"/>
      <w:lvlJc w:val="left"/>
      <w:pPr>
        <w:tabs>
          <w:tab w:val="num" w:pos="2160"/>
        </w:tabs>
        <w:ind w:left="2160" w:hanging="360"/>
      </w:pPr>
      <w:rPr>
        <w:rFonts w:ascii="Arial" w:hAnsi="Arial" w:hint="default"/>
      </w:rPr>
    </w:lvl>
    <w:lvl w:ilvl="3" w:tplc="0240AC3A" w:tentative="1">
      <w:start w:val="1"/>
      <w:numFmt w:val="bullet"/>
      <w:lvlText w:val="•"/>
      <w:lvlJc w:val="left"/>
      <w:pPr>
        <w:tabs>
          <w:tab w:val="num" w:pos="2880"/>
        </w:tabs>
        <w:ind w:left="2880" w:hanging="360"/>
      </w:pPr>
      <w:rPr>
        <w:rFonts w:ascii="Arial" w:hAnsi="Arial" w:hint="default"/>
      </w:rPr>
    </w:lvl>
    <w:lvl w:ilvl="4" w:tplc="AD9CBBC0" w:tentative="1">
      <w:start w:val="1"/>
      <w:numFmt w:val="bullet"/>
      <w:lvlText w:val="•"/>
      <w:lvlJc w:val="left"/>
      <w:pPr>
        <w:tabs>
          <w:tab w:val="num" w:pos="3600"/>
        </w:tabs>
        <w:ind w:left="3600" w:hanging="360"/>
      </w:pPr>
      <w:rPr>
        <w:rFonts w:ascii="Arial" w:hAnsi="Arial" w:hint="default"/>
      </w:rPr>
    </w:lvl>
    <w:lvl w:ilvl="5" w:tplc="3AA41FD6" w:tentative="1">
      <w:start w:val="1"/>
      <w:numFmt w:val="bullet"/>
      <w:lvlText w:val="•"/>
      <w:lvlJc w:val="left"/>
      <w:pPr>
        <w:tabs>
          <w:tab w:val="num" w:pos="4320"/>
        </w:tabs>
        <w:ind w:left="4320" w:hanging="360"/>
      </w:pPr>
      <w:rPr>
        <w:rFonts w:ascii="Arial" w:hAnsi="Arial" w:hint="default"/>
      </w:rPr>
    </w:lvl>
    <w:lvl w:ilvl="6" w:tplc="D6BEDC26" w:tentative="1">
      <w:start w:val="1"/>
      <w:numFmt w:val="bullet"/>
      <w:lvlText w:val="•"/>
      <w:lvlJc w:val="left"/>
      <w:pPr>
        <w:tabs>
          <w:tab w:val="num" w:pos="5040"/>
        </w:tabs>
        <w:ind w:left="5040" w:hanging="360"/>
      </w:pPr>
      <w:rPr>
        <w:rFonts w:ascii="Arial" w:hAnsi="Arial" w:hint="default"/>
      </w:rPr>
    </w:lvl>
    <w:lvl w:ilvl="7" w:tplc="393AEFB8" w:tentative="1">
      <w:start w:val="1"/>
      <w:numFmt w:val="bullet"/>
      <w:lvlText w:val="•"/>
      <w:lvlJc w:val="left"/>
      <w:pPr>
        <w:tabs>
          <w:tab w:val="num" w:pos="5760"/>
        </w:tabs>
        <w:ind w:left="5760" w:hanging="360"/>
      </w:pPr>
      <w:rPr>
        <w:rFonts w:ascii="Arial" w:hAnsi="Arial" w:hint="default"/>
      </w:rPr>
    </w:lvl>
    <w:lvl w:ilvl="8" w:tplc="FFB424F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61C62DB"/>
    <w:multiLevelType w:val="hybridMultilevel"/>
    <w:tmpl w:val="3C1C5C2A"/>
    <w:lvl w:ilvl="0" w:tplc="52C01E10">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1"/>
  </w:num>
  <w:num w:numId="2">
    <w:abstractNumId w:val="8"/>
  </w:num>
  <w:num w:numId="3">
    <w:abstractNumId w:val="22"/>
  </w:num>
  <w:num w:numId="4">
    <w:abstractNumId w:val="10"/>
  </w:num>
  <w:num w:numId="5">
    <w:abstractNumId w:val="5"/>
  </w:num>
  <w:num w:numId="6">
    <w:abstractNumId w:val="24"/>
  </w:num>
  <w:num w:numId="7">
    <w:abstractNumId w:val="28"/>
  </w:num>
  <w:num w:numId="8">
    <w:abstractNumId w:val="23"/>
  </w:num>
  <w:num w:numId="9">
    <w:abstractNumId w:val="15"/>
  </w:num>
  <w:num w:numId="10">
    <w:abstractNumId w:val="21"/>
  </w:num>
  <w:num w:numId="11">
    <w:abstractNumId w:val="18"/>
  </w:num>
  <w:num w:numId="12">
    <w:abstractNumId w:val="2"/>
  </w:num>
  <w:num w:numId="13">
    <w:abstractNumId w:val="19"/>
  </w:num>
  <w:num w:numId="14">
    <w:abstractNumId w:val="9"/>
  </w:num>
  <w:num w:numId="15">
    <w:abstractNumId w:val="4"/>
  </w:num>
  <w:num w:numId="16">
    <w:abstractNumId w:val="3"/>
  </w:num>
  <w:num w:numId="17">
    <w:abstractNumId w:val="16"/>
  </w:num>
  <w:num w:numId="18">
    <w:abstractNumId w:val="13"/>
  </w:num>
  <w:num w:numId="19">
    <w:abstractNumId w:val="1"/>
  </w:num>
  <w:num w:numId="20">
    <w:abstractNumId w:val="0"/>
  </w:num>
  <w:num w:numId="21">
    <w:abstractNumId w:val="16"/>
    <w:lvlOverride w:ilvl="0">
      <w:startOverride w:val="1"/>
    </w:lvlOverride>
  </w:num>
  <w:num w:numId="22">
    <w:abstractNumId w:val="16"/>
    <w:lvlOverride w:ilvl="0">
      <w:startOverride w:val="1"/>
    </w:lvlOverride>
  </w:num>
  <w:num w:numId="23">
    <w:abstractNumId w:val="14"/>
  </w:num>
  <w:num w:numId="24">
    <w:abstractNumId w:val="12"/>
  </w:num>
  <w:num w:numId="25">
    <w:abstractNumId w:val="14"/>
  </w:num>
  <w:num w:numId="26">
    <w:abstractNumId w:val="20"/>
  </w:num>
  <w:num w:numId="27">
    <w:abstractNumId w:val="7"/>
  </w:num>
  <w:num w:numId="28">
    <w:abstractNumId w:val="14"/>
  </w:num>
  <w:num w:numId="29">
    <w:abstractNumId w:val="27"/>
  </w:num>
  <w:num w:numId="30">
    <w:abstractNumId w:val="25"/>
  </w:num>
  <w:num w:numId="31">
    <w:abstractNumId w:val="6"/>
  </w:num>
  <w:num w:numId="32">
    <w:abstractNumId w:val="26"/>
  </w:num>
  <w:num w:numId="3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800"/>
    <w:rsid w:val="000014A2"/>
    <w:rsid w:val="00001C3B"/>
    <w:rsid w:val="00002F91"/>
    <w:rsid w:val="0000576A"/>
    <w:rsid w:val="00011ACB"/>
    <w:rsid w:val="0001294F"/>
    <w:rsid w:val="0001382C"/>
    <w:rsid w:val="000167B7"/>
    <w:rsid w:val="00021284"/>
    <w:rsid w:val="00021BED"/>
    <w:rsid w:val="000222E8"/>
    <w:rsid w:val="00022539"/>
    <w:rsid w:val="000225A6"/>
    <w:rsid w:val="00024826"/>
    <w:rsid w:val="000251DE"/>
    <w:rsid w:val="0002703F"/>
    <w:rsid w:val="00027327"/>
    <w:rsid w:val="00027AEA"/>
    <w:rsid w:val="0003258A"/>
    <w:rsid w:val="000329C1"/>
    <w:rsid w:val="0003419B"/>
    <w:rsid w:val="00034CAE"/>
    <w:rsid w:val="00035AC6"/>
    <w:rsid w:val="000363F2"/>
    <w:rsid w:val="00037526"/>
    <w:rsid w:val="00040164"/>
    <w:rsid w:val="00041829"/>
    <w:rsid w:val="000420D6"/>
    <w:rsid w:val="00042598"/>
    <w:rsid w:val="00042FD0"/>
    <w:rsid w:val="000435E4"/>
    <w:rsid w:val="000436B2"/>
    <w:rsid w:val="0004436B"/>
    <w:rsid w:val="00044A41"/>
    <w:rsid w:val="00046A55"/>
    <w:rsid w:val="0004746F"/>
    <w:rsid w:val="000478EF"/>
    <w:rsid w:val="00047982"/>
    <w:rsid w:val="0005183E"/>
    <w:rsid w:val="00052686"/>
    <w:rsid w:val="000534D5"/>
    <w:rsid w:val="00053B68"/>
    <w:rsid w:val="00055EFE"/>
    <w:rsid w:val="0005735E"/>
    <w:rsid w:val="000632B6"/>
    <w:rsid w:val="00065A55"/>
    <w:rsid w:val="00067EBE"/>
    <w:rsid w:val="00071B0A"/>
    <w:rsid w:val="00072B27"/>
    <w:rsid w:val="00072FD4"/>
    <w:rsid w:val="00075286"/>
    <w:rsid w:val="00076418"/>
    <w:rsid w:val="0007663E"/>
    <w:rsid w:val="00077F0B"/>
    <w:rsid w:val="00080B4A"/>
    <w:rsid w:val="0008279D"/>
    <w:rsid w:val="00082DE8"/>
    <w:rsid w:val="00084F95"/>
    <w:rsid w:val="00091182"/>
    <w:rsid w:val="00091C65"/>
    <w:rsid w:val="00091C96"/>
    <w:rsid w:val="00092CF2"/>
    <w:rsid w:val="00092DF6"/>
    <w:rsid w:val="00092E14"/>
    <w:rsid w:val="00093B83"/>
    <w:rsid w:val="00094F57"/>
    <w:rsid w:val="00095D9E"/>
    <w:rsid w:val="00096F1B"/>
    <w:rsid w:val="0009792A"/>
    <w:rsid w:val="00097E8F"/>
    <w:rsid w:val="000A2EB7"/>
    <w:rsid w:val="000A396E"/>
    <w:rsid w:val="000A3F11"/>
    <w:rsid w:val="000A5920"/>
    <w:rsid w:val="000A5CB7"/>
    <w:rsid w:val="000A6916"/>
    <w:rsid w:val="000B025E"/>
    <w:rsid w:val="000B05FB"/>
    <w:rsid w:val="000B2870"/>
    <w:rsid w:val="000C0400"/>
    <w:rsid w:val="000C0F1E"/>
    <w:rsid w:val="000C106C"/>
    <w:rsid w:val="000C312E"/>
    <w:rsid w:val="000C4543"/>
    <w:rsid w:val="000C756D"/>
    <w:rsid w:val="000D19C4"/>
    <w:rsid w:val="000D56F3"/>
    <w:rsid w:val="000D5998"/>
    <w:rsid w:val="000D5F35"/>
    <w:rsid w:val="000D6353"/>
    <w:rsid w:val="000D6B6A"/>
    <w:rsid w:val="000D6E76"/>
    <w:rsid w:val="000D7AEE"/>
    <w:rsid w:val="000E10EE"/>
    <w:rsid w:val="000E41B6"/>
    <w:rsid w:val="000E71B6"/>
    <w:rsid w:val="000E7E40"/>
    <w:rsid w:val="000F0499"/>
    <w:rsid w:val="000F2A7E"/>
    <w:rsid w:val="000F3C9A"/>
    <w:rsid w:val="000F4F33"/>
    <w:rsid w:val="000F5226"/>
    <w:rsid w:val="000F6438"/>
    <w:rsid w:val="001017FD"/>
    <w:rsid w:val="00102C19"/>
    <w:rsid w:val="001038A8"/>
    <w:rsid w:val="00103CBD"/>
    <w:rsid w:val="00104332"/>
    <w:rsid w:val="00104964"/>
    <w:rsid w:val="0010658C"/>
    <w:rsid w:val="00106F4A"/>
    <w:rsid w:val="00112932"/>
    <w:rsid w:val="0011393A"/>
    <w:rsid w:val="00117617"/>
    <w:rsid w:val="00117B5F"/>
    <w:rsid w:val="00117D9F"/>
    <w:rsid w:val="001220DD"/>
    <w:rsid w:val="001233C7"/>
    <w:rsid w:val="00123A11"/>
    <w:rsid w:val="00124008"/>
    <w:rsid w:val="0012475B"/>
    <w:rsid w:val="00124D32"/>
    <w:rsid w:val="001260DE"/>
    <w:rsid w:val="00127643"/>
    <w:rsid w:val="00127972"/>
    <w:rsid w:val="00127C05"/>
    <w:rsid w:val="00130A17"/>
    <w:rsid w:val="001374D4"/>
    <w:rsid w:val="00137BB6"/>
    <w:rsid w:val="00137FC2"/>
    <w:rsid w:val="00141C34"/>
    <w:rsid w:val="00144023"/>
    <w:rsid w:val="00144762"/>
    <w:rsid w:val="00144EA1"/>
    <w:rsid w:val="0015026D"/>
    <w:rsid w:val="00150738"/>
    <w:rsid w:val="00150920"/>
    <w:rsid w:val="00155C7F"/>
    <w:rsid w:val="00165B66"/>
    <w:rsid w:val="001670E2"/>
    <w:rsid w:val="0017015D"/>
    <w:rsid w:val="00170474"/>
    <w:rsid w:val="00170741"/>
    <w:rsid w:val="00173F7E"/>
    <w:rsid w:val="001741AE"/>
    <w:rsid w:val="00176768"/>
    <w:rsid w:val="00176F02"/>
    <w:rsid w:val="00180218"/>
    <w:rsid w:val="00180B0E"/>
    <w:rsid w:val="0018337E"/>
    <w:rsid w:val="00184C6E"/>
    <w:rsid w:val="001863B1"/>
    <w:rsid w:val="0018673C"/>
    <w:rsid w:val="00187A04"/>
    <w:rsid w:val="00190386"/>
    <w:rsid w:val="00191C5E"/>
    <w:rsid w:val="001968B1"/>
    <w:rsid w:val="0019713F"/>
    <w:rsid w:val="001A0499"/>
    <w:rsid w:val="001A08B4"/>
    <w:rsid w:val="001A0B56"/>
    <w:rsid w:val="001A1DC5"/>
    <w:rsid w:val="001A44E6"/>
    <w:rsid w:val="001A6FDE"/>
    <w:rsid w:val="001B2EAA"/>
    <w:rsid w:val="001B4F9D"/>
    <w:rsid w:val="001B7678"/>
    <w:rsid w:val="001C0011"/>
    <w:rsid w:val="001C0D7B"/>
    <w:rsid w:val="001C0F44"/>
    <w:rsid w:val="001C4A24"/>
    <w:rsid w:val="001C63C2"/>
    <w:rsid w:val="001C6D35"/>
    <w:rsid w:val="001C7FCC"/>
    <w:rsid w:val="001D19A8"/>
    <w:rsid w:val="001D1F3B"/>
    <w:rsid w:val="001D2002"/>
    <w:rsid w:val="001D3493"/>
    <w:rsid w:val="001D45B7"/>
    <w:rsid w:val="001E006A"/>
    <w:rsid w:val="001E2871"/>
    <w:rsid w:val="001E2B91"/>
    <w:rsid w:val="001E36E1"/>
    <w:rsid w:val="001E3C10"/>
    <w:rsid w:val="001E43B7"/>
    <w:rsid w:val="001E4494"/>
    <w:rsid w:val="001E5F86"/>
    <w:rsid w:val="001F2DC9"/>
    <w:rsid w:val="001F3291"/>
    <w:rsid w:val="001F3477"/>
    <w:rsid w:val="001F5D9A"/>
    <w:rsid w:val="001F7CD2"/>
    <w:rsid w:val="00202408"/>
    <w:rsid w:val="0020316F"/>
    <w:rsid w:val="002053C0"/>
    <w:rsid w:val="00210F80"/>
    <w:rsid w:val="002160A7"/>
    <w:rsid w:val="00223C6C"/>
    <w:rsid w:val="00223E72"/>
    <w:rsid w:val="00224510"/>
    <w:rsid w:val="002245BA"/>
    <w:rsid w:val="002252F3"/>
    <w:rsid w:val="002256A8"/>
    <w:rsid w:val="00226E35"/>
    <w:rsid w:val="0023018E"/>
    <w:rsid w:val="00233DC7"/>
    <w:rsid w:val="002345A3"/>
    <w:rsid w:val="0023468B"/>
    <w:rsid w:val="00234D9B"/>
    <w:rsid w:val="00234F2C"/>
    <w:rsid w:val="00235D5C"/>
    <w:rsid w:val="002377E0"/>
    <w:rsid w:val="002379E2"/>
    <w:rsid w:val="00240ACC"/>
    <w:rsid w:val="0024178B"/>
    <w:rsid w:val="00243BF6"/>
    <w:rsid w:val="00244234"/>
    <w:rsid w:val="00245098"/>
    <w:rsid w:val="00247BEC"/>
    <w:rsid w:val="002528F7"/>
    <w:rsid w:val="002537F1"/>
    <w:rsid w:val="0025390A"/>
    <w:rsid w:val="002561EB"/>
    <w:rsid w:val="00260469"/>
    <w:rsid w:val="002609E3"/>
    <w:rsid w:val="00260B35"/>
    <w:rsid w:val="0026232E"/>
    <w:rsid w:val="002623BE"/>
    <w:rsid w:val="00262D0B"/>
    <w:rsid w:val="00262DAB"/>
    <w:rsid w:val="002638FC"/>
    <w:rsid w:val="00265011"/>
    <w:rsid w:val="0026546F"/>
    <w:rsid w:val="002655CC"/>
    <w:rsid w:val="002677C2"/>
    <w:rsid w:val="00270AB0"/>
    <w:rsid w:val="00270AD5"/>
    <w:rsid w:val="00271A4C"/>
    <w:rsid w:val="002742D1"/>
    <w:rsid w:val="0027471C"/>
    <w:rsid w:val="0027734E"/>
    <w:rsid w:val="0028067D"/>
    <w:rsid w:val="00285921"/>
    <w:rsid w:val="0028684D"/>
    <w:rsid w:val="0029101D"/>
    <w:rsid w:val="0029324D"/>
    <w:rsid w:val="00294443"/>
    <w:rsid w:val="0029475F"/>
    <w:rsid w:val="00294EC3"/>
    <w:rsid w:val="00295AC1"/>
    <w:rsid w:val="002963B5"/>
    <w:rsid w:val="002A0C07"/>
    <w:rsid w:val="002A7EF5"/>
    <w:rsid w:val="002B20DE"/>
    <w:rsid w:val="002B49D7"/>
    <w:rsid w:val="002B4DB0"/>
    <w:rsid w:val="002B5338"/>
    <w:rsid w:val="002B69DE"/>
    <w:rsid w:val="002C0244"/>
    <w:rsid w:val="002C05C9"/>
    <w:rsid w:val="002C0C85"/>
    <w:rsid w:val="002C379D"/>
    <w:rsid w:val="002C6067"/>
    <w:rsid w:val="002C60AC"/>
    <w:rsid w:val="002C6A39"/>
    <w:rsid w:val="002C70A0"/>
    <w:rsid w:val="002C7421"/>
    <w:rsid w:val="002C7CEB"/>
    <w:rsid w:val="002D1252"/>
    <w:rsid w:val="002D16AF"/>
    <w:rsid w:val="002D22C9"/>
    <w:rsid w:val="002D3285"/>
    <w:rsid w:val="002D46A9"/>
    <w:rsid w:val="002D51A4"/>
    <w:rsid w:val="002E0459"/>
    <w:rsid w:val="002E073F"/>
    <w:rsid w:val="002E0DFF"/>
    <w:rsid w:val="002E1368"/>
    <w:rsid w:val="002E3A1A"/>
    <w:rsid w:val="002E3A6A"/>
    <w:rsid w:val="002E459A"/>
    <w:rsid w:val="002E68B2"/>
    <w:rsid w:val="002E6D6D"/>
    <w:rsid w:val="002F17E6"/>
    <w:rsid w:val="002F2C6F"/>
    <w:rsid w:val="002F4413"/>
    <w:rsid w:val="002F5DBB"/>
    <w:rsid w:val="0030028B"/>
    <w:rsid w:val="00301878"/>
    <w:rsid w:val="00301F6F"/>
    <w:rsid w:val="0030289D"/>
    <w:rsid w:val="003030B1"/>
    <w:rsid w:val="00303180"/>
    <w:rsid w:val="003056B4"/>
    <w:rsid w:val="0030638D"/>
    <w:rsid w:val="0030646E"/>
    <w:rsid w:val="00306963"/>
    <w:rsid w:val="00307BDF"/>
    <w:rsid w:val="003109E4"/>
    <w:rsid w:val="00312120"/>
    <w:rsid w:val="00312405"/>
    <w:rsid w:val="0031271A"/>
    <w:rsid w:val="00316288"/>
    <w:rsid w:val="00316551"/>
    <w:rsid w:val="0031719B"/>
    <w:rsid w:val="00317D9E"/>
    <w:rsid w:val="003204CF"/>
    <w:rsid w:val="0032076F"/>
    <w:rsid w:val="003207BE"/>
    <w:rsid w:val="00322940"/>
    <w:rsid w:val="00323127"/>
    <w:rsid w:val="00323297"/>
    <w:rsid w:val="00326F83"/>
    <w:rsid w:val="0032796B"/>
    <w:rsid w:val="00330BB0"/>
    <w:rsid w:val="0033152D"/>
    <w:rsid w:val="00331754"/>
    <w:rsid w:val="00334DCE"/>
    <w:rsid w:val="00335258"/>
    <w:rsid w:val="0033620C"/>
    <w:rsid w:val="00337AAE"/>
    <w:rsid w:val="003409B3"/>
    <w:rsid w:val="00341895"/>
    <w:rsid w:val="00343F92"/>
    <w:rsid w:val="00343FE2"/>
    <w:rsid w:val="00346B77"/>
    <w:rsid w:val="003478DF"/>
    <w:rsid w:val="003479F1"/>
    <w:rsid w:val="00352198"/>
    <w:rsid w:val="00352F74"/>
    <w:rsid w:val="00354230"/>
    <w:rsid w:val="00354591"/>
    <w:rsid w:val="003557B8"/>
    <w:rsid w:val="00355C89"/>
    <w:rsid w:val="00355E6D"/>
    <w:rsid w:val="00356DDA"/>
    <w:rsid w:val="003574AF"/>
    <w:rsid w:val="003574E0"/>
    <w:rsid w:val="00357AF0"/>
    <w:rsid w:val="00365E51"/>
    <w:rsid w:val="0036728F"/>
    <w:rsid w:val="0037083C"/>
    <w:rsid w:val="00371126"/>
    <w:rsid w:val="003712EF"/>
    <w:rsid w:val="00371E69"/>
    <w:rsid w:val="00373635"/>
    <w:rsid w:val="00374637"/>
    <w:rsid w:val="00374B88"/>
    <w:rsid w:val="00375481"/>
    <w:rsid w:val="003759D5"/>
    <w:rsid w:val="00375BDB"/>
    <w:rsid w:val="0037617F"/>
    <w:rsid w:val="003767B4"/>
    <w:rsid w:val="0038036B"/>
    <w:rsid w:val="00383145"/>
    <w:rsid w:val="00384E93"/>
    <w:rsid w:val="00384F54"/>
    <w:rsid w:val="00385CBB"/>
    <w:rsid w:val="0038641B"/>
    <w:rsid w:val="00391FC9"/>
    <w:rsid w:val="00392B17"/>
    <w:rsid w:val="00392CB5"/>
    <w:rsid w:val="00393546"/>
    <w:rsid w:val="003948EA"/>
    <w:rsid w:val="00394EA8"/>
    <w:rsid w:val="0039685B"/>
    <w:rsid w:val="00396E30"/>
    <w:rsid w:val="003A2881"/>
    <w:rsid w:val="003A4438"/>
    <w:rsid w:val="003A5047"/>
    <w:rsid w:val="003A54CF"/>
    <w:rsid w:val="003B0FD8"/>
    <w:rsid w:val="003B172C"/>
    <w:rsid w:val="003B5BE4"/>
    <w:rsid w:val="003C34F4"/>
    <w:rsid w:val="003C46AD"/>
    <w:rsid w:val="003C5ABF"/>
    <w:rsid w:val="003C690C"/>
    <w:rsid w:val="003C6AB3"/>
    <w:rsid w:val="003D07C5"/>
    <w:rsid w:val="003D26F4"/>
    <w:rsid w:val="003D355B"/>
    <w:rsid w:val="003D3E85"/>
    <w:rsid w:val="003D40EC"/>
    <w:rsid w:val="003D7B9B"/>
    <w:rsid w:val="003E0263"/>
    <w:rsid w:val="003E0E45"/>
    <w:rsid w:val="003E13F3"/>
    <w:rsid w:val="003E36F7"/>
    <w:rsid w:val="003E44DF"/>
    <w:rsid w:val="003E4BE3"/>
    <w:rsid w:val="003E5EA9"/>
    <w:rsid w:val="003F17C1"/>
    <w:rsid w:val="003F1A8D"/>
    <w:rsid w:val="003F1B0F"/>
    <w:rsid w:val="003F1F43"/>
    <w:rsid w:val="003F2344"/>
    <w:rsid w:val="003F2A7E"/>
    <w:rsid w:val="003F2DBC"/>
    <w:rsid w:val="003F36DC"/>
    <w:rsid w:val="003F7B7D"/>
    <w:rsid w:val="00401E19"/>
    <w:rsid w:val="00401E74"/>
    <w:rsid w:val="0040250C"/>
    <w:rsid w:val="00402EFB"/>
    <w:rsid w:val="004042F5"/>
    <w:rsid w:val="00404343"/>
    <w:rsid w:val="00404CFF"/>
    <w:rsid w:val="004057AF"/>
    <w:rsid w:val="00405EEC"/>
    <w:rsid w:val="0040751A"/>
    <w:rsid w:val="00410713"/>
    <w:rsid w:val="00410E79"/>
    <w:rsid w:val="00410FEF"/>
    <w:rsid w:val="00411007"/>
    <w:rsid w:val="00412681"/>
    <w:rsid w:val="004147AB"/>
    <w:rsid w:val="00421534"/>
    <w:rsid w:val="004237B7"/>
    <w:rsid w:val="004241D7"/>
    <w:rsid w:val="0042448D"/>
    <w:rsid w:val="00424AF5"/>
    <w:rsid w:val="00430D43"/>
    <w:rsid w:val="004323A0"/>
    <w:rsid w:val="00434629"/>
    <w:rsid w:val="00435B41"/>
    <w:rsid w:val="00437620"/>
    <w:rsid w:val="0044034A"/>
    <w:rsid w:val="00440E15"/>
    <w:rsid w:val="00441604"/>
    <w:rsid w:val="004419B5"/>
    <w:rsid w:val="00443529"/>
    <w:rsid w:val="00444309"/>
    <w:rsid w:val="0044699F"/>
    <w:rsid w:val="00447158"/>
    <w:rsid w:val="00447FE2"/>
    <w:rsid w:val="00451456"/>
    <w:rsid w:val="00453C61"/>
    <w:rsid w:val="0045481C"/>
    <w:rsid w:val="00454BD4"/>
    <w:rsid w:val="00454C8B"/>
    <w:rsid w:val="00455044"/>
    <w:rsid w:val="00455052"/>
    <w:rsid w:val="0045687B"/>
    <w:rsid w:val="004571D4"/>
    <w:rsid w:val="004576FA"/>
    <w:rsid w:val="0045778F"/>
    <w:rsid w:val="0046035A"/>
    <w:rsid w:val="00461F65"/>
    <w:rsid w:val="004637F4"/>
    <w:rsid w:val="00466873"/>
    <w:rsid w:val="00467554"/>
    <w:rsid w:val="0047078E"/>
    <w:rsid w:val="004716C3"/>
    <w:rsid w:val="00472572"/>
    <w:rsid w:val="00473B90"/>
    <w:rsid w:val="00475681"/>
    <w:rsid w:val="00482E9E"/>
    <w:rsid w:val="0049074F"/>
    <w:rsid w:val="0049083D"/>
    <w:rsid w:val="00491191"/>
    <w:rsid w:val="00493150"/>
    <w:rsid w:val="0049381A"/>
    <w:rsid w:val="00493924"/>
    <w:rsid w:val="00493AFB"/>
    <w:rsid w:val="00493FC3"/>
    <w:rsid w:val="004948F9"/>
    <w:rsid w:val="00497801"/>
    <w:rsid w:val="00497BD0"/>
    <w:rsid w:val="00497C75"/>
    <w:rsid w:val="004A0F3B"/>
    <w:rsid w:val="004A1595"/>
    <w:rsid w:val="004A1CC8"/>
    <w:rsid w:val="004A1EAC"/>
    <w:rsid w:val="004A240E"/>
    <w:rsid w:val="004A291C"/>
    <w:rsid w:val="004A37BD"/>
    <w:rsid w:val="004A4CB5"/>
    <w:rsid w:val="004A4F79"/>
    <w:rsid w:val="004A7FDC"/>
    <w:rsid w:val="004B0E50"/>
    <w:rsid w:val="004B23E4"/>
    <w:rsid w:val="004B3478"/>
    <w:rsid w:val="004B38FE"/>
    <w:rsid w:val="004B4D12"/>
    <w:rsid w:val="004B5771"/>
    <w:rsid w:val="004B6C06"/>
    <w:rsid w:val="004B7CF3"/>
    <w:rsid w:val="004C060A"/>
    <w:rsid w:val="004C064A"/>
    <w:rsid w:val="004C1E0B"/>
    <w:rsid w:val="004C334D"/>
    <w:rsid w:val="004C5440"/>
    <w:rsid w:val="004C5E9B"/>
    <w:rsid w:val="004C6288"/>
    <w:rsid w:val="004D27E4"/>
    <w:rsid w:val="004D4552"/>
    <w:rsid w:val="004D48DF"/>
    <w:rsid w:val="004D546A"/>
    <w:rsid w:val="004D57A4"/>
    <w:rsid w:val="004D5BDD"/>
    <w:rsid w:val="004D7504"/>
    <w:rsid w:val="004D7743"/>
    <w:rsid w:val="004D7B46"/>
    <w:rsid w:val="004E1E7D"/>
    <w:rsid w:val="004E2F54"/>
    <w:rsid w:val="004E45F6"/>
    <w:rsid w:val="004E476B"/>
    <w:rsid w:val="004E536E"/>
    <w:rsid w:val="004E64D1"/>
    <w:rsid w:val="004E6B45"/>
    <w:rsid w:val="004E6C64"/>
    <w:rsid w:val="004E6D0D"/>
    <w:rsid w:val="004E7C86"/>
    <w:rsid w:val="004F0FA3"/>
    <w:rsid w:val="004F1ACF"/>
    <w:rsid w:val="004F1FC8"/>
    <w:rsid w:val="004F267D"/>
    <w:rsid w:val="004F2C80"/>
    <w:rsid w:val="004F4CEE"/>
    <w:rsid w:val="004F633E"/>
    <w:rsid w:val="004F6F9F"/>
    <w:rsid w:val="00500828"/>
    <w:rsid w:val="00501E62"/>
    <w:rsid w:val="00503170"/>
    <w:rsid w:val="00505FAC"/>
    <w:rsid w:val="00506A56"/>
    <w:rsid w:val="00506DEB"/>
    <w:rsid w:val="00507052"/>
    <w:rsid w:val="00512879"/>
    <w:rsid w:val="00514659"/>
    <w:rsid w:val="005155A9"/>
    <w:rsid w:val="005167AA"/>
    <w:rsid w:val="00520154"/>
    <w:rsid w:val="0052121C"/>
    <w:rsid w:val="0052518F"/>
    <w:rsid w:val="005260B9"/>
    <w:rsid w:val="00526F57"/>
    <w:rsid w:val="0052713E"/>
    <w:rsid w:val="0053042F"/>
    <w:rsid w:val="00530800"/>
    <w:rsid w:val="00530A3F"/>
    <w:rsid w:val="00533251"/>
    <w:rsid w:val="00533A73"/>
    <w:rsid w:val="00535AC9"/>
    <w:rsid w:val="00535E25"/>
    <w:rsid w:val="0053779C"/>
    <w:rsid w:val="00540682"/>
    <w:rsid w:val="00541DD4"/>
    <w:rsid w:val="00544F86"/>
    <w:rsid w:val="0054785F"/>
    <w:rsid w:val="0055081A"/>
    <w:rsid w:val="00552B69"/>
    <w:rsid w:val="00556011"/>
    <w:rsid w:val="005568A6"/>
    <w:rsid w:val="0055698F"/>
    <w:rsid w:val="00560165"/>
    <w:rsid w:val="0056339D"/>
    <w:rsid w:val="00563589"/>
    <w:rsid w:val="0056592B"/>
    <w:rsid w:val="00565A2A"/>
    <w:rsid w:val="005665A0"/>
    <w:rsid w:val="005670AE"/>
    <w:rsid w:val="005672A0"/>
    <w:rsid w:val="0056732F"/>
    <w:rsid w:val="005705A5"/>
    <w:rsid w:val="00571321"/>
    <w:rsid w:val="00572763"/>
    <w:rsid w:val="00573764"/>
    <w:rsid w:val="00573803"/>
    <w:rsid w:val="005749F2"/>
    <w:rsid w:val="0058387F"/>
    <w:rsid w:val="00585AFE"/>
    <w:rsid w:val="00586E30"/>
    <w:rsid w:val="00590CFE"/>
    <w:rsid w:val="005931DE"/>
    <w:rsid w:val="00593D46"/>
    <w:rsid w:val="00594FF9"/>
    <w:rsid w:val="005961AB"/>
    <w:rsid w:val="0059681E"/>
    <w:rsid w:val="0059758C"/>
    <w:rsid w:val="005A293B"/>
    <w:rsid w:val="005B3B4D"/>
    <w:rsid w:val="005B3EBE"/>
    <w:rsid w:val="005B5496"/>
    <w:rsid w:val="005B5C6E"/>
    <w:rsid w:val="005B606D"/>
    <w:rsid w:val="005B688F"/>
    <w:rsid w:val="005B6A91"/>
    <w:rsid w:val="005B709C"/>
    <w:rsid w:val="005C01C3"/>
    <w:rsid w:val="005C23B3"/>
    <w:rsid w:val="005C2BCC"/>
    <w:rsid w:val="005C7493"/>
    <w:rsid w:val="005C7DED"/>
    <w:rsid w:val="005D1FDE"/>
    <w:rsid w:val="005D2743"/>
    <w:rsid w:val="005D51AF"/>
    <w:rsid w:val="005D6888"/>
    <w:rsid w:val="005D6B2E"/>
    <w:rsid w:val="005E0536"/>
    <w:rsid w:val="005E0828"/>
    <w:rsid w:val="005E0C13"/>
    <w:rsid w:val="005E266A"/>
    <w:rsid w:val="005E2836"/>
    <w:rsid w:val="005E2DE9"/>
    <w:rsid w:val="005E3D0C"/>
    <w:rsid w:val="005E4289"/>
    <w:rsid w:val="005E4D0F"/>
    <w:rsid w:val="005E647F"/>
    <w:rsid w:val="005E6675"/>
    <w:rsid w:val="005F01D2"/>
    <w:rsid w:val="005F0256"/>
    <w:rsid w:val="005F0266"/>
    <w:rsid w:val="005F0A1B"/>
    <w:rsid w:val="005F1EB8"/>
    <w:rsid w:val="005F2065"/>
    <w:rsid w:val="005F5B1A"/>
    <w:rsid w:val="005F6E3F"/>
    <w:rsid w:val="00601910"/>
    <w:rsid w:val="00601D32"/>
    <w:rsid w:val="00601F59"/>
    <w:rsid w:val="0060385E"/>
    <w:rsid w:val="00603FE6"/>
    <w:rsid w:val="00604481"/>
    <w:rsid w:val="00604530"/>
    <w:rsid w:val="00604DE1"/>
    <w:rsid w:val="006058A4"/>
    <w:rsid w:val="006073FB"/>
    <w:rsid w:val="00610211"/>
    <w:rsid w:val="00612E07"/>
    <w:rsid w:val="006216DC"/>
    <w:rsid w:val="0062351E"/>
    <w:rsid w:val="006242E5"/>
    <w:rsid w:val="00624CF0"/>
    <w:rsid w:val="00625D5F"/>
    <w:rsid w:val="00626D7B"/>
    <w:rsid w:val="00627F13"/>
    <w:rsid w:val="00630380"/>
    <w:rsid w:val="0063237B"/>
    <w:rsid w:val="00632768"/>
    <w:rsid w:val="0063468B"/>
    <w:rsid w:val="00635DC6"/>
    <w:rsid w:val="00641042"/>
    <w:rsid w:val="00641195"/>
    <w:rsid w:val="006415BC"/>
    <w:rsid w:val="00641D26"/>
    <w:rsid w:val="00642709"/>
    <w:rsid w:val="00643AF0"/>
    <w:rsid w:val="0064506B"/>
    <w:rsid w:val="00645A75"/>
    <w:rsid w:val="006464CC"/>
    <w:rsid w:val="00646636"/>
    <w:rsid w:val="006477FD"/>
    <w:rsid w:val="00650F15"/>
    <w:rsid w:val="00651233"/>
    <w:rsid w:val="0065303B"/>
    <w:rsid w:val="0065708A"/>
    <w:rsid w:val="00660B86"/>
    <w:rsid w:val="00661BAB"/>
    <w:rsid w:val="00662CDF"/>
    <w:rsid w:val="00664661"/>
    <w:rsid w:val="0066508F"/>
    <w:rsid w:val="0066524A"/>
    <w:rsid w:val="00671A4E"/>
    <w:rsid w:val="006736F4"/>
    <w:rsid w:val="0068127C"/>
    <w:rsid w:val="00683467"/>
    <w:rsid w:val="006846F4"/>
    <w:rsid w:val="006859ED"/>
    <w:rsid w:val="00685B52"/>
    <w:rsid w:val="00687702"/>
    <w:rsid w:val="006919F7"/>
    <w:rsid w:val="006922EB"/>
    <w:rsid w:val="0069285D"/>
    <w:rsid w:val="006928C8"/>
    <w:rsid w:val="00692D15"/>
    <w:rsid w:val="00692E57"/>
    <w:rsid w:val="006934AB"/>
    <w:rsid w:val="00693D5E"/>
    <w:rsid w:val="00695AB4"/>
    <w:rsid w:val="006965DF"/>
    <w:rsid w:val="006A05B3"/>
    <w:rsid w:val="006A12AC"/>
    <w:rsid w:val="006A18BC"/>
    <w:rsid w:val="006A3EBB"/>
    <w:rsid w:val="006A4781"/>
    <w:rsid w:val="006A726A"/>
    <w:rsid w:val="006B4042"/>
    <w:rsid w:val="006B6BFF"/>
    <w:rsid w:val="006C40A6"/>
    <w:rsid w:val="006C4AFC"/>
    <w:rsid w:val="006C4D1A"/>
    <w:rsid w:val="006C7017"/>
    <w:rsid w:val="006C740A"/>
    <w:rsid w:val="006C7684"/>
    <w:rsid w:val="006C7BC0"/>
    <w:rsid w:val="006D11A3"/>
    <w:rsid w:val="006D177D"/>
    <w:rsid w:val="006D2851"/>
    <w:rsid w:val="006D2950"/>
    <w:rsid w:val="006D3632"/>
    <w:rsid w:val="006D3904"/>
    <w:rsid w:val="006D3B53"/>
    <w:rsid w:val="006D70DE"/>
    <w:rsid w:val="006D7D87"/>
    <w:rsid w:val="006E2C2A"/>
    <w:rsid w:val="006E35FA"/>
    <w:rsid w:val="006E4282"/>
    <w:rsid w:val="006E584B"/>
    <w:rsid w:val="006E7EDB"/>
    <w:rsid w:val="006F0073"/>
    <w:rsid w:val="006F1193"/>
    <w:rsid w:val="006F1347"/>
    <w:rsid w:val="006F3208"/>
    <w:rsid w:val="006F44B6"/>
    <w:rsid w:val="006F5408"/>
    <w:rsid w:val="006F558C"/>
    <w:rsid w:val="006F6020"/>
    <w:rsid w:val="0070050F"/>
    <w:rsid w:val="0070116D"/>
    <w:rsid w:val="00701B9A"/>
    <w:rsid w:val="0070216C"/>
    <w:rsid w:val="00705071"/>
    <w:rsid w:val="00705A87"/>
    <w:rsid w:val="00705DA6"/>
    <w:rsid w:val="007074D7"/>
    <w:rsid w:val="00710C09"/>
    <w:rsid w:val="00712424"/>
    <w:rsid w:val="00712E62"/>
    <w:rsid w:val="00714462"/>
    <w:rsid w:val="00714FD8"/>
    <w:rsid w:val="00715E36"/>
    <w:rsid w:val="00716531"/>
    <w:rsid w:val="00716970"/>
    <w:rsid w:val="00717D20"/>
    <w:rsid w:val="00722B7E"/>
    <w:rsid w:val="0072448D"/>
    <w:rsid w:val="007250C6"/>
    <w:rsid w:val="00725250"/>
    <w:rsid w:val="007256FC"/>
    <w:rsid w:val="0072602C"/>
    <w:rsid w:val="00726570"/>
    <w:rsid w:val="00727B13"/>
    <w:rsid w:val="00731081"/>
    <w:rsid w:val="007334C7"/>
    <w:rsid w:val="00734E7D"/>
    <w:rsid w:val="00734F18"/>
    <w:rsid w:val="007355BC"/>
    <w:rsid w:val="007355D8"/>
    <w:rsid w:val="00735642"/>
    <w:rsid w:val="00735E41"/>
    <w:rsid w:val="007365EF"/>
    <w:rsid w:val="007377CD"/>
    <w:rsid w:val="00742169"/>
    <w:rsid w:val="00742BDC"/>
    <w:rsid w:val="00742C1C"/>
    <w:rsid w:val="00742E76"/>
    <w:rsid w:val="00743AC8"/>
    <w:rsid w:val="0074560C"/>
    <w:rsid w:val="00747C3E"/>
    <w:rsid w:val="00747DB7"/>
    <w:rsid w:val="007531A4"/>
    <w:rsid w:val="007543C1"/>
    <w:rsid w:val="007600E4"/>
    <w:rsid w:val="0076016C"/>
    <w:rsid w:val="007608D6"/>
    <w:rsid w:val="00760EDE"/>
    <w:rsid w:val="00761DF3"/>
    <w:rsid w:val="00762CE7"/>
    <w:rsid w:val="007642B7"/>
    <w:rsid w:val="0076472A"/>
    <w:rsid w:val="00764DE8"/>
    <w:rsid w:val="007664E4"/>
    <w:rsid w:val="007672ED"/>
    <w:rsid w:val="00770215"/>
    <w:rsid w:val="00772193"/>
    <w:rsid w:val="00772761"/>
    <w:rsid w:val="00772D38"/>
    <w:rsid w:val="00773F6C"/>
    <w:rsid w:val="00774D34"/>
    <w:rsid w:val="0077566C"/>
    <w:rsid w:val="0077688F"/>
    <w:rsid w:val="007820C8"/>
    <w:rsid w:val="00783C63"/>
    <w:rsid w:val="00783F74"/>
    <w:rsid w:val="0078509C"/>
    <w:rsid w:val="0078585A"/>
    <w:rsid w:val="007873A9"/>
    <w:rsid w:val="0079097A"/>
    <w:rsid w:val="0079456A"/>
    <w:rsid w:val="00794EC3"/>
    <w:rsid w:val="00796081"/>
    <w:rsid w:val="007975E6"/>
    <w:rsid w:val="007A20AF"/>
    <w:rsid w:val="007A226F"/>
    <w:rsid w:val="007A5C0B"/>
    <w:rsid w:val="007B0806"/>
    <w:rsid w:val="007B0B05"/>
    <w:rsid w:val="007B1662"/>
    <w:rsid w:val="007B196F"/>
    <w:rsid w:val="007B1CD6"/>
    <w:rsid w:val="007B356F"/>
    <w:rsid w:val="007B4089"/>
    <w:rsid w:val="007B5CCD"/>
    <w:rsid w:val="007B6708"/>
    <w:rsid w:val="007B6BD5"/>
    <w:rsid w:val="007B6CF4"/>
    <w:rsid w:val="007B74A0"/>
    <w:rsid w:val="007C4749"/>
    <w:rsid w:val="007C6650"/>
    <w:rsid w:val="007D07C6"/>
    <w:rsid w:val="007D2955"/>
    <w:rsid w:val="007D310B"/>
    <w:rsid w:val="007D3A2E"/>
    <w:rsid w:val="007E1197"/>
    <w:rsid w:val="007E2118"/>
    <w:rsid w:val="007E5400"/>
    <w:rsid w:val="007E5EE9"/>
    <w:rsid w:val="007F10A8"/>
    <w:rsid w:val="007F10A9"/>
    <w:rsid w:val="007F21D7"/>
    <w:rsid w:val="007F22C7"/>
    <w:rsid w:val="007F509D"/>
    <w:rsid w:val="007F5A13"/>
    <w:rsid w:val="0080145C"/>
    <w:rsid w:val="00802E40"/>
    <w:rsid w:val="00802F60"/>
    <w:rsid w:val="008046D2"/>
    <w:rsid w:val="008047A2"/>
    <w:rsid w:val="00806112"/>
    <w:rsid w:val="00806A04"/>
    <w:rsid w:val="00806F12"/>
    <w:rsid w:val="00810A34"/>
    <w:rsid w:val="00811BDD"/>
    <w:rsid w:val="00813EA4"/>
    <w:rsid w:val="00814797"/>
    <w:rsid w:val="008160EF"/>
    <w:rsid w:val="00816627"/>
    <w:rsid w:val="0081675E"/>
    <w:rsid w:val="00820455"/>
    <w:rsid w:val="0082481C"/>
    <w:rsid w:val="008252FC"/>
    <w:rsid w:val="00832FBA"/>
    <w:rsid w:val="00833BB2"/>
    <w:rsid w:val="0083447F"/>
    <w:rsid w:val="00834A1C"/>
    <w:rsid w:val="00834F1C"/>
    <w:rsid w:val="00835CD9"/>
    <w:rsid w:val="00837A41"/>
    <w:rsid w:val="008438CD"/>
    <w:rsid w:val="00843D85"/>
    <w:rsid w:val="00844263"/>
    <w:rsid w:val="00847565"/>
    <w:rsid w:val="00847711"/>
    <w:rsid w:val="00852849"/>
    <w:rsid w:val="00853553"/>
    <w:rsid w:val="0085404A"/>
    <w:rsid w:val="008548BF"/>
    <w:rsid w:val="00857425"/>
    <w:rsid w:val="00857CE2"/>
    <w:rsid w:val="00857EF2"/>
    <w:rsid w:val="00860C2D"/>
    <w:rsid w:val="008627EA"/>
    <w:rsid w:val="008637B0"/>
    <w:rsid w:val="00864090"/>
    <w:rsid w:val="00864228"/>
    <w:rsid w:val="008647D6"/>
    <w:rsid w:val="00870B08"/>
    <w:rsid w:val="00870BD0"/>
    <w:rsid w:val="008711A2"/>
    <w:rsid w:val="008720FA"/>
    <w:rsid w:val="0087495B"/>
    <w:rsid w:val="00880A1F"/>
    <w:rsid w:val="00881C55"/>
    <w:rsid w:val="00883940"/>
    <w:rsid w:val="0088499C"/>
    <w:rsid w:val="00886DEF"/>
    <w:rsid w:val="0089038E"/>
    <w:rsid w:val="008919DF"/>
    <w:rsid w:val="0089489F"/>
    <w:rsid w:val="00895A8D"/>
    <w:rsid w:val="008967A2"/>
    <w:rsid w:val="00897CCE"/>
    <w:rsid w:val="008A47ED"/>
    <w:rsid w:val="008A6453"/>
    <w:rsid w:val="008A7D8D"/>
    <w:rsid w:val="008B0995"/>
    <w:rsid w:val="008B15E5"/>
    <w:rsid w:val="008B58D3"/>
    <w:rsid w:val="008B5C87"/>
    <w:rsid w:val="008B7A5F"/>
    <w:rsid w:val="008C1F95"/>
    <w:rsid w:val="008C290F"/>
    <w:rsid w:val="008C2DA3"/>
    <w:rsid w:val="008C343F"/>
    <w:rsid w:val="008C75A0"/>
    <w:rsid w:val="008C7A53"/>
    <w:rsid w:val="008C7B6C"/>
    <w:rsid w:val="008D1D3A"/>
    <w:rsid w:val="008D2F69"/>
    <w:rsid w:val="008D30E1"/>
    <w:rsid w:val="008D37DC"/>
    <w:rsid w:val="008D4207"/>
    <w:rsid w:val="008D459B"/>
    <w:rsid w:val="008D4789"/>
    <w:rsid w:val="008D47DB"/>
    <w:rsid w:val="008D584A"/>
    <w:rsid w:val="008D6BDD"/>
    <w:rsid w:val="008E0481"/>
    <w:rsid w:val="008E0E74"/>
    <w:rsid w:val="008E18B0"/>
    <w:rsid w:val="008E1C8D"/>
    <w:rsid w:val="008E38CC"/>
    <w:rsid w:val="008E4F6A"/>
    <w:rsid w:val="008E535E"/>
    <w:rsid w:val="008E577B"/>
    <w:rsid w:val="008E598F"/>
    <w:rsid w:val="008E5D02"/>
    <w:rsid w:val="008E71D2"/>
    <w:rsid w:val="008E732D"/>
    <w:rsid w:val="008F1AF6"/>
    <w:rsid w:val="008F231E"/>
    <w:rsid w:val="008F2FEE"/>
    <w:rsid w:val="008F38C6"/>
    <w:rsid w:val="008F6306"/>
    <w:rsid w:val="00900D4D"/>
    <w:rsid w:val="00901966"/>
    <w:rsid w:val="009059DB"/>
    <w:rsid w:val="00905FD6"/>
    <w:rsid w:val="0090721B"/>
    <w:rsid w:val="00913067"/>
    <w:rsid w:val="00914AF1"/>
    <w:rsid w:val="00915CF0"/>
    <w:rsid w:val="00915E63"/>
    <w:rsid w:val="00916430"/>
    <w:rsid w:val="00916A37"/>
    <w:rsid w:val="00916FA4"/>
    <w:rsid w:val="00917D89"/>
    <w:rsid w:val="0092208C"/>
    <w:rsid w:val="00925DC8"/>
    <w:rsid w:val="00930A43"/>
    <w:rsid w:val="00931B60"/>
    <w:rsid w:val="00931F95"/>
    <w:rsid w:val="0093295B"/>
    <w:rsid w:val="00934169"/>
    <w:rsid w:val="009341AB"/>
    <w:rsid w:val="0093663C"/>
    <w:rsid w:val="00936DC8"/>
    <w:rsid w:val="00936F5B"/>
    <w:rsid w:val="00937804"/>
    <w:rsid w:val="00937FB9"/>
    <w:rsid w:val="00940DEE"/>
    <w:rsid w:val="009410DA"/>
    <w:rsid w:val="009436A9"/>
    <w:rsid w:val="00946E0B"/>
    <w:rsid w:val="009502F8"/>
    <w:rsid w:val="009506E4"/>
    <w:rsid w:val="00950AEE"/>
    <w:rsid w:val="0095384A"/>
    <w:rsid w:val="009560A9"/>
    <w:rsid w:val="00956178"/>
    <w:rsid w:val="009562B1"/>
    <w:rsid w:val="00957888"/>
    <w:rsid w:val="00963133"/>
    <w:rsid w:val="00964019"/>
    <w:rsid w:val="009651C5"/>
    <w:rsid w:val="00966289"/>
    <w:rsid w:val="0096676B"/>
    <w:rsid w:val="00970A36"/>
    <w:rsid w:val="00971829"/>
    <w:rsid w:val="0097421A"/>
    <w:rsid w:val="00974EFB"/>
    <w:rsid w:val="00981ACA"/>
    <w:rsid w:val="00982174"/>
    <w:rsid w:val="00982189"/>
    <w:rsid w:val="0098443C"/>
    <w:rsid w:val="00985C61"/>
    <w:rsid w:val="00985E81"/>
    <w:rsid w:val="0098666D"/>
    <w:rsid w:val="00986FD5"/>
    <w:rsid w:val="009904F0"/>
    <w:rsid w:val="00991195"/>
    <w:rsid w:val="00994D72"/>
    <w:rsid w:val="0099529B"/>
    <w:rsid w:val="00995374"/>
    <w:rsid w:val="0099632B"/>
    <w:rsid w:val="009A1F84"/>
    <w:rsid w:val="009A2A90"/>
    <w:rsid w:val="009A3F15"/>
    <w:rsid w:val="009A6738"/>
    <w:rsid w:val="009B09C2"/>
    <w:rsid w:val="009B5CB0"/>
    <w:rsid w:val="009B6144"/>
    <w:rsid w:val="009B7A55"/>
    <w:rsid w:val="009C07BA"/>
    <w:rsid w:val="009C14D5"/>
    <w:rsid w:val="009C294F"/>
    <w:rsid w:val="009C3C51"/>
    <w:rsid w:val="009C4F77"/>
    <w:rsid w:val="009C6C49"/>
    <w:rsid w:val="009D01A2"/>
    <w:rsid w:val="009D16BA"/>
    <w:rsid w:val="009D1821"/>
    <w:rsid w:val="009D1D40"/>
    <w:rsid w:val="009D634C"/>
    <w:rsid w:val="009E0BE8"/>
    <w:rsid w:val="009E0FFA"/>
    <w:rsid w:val="009E2277"/>
    <w:rsid w:val="009E3F94"/>
    <w:rsid w:val="009E3FC5"/>
    <w:rsid w:val="009E4A01"/>
    <w:rsid w:val="009E4B64"/>
    <w:rsid w:val="009E507E"/>
    <w:rsid w:val="009E75C0"/>
    <w:rsid w:val="009E7989"/>
    <w:rsid w:val="009F118C"/>
    <w:rsid w:val="009F1FE4"/>
    <w:rsid w:val="009F42CA"/>
    <w:rsid w:val="009F7718"/>
    <w:rsid w:val="00A00DE1"/>
    <w:rsid w:val="00A0185A"/>
    <w:rsid w:val="00A044DB"/>
    <w:rsid w:val="00A055DF"/>
    <w:rsid w:val="00A07FD1"/>
    <w:rsid w:val="00A107C0"/>
    <w:rsid w:val="00A11179"/>
    <w:rsid w:val="00A12411"/>
    <w:rsid w:val="00A13EC3"/>
    <w:rsid w:val="00A15332"/>
    <w:rsid w:val="00A16352"/>
    <w:rsid w:val="00A2643A"/>
    <w:rsid w:val="00A3392D"/>
    <w:rsid w:val="00A34A06"/>
    <w:rsid w:val="00A352B4"/>
    <w:rsid w:val="00A35581"/>
    <w:rsid w:val="00A35F76"/>
    <w:rsid w:val="00A3612E"/>
    <w:rsid w:val="00A36C5B"/>
    <w:rsid w:val="00A37A40"/>
    <w:rsid w:val="00A40773"/>
    <w:rsid w:val="00A425DC"/>
    <w:rsid w:val="00A452C6"/>
    <w:rsid w:val="00A45931"/>
    <w:rsid w:val="00A47EFB"/>
    <w:rsid w:val="00A50B6E"/>
    <w:rsid w:val="00A5327E"/>
    <w:rsid w:val="00A53B12"/>
    <w:rsid w:val="00A53CA5"/>
    <w:rsid w:val="00A5494F"/>
    <w:rsid w:val="00A54EF4"/>
    <w:rsid w:val="00A557D4"/>
    <w:rsid w:val="00A56957"/>
    <w:rsid w:val="00A56964"/>
    <w:rsid w:val="00A60760"/>
    <w:rsid w:val="00A60A47"/>
    <w:rsid w:val="00A62D46"/>
    <w:rsid w:val="00A67187"/>
    <w:rsid w:val="00A673C1"/>
    <w:rsid w:val="00A67EAD"/>
    <w:rsid w:val="00A702CC"/>
    <w:rsid w:val="00A72477"/>
    <w:rsid w:val="00A72883"/>
    <w:rsid w:val="00A73C8D"/>
    <w:rsid w:val="00A74153"/>
    <w:rsid w:val="00A743A1"/>
    <w:rsid w:val="00A74929"/>
    <w:rsid w:val="00A74C68"/>
    <w:rsid w:val="00A75212"/>
    <w:rsid w:val="00A756B3"/>
    <w:rsid w:val="00A7585D"/>
    <w:rsid w:val="00A808DE"/>
    <w:rsid w:val="00A813C0"/>
    <w:rsid w:val="00A818F1"/>
    <w:rsid w:val="00A834F7"/>
    <w:rsid w:val="00A842FB"/>
    <w:rsid w:val="00A84C2D"/>
    <w:rsid w:val="00A853BD"/>
    <w:rsid w:val="00A85E42"/>
    <w:rsid w:val="00A862A8"/>
    <w:rsid w:val="00A8688C"/>
    <w:rsid w:val="00A90CBA"/>
    <w:rsid w:val="00A93162"/>
    <w:rsid w:val="00A9375D"/>
    <w:rsid w:val="00A944C0"/>
    <w:rsid w:val="00A94E87"/>
    <w:rsid w:val="00A970D4"/>
    <w:rsid w:val="00AA1EA4"/>
    <w:rsid w:val="00AA3F61"/>
    <w:rsid w:val="00AA4262"/>
    <w:rsid w:val="00AA5264"/>
    <w:rsid w:val="00AA7325"/>
    <w:rsid w:val="00AB09A5"/>
    <w:rsid w:val="00AB0AA0"/>
    <w:rsid w:val="00AB1198"/>
    <w:rsid w:val="00AB187A"/>
    <w:rsid w:val="00AB2A7C"/>
    <w:rsid w:val="00AB3C5F"/>
    <w:rsid w:val="00AB3CB9"/>
    <w:rsid w:val="00AB40D9"/>
    <w:rsid w:val="00AB43CD"/>
    <w:rsid w:val="00AB4E0D"/>
    <w:rsid w:val="00AB50CA"/>
    <w:rsid w:val="00AB58B7"/>
    <w:rsid w:val="00AB7E0F"/>
    <w:rsid w:val="00AB7E7E"/>
    <w:rsid w:val="00AC7688"/>
    <w:rsid w:val="00AD1A23"/>
    <w:rsid w:val="00AD2FB0"/>
    <w:rsid w:val="00AD4449"/>
    <w:rsid w:val="00AD4613"/>
    <w:rsid w:val="00AD4946"/>
    <w:rsid w:val="00AD52C2"/>
    <w:rsid w:val="00AD728A"/>
    <w:rsid w:val="00AE1303"/>
    <w:rsid w:val="00AE19B7"/>
    <w:rsid w:val="00AE2606"/>
    <w:rsid w:val="00AE4647"/>
    <w:rsid w:val="00AE6F2B"/>
    <w:rsid w:val="00AE76B3"/>
    <w:rsid w:val="00AF3442"/>
    <w:rsid w:val="00AF5C28"/>
    <w:rsid w:val="00AF5DD0"/>
    <w:rsid w:val="00B013CC"/>
    <w:rsid w:val="00B01A09"/>
    <w:rsid w:val="00B020E2"/>
    <w:rsid w:val="00B061C0"/>
    <w:rsid w:val="00B10B9C"/>
    <w:rsid w:val="00B10C4C"/>
    <w:rsid w:val="00B12546"/>
    <w:rsid w:val="00B12C17"/>
    <w:rsid w:val="00B153FE"/>
    <w:rsid w:val="00B1676B"/>
    <w:rsid w:val="00B17641"/>
    <w:rsid w:val="00B17655"/>
    <w:rsid w:val="00B17C78"/>
    <w:rsid w:val="00B2155E"/>
    <w:rsid w:val="00B219D6"/>
    <w:rsid w:val="00B21FA3"/>
    <w:rsid w:val="00B225A8"/>
    <w:rsid w:val="00B22711"/>
    <w:rsid w:val="00B22FC7"/>
    <w:rsid w:val="00B23D02"/>
    <w:rsid w:val="00B252C8"/>
    <w:rsid w:val="00B272BA"/>
    <w:rsid w:val="00B27488"/>
    <w:rsid w:val="00B27AFD"/>
    <w:rsid w:val="00B33921"/>
    <w:rsid w:val="00B34434"/>
    <w:rsid w:val="00B36776"/>
    <w:rsid w:val="00B37AB3"/>
    <w:rsid w:val="00B40CA6"/>
    <w:rsid w:val="00B40DDB"/>
    <w:rsid w:val="00B42AEB"/>
    <w:rsid w:val="00B443E5"/>
    <w:rsid w:val="00B50404"/>
    <w:rsid w:val="00B519FF"/>
    <w:rsid w:val="00B562C1"/>
    <w:rsid w:val="00B6201B"/>
    <w:rsid w:val="00B63636"/>
    <w:rsid w:val="00B64B87"/>
    <w:rsid w:val="00B66601"/>
    <w:rsid w:val="00B71589"/>
    <w:rsid w:val="00B7299F"/>
    <w:rsid w:val="00B742BC"/>
    <w:rsid w:val="00B74AEB"/>
    <w:rsid w:val="00B7687F"/>
    <w:rsid w:val="00B77381"/>
    <w:rsid w:val="00B775AF"/>
    <w:rsid w:val="00B77935"/>
    <w:rsid w:val="00B77AA7"/>
    <w:rsid w:val="00B8052C"/>
    <w:rsid w:val="00B80E0F"/>
    <w:rsid w:val="00B814A9"/>
    <w:rsid w:val="00B81C7F"/>
    <w:rsid w:val="00B82587"/>
    <w:rsid w:val="00B82CC6"/>
    <w:rsid w:val="00B82DE9"/>
    <w:rsid w:val="00B83B99"/>
    <w:rsid w:val="00B85CC4"/>
    <w:rsid w:val="00B863F8"/>
    <w:rsid w:val="00B8766D"/>
    <w:rsid w:val="00B919F3"/>
    <w:rsid w:val="00B937A2"/>
    <w:rsid w:val="00B93B6F"/>
    <w:rsid w:val="00BA1078"/>
    <w:rsid w:val="00BA36FF"/>
    <w:rsid w:val="00BA75EC"/>
    <w:rsid w:val="00BB2122"/>
    <w:rsid w:val="00BB3738"/>
    <w:rsid w:val="00BB645F"/>
    <w:rsid w:val="00BB799A"/>
    <w:rsid w:val="00BC1101"/>
    <w:rsid w:val="00BC2535"/>
    <w:rsid w:val="00BC711D"/>
    <w:rsid w:val="00BC7DA5"/>
    <w:rsid w:val="00BC7FF0"/>
    <w:rsid w:val="00BD0C29"/>
    <w:rsid w:val="00BD17A3"/>
    <w:rsid w:val="00BD38BD"/>
    <w:rsid w:val="00BD51C2"/>
    <w:rsid w:val="00BD686A"/>
    <w:rsid w:val="00BD68EC"/>
    <w:rsid w:val="00BD748D"/>
    <w:rsid w:val="00BD751C"/>
    <w:rsid w:val="00BD7F8F"/>
    <w:rsid w:val="00BE1304"/>
    <w:rsid w:val="00BE1660"/>
    <w:rsid w:val="00BE174E"/>
    <w:rsid w:val="00BE1E6B"/>
    <w:rsid w:val="00BE26DF"/>
    <w:rsid w:val="00BE5F1C"/>
    <w:rsid w:val="00BE6440"/>
    <w:rsid w:val="00BE698C"/>
    <w:rsid w:val="00BF20C4"/>
    <w:rsid w:val="00BF2ED7"/>
    <w:rsid w:val="00BF409A"/>
    <w:rsid w:val="00BF40CB"/>
    <w:rsid w:val="00BF422E"/>
    <w:rsid w:val="00BF54FF"/>
    <w:rsid w:val="00BF5E8C"/>
    <w:rsid w:val="00C00EA7"/>
    <w:rsid w:val="00C01FDA"/>
    <w:rsid w:val="00C03613"/>
    <w:rsid w:val="00C03A22"/>
    <w:rsid w:val="00C12141"/>
    <w:rsid w:val="00C128E9"/>
    <w:rsid w:val="00C12EC1"/>
    <w:rsid w:val="00C14026"/>
    <w:rsid w:val="00C20E23"/>
    <w:rsid w:val="00C21836"/>
    <w:rsid w:val="00C21EDA"/>
    <w:rsid w:val="00C22DD5"/>
    <w:rsid w:val="00C23DC8"/>
    <w:rsid w:val="00C24EA1"/>
    <w:rsid w:val="00C25795"/>
    <w:rsid w:val="00C25C17"/>
    <w:rsid w:val="00C26AC2"/>
    <w:rsid w:val="00C32A67"/>
    <w:rsid w:val="00C334D5"/>
    <w:rsid w:val="00C43BD4"/>
    <w:rsid w:val="00C43DBF"/>
    <w:rsid w:val="00C44628"/>
    <w:rsid w:val="00C452E4"/>
    <w:rsid w:val="00C46BD5"/>
    <w:rsid w:val="00C514FD"/>
    <w:rsid w:val="00C5177E"/>
    <w:rsid w:val="00C52506"/>
    <w:rsid w:val="00C52911"/>
    <w:rsid w:val="00C56780"/>
    <w:rsid w:val="00C60AD0"/>
    <w:rsid w:val="00C61A1D"/>
    <w:rsid w:val="00C61CC7"/>
    <w:rsid w:val="00C65598"/>
    <w:rsid w:val="00C6713C"/>
    <w:rsid w:val="00C70F85"/>
    <w:rsid w:val="00C717CE"/>
    <w:rsid w:val="00C719E5"/>
    <w:rsid w:val="00C74168"/>
    <w:rsid w:val="00C74952"/>
    <w:rsid w:val="00C74E9C"/>
    <w:rsid w:val="00C75061"/>
    <w:rsid w:val="00C81557"/>
    <w:rsid w:val="00C8271E"/>
    <w:rsid w:val="00C83805"/>
    <w:rsid w:val="00C852B3"/>
    <w:rsid w:val="00C86CBC"/>
    <w:rsid w:val="00C8794F"/>
    <w:rsid w:val="00C87B10"/>
    <w:rsid w:val="00C920DA"/>
    <w:rsid w:val="00C9228E"/>
    <w:rsid w:val="00C925BE"/>
    <w:rsid w:val="00C93C2A"/>
    <w:rsid w:val="00C94799"/>
    <w:rsid w:val="00C94948"/>
    <w:rsid w:val="00C96143"/>
    <w:rsid w:val="00CA13E6"/>
    <w:rsid w:val="00CA20D1"/>
    <w:rsid w:val="00CA4FCD"/>
    <w:rsid w:val="00CA6B73"/>
    <w:rsid w:val="00CA7B5A"/>
    <w:rsid w:val="00CB00A9"/>
    <w:rsid w:val="00CB0FFA"/>
    <w:rsid w:val="00CB1699"/>
    <w:rsid w:val="00CB3E73"/>
    <w:rsid w:val="00CB4888"/>
    <w:rsid w:val="00CB525C"/>
    <w:rsid w:val="00CB6803"/>
    <w:rsid w:val="00CC0B2A"/>
    <w:rsid w:val="00CC0C2A"/>
    <w:rsid w:val="00CC206A"/>
    <w:rsid w:val="00CC3071"/>
    <w:rsid w:val="00CC40FA"/>
    <w:rsid w:val="00CC586F"/>
    <w:rsid w:val="00CC6234"/>
    <w:rsid w:val="00CC7FB6"/>
    <w:rsid w:val="00CD1092"/>
    <w:rsid w:val="00CD2F20"/>
    <w:rsid w:val="00CD3851"/>
    <w:rsid w:val="00CD48BB"/>
    <w:rsid w:val="00CD4AE1"/>
    <w:rsid w:val="00CD4E4C"/>
    <w:rsid w:val="00CD5A74"/>
    <w:rsid w:val="00CD6599"/>
    <w:rsid w:val="00CD7ACC"/>
    <w:rsid w:val="00CD7FB3"/>
    <w:rsid w:val="00CE0D30"/>
    <w:rsid w:val="00CE1B78"/>
    <w:rsid w:val="00CE3BBD"/>
    <w:rsid w:val="00CE4F78"/>
    <w:rsid w:val="00CE69E7"/>
    <w:rsid w:val="00CF191C"/>
    <w:rsid w:val="00CF3508"/>
    <w:rsid w:val="00CF543E"/>
    <w:rsid w:val="00CF620E"/>
    <w:rsid w:val="00CF62B6"/>
    <w:rsid w:val="00CF6551"/>
    <w:rsid w:val="00CF7787"/>
    <w:rsid w:val="00CF7BFD"/>
    <w:rsid w:val="00CF7E15"/>
    <w:rsid w:val="00D012BD"/>
    <w:rsid w:val="00D02096"/>
    <w:rsid w:val="00D02C0F"/>
    <w:rsid w:val="00D03611"/>
    <w:rsid w:val="00D04B68"/>
    <w:rsid w:val="00D05040"/>
    <w:rsid w:val="00D07A12"/>
    <w:rsid w:val="00D12817"/>
    <w:rsid w:val="00D138DB"/>
    <w:rsid w:val="00D14F1F"/>
    <w:rsid w:val="00D16919"/>
    <w:rsid w:val="00D16F5A"/>
    <w:rsid w:val="00D170D9"/>
    <w:rsid w:val="00D174D2"/>
    <w:rsid w:val="00D1787E"/>
    <w:rsid w:val="00D205C1"/>
    <w:rsid w:val="00D210BC"/>
    <w:rsid w:val="00D210FB"/>
    <w:rsid w:val="00D21917"/>
    <w:rsid w:val="00D21DC2"/>
    <w:rsid w:val="00D221A2"/>
    <w:rsid w:val="00D2252A"/>
    <w:rsid w:val="00D22FF3"/>
    <w:rsid w:val="00D2397B"/>
    <w:rsid w:val="00D24B4B"/>
    <w:rsid w:val="00D256E6"/>
    <w:rsid w:val="00D260BB"/>
    <w:rsid w:val="00D262AA"/>
    <w:rsid w:val="00D301B0"/>
    <w:rsid w:val="00D30535"/>
    <w:rsid w:val="00D30D9B"/>
    <w:rsid w:val="00D30FEE"/>
    <w:rsid w:val="00D31ED6"/>
    <w:rsid w:val="00D33AA9"/>
    <w:rsid w:val="00D33FDA"/>
    <w:rsid w:val="00D3466F"/>
    <w:rsid w:val="00D3484E"/>
    <w:rsid w:val="00D34B38"/>
    <w:rsid w:val="00D37531"/>
    <w:rsid w:val="00D40EBD"/>
    <w:rsid w:val="00D421BE"/>
    <w:rsid w:val="00D42A08"/>
    <w:rsid w:val="00D43729"/>
    <w:rsid w:val="00D44280"/>
    <w:rsid w:val="00D44413"/>
    <w:rsid w:val="00D45F67"/>
    <w:rsid w:val="00D469CF"/>
    <w:rsid w:val="00D46B67"/>
    <w:rsid w:val="00D50726"/>
    <w:rsid w:val="00D51C70"/>
    <w:rsid w:val="00D53BC3"/>
    <w:rsid w:val="00D53BFD"/>
    <w:rsid w:val="00D545E6"/>
    <w:rsid w:val="00D55B27"/>
    <w:rsid w:val="00D566A5"/>
    <w:rsid w:val="00D57CEB"/>
    <w:rsid w:val="00D6010F"/>
    <w:rsid w:val="00D60BAE"/>
    <w:rsid w:val="00D60EB9"/>
    <w:rsid w:val="00D61CB6"/>
    <w:rsid w:val="00D670E4"/>
    <w:rsid w:val="00D6782A"/>
    <w:rsid w:val="00D71191"/>
    <w:rsid w:val="00D73787"/>
    <w:rsid w:val="00D74F89"/>
    <w:rsid w:val="00D7517F"/>
    <w:rsid w:val="00D756E4"/>
    <w:rsid w:val="00D776E9"/>
    <w:rsid w:val="00D77D45"/>
    <w:rsid w:val="00D80ADC"/>
    <w:rsid w:val="00D8246E"/>
    <w:rsid w:val="00D82F4E"/>
    <w:rsid w:val="00D83985"/>
    <w:rsid w:val="00D86571"/>
    <w:rsid w:val="00D903C8"/>
    <w:rsid w:val="00D93A3A"/>
    <w:rsid w:val="00D94A1D"/>
    <w:rsid w:val="00D95AD1"/>
    <w:rsid w:val="00D95F7A"/>
    <w:rsid w:val="00D97B16"/>
    <w:rsid w:val="00DA0393"/>
    <w:rsid w:val="00DA0A23"/>
    <w:rsid w:val="00DA0A31"/>
    <w:rsid w:val="00DA1FDA"/>
    <w:rsid w:val="00DA255E"/>
    <w:rsid w:val="00DA3000"/>
    <w:rsid w:val="00DA3B07"/>
    <w:rsid w:val="00DA3FED"/>
    <w:rsid w:val="00DA6CDB"/>
    <w:rsid w:val="00DB0B19"/>
    <w:rsid w:val="00DB125B"/>
    <w:rsid w:val="00DB32DC"/>
    <w:rsid w:val="00DB37FF"/>
    <w:rsid w:val="00DB450C"/>
    <w:rsid w:val="00DB727F"/>
    <w:rsid w:val="00DB79A4"/>
    <w:rsid w:val="00DC11AF"/>
    <w:rsid w:val="00DC25D0"/>
    <w:rsid w:val="00DC2ECA"/>
    <w:rsid w:val="00DC43D2"/>
    <w:rsid w:val="00DC4B58"/>
    <w:rsid w:val="00DC4CC1"/>
    <w:rsid w:val="00DC5A18"/>
    <w:rsid w:val="00DC5A2F"/>
    <w:rsid w:val="00DC5D0F"/>
    <w:rsid w:val="00DC66E3"/>
    <w:rsid w:val="00DC6776"/>
    <w:rsid w:val="00DC6F5D"/>
    <w:rsid w:val="00DD0B08"/>
    <w:rsid w:val="00DD1199"/>
    <w:rsid w:val="00DD3A78"/>
    <w:rsid w:val="00DD4394"/>
    <w:rsid w:val="00DD480E"/>
    <w:rsid w:val="00DD4A56"/>
    <w:rsid w:val="00DE39FC"/>
    <w:rsid w:val="00DE43EC"/>
    <w:rsid w:val="00DE4F94"/>
    <w:rsid w:val="00DE557E"/>
    <w:rsid w:val="00DE7B51"/>
    <w:rsid w:val="00DF09E9"/>
    <w:rsid w:val="00DF0BF4"/>
    <w:rsid w:val="00DF14BA"/>
    <w:rsid w:val="00DF264D"/>
    <w:rsid w:val="00DF6A1F"/>
    <w:rsid w:val="00DF7378"/>
    <w:rsid w:val="00DF7CAE"/>
    <w:rsid w:val="00E01463"/>
    <w:rsid w:val="00E02CCC"/>
    <w:rsid w:val="00E05BC3"/>
    <w:rsid w:val="00E0613C"/>
    <w:rsid w:val="00E07C74"/>
    <w:rsid w:val="00E07C7C"/>
    <w:rsid w:val="00E10CB1"/>
    <w:rsid w:val="00E12394"/>
    <w:rsid w:val="00E1345A"/>
    <w:rsid w:val="00E1706E"/>
    <w:rsid w:val="00E17507"/>
    <w:rsid w:val="00E21966"/>
    <w:rsid w:val="00E21C23"/>
    <w:rsid w:val="00E22A0B"/>
    <w:rsid w:val="00E23911"/>
    <w:rsid w:val="00E25277"/>
    <w:rsid w:val="00E31105"/>
    <w:rsid w:val="00E320C5"/>
    <w:rsid w:val="00E32922"/>
    <w:rsid w:val="00E33A74"/>
    <w:rsid w:val="00E343C8"/>
    <w:rsid w:val="00E348DB"/>
    <w:rsid w:val="00E3508C"/>
    <w:rsid w:val="00E35311"/>
    <w:rsid w:val="00E353F6"/>
    <w:rsid w:val="00E354A2"/>
    <w:rsid w:val="00E3593E"/>
    <w:rsid w:val="00E36F5F"/>
    <w:rsid w:val="00E37E27"/>
    <w:rsid w:val="00E4003C"/>
    <w:rsid w:val="00E402EA"/>
    <w:rsid w:val="00E408CC"/>
    <w:rsid w:val="00E40F44"/>
    <w:rsid w:val="00E41246"/>
    <w:rsid w:val="00E4310A"/>
    <w:rsid w:val="00E436B9"/>
    <w:rsid w:val="00E44C77"/>
    <w:rsid w:val="00E45F86"/>
    <w:rsid w:val="00E47969"/>
    <w:rsid w:val="00E503BC"/>
    <w:rsid w:val="00E508EE"/>
    <w:rsid w:val="00E50C4E"/>
    <w:rsid w:val="00E53DD0"/>
    <w:rsid w:val="00E53EED"/>
    <w:rsid w:val="00E54FB0"/>
    <w:rsid w:val="00E55F72"/>
    <w:rsid w:val="00E56824"/>
    <w:rsid w:val="00E572D8"/>
    <w:rsid w:val="00E60C67"/>
    <w:rsid w:val="00E61D9F"/>
    <w:rsid w:val="00E61ECC"/>
    <w:rsid w:val="00E63510"/>
    <w:rsid w:val="00E63F55"/>
    <w:rsid w:val="00E65C87"/>
    <w:rsid w:val="00E661FA"/>
    <w:rsid w:val="00E71BD0"/>
    <w:rsid w:val="00E72879"/>
    <w:rsid w:val="00E73028"/>
    <w:rsid w:val="00E7324C"/>
    <w:rsid w:val="00E74523"/>
    <w:rsid w:val="00E819D7"/>
    <w:rsid w:val="00E81B91"/>
    <w:rsid w:val="00E82694"/>
    <w:rsid w:val="00E82BD5"/>
    <w:rsid w:val="00E877C1"/>
    <w:rsid w:val="00E879A0"/>
    <w:rsid w:val="00E87CBB"/>
    <w:rsid w:val="00E9130E"/>
    <w:rsid w:val="00E92F6B"/>
    <w:rsid w:val="00E93897"/>
    <w:rsid w:val="00E941FD"/>
    <w:rsid w:val="00E962E3"/>
    <w:rsid w:val="00E9730F"/>
    <w:rsid w:val="00E97B75"/>
    <w:rsid w:val="00E97C5D"/>
    <w:rsid w:val="00EA089C"/>
    <w:rsid w:val="00EA1481"/>
    <w:rsid w:val="00EA275A"/>
    <w:rsid w:val="00EA27EA"/>
    <w:rsid w:val="00EA4696"/>
    <w:rsid w:val="00EA48D0"/>
    <w:rsid w:val="00EA5095"/>
    <w:rsid w:val="00EB15D4"/>
    <w:rsid w:val="00EB5EA8"/>
    <w:rsid w:val="00EB5FDE"/>
    <w:rsid w:val="00EB63F9"/>
    <w:rsid w:val="00EC102A"/>
    <w:rsid w:val="00EC155B"/>
    <w:rsid w:val="00EC1B31"/>
    <w:rsid w:val="00EC2CE5"/>
    <w:rsid w:val="00EC424D"/>
    <w:rsid w:val="00EC45D1"/>
    <w:rsid w:val="00EC5F86"/>
    <w:rsid w:val="00EC6146"/>
    <w:rsid w:val="00EC7537"/>
    <w:rsid w:val="00ED1A2C"/>
    <w:rsid w:val="00ED1D6D"/>
    <w:rsid w:val="00ED26DF"/>
    <w:rsid w:val="00ED3927"/>
    <w:rsid w:val="00ED5B32"/>
    <w:rsid w:val="00ED6BCA"/>
    <w:rsid w:val="00ED77C6"/>
    <w:rsid w:val="00EE009E"/>
    <w:rsid w:val="00EE0B77"/>
    <w:rsid w:val="00EE1114"/>
    <w:rsid w:val="00EE1593"/>
    <w:rsid w:val="00EE28BF"/>
    <w:rsid w:val="00EE3B28"/>
    <w:rsid w:val="00EE46BD"/>
    <w:rsid w:val="00EE53D8"/>
    <w:rsid w:val="00EE7971"/>
    <w:rsid w:val="00EF05AA"/>
    <w:rsid w:val="00EF1F73"/>
    <w:rsid w:val="00EF2E41"/>
    <w:rsid w:val="00EF33A6"/>
    <w:rsid w:val="00EF3B06"/>
    <w:rsid w:val="00EF3EF3"/>
    <w:rsid w:val="00EF43B8"/>
    <w:rsid w:val="00EF5736"/>
    <w:rsid w:val="00EF62F4"/>
    <w:rsid w:val="00EF7AB0"/>
    <w:rsid w:val="00F003C5"/>
    <w:rsid w:val="00F0049D"/>
    <w:rsid w:val="00F03182"/>
    <w:rsid w:val="00F03BC1"/>
    <w:rsid w:val="00F03D44"/>
    <w:rsid w:val="00F058BA"/>
    <w:rsid w:val="00F07B7E"/>
    <w:rsid w:val="00F10AF9"/>
    <w:rsid w:val="00F127FB"/>
    <w:rsid w:val="00F1290B"/>
    <w:rsid w:val="00F12DB3"/>
    <w:rsid w:val="00F131DD"/>
    <w:rsid w:val="00F140A2"/>
    <w:rsid w:val="00F14A88"/>
    <w:rsid w:val="00F15603"/>
    <w:rsid w:val="00F16767"/>
    <w:rsid w:val="00F17372"/>
    <w:rsid w:val="00F210EB"/>
    <w:rsid w:val="00F21145"/>
    <w:rsid w:val="00F25C19"/>
    <w:rsid w:val="00F268F1"/>
    <w:rsid w:val="00F2736A"/>
    <w:rsid w:val="00F3039E"/>
    <w:rsid w:val="00F31221"/>
    <w:rsid w:val="00F40A51"/>
    <w:rsid w:val="00F40B02"/>
    <w:rsid w:val="00F41A9A"/>
    <w:rsid w:val="00F4219B"/>
    <w:rsid w:val="00F463F6"/>
    <w:rsid w:val="00F47327"/>
    <w:rsid w:val="00F50E90"/>
    <w:rsid w:val="00F515DC"/>
    <w:rsid w:val="00F52082"/>
    <w:rsid w:val="00F52149"/>
    <w:rsid w:val="00F5258B"/>
    <w:rsid w:val="00F52645"/>
    <w:rsid w:val="00F54136"/>
    <w:rsid w:val="00F54B17"/>
    <w:rsid w:val="00F54D36"/>
    <w:rsid w:val="00F554F1"/>
    <w:rsid w:val="00F56809"/>
    <w:rsid w:val="00F56C69"/>
    <w:rsid w:val="00F56FF7"/>
    <w:rsid w:val="00F570F6"/>
    <w:rsid w:val="00F57385"/>
    <w:rsid w:val="00F57B67"/>
    <w:rsid w:val="00F61754"/>
    <w:rsid w:val="00F6447D"/>
    <w:rsid w:val="00F672EA"/>
    <w:rsid w:val="00F708AB"/>
    <w:rsid w:val="00F72CB9"/>
    <w:rsid w:val="00F74284"/>
    <w:rsid w:val="00F75AEA"/>
    <w:rsid w:val="00F763A6"/>
    <w:rsid w:val="00F8035B"/>
    <w:rsid w:val="00F8049F"/>
    <w:rsid w:val="00F83D8D"/>
    <w:rsid w:val="00F83F8B"/>
    <w:rsid w:val="00F84A04"/>
    <w:rsid w:val="00F85007"/>
    <w:rsid w:val="00F85684"/>
    <w:rsid w:val="00F86195"/>
    <w:rsid w:val="00F8646B"/>
    <w:rsid w:val="00F90BFA"/>
    <w:rsid w:val="00F91503"/>
    <w:rsid w:val="00F916D1"/>
    <w:rsid w:val="00F9238D"/>
    <w:rsid w:val="00F92B40"/>
    <w:rsid w:val="00F945A2"/>
    <w:rsid w:val="00F947B9"/>
    <w:rsid w:val="00F963AB"/>
    <w:rsid w:val="00F96C65"/>
    <w:rsid w:val="00F96C9B"/>
    <w:rsid w:val="00F96CB8"/>
    <w:rsid w:val="00F97875"/>
    <w:rsid w:val="00F97E5E"/>
    <w:rsid w:val="00FA0742"/>
    <w:rsid w:val="00FA0A59"/>
    <w:rsid w:val="00FA0F2E"/>
    <w:rsid w:val="00FA13E9"/>
    <w:rsid w:val="00FA1CF4"/>
    <w:rsid w:val="00FA2ABD"/>
    <w:rsid w:val="00FA2CCB"/>
    <w:rsid w:val="00FA4062"/>
    <w:rsid w:val="00FA4279"/>
    <w:rsid w:val="00FA42A5"/>
    <w:rsid w:val="00FA4583"/>
    <w:rsid w:val="00FA4D0B"/>
    <w:rsid w:val="00FA7DAE"/>
    <w:rsid w:val="00FB03B8"/>
    <w:rsid w:val="00FB0510"/>
    <w:rsid w:val="00FB0E66"/>
    <w:rsid w:val="00FB0F0F"/>
    <w:rsid w:val="00FB419A"/>
    <w:rsid w:val="00FB4B6D"/>
    <w:rsid w:val="00FB6CD6"/>
    <w:rsid w:val="00FB6D07"/>
    <w:rsid w:val="00FB7D73"/>
    <w:rsid w:val="00FC2839"/>
    <w:rsid w:val="00FC43EA"/>
    <w:rsid w:val="00FC6C20"/>
    <w:rsid w:val="00FC733F"/>
    <w:rsid w:val="00FC77E1"/>
    <w:rsid w:val="00FD100B"/>
    <w:rsid w:val="00FD153A"/>
    <w:rsid w:val="00FD3086"/>
    <w:rsid w:val="00FD3A01"/>
    <w:rsid w:val="00FD432C"/>
    <w:rsid w:val="00FD4753"/>
    <w:rsid w:val="00FD5C7C"/>
    <w:rsid w:val="00FD6632"/>
    <w:rsid w:val="00FD6AF5"/>
    <w:rsid w:val="00FD76B2"/>
    <w:rsid w:val="00FD7F9F"/>
    <w:rsid w:val="00FE1479"/>
    <w:rsid w:val="00FE24C1"/>
    <w:rsid w:val="00FE67DA"/>
    <w:rsid w:val="00FF1E77"/>
    <w:rsid w:val="00FF1ED8"/>
    <w:rsid w:val="00FF2D62"/>
    <w:rsid w:val="00FF31BF"/>
    <w:rsid w:val="00FF3DD9"/>
    <w:rsid w:val="00FF618C"/>
    <w:rsid w:val="00FF62EC"/>
    <w:rsid w:val="00FF7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B443136"/>
  <w15:docId w15:val="{040D4FC1-C0EF-4DDE-AC82-4E596A10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n-AU" w:eastAsia="en-US" w:bidi="ar-SA"/>
      </w:rPr>
    </w:rPrDefault>
    <w:pPrDefault>
      <w:pPr>
        <w:jc w:val="both"/>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8EF"/>
    <w:pPr>
      <w:spacing w:after="288"/>
    </w:pPr>
  </w:style>
  <w:style w:type="paragraph" w:styleId="Heading1">
    <w:name w:val="heading 1"/>
    <w:basedOn w:val="Normal"/>
    <w:next w:val="Normal"/>
    <w:link w:val="Heading1Char"/>
    <w:uiPriority w:val="9"/>
    <w:qFormat/>
    <w:rsid w:val="006242E5"/>
    <w:pPr>
      <w:pageBreakBefore/>
      <w:numPr>
        <w:numId w:val="7"/>
      </w:numPr>
      <w:pBdr>
        <w:bottom w:val="single" w:sz="8" w:space="1" w:color="000080"/>
      </w:pBdr>
      <w:spacing w:after="576"/>
      <w:ind w:left="357" w:hanging="357"/>
      <w:jc w:val="right"/>
      <w:outlineLvl w:val="0"/>
    </w:pPr>
    <w:rPr>
      <w:rFonts w:cstheme="minorHAnsi"/>
      <w:b/>
      <w:color w:val="000080"/>
      <w:sz w:val="40"/>
      <w:szCs w:val="40"/>
    </w:rPr>
  </w:style>
  <w:style w:type="paragraph" w:styleId="Heading2">
    <w:name w:val="heading 2"/>
    <w:basedOn w:val="Normal"/>
    <w:next w:val="Normal"/>
    <w:link w:val="Heading2Char"/>
    <w:qFormat/>
    <w:rsid w:val="00093B83"/>
    <w:pPr>
      <w:keepNext/>
      <w:outlineLvl w:val="1"/>
    </w:pPr>
    <w:rPr>
      <w:rFonts w:cstheme="minorHAnsi"/>
      <w:b/>
      <w:color w:val="000080"/>
      <w:sz w:val="28"/>
    </w:rPr>
  </w:style>
  <w:style w:type="paragraph" w:styleId="Heading3">
    <w:name w:val="heading 3"/>
    <w:basedOn w:val="Normal"/>
    <w:next w:val="Normal"/>
    <w:qFormat/>
    <w:rsid w:val="00093B83"/>
    <w:pPr>
      <w:keepNext/>
      <w:outlineLvl w:val="2"/>
    </w:pPr>
    <w:rPr>
      <w:rFonts w:cstheme="minorHAnsi"/>
      <w:b/>
      <w:color w:val="000080"/>
    </w:rPr>
  </w:style>
  <w:style w:type="paragraph" w:styleId="Heading4">
    <w:name w:val="heading 4"/>
    <w:basedOn w:val="Normal"/>
    <w:next w:val="Normal"/>
    <w:qFormat/>
    <w:rsid w:val="00093B83"/>
    <w:pPr>
      <w:keepNext/>
      <w:outlineLvl w:val="3"/>
    </w:pPr>
    <w:rPr>
      <w:bCs/>
      <w:i/>
      <w:color w:val="000080"/>
      <w:szCs w:val="28"/>
    </w:rPr>
  </w:style>
  <w:style w:type="paragraph" w:styleId="Heading5">
    <w:name w:val="heading 5"/>
    <w:basedOn w:val="Normal"/>
    <w:next w:val="Normal"/>
    <w:link w:val="Heading5Char"/>
    <w:unhideWhenUsed/>
    <w:qFormat/>
    <w:rsid w:val="00A12411"/>
    <w:pPr>
      <w:keepNext/>
      <w:keepLines/>
      <w:spacing w:after="0"/>
      <w:outlineLvl w:val="4"/>
    </w:pPr>
    <w:rPr>
      <w:rFonts w:eastAsiaTheme="majorEastAsia" w:cstheme="majorBidi"/>
      <w:i/>
      <w:color w:val="000080"/>
    </w:rPr>
  </w:style>
  <w:style w:type="paragraph" w:styleId="Heading6">
    <w:name w:val="heading 6"/>
    <w:basedOn w:val="Normal"/>
    <w:next w:val="Normal"/>
    <w:link w:val="Heading6Char"/>
    <w:semiHidden/>
    <w:unhideWhenUsed/>
    <w:qFormat/>
    <w:rsid w:val="00661BAB"/>
    <w:pPr>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2E5"/>
    <w:rPr>
      <w:rFonts w:cstheme="minorHAnsi"/>
      <w:b/>
      <w:color w:val="000080"/>
      <w:sz w:val="40"/>
      <w:szCs w:val="40"/>
    </w:rPr>
  </w:style>
  <w:style w:type="character" w:customStyle="1" w:styleId="Heading2Char">
    <w:name w:val="Heading 2 Char"/>
    <w:basedOn w:val="DefaultParagraphFont"/>
    <w:link w:val="Heading2"/>
    <w:rsid w:val="00093B83"/>
    <w:rPr>
      <w:rFonts w:cstheme="minorHAnsi"/>
      <w:b/>
      <w:color w:val="000080"/>
      <w:sz w:val="28"/>
    </w:rPr>
  </w:style>
  <w:style w:type="character" w:customStyle="1" w:styleId="Heading6Char">
    <w:name w:val="Heading 6 Char"/>
    <w:basedOn w:val="DefaultParagraphFont"/>
    <w:link w:val="Heading6"/>
    <w:semiHidden/>
    <w:rsid w:val="00661BAB"/>
    <w:rPr>
      <w:rFonts w:asciiTheme="majorHAnsi" w:eastAsiaTheme="majorEastAsia" w:hAnsiTheme="majorHAnsi" w:cstheme="majorBidi"/>
      <w:color w:val="243F60" w:themeColor="accent1" w:themeShade="7F"/>
      <w:sz w:val="24"/>
      <w:szCs w:val="24"/>
      <w:lang w:eastAsia="en-US"/>
    </w:rPr>
  </w:style>
  <w:style w:type="paragraph" w:styleId="Footer">
    <w:name w:val="footer"/>
    <w:basedOn w:val="Normal"/>
    <w:link w:val="FooterChar"/>
    <w:uiPriority w:val="99"/>
    <w:rsid w:val="00B742BC"/>
    <w:pPr>
      <w:tabs>
        <w:tab w:val="center" w:pos="4153"/>
        <w:tab w:val="right" w:pos="9027"/>
      </w:tabs>
      <w:spacing w:after="0"/>
      <w:jc w:val="left"/>
    </w:pPr>
    <w:rPr>
      <w:b/>
      <w:color w:val="C0504D"/>
      <w:sz w:val="20"/>
      <w:szCs w:val="20"/>
      <w:lang w:val="en-US"/>
    </w:rPr>
  </w:style>
  <w:style w:type="character" w:customStyle="1" w:styleId="FooterChar">
    <w:name w:val="Footer Char"/>
    <w:basedOn w:val="DefaultParagraphFont"/>
    <w:link w:val="Footer"/>
    <w:uiPriority w:val="99"/>
    <w:rsid w:val="00B742BC"/>
    <w:rPr>
      <w:b/>
      <w:color w:val="C0504D"/>
      <w:sz w:val="20"/>
      <w:szCs w:val="20"/>
      <w:lang w:val="en-US"/>
    </w:rPr>
  </w:style>
  <w:style w:type="character" w:styleId="Hyperlink">
    <w:name w:val="Hyperlink"/>
    <w:basedOn w:val="DefaultParagraphFont"/>
    <w:uiPriority w:val="99"/>
    <w:rsid w:val="00CE69E7"/>
    <w:rPr>
      <w:color w:val="0000FF"/>
      <w:u w:val="single"/>
    </w:rPr>
  </w:style>
  <w:style w:type="table" w:styleId="TableGrid">
    <w:name w:val="Table Grid"/>
    <w:aliases w:val="CIRES table"/>
    <w:basedOn w:val="TableNormal"/>
    <w:uiPriority w:val="59"/>
    <w:rsid w:val="00EC155B"/>
    <w:rPr>
      <w:sz w:val="22"/>
    </w:rPr>
    <w:tblPr>
      <w:tblBorders>
        <w:top w:val="single" w:sz="4" w:space="0" w:color="auto"/>
        <w:bottom w:val="single" w:sz="4" w:space="0" w:color="auto"/>
        <w:insideH w:val="single" w:sz="4" w:space="0" w:color="auto"/>
        <w:insideV w:val="single" w:sz="4" w:space="0" w:color="auto"/>
      </w:tblBorders>
    </w:tblPr>
    <w:tcPr>
      <w:vAlign w:val="center"/>
    </w:tcPr>
    <w:tblStylePr w:type="firstRow">
      <w:pPr>
        <w:wordWrap/>
        <w:jc w:val="left"/>
      </w:pPr>
      <w:rPr>
        <w:rFonts w:ascii="Calibri" w:hAnsi="Calibri"/>
        <w:b w:val="0"/>
        <w:sz w:val="22"/>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table" w:styleId="LightShading-Accent2">
    <w:name w:val="Light Shading Accent 2"/>
    <w:basedOn w:val="TableNormal"/>
    <w:uiPriority w:val="60"/>
    <w:rsid w:val="00D42A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Dotpoints">
    <w:name w:val="Dot points"/>
    <w:basedOn w:val="Normal"/>
    <w:link w:val="DotpointsChar"/>
    <w:uiPriority w:val="2"/>
    <w:qFormat/>
    <w:rsid w:val="0038036B"/>
    <w:pPr>
      <w:numPr>
        <w:numId w:val="23"/>
      </w:numPr>
      <w:contextualSpacing/>
    </w:pPr>
    <w:rPr>
      <w:rFonts w:asciiTheme="minorHAnsi" w:hAnsiTheme="minorHAnsi" w:cs="Meta-Normal"/>
      <w:szCs w:val="32"/>
    </w:rPr>
  </w:style>
  <w:style w:type="character" w:customStyle="1" w:styleId="DotpointsChar">
    <w:name w:val="Dot points Char"/>
    <w:basedOn w:val="DefaultParagraphFont"/>
    <w:link w:val="Dotpoints"/>
    <w:uiPriority w:val="2"/>
    <w:rsid w:val="00C03A22"/>
    <w:rPr>
      <w:rFonts w:asciiTheme="minorHAnsi" w:hAnsiTheme="minorHAnsi" w:cs="Meta-Normal"/>
      <w:szCs w:val="32"/>
    </w:rPr>
  </w:style>
  <w:style w:type="paragraph" w:customStyle="1" w:styleId="Reference">
    <w:name w:val="Reference"/>
    <w:basedOn w:val="Normal"/>
    <w:uiPriority w:val="3"/>
    <w:qFormat/>
    <w:rsid w:val="00CD5A74"/>
    <w:pPr>
      <w:ind w:left="851" w:hanging="851"/>
      <w:contextualSpacing/>
    </w:pPr>
    <w:rPr>
      <w:noProof/>
    </w:rPr>
  </w:style>
  <w:style w:type="character" w:customStyle="1" w:styleId="TOC1Char">
    <w:name w:val="TOC 1 Char"/>
    <w:basedOn w:val="DefaultParagraphFont"/>
    <w:link w:val="TOC1"/>
    <w:uiPriority w:val="39"/>
    <w:rsid w:val="006859ED"/>
    <w:rPr>
      <w:b/>
      <w:noProof/>
      <w:sz w:val="24"/>
    </w:rPr>
  </w:style>
  <w:style w:type="paragraph" w:styleId="TOC1">
    <w:name w:val="toc 1"/>
    <w:basedOn w:val="Normal"/>
    <w:next w:val="Normal"/>
    <w:link w:val="TOC1Char"/>
    <w:autoRedefine/>
    <w:uiPriority w:val="39"/>
    <w:unhideWhenUsed/>
    <w:rsid w:val="006859ED"/>
    <w:pPr>
      <w:tabs>
        <w:tab w:val="left" w:pos="440"/>
        <w:tab w:val="right" w:leader="dot" w:pos="9017"/>
      </w:tabs>
      <w:spacing w:after="100"/>
    </w:pPr>
    <w:rPr>
      <w:b/>
      <w:noProof/>
    </w:rPr>
  </w:style>
  <w:style w:type="character" w:styleId="PageNumber">
    <w:name w:val="page number"/>
    <w:uiPriority w:val="3"/>
    <w:rsid w:val="00D34B38"/>
  </w:style>
  <w:style w:type="character" w:styleId="FollowedHyperlink">
    <w:name w:val="FollowedHyperlink"/>
    <w:basedOn w:val="DefaultParagraphFont"/>
    <w:rsid w:val="00B10C4C"/>
    <w:rPr>
      <w:color w:val="606420"/>
      <w:u w:val="single"/>
    </w:rPr>
  </w:style>
  <w:style w:type="paragraph" w:styleId="FootnoteText">
    <w:name w:val="footnote text"/>
    <w:basedOn w:val="Normal"/>
    <w:link w:val="FootnoteTextChar"/>
    <w:uiPriority w:val="3"/>
    <w:qFormat/>
    <w:rsid w:val="004A1CC8"/>
    <w:rPr>
      <w:sz w:val="20"/>
      <w:szCs w:val="20"/>
    </w:rPr>
  </w:style>
  <w:style w:type="character" w:customStyle="1" w:styleId="FootnoteTextChar">
    <w:name w:val="Footnote Text Char"/>
    <w:basedOn w:val="DefaultParagraphFont"/>
    <w:link w:val="FootnoteText"/>
    <w:uiPriority w:val="3"/>
    <w:rsid w:val="000478EF"/>
    <w:rPr>
      <w:sz w:val="20"/>
      <w:szCs w:val="20"/>
    </w:rPr>
  </w:style>
  <w:style w:type="character" w:styleId="FootnoteReference">
    <w:name w:val="footnote reference"/>
    <w:basedOn w:val="DefaultParagraphFont"/>
    <w:uiPriority w:val="99"/>
    <w:semiHidden/>
    <w:rsid w:val="004A1CC8"/>
    <w:rPr>
      <w:vertAlign w:val="superscript"/>
    </w:rPr>
  </w:style>
  <w:style w:type="character" w:styleId="CommentReference">
    <w:name w:val="annotation reference"/>
    <w:basedOn w:val="DefaultParagraphFont"/>
    <w:semiHidden/>
    <w:rsid w:val="00F72CB9"/>
    <w:rPr>
      <w:sz w:val="16"/>
      <w:szCs w:val="16"/>
    </w:rPr>
  </w:style>
  <w:style w:type="paragraph" w:styleId="CommentText">
    <w:name w:val="annotation text"/>
    <w:basedOn w:val="Normal"/>
    <w:semiHidden/>
    <w:rsid w:val="00F72CB9"/>
    <w:rPr>
      <w:sz w:val="20"/>
      <w:szCs w:val="20"/>
    </w:rPr>
  </w:style>
  <w:style w:type="paragraph" w:styleId="CommentSubject">
    <w:name w:val="annotation subject"/>
    <w:basedOn w:val="CommentText"/>
    <w:next w:val="CommentText"/>
    <w:semiHidden/>
    <w:rsid w:val="00F72CB9"/>
    <w:rPr>
      <w:b/>
      <w:bCs/>
    </w:rPr>
  </w:style>
  <w:style w:type="paragraph" w:styleId="BalloonText">
    <w:name w:val="Balloon Text"/>
    <w:basedOn w:val="Normal"/>
    <w:semiHidden/>
    <w:rsid w:val="00F72CB9"/>
    <w:rPr>
      <w:rFonts w:ascii="Tahoma" w:hAnsi="Tahoma"/>
      <w:sz w:val="16"/>
      <w:szCs w:val="16"/>
    </w:rPr>
  </w:style>
  <w:style w:type="paragraph" w:customStyle="1" w:styleId="Tablegriddotpoints">
    <w:name w:val="Table grid dot points"/>
    <w:basedOn w:val="Normal"/>
    <w:link w:val="TablegriddotpointsChar"/>
    <w:uiPriority w:val="4"/>
    <w:qFormat/>
    <w:rsid w:val="004E45F6"/>
    <w:pPr>
      <w:numPr>
        <w:numId w:val="4"/>
      </w:numPr>
      <w:tabs>
        <w:tab w:val="clear" w:pos="567"/>
      </w:tabs>
      <w:spacing w:after="0"/>
      <w:ind w:left="568" w:hanging="284"/>
    </w:pPr>
    <w:rPr>
      <w:sz w:val="22"/>
    </w:rPr>
  </w:style>
  <w:style w:type="paragraph" w:customStyle="1" w:styleId="FrontPagesub-heading">
    <w:name w:val="Front Page sub-heading"/>
    <w:basedOn w:val="Normal"/>
    <w:next w:val="Normal"/>
    <w:link w:val="FrontPagesub-headingChar"/>
    <w:uiPriority w:val="1"/>
    <w:rsid w:val="00B742BC"/>
    <w:pPr>
      <w:spacing w:after="0"/>
      <w:jc w:val="right"/>
    </w:pPr>
    <w:rPr>
      <w:color w:val="EEECE1" w:themeColor="background2"/>
      <w:sz w:val="44"/>
    </w:rPr>
  </w:style>
  <w:style w:type="paragraph" w:styleId="TableofFigures">
    <w:name w:val="table of figures"/>
    <w:basedOn w:val="Normal"/>
    <w:next w:val="Normal"/>
    <w:uiPriority w:val="99"/>
    <w:unhideWhenUsed/>
    <w:rsid w:val="00CE69E7"/>
    <w:pPr>
      <w:tabs>
        <w:tab w:val="right" w:leader="dot" w:pos="9015"/>
      </w:tabs>
      <w:spacing w:after="0"/>
      <w:ind w:left="1440" w:right="567" w:hanging="1440"/>
    </w:pPr>
    <w:rPr>
      <w:noProof/>
    </w:rPr>
  </w:style>
  <w:style w:type="table" w:styleId="LightShading-Accent1">
    <w:name w:val="Light Shading Accent 1"/>
    <w:basedOn w:val="TableNormal"/>
    <w:uiPriority w:val="60"/>
    <w:rsid w:val="000D5998"/>
    <w:rPr>
      <w:rFonts w:asciiTheme="minorHAnsi" w:eastAsiaTheme="minorEastAsia" w:hAnsiTheme="minorHAnsi" w:cstheme="minorBidi"/>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0D59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List-Accent2">
    <w:name w:val="Colorful List Accent 2"/>
    <w:basedOn w:val="TableNormal"/>
    <w:uiPriority w:val="72"/>
    <w:rsid w:val="00915CF0"/>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NoSpacing">
    <w:name w:val="No Spacing"/>
    <w:link w:val="NoSpacingChar"/>
    <w:qFormat/>
    <w:rsid w:val="00176F02"/>
    <w:rPr>
      <w:rFonts w:asciiTheme="minorHAnsi" w:eastAsiaTheme="minorEastAsia" w:hAnsiTheme="minorHAnsi" w:cstheme="minorBidi"/>
      <w:lang w:val="en-US"/>
    </w:rPr>
  </w:style>
  <w:style w:type="character" w:customStyle="1" w:styleId="NoSpacingChar">
    <w:name w:val="No Spacing Char"/>
    <w:basedOn w:val="DefaultParagraphFont"/>
    <w:link w:val="NoSpacing"/>
    <w:rsid w:val="00847565"/>
    <w:rPr>
      <w:rFonts w:asciiTheme="minorHAnsi" w:eastAsiaTheme="minorEastAsia" w:hAnsiTheme="minorHAnsi" w:cstheme="minorBidi"/>
      <w:lang w:val="en-US"/>
    </w:rPr>
  </w:style>
  <w:style w:type="table" w:styleId="ColorfulList-Accent1">
    <w:name w:val="Colorful List Accent 1"/>
    <w:basedOn w:val="TableNormal"/>
    <w:uiPriority w:val="72"/>
    <w:rsid w:val="00914AF1"/>
    <w:rPr>
      <w:rFonts w:eastAsiaTheme="minorHAnsi"/>
      <w:color w:val="000000" w:themeColor="text1"/>
      <w:lang w:val="en-US" w:bidi="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Caption">
    <w:name w:val="caption"/>
    <w:basedOn w:val="Normal"/>
    <w:next w:val="Normal"/>
    <w:uiPriority w:val="3"/>
    <w:qFormat/>
    <w:rsid w:val="00897CCE"/>
    <w:pPr>
      <w:tabs>
        <w:tab w:val="left" w:pos="1440"/>
      </w:tabs>
      <w:ind w:left="1440" w:hanging="1440"/>
    </w:pPr>
    <w:rPr>
      <w:b/>
      <w:color w:val="000080"/>
    </w:rPr>
  </w:style>
  <w:style w:type="paragraph" w:customStyle="1" w:styleId="Tablegridheading">
    <w:name w:val="Table grid heading"/>
    <w:basedOn w:val="Normal"/>
    <w:link w:val="TablegridheadingChar"/>
    <w:uiPriority w:val="4"/>
    <w:qFormat/>
    <w:rsid w:val="00027AEA"/>
    <w:pPr>
      <w:spacing w:before="60" w:after="60"/>
      <w:jc w:val="left"/>
    </w:pPr>
    <w:rPr>
      <w:b/>
      <w:bCs/>
      <w:sz w:val="22"/>
      <w:szCs w:val="20"/>
    </w:rPr>
  </w:style>
  <w:style w:type="table" w:styleId="ColorfulShading-Accent5">
    <w:name w:val="Colorful Shading Accent 5"/>
    <w:basedOn w:val="TableNormal"/>
    <w:uiPriority w:val="71"/>
    <w:rsid w:val="00D30FE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1">
    <w:name w:val="Medium Shading 1 Accent 1"/>
    <w:basedOn w:val="TableNormal"/>
    <w:uiPriority w:val="63"/>
    <w:rsid w:val="00D30FE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A9375D"/>
    <w:pPr>
      <w:keepLines/>
      <w:numPr>
        <w:numId w:val="0"/>
      </w:numPr>
      <w:spacing w:before="480" w:line="276" w:lineRule="auto"/>
      <w:jc w:val="left"/>
      <w:outlineLvl w:val="9"/>
    </w:pPr>
    <w:rPr>
      <w:rFonts w:eastAsiaTheme="majorEastAsia" w:cstheme="majorBidi"/>
      <w:bCs/>
      <w:color w:val="365F91" w:themeColor="accent1" w:themeShade="BF"/>
      <w:sz w:val="28"/>
      <w:lang w:val="en-US" w:eastAsia="ja-JP"/>
    </w:rPr>
  </w:style>
  <w:style w:type="paragraph" w:styleId="TOC2">
    <w:name w:val="toc 2"/>
    <w:basedOn w:val="Normal"/>
    <w:next w:val="Normal"/>
    <w:autoRedefine/>
    <w:uiPriority w:val="39"/>
    <w:unhideWhenUsed/>
    <w:rsid w:val="004948F9"/>
    <w:pPr>
      <w:tabs>
        <w:tab w:val="right" w:leader="dot" w:pos="9017"/>
      </w:tabs>
      <w:spacing w:after="100"/>
      <w:ind w:left="442"/>
    </w:pPr>
  </w:style>
  <w:style w:type="paragraph" w:styleId="TOC3">
    <w:name w:val="toc 3"/>
    <w:basedOn w:val="Normal"/>
    <w:next w:val="Normal"/>
    <w:autoRedefine/>
    <w:uiPriority w:val="39"/>
    <w:unhideWhenUsed/>
    <w:rsid w:val="00323127"/>
    <w:pPr>
      <w:tabs>
        <w:tab w:val="right" w:leader="dot" w:pos="9015"/>
      </w:tabs>
      <w:spacing w:after="100"/>
      <w:ind w:left="720"/>
    </w:pPr>
    <w:rPr>
      <w:noProof/>
    </w:rPr>
  </w:style>
  <w:style w:type="paragraph" w:styleId="TOC4">
    <w:name w:val="toc 4"/>
    <w:basedOn w:val="Normal"/>
    <w:next w:val="Normal"/>
    <w:autoRedefine/>
    <w:semiHidden/>
    <w:unhideWhenUsed/>
    <w:rsid w:val="003056B4"/>
    <w:pPr>
      <w:spacing w:after="100"/>
      <w:ind w:left="660"/>
    </w:pPr>
  </w:style>
  <w:style w:type="character" w:customStyle="1" w:styleId="FrontPagesub-headingChar">
    <w:name w:val="Front Page sub-heading Char"/>
    <w:basedOn w:val="DefaultParagraphFont"/>
    <w:link w:val="FrontPagesub-heading"/>
    <w:uiPriority w:val="1"/>
    <w:rsid w:val="00B742BC"/>
    <w:rPr>
      <w:color w:val="EEECE1" w:themeColor="background2"/>
      <w:sz w:val="44"/>
    </w:rPr>
  </w:style>
  <w:style w:type="paragraph" w:customStyle="1" w:styleId="FrontPagesub-heading2">
    <w:name w:val="Front Page sub-heading 2"/>
    <w:basedOn w:val="Normal"/>
    <w:link w:val="FrontPagesub-heading2Char"/>
    <w:uiPriority w:val="1"/>
    <w:rsid w:val="00B742BC"/>
    <w:pPr>
      <w:spacing w:after="0"/>
      <w:jc w:val="center"/>
    </w:pPr>
    <w:rPr>
      <w:rFonts w:asciiTheme="minorHAnsi" w:hAnsiTheme="minorHAnsi" w:cstheme="minorHAnsi"/>
      <w:color w:val="000080"/>
      <w:sz w:val="28"/>
      <w:szCs w:val="28"/>
    </w:rPr>
  </w:style>
  <w:style w:type="character" w:customStyle="1" w:styleId="FrontPagesub-heading2Char">
    <w:name w:val="Front Page sub-heading 2 Char"/>
    <w:basedOn w:val="DefaultParagraphFont"/>
    <w:link w:val="FrontPagesub-heading2"/>
    <w:uiPriority w:val="1"/>
    <w:rsid w:val="00B742BC"/>
    <w:rPr>
      <w:rFonts w:asciiTheme="minorHAnsi" w:hAnsiTheme="minorHAnsi" w:cstheme="minorHAnsi"/>
      <w:color w:val="000080"/>
      <w:sz w:val="28"/>
      <w:szCs w:val="28"/>
    </w:rPr>
  </w:style>
  <w:style w:type="paragraph" w:customStyle="1" w:styleId="Numberedlist">
    <w:name w:val="Numbered list"/>
    <w:basedOn w:val="Normal"/>
    <w:link w:val="NumberedlistChar"/>
    <w:uiPriority w:val="2"/>
    <w:qFormat/>
    <w:rsid w:val="003F17C1"/>
    <w:pPr>
      <w:numPr>
        <w:numId w:val="17"/>
      </w:numPr>
      <w:ind w:left="714" w:hanging="357"/>
      <w:contextualSpacing/>
    </w:pPr>
    <w:rPr>
      <w:rFonts w:asciiTheme="minorHAnsi" w:hAnsiTheme="minorHAnsi" w:cs="Meta-Normal"/>
      <w:szCs w:val="32"/>
    </w:rPr>
  </w:style>
  <w:style w:type="character" w:customStyle="1" w:styleId="NumberedlistChar">
    <w:name w:val="Numbered list Char"/>
    <w:basedOn w:val="DefaultParagraphFont"/>
    <w:link w:val="Numberedlist"/>
    <w:uiPriority w:val="2"/>
    <w:rsid w:val="00C03A22"/>
    <w:rPr>
      <w:rFonts w:asciiTheme="minorHAnsi" w:hAnsiTheme="minorHAnsi" w:cs="Meta-Normal"/>
      <w:szCs w:val="32"/>
    </w:rPr>
  </w:style>
  <w:style w:type="paragraph" w:customStyle="1" w:styleId="FrontPagereporttitle">
    <w:name w:val="Front Page report title"/>
    <w:basedOn w:val="Normal"/>
    <w:link w:val="FrontPagereporttitleChar"/>
    <w:uiPriority w:val="1"/>
    <w:rsid w:val="00B742BC"/>
    <w:pPr>
      <w:spacing w:after="0"/>
      <w:jc w:val="center"/>
    </w:pPr>
    <w:rPr>
      <w:rFonts w:asciiTheme="minorHAnsi" w:eastAsiaTheme="majorEastAsia" w:hAnsiTheme="minorHAnsi" w:cstheme="majorBidi"/>
      <w:noProof/>
      <w:color w:val="C0504D"/>
      <w:sz w:val="72"/>
      <w:szCs w:val="72"/>
      <w:lang w:eastAsia="en-AU"/>
    </w:rPr>
  </w:style>
  <w:style w:type="character" w:customStyle="1" w:styleId="FrontPagereporttitleChar">
    <w:name w:val="Front Page report title Char"/>
    <w:basedOn w:val="DefaultParagraphFont"/>
    <w:link w:val="FrontPagereporttitle"/>
    <w:uiPriority w:val="1"/>
    <w:rsid w:val="00B742BC"/>
    <w:rPr>
      <w:rFonts w:asciiTheme="minorHAnsi" w:eastAsiaTheme="majorEastAsia" w:hAnsiTheme="minorHAnsi" w:cstheme="majorBidi"/>
      <w:noProof/>
      <w:color w:val="C0504D"/>
      <w:sz w:val="72"/>
      <w:szCs w:val="72"/>
      <w:lang w:eastAsia="en-AU"/>
    </w:rPr>
  </w:style>
  <w:style w:type="character" w:customStyle="1" w:styleId="BoldText">
    <w:name w:val="Bold Text"/>
    <w:basedOn w:val="DefaultParagraphFont"/>
    <w:uiPriority w:val="1"/>
    <w:qFormat/>
    <w:rsid w:val="00D260BB"/>
    <w:rPr>
      <w:b/>
    </w:rPr>
  </w:style>
  <w:style w:type="character" w:customStyle="1" w:styleId="Italics">
    <w:name w:val="Italics"/>
    <w:basedOn w:val="DefaultParagraphFont"/>
    <w:uiPriority w:val="1"/>
    <w:qFormat/>
    <w:rsid w:val="002377E0"/>
    <w:rPr>
      <w:i/>
      <w:iCs/>
    </w:rPr>
  </w:style>
  <w:style w:type="paragraph" w:styleId="Quote">
    <w:name w:val="Quote"/>
    <w:basedOn w:val="Normal"/>
    <w:next w:val="Normal"/>
    <w:link w:val="QuoteChar"/>
    <w:uiPriority w:val="3"/>
    <w:qFormat/>
    <w:rsid w:val="00247BEC"/>
    <w:pPr>
      <w:ind w:left="567" w:right="567"/>
    </w:pPr>
    <w:rPr>
      <w:i/>
      <w:sz w:val="22"/>
    </w:rPr>
  </w:style>
  <w:style w:type="character" w:customStyle="1" w:styleId="QuoteChar">
    <w:name w:val="Quote Char"/>
    <w:basedOn w:val="DefaultParagraphFont"/>
    <w:link w:val="Quote"/>
    <w:uiPriority w:val="3"/>
    <w:rsid w:val="00C03A22"/>
    <w:rPr>
      <w:i/>
      <w:sz w:val="22"/>
    </w:rPr>
  </w:style>
  <w:style w:type="paragraph" w:customStyle="1" w:styleId="InsideCoverHeading">
    <w:name w:val="Inside Cover Heading"/>
    <w:basedOn w:val="Normal"/>
    <w:next w:val="Normal"/>
    <w:uiPriority w:val="1"/>
    <w:rsid w:val="007F21D7"/>
    <w:rPr>
      <w:b/>
      <w:color w:val="C0504D"/>
      <w:sz w:val="26"/>
    </w:rPr>
  </w:style>
  <w:style w:type="paragraph" w:customStyle="1" w:styleId="HeadingTOC">
    <w:name w:val="Heading TOC"/>
    <w:basedOn w:val="Heading2"/>
    <w:next w:val="Normal"/>
    <w:link w:val="HeadingTOCChar"/>
    <w:qFormat/>
    <w:rsid w:val="00A12411"/>
    <w:pPr>
      <w:jc w:val="center"/>
    </w:pPr>
    <w:rPr>
      <w:sz w:val="36"/>
    </w:rPr>
  </w:style>
  <w:style w:type="character" w:customStyle="1" w:styleId="HeadingTOCChar">
    <w:name w:val="Heading TOC Char"/>
    <w:basedOn w:val="Heading2Char"/>
    <w:link w:val="HeadingTOC"/>
    <w:rsid w:val="00847565"/>
    <w:rPr>
      <w:rFonts w:cstheme="minorHAnsi"/>
      <w:b/>
      <w:color w:val="000080"/>
      <w:sz w:val="36"/>
    </w:rPr>
  </w:style>
  <w:style w:type="paragraph" w:customStyle="1" w:styleId="Datasource">
    <w:name w:val="Data source"/>
    <w:basedOn w:val="Normal"/>
    <w:next w:val="Normal"/>
    <w:uiPriority w:val="3"/>
    <w:qFormat/>
    <w:rsid w:val="00FD432C"/>
    <w:pPr>
      <w:tabs>
        <w:tab w:val="left" w:pos="0"/>
      </w:tabs>
      <w:spacing w:before="60"/>
    </w:pPr>
    <w:rPr>
      <w:sz w:val="20"/>
    </w:rPr>
  </w:style>
  <w:style w:type="paragraph" w:styleId="Header">
    <w:name w:val="header"/>
    <w:basedOn w:val="Normal"/>
    <w:link w:val="HeaderChar"/>
    <w:uiPriority w:val="99"/>
    <w:unhideWhenUsed/>
    <w:rsid w:val="00D46B67"/>
    <w:pPr>
      <w:tabs>
        <w:tab w:val="center" w:pos="4513"/>
        <w:tab w:val="right" w:pos="9026"/>
      </w:tabs>
    </w:pPr>
  </w:style>
  <w:style w:type="character" w:customStyle="1" w:styleId="HeaderChar">
    <w:name w:val="Header Char"/>
    <w:basedOn w:val="DefaultParagraphFont"/>
    <w:link w:val="Header"/>
    <w:uiPriority w:val="99"/>
    <w:rsid w:val="00D46B67"/>
    <w:rPr>
      <w:sz w:val="24"/>
    </w:rPr>
  </w:style>
  <w:style w:type="table" w:customStyle="1" w:styleId="Calendar1">
    <w:name w:val="Calendar 1"/>
    <w:basedOn w:val="TableNormal"/>
    <w:uiPriority w:val="99"/>
    <w:qFormat/>
    <w:rsid w:val="00A60760"/>
    <w:rPr>
      <w:rFonts w:asciiTheme="minorHAnsi" w:eastAsiaTheme="minorEastAsia" w:hAnsiTheme="minorHAnsi" w:cstheme="minorBidi"/>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12475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ablegridheadingChar">
    <w:name w:val="Table grid heading Char"/>
    <w:basedOn w:val="DefaultParagraphFont"/>
    <w:link w:val="Tablegridheading"/>
    <w:uiPriority w:val="4"/>
    <w:rsid w:val="00C03A22"/>
    <w:rPr>
      <w:b/>
      <w:bCs/>
      <w:sz w:val="22"/>
      <w:szCs w:val="20"/>
    </w:rPr>
  </w:style>
  <w:style w:type="paragraph" w:customStyle="1" w:styleId="Tablegridheading2">
    <w:name w:val="Table grid heading 2"/>
    <w:basedOn w:val="Normal"/>
    <w:link w:val="Tablegridheading2Char"/>
    <w:uiPriority w:val="4"/>
    <w:qFormat/>
    <w:rsid w:val="00027AEA"/>
    <w:pPr>
      <w:spacing w:before="60" w:after="60"/>
      <w:jc w:val="left"/>
    </w:pPr>
    <w:rPr>
      <w:bCs/>
      <w:sz w:val="22"/>
    </w:rPr>
  </w:style>
  <w:style w:type="paragraph" w:customStyle="1" w:styleId="Tablegridtextdecimalaligned">
    <w:name w:val="Table grid text decimal aligned"/>
    <w:basedOn w:val="Normal"/>
    <w:link w:val="TablegridtextdecimalalignedChar"/>
    <w:uiPriority w:val="4"/>
    <w:qFormat/>
    <w:rsid w:val="004E45F6"/>
    <w:pPr>
      <w:tabs>
        <w:tab w:val="decimal" w:pos="284"/>
      </w:tabs>
      <w:spacing w:after="0"/>
      <w:jc w:val="left"/>
    </w:pPr>
    <w:rPr>
      <w:bCs/>
      <w:sz w:val="22"/>
      <w:szCs w:val="20"/>
    </w:rPr>
  </w:style>
  <w:style w:type="character" w:customStyle="1" w:styleId="Tablegridheading2Char">
    <w:name w:val="Table grid heading 2 Char"/>
    <w:basedOn w:val="DefaultParagraphFont"/>
    <w:link w:val="Tablegridheading2"/>
    <w:uiPriority w:val="4"/>
    <w:rsid w:val="00C03A22"/>
    <w:rPr>
      <w:bCs/>
      <w:sz w:val="22"/>
    </w:rPr>
  </w:style>
  <w:style w:type="character" w:customStyle="1" w:styleId="TablegriddotpointsChar">
    <w:name w:val="Table grid dot points Char"/>
    <w:basedOn w:val="DefaultParagraphFont"/>
    <w:link w:val="Tablegriddotpoints"/>
    <w:uiPriority w:val="4"/>
    <w:rsid w:val="00C03A22"/>
    <w:rPr>
      <w:sz w:val="22"/>
    </w:rPr>
  </w:style>
  <w:style w:type="character" w:customStyle="1" w:styleId="TablegridtextdecimalalignedChar">
    <w:name w:val="Table grid text decimal aligned Char"/>
    <w:basedOn w:val="DefaultParagraphFont"/>
    <w:link w:val="Tablegridtextdecimalaligned"/>
    <w:uiPriority w:val="4"/>
    <w:rsid w:val="00C03A22"/>
    <w:rPr>
      <w:bCs/>
      <w:sz w:val="22"/>
      <w:szCs w:val="20"/>
    </w:rPr>
  </w:style>
  <w:style w:type="table" w:styleId="MediumShading2-Accent2">
    <w:name w:val="Medium Shading 2 Accent 2"/>
    <w:basedOn w:val="TableNormal"/>
    <w:uiPriority w:val="64"/>
    <w:rsid w:val="00D42A0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ablegridtext">
    <w:name w:val="Table grid text"/>
    <w:basedOn w:val="Normal"/>
    <w:link w:val="TablegridtextChar"/>
    <w:uiPriority w:val="4"/>
    <w:qFormat/>
    <w:rsid w:val="004E45F6"/>
    <w:pPr>
      <w:spacing w:after="0"/>
    </w:pPr>
    <w:rPr>
      <w:sz w:val="22"/>
    </w:rPr>
  </w:style>
  <w:style w:type="character" w:customStyle="1" w:styleId="TablegridtextChar">
    <w:name w:val="Table grid text Char"/>
    <w:basedOn w:val="DefaultParagraphFont"/>
    <w:link w:val="Tablegridtext"/>
    <w:uiPriority w:val="4"/>
    <w:rsid w:val="00C03A22"/>
    <w:rPr>
      <w:sz w:val="22"/>
    </w:rPr>
  </w:style>
  <w:style w:type="character" w:customStyle="1" w:styleId="Heading5Char">
    <w:name w:val="Heading 5 Char"/>
    <w:basedOn w:val="DefaultParagraphFont"/>
    <w:link w:val="Heading5"/>
    <w:rsid w:val="00A12411"/>
    <w:rPr>
      <w:rFonts w:eastAsiaTheme="majorEastAsia" w:cstheme="majorBidi"/>
      <w:i/>
      <w:color w:val="000080"/>
    </w:rPr>
  </w:style>
  <w:style w:type="paragraph" w:customStyle="1" w:styleId="Dotpointswithspacing">
    <w:name w:val="Dot points with spacing"/>
    <w:basedOn w:val="Normal"/>
    <w:link w:val="DotpointswithspacingChar"/>
    <w:uiPriority w:val="2"/>
    <w:qFormat/>
    <w:rsid w:val="0038036B"/>
    <w:pPr>
      <w:numPr>
        <w:numId w:val="26"/>
      </w:numPr>
      <w:ind w:left="714" w:hanging="357"/>
    </w:pPr>
  </w:style>
  <w:style w:type="character" w:customStyle="1" w:styleId="DotpointswithspacingChar">
    <w:name w:val="Dot points with spacing Char"/>
    <w:basedOn w:val="DefaultParagraphFont"/>
    <w:link w:val="Dotpointswithspacing"/>
    <w:uiPriority w:val="2"/>
    <w:rsid w:val="00C03A22"/>
  </w:style>
  <w:style w:type="paragraph" w:customStyle="1" w:styleId="Numberedlistwithspacing">
    <w:name w:val="Numbered list with spacing"/>
    <w:basedOn w:val="Normal"/>
    <w:link w:val="NumberedlistwithspacingChar"/>
    <w:uiPriority w:val="2"/>
    <w:qFormat/>
    <w:rsid w:val="0038036B"/>
    <w:pPr>
      <w:numPr>
        <w:numId w:val="27"/>
      </w:numPr>
      <w:ind w:left="714" w:hanging="357"/>
    </w:pPr>
  </w:style>
  <w:style w:type="character" w:customStyle="1" w:styleId="NumberedlistwithspacingChar">
    <w:name w:val="Numbered list with spacing Char"/>
    <w:basedOn w:val="DefaultParagraphFont"/>
    <w:link w:val="Numberedlistwithspacing"/>
    <w:uiPriority w:val="2"/>
    <w:rsid w:val="00C03A22"/>
  </w:style>
  <w:style w:type="paragraph" w:styleId="Bibliography">
    <w:name w:val="Bibliography"/>
    <w:basedOn w:val="Normal"/>
    <w:next w:val="Normal"/>
    <w:uiPriority w:val="37"/>
    <w:unhideWhenUsed/>
    <w:rsid w:val="00FB0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21">
      <w:bodyDiv w:val="1"/>
      <w:marLeft w:val="0"/>
      <w:marRight w:val="0"/>
      <w:marTop w:val="0"/>
      <w:marBottom w:val="0"/>
      <w:divBdr>
        <w:top w:val="none" w:sz="0" w:space="0" w:color="auto"/>
        <w:left w:val="none" w:sz="0" w:space="0" w:color="auto"/>
        <w:bottom w:val="none" w:sz="0" w:space="0" w:color="auto"/>
        <w:right w:val="none" w:sz="0" w:space="0" w:color="auto"/>
      </w:divBdr>
    </w:div>
    <w:div w:id="9651663">
      <w:bodyDiv w:val="1"/>
      <w:marLeft w:val="0"/>
      <w:marRight w:val="0"/>
      <w:marTop w:val="0"/>
      <w:marBottom w:val="0"/>
      <w:divBdr>
        <w:top w:val="none" w:sz="0" w:space="0" w:color="auto"/>
        <w:left w:val="none" w:sz="0" w:space="0" w:color="auto"/>
        <w:bottom w:val="none" w:sz="0" w:space="0" w:color="auto"/>
        <w:right w:val="none" w:sz="0" w:space="0" w:color="auto"/>
      </w:divBdr>
    </w:div>
    <w:div w:id="46681902">
      <w:bodyDiv w:val="1"/>
      <w:marLeft w:val="0"/>
      <w:marRight w:val="0"/>
      <w:marTop w:val="0"/>
      <w:marBottom w:val="0"/>
      <w:divBdr>
        <w:top w:val="none" w:sz="0" w:space="0" w:color="auto"/>
        <w:left w:val="none" w:sz="0" w:space="0" w:color="auto"/>
        <w:bottom w:val="none" w:sz="0" w:space="0" w:color="auto"/>
        <w:right w:val="none" w:sz="0" w:space="0" w:color="auto"/>
      </w:divBdr>
    </w:div>
    <w:div w:id="55126488">
      <w:bodyDiv w:val="1"/>
      <w:marLeft w:val="0"/>
      <w:marRight w:val="0"/>
      <w:marTop w:val="0"/>
      <w:marBottom w:val="0"/>
      <w:divBdr>
        <w:top w:val="none" w:sz="0" w:space="0" w:color="auto"/>
        <w:left w:val="none" w:sz="0" w:space="0" w:color="auto"/>
        <w:bottom w:val="none" w:sz="0" w:space="0" w:color="auto"/>
        <w:right w:val="none" w:sz="0" w:space="0" w:color="auto"/>
      </w:divBdr>
    </w:div>
    <w:div w:id="61370360">
      <w:bodyDiv w:val="1"/>
      <w:marLeft w:val="0"/>
      <w:marRight w:val="0"/>
      <w:marTop w:val="0"/>
      <w:marBottom w:val="0"/>
      <w:divBdr>
        <w:top w:val="none" w:sz="0" w:space="0" w:color="auto"/>
        <w:left w:val="none" w:sz="0" w:space="0" w:color="auto"/>
        <w:bottom w:val="none" w:sz="0" w:space="0" w:color="auto"/>
        <w:right w:val="none" w:sz="0" w:space="0" w:color="auto"/>
      </w:divBdr>
    </w:div>
    <w:div w:id="93939249">
      <w:bodyDiv w:val="1"/>
      <w:marLeft w:val="0"/>
      <w:marRight w:val="0"/>
      <w:marTop w:val="0"/>
      <w:marBottom w:val="0"/>
      <w:divBdr>
        <w:top w:val="none" w:sz="0" w:space="0" w:color="auto"/>
        <w:left w:val="none" w:sz="0" w:space="0" w:color="auto"/>
        <w:bottom w:val="none" w:sz="0" w:space="0" w:color="auto"/>
        <w:right w:val="none" w:sz="0" w:space="0" w:color="auto"/>
      </w:divBdr>
    </w:div>
    <w:div w:id="108204996">
      <w:bodyDiv w:val="1"/>
      <w:marLeft w:val="0"/>
      <w:marRight w:val="0"/>
      <w:marTop w:val="0"/>
      <w:marBottom w:val="0"/>
      <w:divBdr>
        <w:top w:val="none" w:sz="0" w:space="0" w:color="auto"/>
        <w:left w:val="none" w:sz="0" w:space="0" w:color="auto"/>
        <w:bottom w:val="none" w:sz="0" w:space="0" w:color="auto"/>
        <w:right w:val="none" w:sz="0" w:space="0" w:color="auto"/>
      </w:divBdr>
    </w:div>
    <w:div w:id="108278268">
      <w:bodyDiv w:val="1"/>
      <w:marLeft w:val="0"/>
      <w:marRight w:val="0"/>
      <w:marTop w:val="0"/>
      <w:marBottom w:val="0"/>
      <w:divBdr>
        <w:top w:val="none" w:sz="0" w:space="0" w:color="auto"/>
        <w:left w:val="none" w:sz="0" w:space="0" w:color="auto"/>
        <w:bottom w:val="none" w:sz="0" w:space="0" w:color="auto"/>
        <w:right w:val="none" w:sz="0" w:space="0" w:color="auto"/>
      </w:divBdr>
    </w:div>
    <w:div w:id="122965546">
      <w:bodyDiv w:val="1"/>
      <w:marLeft w:val="0"/>
      <w:marRight w:val="0"/>
      <w:marTop w:val="0"/>
      <w:marBottom w:val="0"/>
      <w:divBdr>
        <w:top w:val="none" w:sz="0" w:space="0" w:color="auto"/>
        <w:left w:val="none" w:sz="0" w:space="0" w:color="auto"/>
        <w:bottom w:val="none" w:sz="0" w:space="0" w:color="auto"/>
        <w:right w:val="none" w:sz="0" w:space="0" w:color="auto"/>
      </w:divBdr>
    </w:div>
    <w:div w:id="137649944">
      <w:bodyDiv w:val="1"/>
      <w:marLeft w:val="0"/>
      <w:marRight w:val="0"/>
      <w:marTop w:val="0"/>
      <w:marBottom w:val="0"/>
      <w:divBdr>
        <w:top w:val="none" w:sz="0" w:space="0" w:color="auto"/>
        <w:left w:val="none" w:sz="0" w:space="0" w:color="auto"/>
        <w:bottom w:val="none" w:sz="0" w:space="0" w:color="auto"/>
        <w:right w:val="none" w:sz="0" w:space="0" w:color="auto"/>
      </w:divBdr>
    </w:div>
    <w:div w:id="152180319">
      <w:bodyDiv w:val="1"/>
      <w:marLeft w:val="0"/>
      <w:marRight w:val="0"/>
      <w:marTop w:val="0"/>
      <w:marBottom w:val="0"/>
      <w:divBdr>
        <w:top w:val="none" w:sz="0" w:space="0" w:color="auto"/>
        <w:left w:val="none" w:sz="0" w:space="0" w:color="auto"/>
        <w:bottom w:val="none" w:sz="0" w:space="0" w:color="auto"/>
        <w:right w:val="none" w:sz="0" w:space="0" w:color="auto"/>
      </w:divBdr>
    </w:div>
    <w:div w:id="152570966">
      <w:bodyDiv w:val="1"/>
      <w:marLeft w:val="0"/>
      <w:marRight w:val="0"/>
      <w:marTop w:val="0"/>
      <w:marBottom w:val="0"/>
      <w:divBdr>
        <w:top w:val="none" w:sz="0" w:space="0" w:color="auto"/>
        <w:left w:val="none" w:sz="0" w:space="0" w:color="auto"/>
        <w:bottom w:val="none" w:sz="0" w:space="0" w:color="auto"/>
        <w:right w:val="none" w:sz="0" w:space="0" w:color="auto"/>
      </w:divBdr>
    </w:div>
    <w:div w:id="160892739">
      <w:bodyDiv w:val="1"/>
      <w:marLeft w:val="0"/>
      <w:marRight w:val="0"/>
      <w:marTop w:val="0"/>
      <w:marBottom w:val="0"/>
      <w:divBdr>
        <w:top w:val="none" w:sz="0" w:space="0" w:color="auto"/>
        <w:left w:val="none" w:sz="0" w:space="0" w:color="auto"/>
        <w:bottom w:val="none" w:sz="0" w:space="0" w:color="auto"/>
        <w:right w:val="none" w:sz="0" w:space="0" w:color="auto"/>
      </w:divBdr>
    </w:div>
    <w:div w:id="164706878">
      <w:bodyDiv w:val="1"/>
      <w:marLeft w:val="0"/>
      <w:marRight w:val="0"/>
      <w:marTop w:val="0"/>
      <w:marBottom w:val="0"/>
      <w:divBdr>
        <w:top w:val="none" w:sz="0" w:space="0" w:color="auto"/>
        <w:left w:val="none" w:sz="0" w:space="0" w:color="auto"/>
        <w:bottom w:val="none" w:sz="0" w:space="0" w:color="auto"/>
        <w:right w:val="none" w:sz="0" w:space="0" w:color="auto"/>
      </w:divBdr>
    </w:div>
    <w:div w:id="165676721">
      <w:bodyDiv w:val="1"/>
      <w:marLeft w:val="0"/>
      <w:marRight w:val="0"/>
      <w:marTop w:val="0"/>
      <w:marBottom w:val="0"/>
      <w:divBdr>
        <w:top w:val="none" w:sz="0" w:space="0" w:color="auto"/>
        <w:left w:val="none" w:sz="0" w:space="0" w:color="auto"/>
        <w:bottom w:val="none" w:sz="0" w:space="0" w:color="auto"/>
        <w:right w:val="none" w:sz="0" w:space="0" w:color="auto"/>
      </w:divBdr>
    </w:div>
    <w:div w:id="182059428">
      <w:bodyDiv w:val="1"/>
      <w:marLeft w:val="0"/>
      <w:marRight w:val="0"/>
      <w:marTop w:val="0"/>
      <w:marBottom w:val="0"/>
      <w:divBdr>
        <w:top w:val="none" w:sz="0" w:space="0" w:color="auto"/>
        <w:left w:val="none" w:sz="0" w:space="0" w:color="auto"/>
        <w:bottom w:val="none" w:sz="0" w:space="0" w:color="auto"/>
        <w:right w:val="none" w:sz="0" w:space="0" w:color="auto"/>
      </w:divBdr>
    </w:div>
    <w:div w:id="188951559">
      <w:bodyDiv w:val="1"/>
      <w:marLeft w:val="0"/>
      <w:marRight w:val="0"/>
      <w:marTop w:val="0"/>
      <w:marBottom w:val="0"/>
      <w:divBdr>
        <w:top w:val="none" w:sz="0" w:space="0" w:color="auto"/>
        <w:left w:val="none" w:sz="0" w:space="0" w:color="auto"/>
        <w:bottom w:val="none" w:sz="0" w:space="0" w:color="auto"/>
        <w:right w:val="none" w:sz="0" w:space="0" w:color="auto"/>
      </w:divBdr>
    </w:div>
    <w:div w:id="226763697">
      <w:bodyDiv w:val="1"/>
      <w:marLeft w:val="0"/>
      <w:marRight w:val="0"/>
      <w:marTop w:val="0"/>
      <w:marBottom w:val="0"/>
      <w:divBdr>
        <w:top w:val="none" w:sz="0" w:space="0" w:color="auto"/>
        <w:left w:val="none" w:sz="0" w:space="0" w:color="auto"/>
        <w:bottom w:val="none" w:sz="0" w:space="0" w:color="auto"/>
        <w:right w:val="none" w:sz="0" w:space="0" w:color="auto"/>
      </w:divBdr>
    </w:div>
    <w:div w:id="228077132">
      <w:bodyDiv w:val="1"/>
      <w:marLeft w:val="0"/>
      <w:marRight w:val="0"/>
      <w:marTop w:val="0"/>
      <w:marBottom w:val="0"/>
      <w:divBdr>
        <w:top w:val="none" w:sz="0" w:space="0" w:color="auto"/>
        <w:left w:val="none" w:sz="0" w:space="0" w:color="auto"/>
        <w:bottom w:val="none" w:sz="0" w:space="0" w:color="auto"/>
        <w:right w:val="none" w:sz="0" w:space="0" w:color="auto"/>
      </w:divBdr>
    </w:div>
    <w:div w:id="233858057">
      <w:bodyDiv w:val="1"/>
      <w:marLeft w:val="0"/>
      <w:marRight w:val="0"/>
      <w:marTop w:val="0"/>
      <w:marBottom w:val="0"/>
      <w:divBdr>
        <w:top w:val="none" w:sz="0" w:space="0" w:color="auto"/>
        <w:left w:val="none" w:sz="0" w:space="0" w:color="auto"/>
        <w:bottom w:val="none" w:sz="0" w:space="0" w:color="auto"/>
        <w:right w:val="none" w:sz="0" w:space="0" w:color="auto"/>
      </w:divBdr>
    </w:div>
    <w:div w:id="239680729">
      <w:bodyDiv w:val="1"/>
      <w:marLeft w:val="0"/>
      <w:marRight w:val="0"/>
      <w:marTop w:val="0"/>
      <w:marBottom w:val="0"/>
      <w:divBdr>
        <w:top w:val="none" w:sz="0" w:space="0" w:color="auto"/>
        <w:left w:val="none" w:sz="0" w:space="0" w:color="auto"/>
        <w:bottom w:val="none" w:sz="0" w:space="0" w:color="auto"/>
        <w:right w:val="none" w:sz="0" w:space="0" w:color="auto"/>
      </w:divBdr>
    </w:div>
    <w:div w:id="246034737">
      <w:bodyDiv w:val="1"/>
      <w:marLeft w:val="0"/>
      <w:marRight w:val="0"/>
      <w:marTop w:val="0"/>
      <w:marBottom w:val="0"/>
      <w:divBdr>
        <w:top w:val="none" w:sz="0" w:space="0" w:color="auto"/>
        <w:left w:val="none" w:sz="0" w:space="0" w:color="auto"/>
        <w:bottom w:val="none" w:sz="0" w:space="0" w:color="auto"/>
        <w:right w:val="none" w:sz="0" w:space="0" w:color="auto"/>
      </w:divBdr>
    </w:div>
    <w:div w:id="254902170">
      <w:bodyDiv w:val="1"/>
      <w:marLeft w:val="0"/>
      <w:marRight w:val="0"/>
      <w:marTop w:val="0"/>
      <w:marBottom w:val="0"/>
      <w:divBdr>
        <w:top w:val="none" w:sz="0" w:space="0" w:color="auto"/>
        <w:left w:val="none" w:sz="0" w:space="0" w:color="auto"/>
        <w:bottom w:val="none" w:sz="0" w:space="0" w:color="auto"/>
        <w:right w:val="none" w:sz="0" w:space="0" w:color="auto"/>
      </w:divBdr>
    </w:div>
    <w:div w:id="282660664">
      <w:bodyDiv w:val="1"/>
      <w:marLeft w:val="0"/>
      <w:marRight w:val="0"/>
      <w:marTop w:val="0"/>
      <w:marBottom w:val="0"/>
      <w:divBdr>
        <w:top w:val="none" w:sz="0" w:space="0" w:color="auto"/>
        <w:left w:val="none" w:sz="0" w:space="0" w:color="auto"/>
        <w:bottom w:val="none" w:sz="0" w:space="0" w:color="auto"/>
        <w:right w:val="none" w:sz="0" w:space="0" w:color="auto"/>
      </w:divBdr>
    </w:div>
    <w:div w:id="287053137">
      <w:bodyDiv w:val="1"/>
      <w:marLeft w:val="0"/>
      <w:marRight w:val="0"/>
      <w:marTop w:val="0"/>
      <w:marBottom w:val="0"/>
      <w:divBdr>
        <w:top w:val="none" w:sz="0" w:space="0" w:color="auto"/>
        <w:left w:val="none" w:sz="0" w:space="0" w:color="auto"/>
        <w:bottom w:val="none" w:sz="0" w:space="0" w:color="auto"/>
        <w:right w:val="none" w:sz="0" w:space="0" w:color="auto"/>
      </w:divBdr>
    </w:div>
    <w:div w:id="288557506">
      <w:bodyDiv w:val="1"/>
      <w:marLeft w:val="0"/>
      <w:marRight w:val="0"/>
      <w:marTop w:val="0"/>
      <w:marBottom w:val="0"/>
      <w:divBdr>
        <w:top w:val="none" w:sz="0" w:space="0" w:color="auto"/>
        <w:left w:val="none" w:sz="0" w:space="0" w:color="auto"/>
        <w:bottom w:val="none" w:sz="0" w:space="0" w:color="auto"/>
        <w:right w:val="none" w:sz="0" w:space="0" w:color="auto"/>
      </w:divBdr>
    </w:div>
    <w:div w:id="304699846">
      <w:bodyDiv w:val="1"/>
      <w:marLeft w:val="0"/>
      <w:marRight w:val="0"/>
      <w:marTop w:val="0"/>
      <w:marBottom w:val="0"/>
      <w:divBdr>
        <w:top w:val="none" w:sz="0" w:space="0" w:color="auto"/>
        <w:left w:val="none" w:sz="0" w:space="0" w:color="auto"/>
        <w:bottom w:val="none" w:sz="0" w:space="0" w:color="auto"/>
        <w:right w:val="none" w:sz="0" w:space="0" w:color="auto"/>
      </w:divBdr>
    </w:div>
    <w:div w:id="317730611">
      <w:bodyDiv w:val="1"/>
      <w:marLeft w:val="0"/>
      <w:marRight w:val="0"/>
      <w:marTop w:val="0"/>
      <w:marBottom w:val="0"/>
      <w:divBdr>
        <w:top w:val="none" w:sz="0" w:space="0" w:color="auto"/>
        <w:left w:val="none" w:sz="0" w:space="0" w:color="auto"/>
        <w:bottom w:val="none" w:sz="0" w:space="0" w:color="auto"/>
        <w:right w:val="none" w:sz="0" w:space="0" w:color="auto"/>
      </w:divBdr>
    </w:div>
    <w:div w:id="319044717">
      <w:bodyDiv w:val="1"/>
      <w:marLeft w:val="0"/>
      <w:marRight w:val="0"/>
      <w:marTop w:val="0"/>
      <w:marBottom w:val="0"/>
      <w:divBdr>
        <w:top w:val="none" w:sz="0" w:space="0" w:color="auto"/>
        <w:left w:val="none" w:sz="0" w:space="0" w:color="auto"/>
        <w:bottom w:val="none" w:sz="0" w:space="0" w:color="auto"/>
        <w:right w:val="none" w:sz="0" w:space="0" w:color="auto"/>
      </w:divBdr>
    </w:div>
    <w:div w:id="322320394">
      <w:bodyDiv w:val="1"/>
      <w:marLeft w:val="0"/>
      <w:marRight w:val="0"/>
      <w:marTop w:val="0"/>
      <w:marBottom w:val="0"/>
      <w:divBdr>
        <w:top w:val="none" w:sz="0" w:space="0" w:color="auto"/>
        <w:left w:val="none" w:sz="0" w:space="0" w:color="auto"/>
        <w:bottom w:val="none" w:sz="0" w:space="0" w:color="auto"/>
        <w:right w:val="none" w:sz="0" w:space="0" w:color="auto"/>
      </w:divBdr>
    </w:div>
    <w:div w:id="325986465">
      <w:bodyDiv w:val="1"/>
      <w:marLeft w:val="0"/>
      <w:marRight w:val="0"/>
      <w:marTop w:val="0"/>
      <w:marBottom w:val="0"/>
      <w:divBdr>
        <w:top w:val="none" w:sz="0" w:space="0" w:color="auto"/>
        <w:left w:val="none" w:sz="0" w:space="0" w:color="auto"/>
        <w:bottom w:val="none" w:sz="0" w:space="0" w:color="auto"/>
        <w:right w:val="none" w:sz="0" w:space="0" w:color="auto"/>
      </w:divBdr>
    </w:div>
    <w:div w:id="351078828">
      <w:bodyDiv w:val="1"/>
      <w:marLeft w:val="0"/>
      <w:marRight w:val="0"/>
      <w:marTop w:val="0"/>
      <w:marBottom w:val="0"/>
      <w:divBdr>
        <w:top w:val="none" w:sz="0" w:space="0" w:color="auto"/>
        <w:left w:val="none" w:sz="0" w:space="0" w:color="auto"/>
        <w:bottom w:val="none" w:sz="0" w:space="0" w:color="auto"/>
        <w:right w:val="none" w:sz="0" w:space="0" w:color="auto"/>
      </w:divBdr>
    </w:div>
    <w:div w:id="351491864">
      <w:bodyDiv w:val="1"/>
      <w:marLeft w:val="0"/>
      <w:marRight w:val="0"/>
      <w:marTop w:val="0"/>
      <w:marBottom w:val="0"/>
      <w:divBdr>
        <w:top w:val="none" w:sz="0" w:space="0" w:color="auto"/>
        <w:left w:val="none" w:sz="0" w:space="0" w:color="auto"/>
        <w:bottom w:val="none" w:sz="0" w:space="0" w:color="auto"/>
        <w:right w:val="none" w:sz="0" w:space="0" w:color="auto"/>
      </w:divBdr>
    </w:div>
    <w:div w:id="371341895">
      <w:bodyDiv w:val="1"/>
      <w:marLeft w:val="0"/>
      <w:marRight w:val="0"/>
      <w:marTop w:val="0"/>
      <w:marBottom w:val="0"/>
      <w:divBdr>
        <w:top w:val="none" w:sz="0" w:space="0" w:color="auto"/>
        <w:left w:val="none" w:sz="0" w:space="0" w:color="auto"/>
        <w:bottom w:val="none" w:sz="0" w:space="0" w:color="auto"/>
        <w:right w:val="none" w:sz="0" w:space="0" w:color="auto"/>
      </w:divBdr>
    </w:div>
    <w:div w:id="373043223">
      <w:bodyDiv w:val="1"/>
      <w:marLeft w:val="0"/>
      <w:marRight w:val="0"/>
      <w:marTop w:val="0"/>
      <w:marBottom w:val="0"/>
      <w:divBdr>
        <w:top w:val="none" w:sz="0" w:space="0" w:color="auto"/>
        <w:left w:val="none" w:sz="0" w:space="0" w:color="auto"/>
        <w:bottom w:val="none" w:sz="0" w:space="0" w:color="auto"/>
        <w:right w:val="none" w:sz="0" w:space="0" w:color="auto"/>
      </w:divBdr>
    </w:div>
    <w:div w:id="374427971">
      <w:bodyDiv w:val="1"/>
      <w:marLeft w:val="0"/>
      <w:marRight w:val="0"/>
      <w:marTop w:val="0"/>
      <w:marBottom w:val="0"/>
      <w:divBdr>
        <w:top w:val="none" w:sz="0" w:space="0" w:color="auto"/>
        <w:left w:val="none" w:sz="0" w:space="0" w:color="auto"/>
        <w:bottom w:val="none" w:sz="0" w:space="0" w:color="auto"/>
        <w:right w:val="none" w:sz="0" w:space="0" w:color="auto"/>
      </w:divBdr>
    </w:div>
    <w:div w:id="377779036">
      <w:bodyDiv w:val="1"/>
      <w:marLeft w:val="0"/>
      <w:marRight w:val="0"/>
      <w:marTop w:val="0"/>
      <w:marBottom w:val="0"/>
      <w:divBdr>
        <w:top w:val="none" w:sz="0" w:space="0" w:color="auto"/>
        <w:left w:val="none" w:sz="0" w:space="0" w:color="auto"/>
        <w:bottom w:val="none" w:sz="0" w:space="0" w:color="auto"/>
        <w:right w:val="none" w:sz="0" w:space="0" w:color="auto"/>
      </w:divBdr>
    </w:div>
    <w:div w:id="387384828">
      <w:bodyDiv w:val="1"/>
      <w:marLeft w:val="0"/>
      <w:marRight w:val="0"/>
      <w:marTop w:val="0"/>
      <w:marBottom w:val="0"/>
      <w:divBdr>
        <w:top w:val="none" w:sz="0" w:space="0" w:color="auto"/>
        <w:left w:val="none" w:sz="0" w:space="0" w:color="auto"/>
        <w:bottom w:val="none" w:sz="0" w:space="0" w:color="auto"/>
        <w:right w:val="none" w:sz="0" w:space="0" w:color="auto"/>
      </w:divBdr>
    </w:div>
    <w:div w:id="400255373">
      <w:bodyDiv w:val="1"/>
      <w:marLeft w:val="0"/>
      <w:marRight w:val="0"/>
      <w:marTop w:val="0"/>
      <w:marBottom w:val="0"/>
      <w:divBdr>
        <w:top w:val="none" w:sz="0" w:space="0" w:color="auto"/>
        <w:left w:val="none" w:sz="0" w:space="0" w:color="auto"/>
        <w:bottom w:val="none" w:sz="0" w:space="0" w:color="auto"/>
        <w:right w:val="none" w:sz="0" w:space="0" w:color="auto"/>
      </w:divBdr>
    </w:div>
    <w:div w:id="413206468">
      <w:bodyDiv w:val="1"/>
      <w:marLeft w:val="0"/>
      <w:marRight w:val="0"/>
      <w:marTop w:val="0"/>
      <w:marBottom w:val="0"/>
      <w:divBdr>
        <w:top w:val="none" w:sz="0" w:space="0" w:color="auto"/>
        <w:left w:val="none" w:sz="0" w:space="0" w:color="auto"/>
        <w:bottom w:val="none" w:sz="0" w:space="0" w:color="auto"/>
        <w:right w:val="none" w:sz="0" w:space="0" w:color="auto"/>
      </w:divBdr>
    </w:div>
    <w:div w:id="417562121">
      <w:bodyDiv w:val="1"/>
      <w:marLeft w:val="0"/>
      <w:marRight w:val="0"/>
      <w:marTop w:val="0"/>
      <w:marBottom w:val="0"/>
      <w:divBdr>
        <w:top w:val="none" w:sz="0" w:space="0" w:color="auto"/>
        <w:left w:val="none" w:sz="0" w:space="0" w:color="auto"/>
        <w:bottom w:val="none" w:sz="0" w:space="0" w:color="auto"/>
        <w:right w:val="none" w:sz="0" w:space="0" w:color="auto"/>
      </w:divBdr>
    </w:div>
    <w:div w:id="446975733">
      <w:bodyDiv w:val="1"/>
      <w:marLeft w:val="0"/>
      <w:marRight w:val="0"/>
      <w:marTop w:val="0"/>
      <w:marBottom w:val="0"/>
      <w:divBdr>
        <w:top w:val="none" w:sz="0" w:space="0" w:color="auto"/>
        <w:left w:val="none" w:sz="0" w:space="0" w:color="auto"/>
        <w:bottom w:val="none" w:sz="0" w:space="0" w:color="auto"/>
        <w:right w:val="none" w:sz="0" w:space="0" w:color="auto"/>
      </w:divBdr>
      <w:divsChild>
        <w:div w:id="526333138">
          <w:marLeft w:val="547"/>
          <w:marRight w:val="0"/>
          <w:marTop w:val="58"/>
          <w:marBottom w:val="0"/>
          <w:divBdr>
            <w:top w:val="none" w:sz="0" w:space="0" w:color="auto"/>
            <w:left w:val="none" w:sz="0" w:space="0" w:color="auto"/>
            <w:bottom w:val="none" w:sz="0" w:space="0" w:color="auto"/>
            <w:right w:val="none" w:sz="0" w:space="0" w:color="auto"/>
          </w:divBdr>
        </w:div>
        <w:div w:id="330958318">
          <w:marLeft w:val="547"/>
          <w:marRight w:val="0"/>
          <w:marTop w:val="58"/>
          <w:marBottom w:val="0"/>
          <w:divBdr>
            <w:top w:val="none" w:sz="0" w:space="0" w:color="auto"/>
            <w:left w:val="none" w:sz="0" w:space="0" w:color="auto"/>
            <w:bottom w:val="none" w:sz="0" w:space="0" w:color="auto"/>
            <w:right w:val="none" w:sz="0" w:space="0" w:color="auto"/>
          </w:divBdr>
        </w:div>
        <w:div w:id="473910885">
          <w:marLeft w:val="547"/>
          <w:marRight w:val="0"/>
          <w:marTop w:val="58"/>
          <w:marBottom w:val="0"/>
          <w:divBdr>
            <w:top w:val="none" w:sz="0" w:space="0" w:color="auto"/>
            <w:left w:val="none" w:sz="0" w:space="0" w:color="auto"/>
            <w:bottom w:val="none" w:sz="0" w:space="0" w:color="auto"/>
            <w:right w:val="none" w:sz="0" w:space="0" w:color="auto"/>
          </w:divBdr>
        </w:div>
      </w:divsChild>
    </w:div>
    <w:div w:id="453525362">
      <w:bodyDiv w:val="1"/>
      <w:marLeft w:val="0"/>
      <w:marRight w:val="0"/>
      <w:marTop w:val="0"/>
      <w:marBottom w:val="0"/>
      <w:divBdr>
        <w:top w:val="none" w:sz="0" w:space="0" w:color="auto"/>
        <w:left w:val="none" w:sz="0" w:space="0" w:color="auto"/>
        <w:bottom w:val="none" w:sz="0" w:space="0" w:color="auto"/>
        <w:right w:val="none" w:sz="0" w:space="0" w:color="auto"/>
      </w:divBdr>
    </w:div>
    <w:div w:id="454376930">
      <w:bodyDiv w:val="1"/>
      <w:marLeft w:val="0"/>
      <w:marRight w:val="0"/>
      <w:marTop w:val="0"/>
      <w:marBottom w:val="0"/>
      <w:divBdr>
        <w:top w:val="none" w:sz="0" w:space="0" w:color="auto"/>
        <w:left w:val="none" w:sz="0" w:space="0" w:color="auto"/>
        <w:bottom w:val="none" w:sz="0" w:space="0" w:color="auto"/>
        <w:right w:val="none" w:sz="0" w:space="0" w:color="auto"/>
      </w:divBdr>
    </w:div>
    <w:div w:id="459224502">
      <w:bodyDiv w:val="1"/>
      <w:marLeft w:val="0"/>
      <w:marRight w:val="0"/>
      <w:marTop w:val="0"/>
      <w:marBottom w:val="0"/>
      <w:divBdr>
        <w:top w:val="none" w:sz="0" w:space="0" w:color="auto"/>
        <w:left w:val="none" w:sz="0" w:space="0" w:color="auto"/>
        <w:bottom w:val="none" w:sz="0" w:space="0" w:color="auto"/>
        <w:right w:val="none" w:sz="0" w:space="0" w:color="auto"/>
      </w:divBdr>
    </w:div>
    <w:div w:id="464927625">
      <w:bodyDiv w:val="1"/>
      <w:marLeft w:val="0"/>
      <w:marRight w:val="0"/>
      <w:marTop w:val="0"/>
      <w:marBottom w:val="0"/>
      <w:divBdr>
        <w:top w:val="none" w:sz="0" w:space="0" w:color="auto"/>
        <w:left w:val="none" w:sz="0" w:space="0" w:color="auto"/>
        <w:bottom w:val="none" w:sz="0" w:space="0" w:color="auto"/>
        <w:right w:val="none" w:sz="0" w:space="0" w:color="auto"/>
      </w:divBdr>
    </w:div>
    <w:div w:id="476192009">
      <w:bodyDiv w:val="1"/>
      <w:marLeft w:val="0"/>
      <w:marRight w:val="0"/>
      <w:marTop w:val="0"/>
      <w:marBottom w:val="0"/>
      <w:divBdr>
        <w:top w:val="none" w:sz="0" w:space="0" w:color="auto"/>
        <w:left w:val="none" w:sz="0" w:space="0" w:color="auto"/>
        <w:bottom w:val="none" w:sz="0" w:space="0" w:color="auto"/>
        <w:right w:val="none" w:sz="0" w:space="0" w:color="auto"/>
      </w:divBdr>
    </w:div>
    <w:div w:id="490756347">
      <w:bodyDiv w:val="1"/>
      <w:marLeft w:val="0"/>
      <w:marRight w:val="0"/>
      <w:marTop w:val="0"/>
      <w:marBottom w:val="0"/>
      <w:divBdr>
        <w:top w:val="none" w:sz="0" w:space="0" w:color="auto"/>
        <w:left w:val="none" w:sz="0" w:space="0" w:color="auto"/>
        <w:bottom w:val="none" w:sz="0" w:space="0" w:color="auto"/>
        <w:right w:val="none" w:sz="0" w:space="0" w:color="auto"/>
      </w:divBdr>
    </w:div>
    <w:div w:id="509758066">
      <w:bodyDiv w:val="1"/>
      <w:marLeft w:val="0"/>
      <w:marRight w:val="0"/>
      <w:marTop w:val="0"/>
      <w:marBottom w:val="0"/>
      <w:divBdr>
        <w:top w:val="none" w:sz="0" w:space="0" w:color="auto"/>
        <w:left w:val="none" w:sz="0" w:space="0" w:color="auto"/>
        <w:bottom w:val="none" w:sz="0" w:space="0" w:color="auto"/>
        <w:right w:val="none" w:sz="0" w:space="0" w:color="auto"/>
      </w:divBdr>
    </w:div>
    <w:div w:id="520700788">
      <w:bodyDiv w:val="1"/>
      <w:marLeft w:val="0"/>
      <w:marRight w:val="0"/>
      <w:marTop w:val="0"/>
      <w:marBottom w:val="0"/>
      <w:divBdr>
        <w:top w:val="none" w:sz="0" w:space="0" w:color="auto"/>
        <w:left w:val="none" w:sz="0" w:space="0" w:color="auto"/>
        <w:bottom w:val="none" w:sz="0" w:space="0" w:color="auto"/>
        <w:right w:val="none" w:sz="0" w:space="0" w:color="auto"/>
      </w:divBdr>
    </w:div>
    <w:div w:id="539559713">
      <w:bodyDiv w:val="1"/>
      <w:marLeft w:val="0"/>
      <w:marRight w:val="0"/>
      <w:marTop w:val="0"/>
      <w:marBottom w:val="0"/>
      <w:divBdr>
        <w:top w:val="none" w:sz="0" w:space="0" w:color="auto"/>
        <w:left w:val="none" w:sz="0" w:space="0" w:color="auto"/>
        <w:bottom w:val="none" w:sz="0" w:space="0" w:color="auto"/>
        <w:right w:val="none" w:sz="0" w:space="0" w:color="auto"/>
      </w:divBdr>
    </w:div>
    <w:div w:id="546381108">
      <w:bodyDiv w:val="1"/>
      <w:marLeft w:val="0"/>
      <w:marRight w:val="0"/>
      <w:marTop w:val="0"/>
      <w:marBottom w:val="0"/>
      <w:divBdr>
        <w:top w:val="none" w:sz="0" w:space="0" w:color="auto"/>
        <w:left w:val="none" w:sz="0" w:space="0" w:color="auto"/>
        <w:bottom w:val="none" w:sz="0" w:space="0" w:color="auto"/>
        <w:right w:val="none" w:sz="0" w:space="0" w:color="auto"/>
      </w:divBdr>
    </w:div>
    <w:div w:id="547911728">
      <w:bodyDiv w:val="1"/>
      <w:marLeft w:val="0"/>
      <w:marRight w:val="0"/>
      <w:marTop w:val="0"/>
      <w:marBottom w:val="0"/>
      <w:divBdr>
        <w:top w:val="none" w:sz="0" w:space="0" w:color="auto"/>
        <w:left w:val="none" w:sz="0" w:space="0" w:color="auto"/>
        <w:bottom w:val="none" w:sz="0" w:space="0" w:color="auto"/>
        <w:right w:val="none" w:sz="0" w:space="0" w:color="auto"/>
      </w:divBdr>
    </w:div>
    <w:div w:id="552087122">
      <w:bodyDiv w:val="1"/>
      <w:marLeft w:val="0"/>
      <w:marRight w:val="0"/>
      <w:marTop w:val="0"/>
      <w:marBottom w:val="0"/>
      <w:divBdr>
        <w:top w:val="none" w:sz="0" w:space="0" w:color="auto"/>
        <w:left w:val="none" w:sz="0" w:space="0" w:color="auto"/>
        <w:bottom w:val="none" w:sz="0" w:space="0" w:color="auto"/>
        <w:right w:val="none" w:sz="0" w:space="0" w:color="auto"/>
      </w:divBdr>
    </w:div>
    <w:div w:id="557472653">
      <w:bodyDiv w:val="1"/>
      <w:marLeft w:val="0"/>
      <w:marRight w:val="0"/>
      <w:marTop w:val="0"/>
      <w:marBottom w:val="0"/>
      <w:divBdr>
        <w:top w:val="none" w:sz="0" w:space="0" w:color="auto"/>
        <w:left w:val="none" w:sz="0" w:space="0" w:color="auto"/>
        <w:bottom w:val="none" w:sz="0" w:space="0" w:color="auto"/>
        <w:right w:val="none" w:sz="0" w:space="0" w:color="auto"/>
      </w:divBdr>
    </w:div>
    <w:div w:id="558710922">
      <w:bodyDiv w:val="1"/>
      <w:marLeft w:val="0"/>
      <w:marRight w:val="0"/>
      <w:marTop w:val="0"/>
      <w:marBottom w:val="0"/>
      <w:divBdr>
        <w:top w:val="none" w:sz="0" w:space="0" w:color="auto"/>
        <w:left w:val="none" w:sz="0" w:space="0" w:color="auto"/>
        <w:bottom w:val="none" w:sz="0" w:space="0" w:color="auto"/>
        <w:right w:val="none" w:sz="0" w:space="0" w:color="auto"/>
      </w:divBdr>
    </w:div>
    <w:div w:id="561670856">
      <w:bodyDiv w:val="1"/>
      <w:marLeft w:val="0"/>
      <w:marRight w:val="0"/>
      <w:marTop w:val="0"/>
      <w:marBottom w:val="0"/>
      <w:divBdr>
        <w:top w:val="none" w:sz="0" w:space="0" w:color="auto"/>
        <w:left w:val="none" w:sz="0" w:space="0" w:color="auto"/>
        <w:bottom w:val="none" w:sz="0" w:space="0" w:color="auto"/>
        <w:right w:val="none" w:sz="0" w:space="0" w:color="auto"/>
      </w:divBdr>
    </w:div>
    <w:div w:id="565527094">
      <w:bodyDiv w:val="1"/>
      <w:marLeft w:val="0"/>
      <w:marRight w:val="0"/>
      <w:marTop w:val="0"/>
      <w:marBottom w:val="0"/>
      <w:divBdr>
        <w:top w:val="none" w:sz="0" w:space="0" w:color="auto"/>
        <w:left w:val="none" w:sz="0" w:space="0" w:color="auto"/>
        <w:bottom w:val="none" w:sz="0" w:space="0" w:color="auto"/>
        <w:right w:val="none" w:sz="0" w:space="0" w:color="auto"/>
      </w:divBdr>
    </w:div>
    <w:div w:id="567345729">
      <w:bodyDiv w:val="1"/>
      <w:marLeft w:val="0"/>
      <w:marRight w:val="0"/>
      <w:marTop w:val="0"/>
      <w:marBottom w:val="0"/>
      <w:divBdr>
        <w:top w:val="none" w:sz="0" w:space="0" w:color="auto"/>
        <w:left w:val="none" w:sz="0" w:space="0" w:color="auto"/>
        <w:bottom w:val="none" w:sz="0" w:space="0" w:color="auto"/>
        <w:right w:val="none" w:sz="0" w:space="0" w:color="auto"/>
      </w:divBdr>
    </w:div>
    <w:div w:id="586041377">
      <w:bodyDiv w:val="1"/>
      <w:marLeft w:val="0"/>
      <w:marRight w:val="0"/>
      <w:marTop w:val="0"/>
      <w:marBottom w:val="0"/>
      <w:divBdr>
        <w:top w:val="none" w:sz="0" w:space="0" w:color="auto"/>
        <w:left w:val="none" w:sz="0" w:space="0" w:color="auto"/>
        <w:bottom w:val="none" w:sz="0" w:space="0" w:color="auto"/>
        <w:right w:val="none" w:sz="0" w:space="0" w:color="auto"/>
      </w:divBdr>
    </w:div>
    <w:div w:id="586111706">
      <w:bodyDiv w:val="1"/>
      <w:marLeft w:val="0"/>
      <w:marRight w:val="0"/>
      <w:marTop w:val="0"/>
      <w:marBottom w:val="0"/>
      <w:divBdr>
        <w:top w:val="none" w:sz="0" w:space="0" w:color="auto"/>
        <w:left w:val="none" w:sz="0" w:space="0" w:color="auto"/>
        <w:bottom w:val="none" w:sz="0" w:space="0" w:color="auto"/>
        <w:right w:val="none" w:sz="0" w:space="0" w:color="auto"/>
      </w:divBdr>
    </w:div>
    <w:div w:id="586766777">
      <w:bodyDiv w:val="1"/>
      <w:marLeft w:val="0"/>
      <w:marRight w:val="0"/>
      <w:marTop w:val="0"/>
      <w:marBottom w:val="0"/>
      <w:divBdr>
        <w:top w:val="none" w:sz="0" w:space="0" w:color="auto"/>
        <w:left w:val="none" w:sz="0" w:space="0" w:color="auto"/>
        <w:bottom w:val="none" w:sz="0" w:space="0" w:color="auto"/>
        <w:right w:val="none" w:sz="0" w:space="0" w:color="auto"/>
      </w:divBdr>
    </w:div>
    <w:div w:id="596208464">
      <w:bodyDiv w:val="1"/>
      <w:marLeft w:val="0"/>
      <w:marRight w:val="0"/>
      <w:marTop w:val="0"/>
      <w:marBottom w:val="0"/>
      <w:divBdr>
        <w:top w:val="none" w:sz="0" w:space="0" w:color="auto"/>
        <w:left w:val="none" w:sz="0" w:space="0" w:color="auto"/>
        <w:bottom w:val="none" w:sz="0" w:space="0" w:color="auto"/>
        <w:right w:val="none" w:sz="0" w:space="0" w:color="auto"/>
      </w:divBdr>
    </w:div>
    <w:div w:id="608004747">
      <w:bodyDiv w:val="1"/>
      <w:marLeft w:val="0"/>
      <w:marRight w:val="0"/>
      <w:marTop w:val="0"/>
      <w:marBottom w:val="0"/>
      <w:divBdr>
        <w:top w:val="none" w:sz="0" w:space="0" w:color="auto"/>
        <w:left w:val="none" w:sz="0" w:space="0" w:color="auto"/>
        <w:bottom w:val="none" w:sz="0" w:space="0" w:color="auto"/>
        <w:right w:val="none" w:sz="0" w:space="0" w:color="auto"/>
      </w:divBdr>
    </w:div>
    <w:div w:id="618336188">
      <w:bodyDiv w:val="1"/>
      <w:marLeft w:val="0"/>
      <w:marRight w:val="0"/>
      <w:marTop w:val="0"/>
      <w:marBottom w:val="0"/>
      <w:divBdr>
        <w:top w:val="none" w:sz="0" w:space="0" w:color="auto"/>
        <w:left w:val="none" w:sz="0" w:space="0" w:color="auto"/>
        <w:bottom w:val="none" w:sz="0" w:space="0" w:color="auto"/>
        <w:right w:val="none" w:sz="0" w:space="0" w:color="auto"/>
      </w:divBdr>
    </w:div>
    <w:div w:id="627052965">
      <w:bodyDiv w:val="1"/>
      <w:marLeft w:val="0"/>
      <w:marRight w:val="0"/>
      <w:marTop w:val="0"/>
      <w:marBottom w:val="0"/>
      <w:divBdr>
        <w:top w:val="none" w:sz="0" w:space="0" w:color="auto"/>
        <w:left w:val="none" w:sz="0" w:space="0" w:color="auto"/>
        <w:bottom w:val="none" w:sz="0" w:space="0" w:color="auto"/>
        <w:right w:val="none" w:sz="0" w:space="0" w:color="auto"/>
      </w:divBdr>
    </w:div>
    <w:div w:id="627517234">
      <w:bodyDiv w:val="1"/>
      <w:marLeft w:val="0"/>
      <w:marRight w:val="0"/>
      <w:marTop w:val="0"/>
      <w:marBottom w:val="0"/>
      <w:divBdr>
        <w:top w:val="none" w:sz="0" w:space="0" w:color="auto"/>
        <w:left w:val="none" w:sz="0" w:space="0" w:color="auto"/>
        <w:bottom w:val="none" w:sz="0" w:space="0" w:color="auto"/>
        <w:right w:val="none" w:sz="0" w:space="0" w:color="auto"/>
      </w:divBdr>
    </w:div>
    <w:div w:id="628051954">
      <w:bodyDiv w:val="1"/>
      <w:marLeft w:val="0"/>
      <w:marRight w:val="0"/>
      <w:marTop w:val="0"/>
      <w:marBottom w:val="0"/>
      <w:divBdr>
        <w:top w:val="none" w:sz="0" w:space="0" w:color="auto"/>
        <w:left w:val="none" w:sz="0" w:space="0" w:color="auto"/>
        <w:bottom w:val="none" w:sz="0" w:space="0" w:color="auto"/>
        <w:right w:val="none" w:sz="0" w:space="0" w:color="auto"/>
      </w:divBdr>
    </w:div>
    <w:div w:id="641421616">
      <w:bodyDiv w:val="1"/>
      <w:marLeft w:val="0"/>
      <w:marRight w:val="0"/>
      <w:marTop w:val="0"/>
      <w:marBottom w:val="0"/>
      <w:divBdr>
        <w:top w:val="none" w:sz="0" w:space="0" w:color="auto"/>
        <w:left w:val="none" w:sz="0" w:space="0" w:color="auto"/>
        <w:bottom w:val="none" w:sz="0" w:space="0" w:color="auto"/>
        <w:right w:val="none" w:sz="0" w:space="0" w:color="auto"/>
      </w:divBdr>
    </w:div>
    <w:div w:id="643049204">
      <w:bodyDiv w:val="1"/>
      <w:marLeft w:val="0"/>
      <w:marRight w:val="0"/>
      <w:marTop w:val="0"/>
      <w:marBottom w:val="0"/>
      <w:divBdr>
        <w:top w:val="none" w:sz="0" w:space="0" w:color="auto"/>
        <w:left w:val="none" w:sz="0" w:space="0" w:color="auto"/>
        <w:bottom w:val="none" w:sz="0" w:space="0" w:color="auto"/>
        <w:right w:val="none" w:sz="0" w:space="0" w:color="auto"/>
      </w:divBdr>
    </w:div>
    <w:div w:id="645429604">
      <w:bodyDiv w:val="1"/>
      <w:marLeft w:val="0"/>
      <w:marRight w:val="0"/>
      <w:marTop w:val="0"/>
      <w:marBottom w:val="0"/>
      <w:divBdr>
        <w:top w:val="none" w:sz="0" w:space="0" w:color="auto"/>
        <w:left w:val="none" w:sz="0" w:space="0" w:color="auto"/>
        <w:bottom w:val="none" w:sz="0" w:space="0" w:color="auto"/>
        <w:right w:val="none" w:sz="0" w:space="0" w:color="auto"/>
      </w:divBdr>
    </w:div>
    <w:div w:id="648554839">
      <w:bodyDiv w:val="1"/>
      <w:marLeft w:val="0"/>
      <w:marRight w:val="0"/>
      <w:marTop w:val="0"/>
      <w:marBottom w:val="0"/>
      <w:divBdr>
        <w:top w:val="none" w:sz="0" w:space="0" w:color="auto"/>
        <w:left w:val="none" w:sz="0" w:space="0" w:color="auto"/>
        <w:bottom w:val="none" w:sz="0" w:space="0" w:color="auto"/>
        <w:right w:val="none" w:sz="0" w:space="0" w:color="auto"/>
      </w:divBdr>
    </w:div>
    <w:div w:id="651328284">
      <w:bodyDiv w:val="1"/>
      <w:marLeft w:val="0"/>
      <w:marRight w:val="0"/>
      <w:marTop w:val="0"/>
      <w:marBottom w:val="0"/>
      <w:divBdr>
        <w:top w:val="none" w:sz="0" w:space="0" w:color="auto"/>
        <w:left w:val="none" w:sz="0" w:space="0" w:color="auto"/>
        <w:bottom w:val="none" w:sz="0" w:space="0" w:color="auto"/>
        <w:right w:val="none" w:sz="0" w:space="0" w:color="auto"/>
      </w:divBdr>
    </w:div>
    <w:div w:id="663631746">
      <w:bodyDiv w:val="1"/>
      <w:marLeft w:val="0"/>
      <w:marRight w:val="0"/>
      <w:marTop w:val="0"/>
      <w:marBottom w:val="0"/>
      <w:divBdr>
        <w:top w:val="none" w:sz="0" w:space="0" w:color="auto"/>
        <w:left w:val="none" w:sz="0" w:space="0" w:color="auto"/>
        <w:bottom w:val="none" w:sz="0" w:space="0" w:color="auto"/>
        <w:right w:val="none" w:sz="0" w:space="0" w:color="auto"/>
      </w:divBdr>
    </w:div>
    <w:div w:id="669215465">
      <w:bodyDiv w:val="1"/>
      <w:marLeft w:val="0"/>
      <w:marRight w:val="0"/>
      <w:marTop w:val="0"/>
      <w:marBottom w:val="0"/>
      <w:divBdr>
        <w:top w:val="none" w:sz="0" w:space="0" w:color="auto"/>
        <w:left w:val="none" w:sz="0" w:space="0" w:color="auto"/>
        <w:bottom w:val="none" w:sz="0" w:space="0" w:color="auto"/>
        <w:right w:val="none" w:sz="0" w:space="0" w:color="auto"/>
      </w:divBdr>
    </w:div>
    <w:div w:id="671295966">
      <w:bodyDiv w:val="1"/>
      <w:marLeft w:val="0"/>
      <w:marRight w:val="0"/>
      <w:marTop w:val="0"/>
      <w:marBottom w:val="0"/>
      <w:divBdr>
        <w:top w:val="none" w:sz="0" w:space="0" w:color="auto"/>
        <w:left w:val="none" w:sz="0" w:space="0" w:color="auto"/>
        <w:bottom w:val="none" w:sz="0" w:space="0" w:color="auto"/>
        <w:right w:val="none" w:sz="0" w:space="0" w:color="auto"/>
      </w:divBdr>
    </w:div>
    <w:div w:id="676156958">
      <w:bodyDiv w:val="1"/>
      <w:marLeft w:val="0"/>
      <w:marRight w:val="0"/>
      <w:marTop w:val="0"/>
      <w:marBottom w:val="0"/>
      <w:divBdr>
        <w:top w:val="none" w:sz="0" w:space="0" w:color="auto"/>
        <w:left w:val="none" w:sz="0" w:space="0" w:color="auto"/>
        <w:bottom w:val="none" w:sz="0" w:space="0" w:color="auto"/>
        <w:right w:val="none" w:sz="0" w:space="0" w:color="auto"/>
      </w:divBdr>
    </w:div>
    <w:div w:id="692808063">
      <w:bodyDiv w:val="1"/>
      <w:marLeft w:val="0"/>
      <w:marRight w:val="0"/>
      <w:marTop w:val="0"/>
      <w:marBottom w:val="0"/>
      <w:divBdr>
        <w:top w:val="none" w:sz="0" w:space="0" w:color="auto"/>
        <w:left w:val="none" w:sz="0" w:space="0" w:color="auto"/>
        <w:bottom w:val="none" w:sz="0" w:space="0" w:color="auto"/>
        <w:right w:val="none" w:sz="0" w:space="0" w:color="auto"/>
      </w:divBdr>
    </w:div>
    <w:div w:id="696469598">
      <w:bodyDiv w:val="1"/>
      <w:marLeft w:val="0"/>
      <w:marRight w:val="0"/>
      <w:marTop w:val="0"/>
      <w:marBottom w:val="0"/>
      <w:divBdr>
        <w:top w:val="none" w:sz="0" w:space="0" w:color="auto"/>
        <w:left w:val="none" w:sz="0" w:space="0" w:color="auto"/>
        <w:bottom w:val="none" w:sz="0" w:space="0" w:color="auto"/>
        <w:right w:val="none" w:sz="0" w:space="0" w:color="auto"/>
      </w:divBdr>
    </w:div>
    <w:div w:id="714232869">
      <w:bodyDiv w:val="1"/>
      <w:marLeft w:val="0"/>
      <w:marRight w:val="0"/>
      <w:marTop w:val="0"/>
      <w:marBottom w:val="0"/>
      <w:divBdr>
        <w:top w:val="none" w:sz="0" w:space="0" w:color="auto"/>
        <w:left w:val="none" w:sz="0" w:space="0" w:color="auto"/>
        <w:bottom w:val="none" w:sz="0" w:space="0" w:color="auto"/>
        <w:right w:val="none" w:sz="0" w:space="0" w:color="auto"/>
      </w:divBdr>
    </w:div>
    <w:div w:id="733354960">
      <w:bodyDiv w:val="1"/>
      <w:marLeft w:val="0"/>
      <w:marRight w:val="0"/>
      <w:marTop w:val="0"/>
      <w:marBottom w:val="0"/>
      <w:divBdr>
        <w:top w:val="none" w:sz="0" w:space="0" w:color="auto"/>
        <w:left w:val="none" w:sz="0" w:space="0" w:color="auto"/>
        <w:bottom w:val="none" w:sz="0" w:space="0" w:color="auto"/>
        <w:right w:val="none" w:sz="0" w:space="0" w:color="auto"/>
      </w:divBdr>
    </w:div>
    <w:div w:id="740719720">
      <w:bodyDiv w:val="1"/>
      <w:marLeft w:val="0"/>
      <w:marRight w:val="0"/>
      <w:marTop w:val="0"/>
      <w:marBottom w:val="0"/>
      <w:divBdr>
        <w:top w:val="none" w:sz="0" w:space="0" w:color="auto"/>
        <w:left w:val="none" w:sz="0" w:space="0" w:color="auto"/>
        <w:bottom w:val="none" w:sz="0" w:space="0" w:color="auto"/>
        <w:right w:val="none" w:sz="0" w:space="0" w:color="auto"/>
      </w:divBdr>
      <w:divsChild>
        <w:div w:id="2074573450">
          <w:marLeft w:val="547"/>
          <w:marRight w:val="0"/>
          <w:marTop w:val="53"/>
          <w:marBottom w:val="0"/>
          <w:divBdr>
            <w:top w:val="none" w:sz="0" w:space="0" w:color="auto"/>
            <w:left w:val="none" w:sz="0" w:space="0" w:color="auto"/>
            <w:bottom w:val="none" w:sz="0" w:space="0" w:color="auto"/>
            <w:right w:val="none" w:sz="0" w:space="0" w:color="auto"/>
          </w:divBdr>
        </w:div>
      </w:divsChild>
    </w:div>
    <w:div w:id="753430888">
      <w:bodyDiv w:val="1"/>
      <w:marLeft w:val="0"/>
      <w:marRight w:val="0"/>
      <w:marTop w:val="0"/>
      <w:marBottom w:val="0"/>
      <w:divBdr>
        <w:top w:val="none" w:sz="0" w:space="0" w:color="auto"/>
        <w:left w:val="none" w:sz="0" w:space="0" w:color="auto"/>
        <w:bottom w:val="none" w:sz="0" w:space="0" w:color="auto"/>
        <w:right w:val="none" w:sz="0" w:space="0" w:color="auto"/>
      </w:divBdr>
    </w:div>
    <w:div w:id="754593704">
      <w:bodyDiv w:val="1"/>
      <w:marLeft w:val="0"/>
      <w:marRight w:val="0"/>
      <w:marTop w:val="0"/>
      <w:marBottom w:val="0"/>
      <w:divBdr>
        <w:top w:val="none" w:sz="0" w:space="0" w:color="auto"/>
        <w:left w:val="none" w:sz="0" w:space="0" w:color="auto"/>
        <w:bottom w:val="none" w:sz="0" w:space="0" w:color="auto"/>
        <w:right w:val="none" w:sz="0" w:space="0" w:color="auto"/>
      </w:divBdr>
    </w:div>
    <w:div w:id="762381156">
      <w:bodyDiv w:val="1"/>
      <w:marLeft w:val="0"/>
      <w:marRight w:val="0"/>
      <w:marTop w:val="0"/>
      <w:marBottom w:val="0"/>
      <w:divBdr>
        <w:top w:val="none" w:sz="0" w:space="0" w:color="auto"/>
        <w:left w:val="none" w:sz="0" w:space="0" w:color="auto"/>
        <w:bottom w:val="none" w:sz="0" w:space="0" w:color="auto"/>
        <w:right w:val="none" w:sz="0" w:space="0" w:color="auto"/>
      </w:divBdr>
    </w:div>
    <w:div w:id="769010686">
      <w:bodyDiv w:val="1"/>
      <w:marLeft w:val="0"/>
      <w:marRight w:val="0"/>
      <w:marTop w:val="0"/>
      <w:marBottom w:val="0"/>
      <w:divBdr>
        <w:top w:val="none" w:sz="0" w:space="0" w:color="auto"/>
        <w:left w:val="none" w:sz="0" w:space="0" w:color="auto"/>
        <w:bottom w:val="none" w:sz="0" w:space="0" w:color="auto"/>
        <w:right w:val="none" w:sz="0" w:space="0" w:color="auto"/>
      </w:divBdr>
    </w:div>
    <w:div w:id="771969802">
      <w:bodyDiv w:val="1"/>
      <w:marLeft w:val="0"/>
      <w:marRight w:val="0"/>
      <w:marTop w:val="0"/>
      <w:marBottom w:val="0"/>
      <w:divBdr>
        <w:top w:val="none" w:sz="0" w:space="0" w:color="auto"/>
        <w:left w:val="none" w:sz="0" w:space="0" w:color="auto"/>
        <w:bottom w:val="none" w:sz="0" w:space="0" w:color="auto"/>
        <w:right w:val="none" w:sz="0" w:space="0" w:color="auto"/>
      </w:divBdr>
    </w:div>
    <w:div w:id="794712388">
      <w:bodyDiv w:val="1"/>
      <w:marLeft w:val="0"/>
      <w:marRight w:val="0"/>
      <w:marTop w:val="0"/>
      <w:marBottom w:val="0"/>
      <w:divBdr>
        <w:top w:val="none" w:sz="0" w:space="0" w:color="auto"/>
        <w:left w:val="none" w:sz="0" w:space="0" w:color="auto"/>
        <w:bottom w:val="none" w:sz="0" w:space="0" w:color="auto"/>
        <w:right w:val="none" w:sz="0" w:space="0" w:color="auto"/>
      </w:divBdr>
    </w:div>
    <w:div w:id="799346099">
      <w:bodyDiv w:val="1"/>
      <w:marLeft w:val="0"/>
      <w:marRight w:val="0"/>
      <w:marTop w:val="0"/>
      <w:marBottom w:val="0"/>
      <w:divBdr>
        <w:top w:val="none" w:sz="0" w:space="0" w:color="auto"/>
        <w:left w:val="none" w:sz="0" w:space="0" w:color="auto"/>
        <w:bottom w:val="none" w:sz="0" w:space="0" w:color="auto"/>
        <w:right w:val="none" w:sz="0" w:space="0" w:color="auto"/>
      </w:divBdr>
    </w:div>
    <w:div w:id="800148339">
      <w:bodyDiv w:val="1"/>
      <w:marLeft w:val="0"/>
      <w:marRight w:val="0"/>
      <w:marTop w:val="0"/>
      <w:marBottom w:val="0"/>
      <w:divBdr>
        <w:top w:val="none" w:sz="0" w:space="0" w:color="auto"/>
        <w:left w:val="none" w:sz="0" w:space="0" w:color="auto"/>
        <w:bottom w:val="none" w:sz="0" w:space="0" w:color="auto"/>
        <w:right w:val="none" w:sz="0" w:space="0" w:color="auto"/>
      </w:divBdr>
    </w:div>
    <w:div w:id="808328317">
      <w:bodyDiv w:val="1"/>
      <w:marLeft w:val="0"/>
      <w:marRight w:val="0"/>
      <w:marTop w:val="0"/>
      <w:marBottom w:val="0"/>
      <w:divBdr>
        <w:top w:val="none" w:sz="0" w:space="0" w:color="auto"/>
        <w:left w:val="none" w:sz="0" w:space="0" w:color="auto"/>
        <w:bottom w:val="none" w:sz="0" w:space="0" w:color="auto"/>
        <w:right w:val="none" w:sz="0" w:space="0" w:color="auto"/>
      </w:divBdr>
    </w:div>
    <w:div w:id="828406901">
      <w:bodyDiv w:val="1"/>
      <w:marLeft w:val="0"/>
      <w:marRight w:val="0"/>
      <w:marTop w:val="0"/>
      <w:marBottom w:val="0"/>
      <w:divBdr>
        <w:top w:val="none" w:sz="0" w:space="0" w:color="auto"/>
        <w:left w:val="none" w:sz="0" w:space="0" w:color="auto"/>
        <w:bottom w:val="none" w:sz="0" w:space="0" w:color="auto"/>
        <w:right w:val="none" w:sz="0" w:space="0" w:color="auto"/>
      </w:divBdr>
    </w:div>
    <w:div w:id="831145431">
      <w:bodyDiv w:val="1"/>
      <w:marLeft w:val="0"/>
      <w:marRight w:val="0"/>
      <w:marTop w:val="0"/>
      <w:marBottom w:val="0"/>
      <w:divBdr>
        <w:top w:val="none" w:sz="0" w:space="0" w:color="auto"/>
        <w:left w:val="none" w:sz="0" w:space="0" w:color="auto"/>
        <w:bottom w:val="none" w:sz="0" w:space="0" w:color="auto"/>
        <w:right w:val="none" w:sz="0" w:space="0" w:color="auto"/>
      </w:divBdr>
    </w:div>
    <w:div w:id="852957255">
      <w:bodyDiv w:val="1"/>
      <w:marLeft w:val="0"/>
      <w:marRight w:val="0"/>
      <w:marTop w:val="0"/>
      <w:marBottom w:val="0"/>
      <w:divBdr>
        <w:top w:val="none" w:sz="0" w:space="0" w:color="auto"/>
        <w:left w:val="none" w:sz="0" w:space="0" w:color="auto"/>
        <w:bottom w:val="none" w:sz="0" w:space="0" w:color="auto"/>
        <w:right w:val="none" w:sz="0" w:space="0" w:color="auto"/>
      </w:divBdr>
    </w:div>
    <w:div w:id="861478369">
      <w:bodyDiv w:val="1"/>
      <w:marLeft w:val="0"/>
      <w:marRight w:val="0"/>
      <w:marTop w:val="0"/>
      <w:marBottom w:val="0"/>
      <w:divBdr>
        <w:top w:val="none" w:sz="0" w:space="0" w:color="auto"/>
        <w:left w:val="none" w:sz="0" w:space="0" w:color="auto"/>
        <w:bottom w:val="none" w:sz="0" w:space="0" w:color="auto"/>
        <w:right w:val="none" w:sz="0" w:space="0" w:color="auto"/>
      </w:divBdr>
    </w:div>
    <w:div w:id="872578133">
      <w:bodyDiv w:val="1"/>
      <w:marLeft w:val="0"/>
      <w:marRight w:val="0"/>
      <w:marTop w:val="0"/>
      <w:marBottom w:val="0"/>
      <w:divBdr>
        <w:top w:val="none" w:sz="0" w:space="0" w:color="auto"/>
        <w:left w:val="none" w:sz="0" w:space="0" w:color="auto"/>
        <w:bottom w:val="none" w:sz="0" w:space="0" w:color="auto"/>
        <w:right w:val="none" w:sz="0" w:space="0" w:color="auto"/>
      </w:divBdr>
    </w:div>
    <w:div w:id="872763417">
      <w:bodyDiv w:val="1"/>
      <w:marLeft w:val="0"/>
      <w:marRight w:val="0"/>
      <w:marTop w:val="0"/>
      <w:marBottom w:val="0"/>
      <w:divBdr>
        <w:top w:val="none" w:sz="0" w:space="0" w:color="auto"/>
        <w:left w:val="none" w:sz="0" w:space="0" w:color="auto"/>
        <w:bottom w:val="none" w:sz="0" w:space="0" w:color="auto"/>
        <w:right w:val="none" w:sz="0" w:space="0" w:color="auto"/>
      </w:divBdr>
    </w:div>
    <w:div w:id="873544693">
      <w:bodyDiv w:val="1"/>
      <w:marLeft w:val="0"/>
      <w:marRight w:val="0"/>
      <w:marTop w:val="0"/>
      <w:marBottom w:val="0"/>
      <w:divBdr>
        <w:top w:val="none" w:sz="0" w:space="0" w:color="auto"/>
        <w:left w:val="none" w:sz="0" w:space="0" w:color="auto"/>
        <w:bottom w:val="none" w:sz="0" w:space="0" w:color="auto"/>
        <w:right w:val="none" w:sz="0" w:space="0" w:color="auto"/>
      </w:divBdr>
    </w:div>
    <w:div w:id="877468250">
      <w:bodyDiv w:val="1"/>
      <w:marLeft w:val="0"/>
      <w:marRight w:val="0"/>
      <w:marTop w:val="0"/>
      <w:marBottom w:val="0"/>
      <w:divBdr>
        <w:top w:val="none" w:sz="0" w:space="0" w:color="auto"/>
        <w:left w:val="none" w:sz="0" w:space="0" w:color="auto"/>
        <w:bottom w:val="none" w:sz="0" w:space="0" w:color="auto"/>
        <w:right w:val="none" w:sz="0" w:space="0" w:color="auto"/>
      </w:divBdr>
    </w:div>
    <w:div w:id="879248938">
      <w:bodyDiv w:val="1"/>
      <w:marLeft w:val="0"/>
      <w:marRight w:val="0"/>
      <w:marTop w:val="0"/>
      <w:marBottom w:val="0"/>
      <w:divBdr>
        <w:top w:val="none" w:sz="0" w:space="0" w:color="auto"/>
        <w:left w:val="none" w:sz="0" w:space="0" w:color="auto"/>
        <w:bottom w:val="none" w:sz="0" w:space="0" w:color="auto"/>
        <w:right w:val="none" w:sz="0" w:space="0" w:color="auto"/>
      </w:divBdr>
    </w:div>
    <w:div w:id="890729519">
      <w:bodyDiv w:val="1"/>
      <w:marLeft w:val="0"/>
      <w:marRight w:val="0"/>
      <w:marTop w:val="0"/>
      <w:marBottom w:val="0"/>
      <w:divBdr>
        <w:top w:val="none" w:sz="0" w:space="0" w:color="auto"/>
        <w:left w:val="none" w:sz="0" w:space="0" w:color="auto"/>
        <w:bottom w:val="none" w:sz="0" w:space="0" w:color="auto"/>
        <w:right w:val="none" w:sz="0" w:space="0" w:color="auto"/>
      </w:divBdr>
    </w:div>
    <w:div w:id="896280754">
      <w:bodyDiv w:val="1"/>
      <w:marLeft w:val="0"/>
      <w:marRight w:val="0"/>
      <w:marTop w:val="0"/>
      <w:marBottom w:val="0"/>
      <w:divBdr>
        <w:top w:val="none" w:sz="0" w:space="0" w:color="auto"/>
        <w:left w:val="none" w:sz="0" w:space="0" w:color="auto"/>
        <w:bottom w:val="none" w:sz="0" w:space="0" w:color="auto"/>
        <w:right w:val="none" w:sz="0" w:space="0" w:color="auto"/>
      </w:divBdr>
    </w:div>
    <w:div w:id="899250486">
      <w:bodyDiv w:val="1"/>
      <w:marLeft w:val="0"/>
      <w:marRight w:val="0"/>
      <w:marTop w:val="0"/>
      <w:marBottom w:val="0"/>
      <w:divBdr>
        <w:top w:val="none" w:sz="0" w:space="0" w:color="auto"/>
        <w:left w:val="none" w:sz="0" w:space="0" w:color="auto"/>
        <w:bottom w:val="none" w:sz="0" w:space="0" w:color="auto"/>
        <w:right w:val="none" w:sz="0" w:space="0" w:color="auto"/>
      </w:divBdr>
    </w:div>
    <w:div w:id="914244904">
      <w:bodyDiv w:val="1"/>
      <w:marLeft w:val="0"/>
      <w:marRight w:val="0"/>
      <w:marTop w:val="0"/>
      <w:marBottom w:val="0"/>
      <w:divBdr>
        <w:top w:val="none" w:sz="0" w:space="0" w:color="auto"/>
        <w:left w:val="none" w:sz="0" w:space="0" w:color="auto"/>
        <w:bottom w:val="none" w:sz="0" w:space="0" w:color="auto"/>
        <w:right w:val="none" w:sz="0" w:space="0" w:color="auto"/>
      </w:divBdr>
    </w:div>
    <w:div w:id="921451059">
      <w:bodyDiv w:val="1"/>
      <w:marLeft w:val="0"/>
      <w:marRight w:val="0"/>
      <w:marTop w:val="0"/>
      <w:marBottom w:val="0"/>
      <w:divBdr>
        <w:top w:val="none" w:sz="0" w:space="0" w:color="auto"/>
        <w:left w:val="none" w:sz="0" w:space="0" w:color="auto"/>
        <w:bottom w:val="none" w:sz="0" w:space="0" w:color="auto"/>
        <w:right w:val="none" w:sz="0" w:space="0" w:color="auto"/>
      </w:divBdr>
    </w:div>
    <w:div w:id="926117345">
      <w:bodyDiv w:val="1"/>
      <w:marLeft w:val="0"/>
      <w:marRight w:val="0"/>
      <w:marTop w:val="0"/>
      <w:marBottom w:val="0"/>
      <w:divBdr>
        <w:top w:val="none" w:sz="0" w:space="0" w:color="auto"/>
        <w:left w:val="none" w:sz="0" w:space="0" w:color="auto"/>
        <w:bottom w:val="none" w:sz="0" w:space="0" w:color="auto"/>
        <w:right w:val="none" w:sz="0" w:space="0" w:color="auto"/>
      </w:divBdr>
    </w:div>
    <w:div w:id="929850969">
      <w:bodyDiv w:val="1"/>
      <w:marLeft w:val="0"/>
      <w:marRight w:val="0"/>
      <w:marTop w:val="0"/>
      <w:marBottom w:val="0"/>
      <w:divBdr>
        <w:top w:val="none" w:sz="0" w:space="0" w:color="auto"/>
        <w:left w:val="none" w:sz="0" w:space="0" w:color="auto"/>
        <w:bottom w:val="none" w:sz="0" w:space="0" w:color="auto"/>
        <w:right w:val="none" w:sz="0" w:space="0" w:color="auto"/>
      </w:divBdr>
    </w:div>
    <w:div w:id="933897191">
      <w:bodyDiv w:val="1"/>
      <w:marLeft w:val="0"/>
      <w:marRight w:val="0"/>
      <w:marTop w:val="0"/>
      <w:marBottom w:val="0"/>
      <w:divBdr>
        <w:top w:val="none" w:sz="0" w:space="0" w:color="auto"/>
        <w:left w:val="none" w:sz="0" w:space="0" w:color="auto"/>
        <w:bottom w:val="none" w:sz="0" w:space="0" w:color="auto"/>
        <w:right w:val="none" w:sz="0" w:space="0" w:color="auto"/>
      </w:divBdr>
    </w:div>
    <w:div w:id="946693541">
      <w:bodyDiv w:val="1"/>
      <w:marLeft w:val="0"/>
      <w:marRight w:val="0"/>
      <w:marTop w:val="0"/>
      <w:marBottom w:val="0"/>
      <w:divBdr>
        <w:top w:val="none" w:sz="0" w:space="0" w:color="auto"/>
        <w:left w:val="none" w:sz="0" w:space="0" w:color="auto"/>
        <w:bottom w:val="none" w:sz="0" w:space="0" w:color="auto"/>
        <w:right w:val="none" w:sz="0" w:space="0" w:color="auto"/>
      </w:divBdr>
    </w:div>
    <w:div w:id="952632224">
      <w:bodyDiv w:val="1"/>
      <w:marLeft w:val="0"/>
      <w:marRight w:val="0"/>
      <w:marTop w:val="0"/>
      <w:marBottom w:val="0"/>
      <w:divBdr>
        <w:top w:val="none" w:sz="0" w:space="0" w:color="auto"/>
        <w:left w:val="none" w:sz="0" w:space="0" w:color="auto"/>
        <w:bottom w:val="none" w:sz="0" w:space="0" w:color="auto"/>
        <w:right w:val="none" w:sz="0" w:space="0" w:color="auto"/>
      </w:divBdr>
    </w:div>
    <w:div w:id="961304721">
      <w:bodyDiv w:val="1"/>
      <w:marLeft w:val="0"/>
      <w:marRight w:val="0"/>
      <w:marTop w:val="0"/>
      <w:marBottom w:val="0"/>
      <w:divBdr>
        <w:top w:val="none" w:sz="0" w:space="0" w:color="auto"/>
        <w:left w:val="none" w:sz="0" w:space="0" w:color="auto"/>
        <w:bottom w:val="none" w:sz="0" w:space="0" w:color="auto"/>
        <w:right w:val="none" w:sz="0" w:space="0" w:color="auto"/>
      </w:divBdr>
    </w:div>
    <w:div w:id="961691741">
      <w:bodyDiv w:val="1"/>
      <w:marLeft w:val="0"/>
      <w:marRight w:val="0"/>
      <w:marTop w:val="0"/>
      <w:marBottom w:val="0"/>
      <w:divBdr>
        <w:top w:val="none" w:sz="0" w:space="0" w:color="auto"/>
        <w:left w:val="none" w:sz="0" w:space="0" w:color="auto"/>
        <w:bottom w:val="none" w:sz="0" w:space="0" w:color="auto"/>
        <w:right w:val="none" w:sz="0" w:space="0" w:color="auto"/>
      </w:divBdr>
    </w:div>
    <w:div w:id="962343695">
      <w:bodyDiv w:val="1"/>
      <w:marLeft w:val="0"/>
      <w:marRight w:val="0"/>
      <w:marTop w:val="0"/>
      <w:marBottom w:val="0"/>
      <w:divBdr>
        <w:top w:val="none" w:sz="0" w:space="0" w:color="auto"/>
        <w:left w:val="none" w:sz="0" w:space="0" w:color="auto"/>
        <w:bottom w:val="none" w:sz="0" w:space="0" w:color="auto"/>
        <w:right w:val="none" w:sz="0" w:space="0" w:color="auto"/>
      </w:divBdr>
    </w:div>
    <w:div w:id="967319884">
      <w:bodyDiv w:val="1"/>
      <w:marLeft w:val="0"/>
      <w:marRight w:val="0"/>
      <w:marTop w:val="0"/>
      <w:marBottom w:val="0"/>
      <w:divBdr>
        <w:top w:val="none" w:sz="0" w:space="0" w:color="auto"/>
        <w:left w:val="none" w:sz="0" w:space="0" w:color="auto"/>
        <w:bottom w:val="none" w:sz="0" w:space="0" w:color="auto"/>
        <w:right w:val="none" w:sz="0" w:space="0" w:color="auto"/>
      </w:divBdr>
    </w:div>
    <w:div w:id="986474015">
      <w:bodyDiv w:val="1"/>
      <w:marLeft w:val="0"/>
      <w:marRight w:val="0"/>
      <w:marTop w:val="0"/>
      <w:marBottom w:val="0"/>
      <w:divBdr>
        <w:top w:val="none" w:sz="0" w:space="0" w:color="auto"/>
        <w:left w:val="none" w:sz="0" w:space="0" w:color="auto"/>
        <w:bottom w:val="none" w:sz="0" w:space="0" w:color="auto"/>
        <w:right w:val="none" w:sz="0" w:space="0" w:color="auto"/>
      </w:divBdr>
    </w:div>
    <w:div w:id="991835645">
      <w:bodyDiv w:val="1"/>
      <w:marLeft w:val="0"/>
      <w:marRight w:val="0"/>
      <w:marTop w:val="0"/>
      <w:marBottom w:val="0"/>
      <w:divBdr>
        <w:top w:val="none" w:sz="0" w:space="0" w:color="auto"/>
        <w:left w:val="none" w:sz="0" w:space="0" w:color="auto"/>
        <w:bottom w:val="none" w:sz="0" w:space="0" w:color="auto"/>
        <w:right w:val="none" w:sz="0" w:space="0" w:color="auto"/>
      </w:divBdr>
    </w:div>
    <w:div w:id="1010332248">
      <w:bodyDiv w:val="1"/>
      <w:marLeft w:val="0"/>
      <w:marRight w:val="0"/>
      <w:marTop w:val="0"/>
      <w:marBottom w:val="0"/>
      <w:divBdr>
        <w:top w:val="none" w:sz="0" w:space="0" w:color="auto"/>
        <w:left w:val="none" w:sz="0" w:space="0" w:color="auto"/>
        <w:bottom w:val="none" w:sz="0" w:space="0" w:color="auto"/>
        <w:right w:val="none" w:sz="0" w:space="0" w:color="auto"/>
      </w:divBdr>
      <w:divsChild>
        <w:div w:id="1657804481">
          <w:marLeft w:val="547"/>
          <w:marRight w:val="0"/>
          <w:marTop w:val="48"/>
          <w:marBottom w:val="0"/>
          <w:divBdr>
            <w:top w:val="none" w:sz="0" w:space="0" w:color="auto"/>
            <w:left w:val="none" w:sz="0" w:space="0" w:color="auto"/>
            <w:bottom w:val="none" w:sz="0" w:space="0" w:color="auto"/>
            <w:right w:val="none" w:sz="0" w:space="0" w:color="auto"/>
          </w:divBdr>
        </w:div>
        <w:div w:id="2087728602">
          <w:marLeft w:val="547"/>
          <w:marRight w:val="0"/>
          <w:marTop w:val="48"/>
          <w:marBottom w:val="0"/>
          <w:divBdr>
            <w:top w:val="none" w:sz="0" w:space="0" w:color="auto"/>
            <w:left w:val="none" w:sz="0" w:space="0" w:color="auto"/>
            <w:bottom w:val="none" w:sz="0" w:space="0" w:color="auto"/>
            <w:right w:val="none" w:sz="0" w:space="0" w:color="auto"/>
          </w:divBdr>
        </w:div>
        <w:div w:id="1382052233">
          <w:marLeft w:val="547"/>
          <w:marRight w:val="0"/>
          <w:marTop w:val="48"/>
          <w:marBottom w:val="0"/>
          <w:divBdr>
            <w:top w:val="none" w:sz="0" w:space="0" w:color="auto"/>
            <w:left w:val="none" w:sz="0" w:space="0" w:color="auto"/>
            <w:bottom w:val="none" w:sz="0" w:space="0" w:color="auto"/>
            <w:right w:val="none" w:sz="0" w:space="0" w:color="auto"/>
          </w:divBdr>
        </w:div>
        <w:div w:id="1974865421">
          <w:marLeft w:val="547"/>
          <w:marRight w:val="0"/>
          <w:marTop w:val="48"/>
          <w:marBottom w:val="0"/>
          <w:divBdr>
            <w:top w:val="none" w:sz="0" w:space="0" w:color="auto"/>
            <w:left w:val="none" w:sz="0" w:space="0" w:color="auto"/>
            <w:bottom w:val="none" w:sz="0" w:space="0" w:color="auto"/>
            <w:right w:val="none" w:sz="0" w:space="0" w:color="auto"/>
          </w:divBdr>
        </w:div>
        <w:div w:id="834229572">
          <w:marLeft w:val="547"/>
          <w:marRight w:val="0"/>
          <w:marTop w:val="48"/>
          <w:marBottom w:val="0"/>
          <w:divBdr>
            <w:top w:val="none" w:sz="0" w:space="0" w:color="auto"/>
            <w:left w:val="none" w:sz="0" w:space="0" w:color="auto"/>
            <w:bottom w:val="none" w:sz="0" w:space="0" w:color="auto"/>
            <w:right w:val="none" w:sz="0" w:space="0" w:color="auto"/>
          </w:divBdr>
        </w:div>
      </w:divsChild>
    </w:div>
    <w:div w:id="1012031629">
      <w:bodyDiv w:val="1"/>
      <w:marLeft w:val="0"/>
      <w:marRight w:val="0"/>
      <w:marTop w:val="0"/>
      <w:marBottom w:val="0"/>
      <w:divBdr>
        <w:top w:val="none" w:sz="0" w:space="0" w:color="auto"/>
        <w:left w:val="none" w:sz="0" w:space="0" w:color="auto"/>
        <w:bottom w:val="none" w:sz="0" w:space="0" w:color="auto"/>
        <w:right w:val="none" w:sz="0" w:space="0" w:color="auto"/>
      </w:divBdr>
    </w:div>
    <w:div w:id="1025402528">
      <w:bodyDiv w:val="1"/>
      <w:marLeft w:val="0"/>
      <w:marRight w:val="0"/>
      <w:marTop w:val="0"/>
      <w:marBottom w:val="0"/>
      <w:divBdr>
        <w:top w:val="none" w:sz="0" w:space="0" w:color="auto"/>
        <w:left w:val="none" w:sz="0" w:space="0" w:color="auto"/>
        <w:bottom w:val="none" w:sz="0" w:space="0" w:color="auto"/>
        <w:right w:val="none" w:sz="0" w:space="0" w:color="auto"/>
      </w:divBdr>
    </w:div>
    <w:div w:id="1037240397">
      <w:bodyDiv w:val="1"/>
      <w:marLeft w:val="0"/>
      <w:marRight w:val="0"/>
      <w:marTop w:val="0"/>
      <w:marBottom w:val="0"/>
      <w:divBdr>
        <w:top w:val="none" w:sz="0" w:space="0" w:color="auto"/>
        <w:left w:val="none" w:sz="0" w:space="0" w:color="auto"/>
        <w:bottom w:val="none" w:sz="0" w:space="0" w:color="auto"/>
        <w:right w:val="none" w:sz="0" w:space="0" w:color="auto"/>
      </w:divBdr>
    </w:div>
    <w:div w:id="1043792244">
      <w:bodyDiv w:val="1"/>
      <w:marLeft w:val="0"/>
      <w:marRight w:val="0"/>
      <w:marTop w:val="0"/>
      <w:marBottom w:val="0"/>
      <w:divBdr>
        <w:top w:val="none" w:sz="0" w:space="0" w:color="auto"/>
        <w:left w:val="none" w:sz="0" w:space="0" w:color="auto"/>
        <w:bottom w:val="none" w:sz="0" w:space="0" w:color="auto"/>
        <w:right w:val="none" w:sz="0" w:space="0" w:color="auto"/>
      </w:divBdr>
    </w:div>
    <w:div w:id="1050229090">
      <w:bodyDiv w:val="1"/>
      <w:marLeft w:val="0"/>
      <w:marRight w:val="0"/>
      <w:marTop w:val="0"/>
      <w:marBottom w:val="0"/>
      <w:divBdr>
        <w:top w:val="none" w:sz="0" w:space="0" w:color="auto"/>
        <w:left w:val="none" w:sz="0" w:space="0" w:color="auto"/>
        <w:bottom w:val="none" w:sz="0" w:space="0" w:color="auto"/>
        <w:right w:val="none" w:sz="0" w:space="0" w:color="auto"/>
      </w:divBdr>
    </w:div>
    <w:div w:id="1058553895">
      <w:bodyDiv w:val="1"/>
      <w:marLeft w:val="0"/>
      <w:marRight w:val="0"/>
      <w:marTop w:val="0"/>
      <w:marBottom w:val="0"/>
      <w:divBdr>
        <w:top w:val="none" w:sz="0" w:space="0" w:color="auto"/>
        <w:left w:val="none" w:sz="0" w:space="0" w:color="auto"/>
        <w:bottom w:val="none" w:sz="0" w:space="0" w:color="auto"/>
        <w:right w:val="none" w:sz="0" w:space="0" w:color="auto"/>
      </w:divBdr>
    </w:div>
    <w:div w:id="1062485406">
      <w:bodyDiv w:val="1"/>
      <w:marLeft w:val="0"/>
      <w:marRight w:val="0"/>
      <w:marTop w:val="0"/>
      <w:marBottom w:val="0"/>
      <w:divBdr>
        <w:top w:val="none" w:sz="0" w:space="0" w:color="auto"/>
        <w:left w:val="none" w:sz="0" w:space="0" w:color="auto"/>
        <w:bottom w:val="none" w:sz="0" w:space="0" w:color="auto"/>
        <w:right w:val="none" w:sz="0" w:space="0" w:color="auto"/>
      </w:divBdr>
    </w:div>
    <w:div w:id="1062750272">
      <w:bodyDiv w:val="1"/>
      <w:marLeft w:val="0"/>
      <w:marRight w:val="0"/>
      <w:marTop w:val="0"/>
      <w:marBottom w:val="0"/>
      <w:divBdr>
        <w:top w:val="none" w:sz="0" w:space="0" w:color="auto"/>
        <w:left w:val="none" w:sz="0" w:space="0" w:color="auto"/>
        <w:bottom w:val="none" w:sz="0" w:space="0" w:color="auto"/>
        <w:right w:val="none" w:sz="0" w:space="0" w:color="auto"/>
      </w:divBdr>
    </w:div>
    <w:div w:id="1064717299">
      <w:bodyDiv w:val="1"/>
      <w:marLeft w:val="0"/>
      <w:marRight w:val="0"/>
      <w:marTop w:val="0"/>
      <w:marBottom w:val="0"/>
      <w:divBdr>
        <w:top w:val="none" w:sz="0" w:space="0" w:color="auto"/>
        <w:left w:val="none" w:sz="0" w:space="0" w:color="auto"/>
        <w:bottom w:val="none" w:sz="0" w:space="0" w:color="auto"/>
        <w:right w:val="none" w:sz="0" w:space="0" w:color="auto"/>
      </w:divBdr>
      <w:divsChild>
        <w:div w:id="2061515511">
          <w:marLeft w:val="446"/>
          <w:marRight w:val="0"/>
          <w:marTop w:val="0"/>
          <w:marBottom w:val="0"/>
          <w:divBdr>
            <w:top w:val="none" w:sz="0" w:space="0" w:color="auto"/>
            <w:left w:val="none" w:sz="0" w:space="0" w:color="auto"/>
            <w:bottom w:val="none" w:sz="0" w:space="0" w:color="auto"/>
            <w:right w:val="none" w:sz="0" w:space="0" w:color="auto"/>
          </w:divBdr>
        </w:div>
        <w:div w:id="188686327">
          <w:marLeft w:val="446"/>
          <w:marRight w:val="0"/>
          <w:marTop w:val="0"/>
          <w:marBottom w:val="0"/>
          <w:divBdr>
            <w:top w:val="none" w:sz="0" w:space="0" w:color="auto"/>
            <w:left w:val="none" w:sz="0" w:space="0" w:color="auto"/>
            <w:bottom w:val="none" w:sz="0" w:space="0" w:color="auto"/>
            <w:right w:val="none" w:sz="0" w:space="0" w:color="auto"/>
          </w:divBdr>
        </w:div>
        <w:div w:id="1362777490">
          <w:marLeft w:val="446"/>
          <w:marRight w:val="0"/>
          <w:marTop w:val="0"/>
          <w:marBottom w:val="0"/>
          <w:divBdr>
            <w:top w:val="none" w:sz="0" w:space="0" w:color="auto"/>
            <w:left w:val="none" w:sz="0" w:space="0" w:color="auto"/>
            <w:bottom w:val="none" w:sz="0" w:space="0" w:color="auto"/>
            <w:right w:val="none" w:sz="0" w:space="0" w:color="auto"/>
          </w:divBdr>
        </w:div>
        <w:div w:id="1579710793">
          <w:marLeft w:val="446"/>
          <w:marRight w:val="0"/>
          <w:marTop w:val="0"/>
          <w:marBottom w:val="0"/>
          <w:divBdr>
            <w:top w:val="none" w:sz="0" w:space="0" w:color="auto"/>
            <w:left w:val="none" w:sz="0" w:space="0" w:color="auto"/>
            <w:bottom w:val="none" w:sz="0" w:space="0" w:color="auto"/>
            <w:right w:val="none" w:sz="0" w:space="0" w:color="auto"/>
          </w:divBdr>
        </w:div>
        <w:div w:id="345182038">
          <w:marLeft w:val="446"/>
          <w:marRight w:val="0"/>
          <w:marTop w:val="0"/>
          <w:marBottom w:val="0"/>
          <w:divBdr>
            <w:top w:val="none" w:sz="0" w:space="0" w:color="auto"/>
            <w:left w:val="none" w:sz="0" w:space="0" w:color="auto"/>
            <w:bottom w:val="none" w:sz="0" w:space="0" w:color="auto"/>
            <w:right w:val="none" w:sz="0" w:space="0" w:color="auto"/>
          </w:divBdr>
        </w:div>
        <w:div w:id="1285504748">
          <w:marLeft w:val="446"/>
          <w:marRight w:val="0"/>
          <w:marTop w:val="0"/>
          <w:marBottom w:val="0"/>
          <w:divBdr>
            <w:top w:val="none" w:sz="0" w:space="0" w:color="auto"/>
            <w:left w:val="none" w:sz="0" w:space="0" w:color="auto"/>
            <w:bottom w:val="none" w:sz="0" w:space="0" w:color="auto"/>
            <w:right w:val="none" w:sz="0" w:space="0" w:color="auto"/>
          </w:divBdr>
        </w:div>
        <w:div w:id="1262643542">
          <w:marLeft w:val="446"/>
          <w:marRight w:val="0"/>
          <w:marTop w:val="0"/>
          <w:marBottom w:val="0"/>
          <w:divBdr>
            <w:top w:val="none" w:sz="0" w:space="0" w:color="auto"/>
            <w:left w:val="none" w:sz="0" w:space="0" w:color="auto"/>
            <w:bottom w:val="none" w:sz="0" w:space="0" w:color="auto"/>
            <w:right w:val="none" w:sz="0" w:space="0" w:color="auto"/>
          </w:divBdr>
        </w:div>
        <w:div w:id="2133554425">
          <w:marLeft w:val="446"/>
          <w:marRight w:val="0"/>
          <w:marTop w:val="0"/>
          <w:marBottom w:val="0"/>
          <w:divBdr>
            <w:top w:val="none" w:sz="0" w:space="0" w:color="auto"/>
            <w:left w:val="none" w:sz="0" w:space="0" w:color="auto"/>
            <w:bottom w:val="none" w:sz="0" w:space="0" w:color="auto"/>
            <w:right w:val="none" w:sz="0" w:space="0" w:color="auto"/>
          </w:divBdr>
        </w:div>
      </w:divsChild>
    </w:div>
    <w:div w:id="1070544348">
      <w:bodyDiv w:val="1"/>
      <w:marLeft w:val="0"/>
      <w:marRight w:val="0"/>
      <w:marTop w:val="0"/>
      <w:marBottom w:val="0"/>
      <w:divBdr>
        <w:top w:val="none" w:sz="0" w:space="0" w:color="auto"/>
        <w:left w:val="none" w:sz="0" w:space="0" w:color="auto"/>
        <w:bottom w:val="none" w:sz="0" w:space="0" w:color="auto"/>
        <w:right w:val="none" w:sz="0" w:space="0" w:color="auto"/>
      </w:divBdr>
    </w:div>
    <w:div w:id="1072048753">
      <w:bodyDiv w:val="1"/>
      <w:marLeft w:val="0"/>
      <w:marRight w:val="0"/>
      <w:marTop w:val="0"/>
      <w:marBottom w:val="0"/>
      <w:divBdr>
        <w:top w:val="none" w:sz="0" w:space="0" w:color="auto"/>
        <w:left w:val="none" w:sz="0" w:space="0" w:color="auto"/>
        <w:bottom w:val="none" w:sz="0" w:space="0" w:color="auto"/>
        <w:right w:val="none" w:sz="0" w:space="0" w:color="auto"/>
      </w:divBdr>
    </w:div>
    <w:div w:id="1078021918">
      <w:bodyDiv w:val="1"/>
      <w:marLeft w:val="0"/>
      <w:marRight w:val="0"/>
      <w:marTop w:val="0"/>
      <w:marBottom w:val="0"/>
      <w:divBdr>
        <w:top w:val="none" w:sz="0" w:space="0" w:color="auto"/>
        <w:left w:val="none" w:sz="0" w:space="0" w:color="auto"/>
        <w:bottom w:val="none" w:sz="0" w:space="0" w:color="auto"/>
        <w:right w:val="none" w:sz="0" w:space="0" w:color="auto"/>
      </w:divBdr>
    </w:div>
    <w:div w:id="1080951580">
      <w:bodyDiv w:val="1"/>
      <w:marLeft w:val="0"/>
      <w:marRight w:val="0"/>
      <w:marTop w:val="0"/>
      <w:marBottom w:val="0"/>
      <w:divBdr>
        <w:top w:val="none" w:sz="0" w:space="0" w:color="auto"/>
        <w:left w:val="none" w:sz="0" w:space="0" w:color="auto"/>
        <w:bottom w:val="none" w:sz="0" w:space="0" w:color="auto"/>
        <w:right w:val="none" w:sz="0" w:space="0" w:color="auto"/>
      </w:divBdr>
    </w:div>
    <w:div w:id="1082144351">
      <w:bodyDiv w:val="1"/>
      <w:marLeft w:val="0"/>
      <w:marRight w:val="0"/>
      <w:marTop w:val="0"/>
      <w:marBottom w:val="0"/>
      <w:divBdr>
        <w:top w:val="none" w:sz="0" w:space="0" w:color="auto"/>
        <w:left w:val="none" w:sz="0" w:space="0" w:color="auto"/>
        <w:bottom w:val="none" w:sz="0" w:space="0" w:color="auto"/>
        <w:right w:val="none" w:sz="0" w:space="0" w:color="auto"/>
      </w:divBdr>
    </w:div>
    <w:div w:id="1082801692">
      <w:bodyDiv w:val="1"/>
      <w:marLeft w:val="0"/>
      <w:marRight w:val="0"/>
      <w:marTop w:val="0"/>
      <w:marBottom w:val="0"/>
      <w:divBdr>
        <w:top w:val="none" w:sz="0" w:space="0" w:color="auto"/>
        <w:left w:val="none" w:sz="0" w:space="0" w:color="auto"/>
        <w:bottom w:val="none" w:sz="0" w:space="0" w:color="auto"/>
        <w:right w:val="none" w:sz="0" w:space="0" w:color="auto"/>
      </w:divBdr>
    </w:div>
    <w:div w:id="1104572785">
      <w:bodyDiv w:val="1"/>
      <w:marLeft w:val="0"/>
      <w:marRight w:val="0"/>
      <w:marTop w:val="0"/>
      <w:marBottom w:val="0"/>
      <w:divBdr>
        <w:top w:val="none" w:sz="0" w:space="0" w:color="auto"/>
        <w:left w:val="none" w:sz="0" w:space="0" w:color="auto"/>
        <w:bottom w:val="none" w:sz="0" w:space="0" w:color="auto"/>
        <w:right w:val="none" w:sz="0" w:space="0" w:color="auto"/>
      </w:divBdr>
    </w:div>
    <w:div w:id="1104688400">
      <w:bodyDiv w:val="1"/>
      <w:marLeft w:val="0"/>
      <w:marRight w:val="0"/>
      <w:marTop w:val="0"/>
      <w:marBottom w:val="0"/>
      <w:divBdr>
        <w:top w:val="none" w:sz="0" w:space="0" w:color="auto"/>
        <w:left w:val="none" w:sz="0" w:space="0" w:color="auto"/>
        <w:bottom w:val="none" w:sz="0" w:space="0" w:color="auto"/>
        <w:right w:val="none" w:sz="0" w:space="0" w:color="auto"/>
      </w:divBdr>
    </w:div>
    <w:div w:id="1108431515">
      <w:bodyDiv w:val="1"/>
      <w:marLeft w:val="0"/>
      <w:marRight w:val="0"/>
      <w:marTop w:val="0"/>
      <w:marBottom w:val="0"/>
      <w:divBdr>
        <w:top w:val="none" w:sz="0" w:space="0" w:color="auto"/>
        <w:left w:val="none" w:sz="0" w:space="0" w:color="auto"/>
        <w:bottom w:val="none" w:sz="0" w:space="0" w:color="auto"/>
        <w:right w:val="none" w:sz="0" w:space="0" w:color="auto"/>
      </w:divBdr>
    </w:div>
    <w:div w:id="1125081124">
      <w:bodyDiv w:val="1"/>
      <w:marLeft w:val="0"/>
      <w:marRight w:val="0"/>
      <w:marTop w:val="0"/>
      <w:marBottom w:val="0"/>
      <w:divBdr>
        <w:top w:val="none" w:sz="0" w:space="0" w:color="auto"/>
        <w:left w:val="none" w:sz="0" w:space="0" w:color="auto"/>
        <w:bottom w:val="none" w:sz="0" w:space="0" w:color="auto"/>
        <w:right w:val="none" w:sz="0" w:space="0" w:color="auto"/>
      </w:divBdr>
    </w:div>
    <w:div w:id="1130130858">
      <w:bodyDiv w:val="1"/>
      <w:marLeft w:val="0"/>
      <w:marRight w:val="0"/>
      <w:marTop w:val="0"/>
      <w:marBottom w:val="0"/>
      <w:divBdr>
        <w:top w:val="none" w:sz="0" w:space="0" w:color="auto"/>
        <w:left w:val="none" w:sz="0" w:space="0" w:color="auto"/>
        <w:bottom w:val="none" w:sz="0" w:space="0" w:color="auto"/>
        <w:right w:val="none" w:sz="0" w:space="0" w:color="auto"/>
      </w:divBdr>
    </w:div>
    <w:div w:id="1130247937">
      <w:bodyDiv w:val="1"/>
      <w:marLeft w:val="0"/>
      <w:marRight w:val="0"/>
      <w:marTop w:val="0"/>
      <w:marBottom w:val="0"/>
      <w:divBdr>
        <w:top w:val="none" w:sz="0" w:space="0" w:color="auto"/>
        <w:left w:val="none" w:sz="0" w:space="0" w:color="auto"/>
        <w:bottom w:val="none" w:sz="0" w:space="0" w:color="auto"/>
        <w:right w:val="none" w:sz="0" w:space="0" w:color="auto"/>
      </w:divBdr>
    </w:div>
    <w:div w:id="1145006006">
      <w:bodyDiv w:val="1"/>
      <w:marLeft w:val="0"/>
      <w:marRight w:val="0"/>
      <w:marTop w:val="0"/>
      <w:marBottom w:val="0"/>
      <w:divBdr>
        <w:top w:val="none" w:sz="0" w:space="0" w:color="auto"/>
        <w:left w:val="none" w:sz="0" w:space="0" w:color="auto"/>
        <w:bottom w:val="none" w:sz="0" w:space="0" w:color="auto"/>
        <w:right w:val="none" w:sz="0" w:space="0" w:color="auto"/>
      </w:divBdr>
    </w:div>
    <w:div w:id="1151412764">
      <w:bodyDiv w:val="1"/>
      <w:marLeft w:val="0"/>
      <w:marRight w:val="0"/>
      <w:marTop w:val="0"/>
      <w:marBottom w:val="0"/>
      <w:divBdr>
        <w:top w:val="none" w:sz="0" w:space="0" w:color="auto"/>
        <w:left w:val="none" w:sz="0" w:space="0" w:color="auto"/>
        <w:bottom w:val="none" w:sz="0" w:space="0" w:color="auto"/>
        <w:right w:val="none" w:sz="0" w:space="0" w:color="auto"/>
      </w:divBdr>
    </w:div>
    <w:div w:id="1157189568">
      <w:bodyDiv w:val="1"/>
      <w:marLeft w:val="0"/>
      <w:marRight w:val="0"/>
      <w:marTop w:val="0"/>
      <w:marBottom w:val="0"/>
      <w:divBdr>
        <w:top w:val="none" w:sz="0" w:space="0" w:color="auto"/>
        <w:left w:val="none" w:sz="0" w:space="0" w:color="auto"/>
        <w:bottom w:val="none" w:sz="0" w:space="0" w:color="auto"/>
        <w:right w:val="none" w:sz="0" w:space="0" w:color="auto"/>
      </w:divBdr>
    </w:div>
    <w:div w:id="1157964015">
      <w:bodyDiv w:val="1"/>
      <w:marLeft w:val="0"/>
      <w:marRight w:val="0"/>
      <w:marTop w:val="0"/>
      <w:marBottom w:val="0"/>
      <w:divBdr>
        <w:top w:val="none" w:sz="0" w:space="0" w:color="auto"/>
        <w:left w:val="none" w:sz="0" w:space="0" w:color="auto"/>
        <w:bottom w:val="none" w:sz="0" w:space="0" w:color="auto"/>
        <w:right w:val="none" w:sz="0" w:space="0" w:color="auto"/>
      </w:divBdr>
    </w:div>
    <w:div w:id="1166094114">
      <w:bodyDiv w:val="1"/>
      <w:marLeft w:val="0"/>
      <w:marRight w:val="0"/>
      <w:marTop w:val="0"/>
      <w:marBottom w:val="0"/>
      <w:divBdr>
        <w:top w:val="none" w:sz="0" w:space="0" w:color="auto"/>
        <w:left w:val="none" w:sz="0" w:space="0" w:color="auto"/>
        <w:bottom w:val="none" w:sz="0" w:space="0" w:color="auto"/>
        <w:right w:val="none" w:sz="0" w:space="0" w:color="auto"/>
      </w:divBdr>
    </w:div>
    <w:div w:id="1183472481">
      <w:bodyDiv w:val="1"/>
      <w:marLeft w:val="0"/>
      <w:marRight w:val="0"/>
      <w:marTop w:val="0"/>
      <w:marBottom w:val="0"/>
      <w:divBdr>
        <w:top w:val="none" w:sz="0" w:space="0" w:color="auto"/>
        <w:left w:val="none" w:sz="0" w:space="0" w:color="auto"/>
        <w:bottom w:val="none" w:sz="0" w:space="0" w:color="auto"/>
        <w:right w:val="none" w:sz="0" w:space="0" w:color="auto"/>
      </w:divBdr>
    </w:div>
    <w:div w:id="1185703363">
      <w:bodyDiv w:val="1"/>
      <w:marLeft w:val="0"/>
      <w:marRight w:val="0"/>
      <w:marTop w:val="0"/>
      <w:marBottom w:val="0"/>
      <w:divBdr>
        <w:top w:val="none" w:sz="0" w:space="0" w:color="auto"/>
        <w:left w:val="none" w:sz="0" w:space="0" w:color="auto"/>
        <w:bottom w:val="none" w:sz="0" w:space="0" w:color="auto"/>
        <w:right w:val="none" w:sz="0" w:space="0" w:color="auto"/>
      </w:divBdr>
    </w:div>
    <w:div w:id="1207717655">
      <w:bodyDiv w:val="1"/>
      <w:marLeft w:val="0"/>
      <w:marRight w:val="0"/>
      <w:marTop w:val="0"/>
      <w:marBottom w:val="0"/>
      <w:divBdr>
        <w:top w:val="none" w:sz="0" w:space="0" w:color="auto"/>
        <w:left w:val="none" w:sz="0" w:space="0" w:color="auto"/>
        <w:bottom w:val="none" w:sz="0" w:space="0" w:color="auto"/>
        <w:right w:val="none" w:sz="0" w:space="0" w:color="auto"/>
      </w:divBdr>
    </w:div>
    <w:div w:id="1231424919">
      <w:bodyDiv w:val="1"/>
      <w:marLeft w:val="0"/>
      <w:marRight w:val="0"/>
      <w:marTop w:val="0"/>
      <w:marBottom w:val="0"/>
      <w:divBdr>
        <w:top w:val="none" w:sz="0" w:space="0" w:color="auto"/>
        <w:left w:val="none" w:sz="0" w:space="0" w:color="auto"/>
        <w:bottom w:val="none" w:sz="0" w:space="0" w:color="auto"/>
        <w:right w:val="none" w:sz="0" w:space="0" w:color="auto"/>
      </w:divBdr>
    </w:div>
    <w:div w:id="1231889835">
      <w:bodyDiv w:val="1"/>
      <w:marLeft w:val="0"/>
      <w:marRight w:val="0"/>
      <w:marTop w:val="0"/>
      <w:marBottom w:val="0"/>
      <w:divBdr>
        <w:top w:val="none" w:sz="0" w:space="0" w:color="auto"/>
        <w:left w:val="none" w:sz="0" w:space="0" w:color="auto"/>
        <w:bottom w:val="none" w:sz="0" w:space="0" w:color="auto"/>
        <w:right w:val="none" w:sz="0" w:space="0" w:color="auto"/>
      </w:divBdr>
    </w:div>
    <w:div w:id="1249196111">
      <w:bodyDiv w:val="1"/>
      <w:marLeft w:val="0"/>
      <w:marRight w:val="0"/>
      <w:marTop w:val="0"/>
      <w:marBottom w:val="0"/>
      <w:divBdr>
        <w:top w:val="none" w:sz="0" w:space="0" w:color="auto"/>
        <w:left w:val="none" w:sz="0" w:space="0" w:color="auto"/>
        <w:bottom w:val="none" w:sz="0" w:space="0" w:color="auto"/>
        <w:right w:val="none" w:sz="0" w:space="0" w:color="auto"/>
      </w:divBdr>
    </w:div>
    <w:div w:id="1249272150">
      <w:bodyDiv w:val="1"/>
      <w:marLeft w:val="0"/>
      <w:marRight w:val="0"/>
      <w:marTop w:val="0"/>
      <w:marBottom w:val="0"/>
      <w:divBdr>
        <w:top w:val="none" w:sz="0" w:space="0" w:color="auto"/>
        <w:left w:val="none" w:sz="0" w:space="0" w:color="auto"/>
        <w:bottom w:val="none" w:sz="0" w:space="0" w:color="auto"/>
        <w:right w:val="none" w:sz="0" w:space="0" w:color="auto"/>
      </w:divBdr>
    </w:div>
    <w:div w:id="1256792283">
      <w:bodyDiv w:val="1"/>
      <w:marLeft w:val="0"/>
      <w:marRight w:val="0"/>
      <w:marTop w:val="0"/>
      <w:marBottom w:val="0"/>
      <w:divBdr>
        <w:top w:val="none" w:sz="0" w:space="0" w:color="auto"/>
        <w:left w:val="none" w:sz="0" w:space="0" w:color="auto"/>
        <w:bottom w:val="none" w:sz="0" w:space="0" w:color="auto"/>
        <w:right w:val="none" w:sz="0" w:space="0" w:color="auto"/>
      </w:divBdr>
    </w:div>
    <w:div w:id="1258446901">
      <w:bodyDiv w:val="1"/>
      <w:marLeft w:val="0"/>
      <w:marRight w:val="0"/>
      <w:marTop w:val="0"/>
      <w:marBottom w:val="0"/>
      <w:divBdr>
        <w:top w:val="none" w:sz="0" w:space="0" w:color="auto"/>
        <w:left w:val="none" w:sz="0" w:space="0" w:color="auto"/>
        <w:bottom w:val="none" w:sz="0" w:space="0" w:color="auto"/>
        <w:right w:val="none" w:sz="0" w:space="0" w:color="auto"/>
      </w:divBdr>
    </w:div>
    <w:div w:id="1262110374">
      <w:bodyDiv w:val="1"/>
      <w:marLeft w:val="0"/>
      <w:marRight w:val="0"/>
      <w:marTop w:val="0"/>
      <w:marBottom w:val="0"/>
      <w:divBdr>
        <w:top w:val="none" w:sz="0" w:space="0" w:color="auto"/>
        <w:left w:val="none" w:sz="0" w:space="0" w:color="auto"/>
        <w:bottom w:val="none" w:sz="0" w:space="0" w:color="auto"/>
        <w:right w:val="none" w:sz="0" w:space="0" w:color="auto"/>
      </w:divBdr>
    </w:div>
    <w:div w:id="1268384961">
      <w:bodyDiv w:val="1"/>
      <w:marLeft w:val="0"/>
      <w:marRight w:val="0"/>
      <w:marTop w:val="0"/>
      <w:marBottom w:val="0"/>
      <w:divBdr>
        <w:top w:val="none" w:sz="0" w:space="0" w:color="auto"/>
        <w:left w:val="none" w:sz="0" w:space="0" w:color="auto"/>
        <w:bottom w:val="none" w:sz="0" w:space="0" w:color="auto"/>
        <w:right w:val="none" w:sz="0" w:space="0" w:color="auto"/>
      </w:divBdr>
    </w:div>
    <w:div w:id="1270506710">
      <w:bodyDiv w:val="1"/>
      <w:marLeft w:val="0"/>
      <w:marRight w:val="0"/>
      <w:marTop w:val="0"/>
      <w:marBottom w:val="0"/>
      <w:divBdr>
        <w:top w:val="none" w:sz="0" w:space="0" w:color="auto"/>
        <w:left w:val="none" w:sz="0" w:space="0" w:color="auto"/>
        <w:bottom w:val="none" w:sz="0" w:space="0" w:color="auto"/>
        <w:right w:val="none" w:sz="0" w:space="0" w:color="auto"/>
      </w:divBdr>
    </w:div>
    <w:div w:id="1274022604">
      <w:bodyDiv w:val="1"/>
      <w:marLeft w:val="0"/>
      <w:marRight w:val="0"/>
      <w:marTop w:val="0"/>
      <w:marBottom w:val="0"/>
      <w:divBdr>
        <w:top w:val="none" w:sz="0" w:space="0" w:color="auto"/>
        <w:left w:val="none" w:sz="0" w:space="0" w:color="auto"/>
        <w:bottom w:val="none" w:sz="0" w:space="0" w:color="auto"/>
        <w:right w:val="none" w:sz="0" w:space="0" w:color="auto"/>
      </w:divBdr>
    </w:div>
    <w:div w:id="1299801997">
      <w:bodyDiv w:val="1"/>
      <w:marLeft w:val="0"/>
      <w:marRight w:val="0"/>
      <w:marTop w:val="0"/>
      <w:marBottom w:val="0"/>
      <w:divBdr>
        <w:top w:val="none" w:sz="0" w:space="0" w:color="auto"/>
        <w:left w:val="none" w:sz="0" w:space="0" w:color="auto"/>
        <w:bottom w:val="none" w:sz="0" w:space="0" w:color="auto"/>
        <w:right w:val="none" w:sz="0" w:space="0" w:color="auto"/>
      </w:divBdr>
    </w:div>
    <w:div w:id="1306200175">
      <w:bodyDiv w:val="1"/>
      <w:marLeft w:val="0"/>
      <w:marRight w:val="0"/>
      <w:marTop w:val="0"/>
      <w:marBottom w:val="0"/>
      <w:divBdr>
        <w:top w:val="none" w:sz="0" w:space="0" w:color="auto"/>
        <w:left w:val="none" w:sz="0" w:space="0" w:color="auto"/>
        <w:bottom w:val="none" w:sz="0" w:space="0" w:color="auto"/>
        <w:right w:val="none" w:sz="0" w:space="0" w:color="auto"/>
      </w:divBdr>
    </w:div>
    <w:div w:id="1306667658">
      <w:bodyDiv w:val="1"/>
      <w:marLeft w:val="0"/>
      <w:marRight w:val="0"/>
      <w:marTop w:val="0"/>
      <w:marBottom w:val="0"/>
      <w:divBdr>
        <w:top w:val="none" w:sz="0" w:space="0" w:color="auto"/>
        <w:left w:val="none" w:sz="0" w:space="0" w:color="auto"/>
        <w:bottom w:val="none" w:sz="0" w:space="0" w:color="auto"/>
        <w:right w:val="none" w:sz="0" w:space="0" w:color="auto"/>
      </w:divBdr>
    </w:div>
    <w:div w:id="1308433455">
      <w:bodyDiv w:val="1"/>
      <w:marLeft w:val="0"/>
      <w:marRight w:val="0"/>
      <w:marTop w:val="0"/>
      <w:marBottom w:val="0"/>
      <w:divBdr>
        <w:top w:val="none" w:sz="0" w:space="0" w:color="auto"/>
        <w:left w:val="none" w:sz="0" w:space="0" w:color="auto"/>
        <w:bottom w:val="none" w:sz="0" w:space="0" w:color="auto"/>
        <w:right w:val="none" w:sz="0" w:space="0" w:color="auto"/>
      </w:divBdr>
    </w:div>
    <w:div w:id="1308784787">
      <w:bodyDiv w:val="1"/>
      <w:marLeft w:val="0"/>
      <w:marRight w:val="0"/>
      <w:marTop w:val="0"/>
      <w:marBottom w:val="0"/>
      <w:divBdr>
        <w:top w:val="none" w:sz="0" w:space="0" w:color="auto"/>
        <w:left w:val="none" w:sz="0" w:space="0" w:color="auto"/>
        <w:bottom w:val="none" w:sz="0" w:space="0" w:color="auto"/>
        <w:right w:val="none" w:sz="0" w:space="0" w:color="auto"/>
      </w:divBdr>
    </w:div>
    <w:div w:id="1312052317">
      <w:bodyDiv w:val="1"/>
      <w:marLeft w:val="0"/>
      <w:marRight w:val="0"/>
      <w:marTop w:val="0"/>
      <w:marBottom w:val="0"/>
      <w:divBdr>
        <w:top w:val="none" w:sz="0" w:space="0" w:color="auto"/>
        <w:left w:val="none" w:sz="0" w:space="0" w:color="auto"/>
        <w:bottom w:val="none" w:sz="0" w:space="0" w:color="auto"/>
        <w:right w:val="none" w:sz="0" w:space="0" w:color="auto"/>
      </w:divBdr>
    </w:div>
    <w:div w:id="1320421209">
      <w:bodyDiv w:val="1"/>
      <w:marLeft w:val="0"/>
      <w:marRight w:val="0"/>
      <w:marTop w:val="0"/>
      <w:marBottom w:val="0"/>
      <w:divBdr>
        <w:top w:val="none" w:sz="0" w:space="0" w:color="auto"/>
        <w:left w:val="none" w:sz="0" w:space="0" w:color="auto"/>
        <w:bottom w:val="none" w:sz="0" w:space="0" w:color="auto"/>
        <w:right w:val="none" w:sz="0" w:space="0" w:color="auto"/>
      </w:divBdr>
    </w:div>
    <w:div w:id="1325166146">
      <w:bodyDiv w:val="1"/>
      <w:marLeft w:val="0"/>
      <w:marRight w:val="0"/>
      <w:marTop w:val="0"/>
      <w:marBottom w:val="0"/>
      <w:divBdr>
        <w:top w:val="none" w:sz="0" w:space="0" w:color="auto"/>
        <w:left w:val="none" w:sz="0" w:space="0" w:color="auto"/>
        <w:bottom w:val="none" w:sz="0" w:space="0" w:color="auto"/>
        <w:right w:val="none" w:sz="0" w:space="0" w:color="auto"/>
      </w:divBdr>
    </w:div>
    <w:div w:id="1332609154">
      <w:bodyDiv w:val="1"/>
      <w:marLeft w:val="0"/>
      <w:marRight w:val="0"/>
      <w:marTop w:val="0"/>
      <w:marBottom w:val="0"/>
      <w:divBdr>
        <w:top w:val="none" w:sz="0" w:space="0" w:color="auto"/>
        <w:left w:val="none" w:sz="0" w:space="0" w:color="auto"/>
        <w:bottom w:val="none" w:sz="0" w:space="0" w:color="auto"/>
        <w:right w:val="none" w:sz="0" w:space="0" w:color="auto"/>
      </w:divBdr>
    </w:div>
    <w:div w:id="1333878756">
      <w:bodyDiv w:val="1"/>
      <w:marLeft w:val="0"/>
      <w:marRight w:val="0"/>
      <w:marTop w:val="0"/>
      <w:marBottom w:val="0"/>
      <w:divBdr>
        <w:top w:val="none" w:sz="0" w:space="0" w:color="auto"/>
        <w:left w:val="none" w:sz="0" w:space="0" w:color="auto"/>
        <w:bottom w:val="none" w:sz="0" w:space="0" w:color="auto"/>
        <w:right w:val="none" w:sz="0" w:space="0" w:color="auto"/>
      </w:divBdr>
    </w:div>
    <w:div w:id="1339388974">
      <w:bodyDiv w:val="1"/>
      <w:marLeft w:val="0"/>
      <w:marRight w:val="0"/>
      <w:marTop w:val="0"/>
      <w:marBottom w:val="0"/>
      <w:divBdr>
        <w:top w:val="none" w:sz="0" w:space="0" w:color="auto"/>
        <w:left w:val="none" w:sz="0" w:space="0" w:color="auto"/>
        <w:bottom w:val="none" w:sz="0" w:space="0" w:color="auto"/>
        <w:right w:val="none" w:sz="0" w:space="0" w:color="auto"/>
      </w:divBdr>
    </w:div>
    <w:div w:id="1346908985">
      <w:bodyDiv w:val="1"/>
      <w:marLeft w:val="0"/>
      <w:marRight w:val="0"/>
      <w:marTop w:val="0"/>
      <w:marBottom w:val="0"/>
      <w:divBdr>
        <w:top w:val="none" w:sz="0" w:space="0" w:color="auto"/>
        <w:left w:val="none" w:sz="0" w:space="0" w:color="auto"/>
        <w:bottom w:val="none" w:sz="0" w:space="0" w:color="auto"/>
        <w:right w:val="none" w:sz="0" w:space="0" w:color="auto"/>
      </w:divBdr>
    </w:div>
    <w:div w:id="1347827735">
      <w:bodyDiv w:val="1"/>
      <w:marLeft w:val="0"/>
      <w:marRight w:val="0"/>
      <w:marTop w:val="0"/>
      <w:marBottom w:val="0"/>
      <w:divBdr>
        <w:top w:val="none" w:sz="0" w:space="0" w:color="auto"/>
        <w:left w:val="none" w:sz="0" w:space="0" w:color="auto"/>
        <w:bottom w:val="none" w:sz="0" w:space="0" w:color="auto"/>
        <w:right w:val="none" w:sz="0" w:space="0" w:color="auto"/>
      </w:divBdr>
    </w:div>
    <w:div w:id="1353805200">
      <w:bodyDiv w:val="1"/>
      <w:marLeft w:val="0"/>
      <w:marRight w:val="0"/>
      <w:marTop w:val="0"/>
      <w:marBottom w:val="0"/>
      <w:divBdr>
        <w:top w:val="none" w:sz="0" w:space="0" w:color="auto"/>
        <w:left w:val="none" w:sz="0" w:space="0" w:color="auto"/>
        <w:bottom w:val="none" w:sz="0" w:space="0" w:color="auto"/>
        <w:right w:val="none" w:sz="0" w:space="0" w:color="auto"/>
      </w:divBdr>
    </w:div>
    <w:div w:id="1376154543">
      <w:bodyDiv w:val="1"/>
      <w:marLeft w:val="0"/>
      <w:marRight w:val="0"/>
      <w:marTop w:val="0"/>
      <w:marBottom w:val="0"/>
      <w:divBdr>
        <w:top w:val="none" w:sz="0" w:space="0" w:color="auto"/>
        <w:left w:val="none" w:sz="0" w:space="0" w:color="auto"/>
        <w:bottom w:val="none" w:sz="0" w:space="0" w:color="auto"/>
        <w:right w:val="none" w:sz="0" w:space="0" w:color="auto"/>
      </w:divBdr>
    </w:div>
    <w:div w:id="1390223463">
      <w:bodyDiv w:val="1"/>
      <w:marLeft w:val="0"/>
      <w:marRight w:val="0"/>
      <w:marTop w:val="0"/>
      <w:marBottom w:val="0"/>
      <w:divBdr>
        <w:top w:val="none" w:sz="0" w:space="0" w:color="auto"/>
        <w:left w:val="none" w:sz="0" w:space="0" w:color="auto"/>
        <w:bottom w:val="none" w:sz="0" w:space="0" w:color="auto"/>
        <w:right w:val="none" w:sz="0" w:space="0" w:color="auto"/>
      </w:divBdr>
    </w:div>
    <w:div w:id="1395162018">
      <w:bodyDiv w:val="1"/>
      <w:marLeft w:val="0"/>
      <w:marRight w:val="0"/>
      <w:marTop w:val="0"/>
      <w:marBottom w:val="0"/>
      <w:divBdr>
        <w:top w:val="none" w:sz="0" w:space="0" w:color="auto"/>
        <w:left w:val="none" w:sz="0" w:space="0" w:color="auto"/>
        <w:bottom w:val="none" w:sz="0" w:space="0" w:color="auto"/>
        <w:right w:val="none" w:sz="0" w:space="0" w:color="auto"/>
      </w:divBdr>
    </w:div>
    <w:div w:id="1396004592">
      <w:bodyDiv w:val="1"/>
      <w:marLeft w:val="0"/>
      <w:marRight w:val="0"/>
      <w:marTop w:val="0"/>
      <w:marBottom w:val="0"/>
      <w:divBdr>
        <w:top w:val="none" w:sz="0" w:space="0" w:color="auto"/>
        <w:left w:val="none" w:sz="0" w:space="0" w:color="auto"/>
        <w:bottom w:val="none" w:sz="0" w:space="0" w:color="auto"/>
        <w:right w:val="none" w:sz="0" w:space="0" w:color="auto"/>
      </w:divBdr>
    </w:div>
    <w:div w:id="1399282764">
      <w:bodyDiv w:val="1"/>
      <w:marLeft w:val="0"/>
      <w:marRight w:val="0"/>
      <w:marTop w:val="0"/>
      <w:marBottom w:val="0"/>
      <w:divBdr>
        <w:top w:val="none" w:sz="0" w:space="0" w:color="auto"/>
        <w:left w:val="none" w:sz="0" w:space="0" w:color="auto"/>
        <w:bottom w:val="none" w:sz="0" w:space="0" w:color="auto"/>
        <w:right w:val="none" w:sz="0" w:space="0" w:color="auto"/>
      </w:divBdr>
    </w:div>
    <w:div w:id="1417703484">
      <w:bodyDiv w:val="1"/>
      <w:marLeft w:val="0"/>
      <w:marRight w:val="0"/>
      <w:marTop w:val="0"/>
      <w:marBottom w:val="0"/>
      <w:divBdr>
        <w:top w:val="none" w:sz="0" w:space="0" w:color="auto"/>
        <w:left w:val="none" w:sz="0" w:space="0" w:color="auto"/>
        <w:bottom w:val="none" w:sz="0" w:space="0" w:color="auto"/>
        <w:right w:val="none" w:sz="0" w:space="0" w:color="auto"/>
      </w:divBdr>
    </w:div>
    <w:div w:id="1435664166">
      <w:bodyDiv w:val="1"/>
      <w:marLeft w:val="0"/>
      <w:marRight w:val="0"/>
      <w:marTop w:val="0"/>
      <w:marBottom w:val="0"/>
      <w:divBdr>
        <w:top w:val="none" w:sz="0" w:space="0" w:color="auto"/>
        <w:left w:val="none" w:sz="0" w:space="0" w:color="auto"/>
        <w:bottom w:val="none" w:sz="0" w:space="0" w:color="auto"/>
        <w:right w:val="none" w:sz="0" w:space="0" w:color="auto"/>
      </w:divBdr>
    </w:div>
    <w:div w:id="1450661931">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62261410">
      <w:bodyDiv w:val="1"/>
      <w:marLeft w:val="0"/>
      <w:marRight w:val="0"/>
      <w:marTop w:val="0"/>
      <w:marBottom w:val="0"/>
      <w:divBdr>
        <w:top w:val="none" w:sz="0" w:space="0" w:color="auto"/>
        <w:left w:val="none" w:sz="0" w:space="0" w:color="auto"/>
        <w:bottom w:val="none" w:sz="0" w:space="0" w:color="auto"/>
        <w:right w:val="none" w:sz="0" w:space="0" w:color="auto"/>
      </w:divBdr>
    </w:div>
    <w:div w:id="1467813761">
      <w:bodyDiv w:val="1"/>
      <w:marLeft w:val="0"/>
      <w:marRight w:val="0"/>
      <w:marTop w:val="0"/>
      <w:marBottom w:val="0"/>
      <w:divBdr>
        <w:top w:val="none" w:sz="0" w:space="0" w:color="auto"/>
        <w:left w:val="none" w:sz="0" w:space="0" w:color="auto"/>
        <w:bottom w:val="none" w:sz="0" w:space="0" w:color="auto"/>
        <w:right w:val="none" w:sz="0" w:space="0" w:color="auto"/>
      </w:divBdr>
    </w:div>
    <w:div w:id="1469087514">
      <w:bodyDiv w:val="1"/>
      <w:marLeft w:val="0"/>
      <w:marRight w:val="0"/>
      <w:marTop w:val="0"/>
      <w:marBottom w:val="0"/>
      <w:divBdr>
        <w:top w:val="none" w:sz="0" w:space="0" w:color="auto"/>
        <w:left w:val="none" w:sz="0" w:space="0" w:color="auto"/>
        <w:bottom w:val="none" w:sz="0" w:space="0" w:color="auto"/>
        <w:right w:val="none" w:sz="0" w:space="0" w:color="auto"/>
      </w:divBdr>
    </w:div>
    <w:div w:id="1483892120">
      <w:bodyDiv w:val="1"/>
      <w:marLeft w:val="0"/>
      <w:marRight w:val="0"/>
      <w:marTop w:val="0"/>
      <w:marBottom w:val="0"/>
      <w:divBdr>
        <w:top w:val="none" w:sz="0" w:space="0" w:color="auto"/>
        <w:left w:val="none" w:sz="0" w:space="0" w:color="auto"/>
        <w:bottom w:val="none" w:sz="0" w:space="0" w:color="auto"/>
        <w:right w:val="none" w:sz="0" w:space="0" w:color="auto"/>
      </w:divBdr>
    </w:div>
    <w:div w:id="1490560924">
      <w:bodyDiv w:val="1"/>
      <w:marLeft w:val="0"/>
      <w:marRight w:val="0"/>
      <w:marTop w:val="0"/>
      <w:marBottom w:val="0"/>
      <w:divBdr>
        <w:top w:val="none" w:sz="0" w:space="0" w:color="auto"/>
        <w:left w:val="none" w:sz="0" w:space="0" w:color="auto"/>
        <w:bottom w:val="none" w:sz="0" w:space="0" w:color="auto"/>
        <w:right w:val="none" w:sz="0" w:space="0" w:color="auto"/>
      </w:divBdr>
    </w:div>
    <w:div w:id="1497576430">
      <w:bodyDiv w:val="1"/>
      <w:marLeft w:val="0"/>
      <w:marRight w:val="0"/>
      <w:marTop w:val="0"/>
      <w:marBottom w:val="0"/>
      <w:divBdr>
        <w:top w:val="none" w:sz="0" w:space="0" w:color="auto"/>
        <w:left w:val="none" w:sz="0" w:space="0" w:color="auto"/>
        <w:bottom w:val="none" w:sz="0" w:space="0" w:color="auto"/>
        <w:right w:val="none" w:sz="0" w:space="0" w:color="auto"/>
      </w:divBdr>
    </w:div>
    <w:div w:id="1506479248">
      <w:bodyDiv w:val="1"/>
      <w:marLeft w:val="0"/>
      <w:marRight w:val="0"/>
      <w:marTop w:val="0"/>
      <w:marBottom w:val="0"/>
      <w:divBdr>
        <w:top w:val="none" w:sz="0" w:space="0" w:color="auto"/>
        <w:left w:val="none" w:sz="0" w:space="0" w:color="auto"/>
        <w:bottom w:val="none" w:sz="0" w:space="0" w:color="auto"/>
        <w:right w:val="none" w:sz="0" w:space="0" w:color="auto"/>
      </w:divBdr>
    </w:div>
    <w:div w:id="1510218978">
      <w:bodyDiv w:val="1"/>
      <w:marLeft w:val="0"/>
      <w:marRight w:val="0"/>
      <w:marTop w:val="0"/>
      <w:marBottom w:val="0"/>
      <w:divBdr>
        <w:top w:val="none" w:sz="0" w:space="0" w:color="auto"/>
        <w:left w:val="none" w:sz="0" w:space="0" w:color="auto"/>
        <w:bottom w:val="none" w:sz="0" w:space="0" w:color="auto"/>
        <w:right w:val="none" w:sz="0" w:space="0" w:color="auto"/>
      </w:divBdr>
    </w:div>
    <w:div w:id="1531339361">
      <w:bodyDiv w:val="1"/>
      <w:marLeft w:val="0"/>
      <w:marRight w:val="0"/>
      <w:marTop w:val="0"/>
      <w:marBottom w:val="0"/>
      <w:divBdr>
        <w:top w:val="none" w:sz="0" w:space="0" w:color="auto"/>
        <w:left w:val="none" w:sz="0" w:space="0" w:color="auto"/>
        <w:bottom w:val="none" w:sz="0" w:space="0" w:color="auto"/>
        <w:right w:val="none" w:sz="0" w:space="0" w:color="auto"/>
      </w:divBdr>
    </w:div>
    <w:div w:id="1531869725">
      <w:bodyDiv w:val="1"/>
      <w:marLeft w:val="0"/>
      <w:marRight w:val="0"/>
      <w:marTop w:val="0"/>
      <w:marBottom w:val="0"/>
      <w:divBdr>
        <w:top w:val="none" w:sz="0" w:space="0" w:color="auto"/>
        <w:left w:val="none" w:sz="0" w:space="0" w:color="auto"/>
        <w:bottom w:val="none" w:sz="0" w:space="0" w:color="auto"/>
        <w:right w:val="none" w:sz="0" w:space="0" w:color="auto"/>
      </w:divBdr>
    </w:div>
    <w:div w:id="1533112884">
      <w:bodyDiv w:val="1"/>
      <w:marLeft w:val="0"/>
      <w:marRight w:val="0"/>
      <w:marTop w:val="0"/>
      <w:marBottom w:val="0"/>
      <w:divBdr>
        <w:top w:val="none" w:sz="0" w:space="0" w:color="auto"/>
        <w:left w:val="none" w:sz="0" w:space="0" w:color="auto"/>
        <w:bottom w:val="none" w:sz="0" w:space="0" w:color="auto"/>
        <w:right w:val="none" w:sz="0" w:space="0" w:color="auto"/>
      </w:divBdr>
    </w:div>
    <w:div w:id="1541934713">
      <w:bodyDiv w:val="1"/>
      <w:marLeft w:val="0"/>
      <w:marRight w:val="0"/>
      <w:marTop w:val="0"/>
      <w:marBottom w:val="0"/>
      <w:divBdr>
        <w:top w:val="none" w:sz="0" w:space="0" w:color="auto"/>
        <w:left w:val="none" w:sz="0" w:space="0" w:color="auto"/>
        <w:bottom w:val="none" w:sz="0" w:space="0" w:color="auto"/>
        <w:right w:val="none" w:sz="0" w:space="0" w:color="auto"/>
      </w:divBdr>
    </w:div>
    <w:div w:id="1552113873">
      <w:bodyDiv w:val="1"/>
      <w:marLeft w:val="0"/>
      <w:marRight w:val="0"/>
      <w:marTop w:val="0"/>
      <w:marBottom w:val="0"/>
      <w:divBdr>
        <w:top w:val="none" w:sz="0" w:space="0" w:color="auto"/>
        <w:left w:val="none" w:sz="0" w:space="0" w:color="auto"/>
        <w:bottom w:val="none" w:sz="0" w:space="0" w:color="auto"/>
        <w:right w:val="none" w:sz="0" w:space="0" w:color="auto"/>
      </w:divBdr>
    </w:div>
    <w:div w:id="1553737281">
      <w:bodyDiv w:val="1"/>
      <w:marLeft w:val="0"/>
      <w:marRight w:val="0"/>
      <w:marTop w:val="0"/>
      <w:marBottom w:val="0"/>
      <w:divBdr>
        <w:top w:val="none" w:sz="0" w:space="0" w:color="auto"/>
        <w:left w:val="none" w:sz="0" w:space="0" w:color="auto"/>
        <w:bottom w:val="none" w:sz="0" w:space="0" w:color="auto"/>
        <w:right w:val="none" w:sz="0" w:space="0" w:color="auto"/>
      </w:divBdr>
    </w:div>
    <w:div w:id="1569534944">
      <w:bodyDiv w:val="1"/>
      <w:marLeft w:val="0"/>
      <w:marRight w:val="0"/>
      <w:marTop w:val="0"/>
      <w:marBottom w:val="0"/>
      <w:divBdr>
        <w:top w:val="none" w:sz="0" w:space="0" w:color="auto"/>
        <w:left w:val="none" w:sz="0" w:space="0" w:color="auto"/>
        <w:bottom w:val="none" w:sz="0" w:space="0" w:color="auto"/>
        <w:right w:val="none" w:sz="0" w:space="0" w:color="auto"/>
      </w:divBdr>
    </w:div>
    <w:div w:id="1583875975">
      <w:bodyDiv w:val="1"/>
      <w:marLeft w:val="0"/>
      <w:marRight w:val="0"/>
      <w:marTop w:val="0"/>
      <w:marBottom w:val="0"/>
      <w:divBdr>
        <w:top w:val="none" w:sz="0" w:space="0" w:color="auto"/>
        <w:left w:val="none" w:sz="0" w:space="0" w:color="auto"/>
        <w:bottom w:val="none" w:sz="0" w:space="0" w:color="auto"/>
        <w:right w:val="none" w:sz="0" w:space="0" w:color="auto"/>
      </w:divBdr>
    </w:div>
    <w:div w:id="1590851270">
      <w:bodyDiv w:val="1"/>
      <w:marLeft w:val="0"/>
      <w:marRight w:val="0"/>
      <w:marTop w:val="0"/>
      <w:marBottom w:val="0"/>
      <w:divBdr>
        <w:top w:val="none" w:sz="0" w:space="0" w:color="auto"/>
        <w:left w:val="none" w:sz="0" w:space="0" w:color="auto"/>
        <w:bottom w:val="none" w:sz="0" w:space="0" w:color="auto"/>
        <w:right w:val="none" w:sz="0" w:space="0" w:color="auto"/>
      </w:divBdr>
    </w:div>
    <w:div w:id="1596210354">
      <w:bodyDiv w:val="1"/>
      <w:marLeft w:val="0"/>
      <w:marRight w:val="0"/>
      <w:marTop w:val="0"/>
      <w:marBottom w:val="0"/>
      <w:divBdr>
        <w:top w:val="none" w:sz="0" w:space="0" w:color="auto"/>
        <w:left w:val="none" w:sz="0" w:space="0" w:color="auto"/>
        <w:bottom w:val="none" w:sz="0" w:space="0" w:color="auto"/>
        <w:right w:val="none" w:sz="0" w:space="0" w:color="auto"/>
      </w:divBdr>
    </w:div>
    <w:div w:id="1615135687">
      <w:bodyDiv w:val="1"/>
      <w:marLeft w:val="0"/>
      <w:marRight w:val="0"/>
      <w:marTop w:val="0"/>
      <w:marBottom w:val="0"/>
      <w:divBdr>
        <w:top w:val="none" w:sz="0" w:space="0" w:color="auto"/>
        <w:left w:val="none" w:sz="0" w:space="0" w:color="auto"/>
        <w:bottom w:val="none" w:sz="0" w:space="0" w:color="auto"/>
        <w:right w:val="none" w:sz="0" w:space="0" w:color="auto"/>
      </w:divBdr>
    </w:div>
    <w:div w:id="1619949674">
      <w:bodyDiv w:val="1"/>
      <w:marLeft w:val="0"/>
      <w:marRight w:val="0"/>
      <w:marTop w:val="0"/>
      <w:marBottom w:val="0"/>
      <w:divBdr>
        <w:top w:val="none" w:sz="0" w:space="0" w:color="auto"/>
        <w:left w:val="none" w:sz="0" w:space="0" w:color="auto"/>
        <w:bottom w:val="none" w:sz="0" w:space="0" w:color="auto"/>
        <w:right w:val="none" w:sz="0" w:space="0" w:color="auto"/>
      </w:divBdr>
    </w:div>
    <w:div w:id="1622960676">
      <w:bodyDiv w:val="1"/>
      <w:marLeft w:val="0"/>
      <w:marRight w:val="0"/>
      <w:marTop w:val="0"/>
      <w:marBottom w:val="0"/>
      <w:divBdr>
        <w:top w:val="none" w:sz="0" w:space="0" w:color="auto"/>
        <w:left w:val="none" w:sz="0" w:space="0" w:color="auto"/>
        <w:bottom w:val="none" w:sz="0" w:space="0" w:color="auto"/>
        <w:right w:val="none" w:sz="0" w:space="0" w:color="auto"/>
      </w:divBdr>
    </w:div>
    <w:div w:id="1627197871">
      <w:bodyDiv w:val="1"/>
      <w:marLeft w:val="0"/>
      <w:marRight w:val="0"/>
      <w:marTop w:val="0"/>
      <w:marBottom w:val="0"/>
      <w:divBdr>
        <w:top w:val="none" w:sz="0" w:space="0" w:color="auto"/>
        <w:left w:val="none" w:sz="0" w:space="0" w:color="auto"/>
        <w:bottom w:val="none" w:sz="0" w:space="0" w:color="auto"/>
        <w:right w:val="none" w:sz="0" w:space="0" w:color="auto"/>
      </w:divBdr>
    </w:div>
    <w:div w:id="1635866290">
      <w:bodyDiv w:val="1"/>
      <w:marLeft w:val="0"/>
      <w:marRight w:val="0"/>
      <w:marTop w:val="0"/>
      <w:marBottom w:val="0"/>
      <w:divBdr>
        <w:top w:val="none" w:sz="0" w:space="0" w:color="auto"/>
        <w:left w:val="none" w:sz="0" w:space="0" w:color="auto"/>
        <w:bottom w:val="none" w:sz="0" w:space="0" w:color="auto"/>
        <w:right w:val="none" w:sz="0" w:space="0" w:color="auto"/>
      </w:divBdr>
    </w:div>
    <w:div w:id="1647586989">
      <w:bodyDiv w:val="1"/>
      <w:marLeft w:val="0"/>
      <w:marRight w:val="0"/>
      <w:marTop w:val="0"/>
      <w:marBottom w:val="0"/>
      <w:divBdr>
        <w:top w:val="none" w:sz="0" w:space="0" w:color="auto"/>
        <w:left w:val="none" w:sz="0" w:space="0" w:color="auto"/>
        <w:bottom w:val="none" w:sz="0" w:space="0" w:color="auto"/>
        <w:right w:val="none" w:sz="0" w:space="0" w:color="auto"/>
      </w:divBdr>
    </w:div>
    <w:div w:id="1649819166">
      <w:bodyDiv w:val="1"/>
      <w:marLeft w:val="0"/>
      <w:marRight w:val="0"/>
      <w:marTop w:val="0"/>
      <w:marBottom w:val="0"/>
      <w:divBdr>
        <w:top w:val="none" w:sz="0" w:space="0" w:color="auto"/>
        <w:left w:val="none" w:sz="0" w:space="0" w:color="auto"/>
        <w:bottom w:val="none" w:sz="0" w:space="0" w:color="auto"/>
        <w:right w:val="none" w:sz="0" w:space="0" w:color="auto"/>
      </w:divBdr>
    </w:div>
    <w:div w:id="1659069301">
      <w:bodyDiv w:val="1"/>
      <w:marLeft w:val="0"/>
      <w:marRight w:val="0"/>
      <w:marTop w:val="0"/>
      <w:marBottom w:val="0"/>
      <w:divBdr>
        <w:top w:val="none" w:sz="0" w:space="0" w:color="auto"/>
        <w:left w:val="none" w:sz="0" w:space="0" w:color="auto"/>
        <w:bottom w:val="none" w:sz="0" w:space="0" w:color="auto"/>
        <w:right w:val="none" w:sz="0" w:space="0" w:color="auto"/>
      </w:divBdr>
    </w:div>
    <w:div w:id="1660379024">
      <w:bodyDiv w:val="1"/>
      <w:marLeft w:val="0"/>
      <w:marRight w:val="0"/>
      <w:marTop w:val="0"/>
      <w:marBottom w:val="0"/>
      <w:divBdr>
        <w:top w:val="none" w:sz="0" w:space="0" w:color="auto"/>
        <w:left w:val="none" w:sz="0" w:space="0" w:color="auto"/>
        <w:bottom w:val="none" w:sz="0" w:space="0" w:color="auto"/>
        <w:right w:val="none" w:sz="0" w:space="0" w:color="auto"/>
      </w:divBdr>
    </w:div>
    <w:div w:id="1676028762">
      <w:bodyDiv w:val="1"/>
      <w:marLeft w:val="0"/>
      <w:marRight w:val="0"/>
      <w:marTop w:val="0"/>
      <w:marBottom w:val="0"/>
      <w:divBdr>
        <w:top w:val="none" w:sz="0" w:space="0" w:color="auto"/>
        <w:left w:val="none" w:sz="0" w:space="0" w:color="auto"/>
        <w:bottom w:val="none" w:sz="0" w:space="0" w:color="auto"/>
        <w:right w:val="none" w:sz="0" w:space="0" w:color="auto"/>
      </w:divBdr>
    </w:div>
    <w:div w:id="1676149743">
      <w:bodyDiv w:val="1"/>
      <w:marLeft w:val="0"/>
      <w:marRight w:val="0"/>
      <w:marTop w:val="0"/>
      <w:marBottom w:val="0"/>
      <w:divBdr>
        <w:top w:val="none" w:sz="0" w:space="0" w:color="auto"/>
        <w:left w:val="none" w:sz="0" w:space="0" w:color="auto"/>
        <w:bottom w:val="none" w:sz="0" w:space="0" w:color="auto"/>
        <w:right w:val="none" w:sz="0" w:space="0" w:color="auto"/>
      </w:divBdr>
    </w:div>
    <w:div w:id="1680624451">
      <w:bodyDiv w:val="1"/>
      <w:marLeft w:val="0"/>
      <w:marRight w:val="0"/>
      <w:marTop w:val="0"/>
      <w:marBottom w:val="0"/>
      <w:divBdr>
        <w:top w:val="none" w:sz="0" w:space="0" w:color="auto"/>
        <w:left w:val="none" w:sz="0" w:space="0" w:color="auto"/>
        <w:bottom w:val="none" w:sz="0" w:space="0" w:color="auto"/>
        <w:right w:val="none" w:sz="0" w:space="0" w:color="auto"/>
      </w:divBdr>
    </w:div>
    <w:div w:id="1696803353">
      <w:bodyDiv w:val="1"/>
      <w:marLeft w:val="0"/>
      <w:marRight w:val="0"/>
      <w:marTop w:val="0"/>
      <w:marBottom w:val="0"/>
      <w:divBdr>
        <w:top w:val="none" w:sz="0" w:space="0" w:color="auto"/>
        <w:left w:val="none" w:sz="0" w:space="0" w:color="auto"/>
        <w:bottom w:val="none" w:sz="0" w:space="0" w:color="auto"/>
        <w:right w:val="none" w:sz="0" w:space="0" w:color="auto"/>
      </w:divBdr>
    </w:div>
    <w:div w:id="1698044138">
      <w:bodyDiv w:val="1"/>
      <w:marLeft w:val="0"/>
      <w:marRight w:val="0"/>
      <w:marTop w:val="0"/>
      <w:marBottom w:val="0"/>
      <w:divBdr>
        <w:top w:val="none" w:sz="0" w:space="0" w:color="auto"/>
        <w:left w:val="none" w:sz="0" w:space="0" w:color="auto"/>
        <w:bottom w:val="none" w:sz="0" w:space="0" w:color="auto"/>
        <w:right w:val="none" w:sz="0" w:space="0" w:color="auto"/>
      </w:divBdr>
    </w:div>
    <w:div w:id="1698433705">
      <w:bodyDiv w:val="1"/>
      <w:marLeft w:val="0"/>
      <w:marRight w:val="0"/>
      <w:marTop w:val="0"/>
      <w:marBottom w:val="0"/>
      <w:divBdr>
        <w:top w:val="none" w:sz="0" w:space="0" w:color="auto"/>
        <w:left w:val="none" w:sz="0" w:space="0" w:color="auto"/>
        <w:bottom w:val="none" w:sz="0" w:space="0" w:color="auto"/>
        <w:right w:val="none" w:sz="0" w:space="0" w:color="auto"/>
      </w:divBdr>
    </w:div>
    <w:div w:id="1707758303">
      <w:bodyDiv w:val="1"/>
      <w:marLeft w:val="0"/>
      <w:marRight w:val="0"/>
      <w:marTop w:val="0"/>
      <w:marBottom w:val="0"/>
      <w:divBdr>
        <w:top w:val="none" w:sz="0" w:space="0" w:color="auto"/>
        <w:left w:val="none" w:sz="0" w:space="0" w:color="auto"/>
        <w:bottom w:val="none" w:sz="0" w:space="0" w:color="auto"/>
        <w:right w:val="none" w:sz="0" w:space="0" w:color="auto"/>
      </w:divBdr>
    </w:div>
    <w:div w:id="1732774761">
      <w:bodyDiv w:val="1"/>
      <w:marLeft w:val="0"/>
      <w:marRight w:val="0"/>
      <w:marTop w:val="0"/>
      <w:marBottom w:val="0"/>
      <w:divBdr>
        <w:top w:val="none" w:sz="0" w:space="0" w:color="auto"/>
        <w:left w:val="none" w:sz="0" w:space="0" w:color="auto"/>
        <w:bottom w:val="none" w:sz="0" w:space="0" w:color="auto"/>
        <w:right w:val="none" w:sz="0" w:space="0" w:color="auto"/>
      </w:divBdr>
    </w:div>
    <w:div w:id="1733772334">
      <w:bodyDiv w:val="1"/>
      <w:marLeft w:val="0"/>
      <w:marRight w:val="0"/>
      <w:marTop w:val="0"/>
      <w:marBottom w:val="0"/>
      <w:divBdr>
        <w:top w:val="none" w:sz="0" w:space="0" w:color="auto"/>
        <w:left w:val="none" w:sz="0" w:space="0" w:color="auto"/>
        <w:bottom w:val="none" w:sz="0" w:space="0" w:color="auto"/>
        <w:right w:val="none" w:sz="0" w:space="0" w:color="auto"/>
      </w:divBdr>
    </w:div>
    <w:div w:id="1742175026">
      <w:bodyDiv w:val="1"/>
      <w:marLeft w:val="0"/>
      <w:marRight w:val="0"/>
      <w:marTop w:val="0"/>
      <w:marBottom w:val="0"/>
      <w:divBdr>
        <w:top w:val="none" w:sz="0" w:space="0" w:color="auto"/>
        <w:left w:val="none" w:sz="0" w:space="0" w:color="auto"/>
        <w:bottom w:val="none" w:sz="0" w:space="0" w:color="auto"/>
        <w:right w:val="none" w:sz="0" w:space="0" w:color="auto"/>
      </w:divBdr>
    </w:div>
    <w:div w:id="1743061107">
      <w:bodyDiv w:val="1"/>
      <w:marLeft w:val="0"/>
      <w:marRight w:val="0"/>
      <w:marTop w:val="0"/>
      <w:marBottom w:val="0"/>
      <w:divBdr>
        <w:top w:val="none" w:sz="0" w:space="0" w:color="auto"/>
        <w:left w:val="none" w:sz="0" w:space="0" w:color="auto"/>
        <w:bottom w:val="none" w:sz="0" w:space="0" w:color="auto"/>
        <w:right w:val="none" w:sz="0" w:space="0" w:color="auto"/>
      </w:divBdr>
    </w:div>
    <w:div w:id="1743986689">
      <w:bodyDiv w:val="1"/>
      <w:marLeft w:val="0"/>
      <w:marRight w:val="0"/>
      <w:marTop w:val="0"/>
      <w:marBottom w:val="0"/>
      <w:divBdr>
        <w:top w:val="none" w:sz="0" w:space="0" w:color="auto"/>
        <w:left w:val="none" w:sz="0" w:space="0" w:color="auto"/>
        <w:bottom w:val="none" w:sz="0" w:space="0" w:color="auto"/>
        <w:right w:val="none" w:sz="0" w:space="0" w:color="auto"/>
      </w:divBdr>
    </w:div>
    <w:div w:id="1745029780">
      <w:bodyDiv w:val="1"/>
      <w:marLeft w:val="0"/>
      <w:marRight w:val="0"/>
      <w:marTop w:val="0"/>
      <w:marBottom w:val="0"/>
      <w:divBdr>
        <w:top w:val="none" w:sz="0" w:space="0" w:color="auto"/>
        <w:left w:val="none" w:sz="0" w:space="0" w:color="auto"/>
        <w:bottom w:val="none" w:sz="0" w:space="0" w:color="auto"/>
        <w:right w:val="none" w:sz="0" w:space="0" w:color="auto"/>
      </w:divBdr>
    </w:div>
    <w:div w:id="1755124340">
      <w:bodyDiv w:val="1"/>
      <w:marLeft w:val="0"/>
      <w:marRight w:val="0"/>
      <w:marTop w:val="0"/>
      <w:marBottom w:val="0"/>
      <w:divBdr>
        <w:top w:val="none" w:sz="0" w:space="0" w:color="auto"/>
        <w:left w:val="none" w:sz="0" w:space="0" w:color="auto"/>
        <w:bottom w:val="none" w:sz="0" w:space="0" w:color="auto"/>
        <w:right w:val="none" w:sz="0" w:space="0" w:color="auto"/>
      </w:divBdr>
    </w:div>
    <w:div w:id="1762412170">
      <w:bodyDiv w:val="1"/>
      <w:marLeft w:val="0"/>
      <w:marRight w:val="0"/>
      <w:marTop w:val="0"/>
      <w:marBottom w:val="0"/>
      <w:divBdr>
        <w:top w:val="none" w:sz="0" w:space="0" w:color="auto"/>
        <w:left w:val="none" w:sz="0" w:space="0" w:color="auto"/>
        <w:bottom w:val="none" w:sz="0" w:space="0" w:color="auto"/>
        <w:right w:val="none" w:sz="0" w:space="0" w:color="auto"/>
      </w:divBdr>
    </w:div>
    <w:div w:id="1767076858">
      <w:bodyDiv w:val="1"/>
      <w:marLeft w:val="0"/>
      <w:marRight w:val="0"/>
      <w:marTop w:val="0"/>
      <w:marBottom w:val="0"/>
      <w:divBdr>
        <w:top w:val="none" w:sz="0" w:space="0" w:color="auto"/>
        <w:left w:val="none" w:sz="0" w:space="0" w:color="auto"/>
        <w:bottom w:val="none" w:sz="0" w:space="0" w:color="auto"/>
        <w:right w:val="none" w:sz="0" w:space="0" w:color="auto"/>
      </w:divBdr>
    </w:div>
    <w:div w:id="1775780271">
      <w:bodyDiv w:val="1"/>
      <w:marLeft w:val="0"/>
      <w:marRight w:val="0"/>
      <w:marTop w:val="0"/>
      <w:marBottom w:val="0"/>
      <w:divBdr>
        <w:top w:val="none" w:sz="0" w:space="0" w:color="auto"/>
        <w:left w:val="none" w:sz="0" w:space="0" w:color="auto"/>
        <w:bottom w:val="none" w:sz="0" w:space="0" w:color="auto"/>
        <w:right w:val="none" w:sz="0" w:space="0" w:color="auto"/>
      </w:divBdr>
    </w:div>
    <w:div w:id="1793162083">
      <w:bodyDiv w:val="1"/>
      <w:marLeft w:val="0"/>
      <w:marRight w:val="0"/>
      <w:marTop w:val="0"/>
      <w:marBottom w:val="0"/>
      <w:divBdr>
        <w:top w:val="none" w:sz="0" w:space="0" w:color="auto"/>
        <w:left w:val="none" w:sz="0" w:space="0" w:color="auto"/>
        <w:bottom w:val="none" w:sz="0" w:space="0" w:color="auto"/>
        <w:right w:val="none" w:sz="0" w:space="0" w:color="auto"/>
      </w:divBdr>
    </w:div>
    <w:div w:id="1800495430">
      <w:bodyDiv w:val="1"/>
      <w:marLeft w:val="0"/>
      <w:marRight w:val="0"/>
      <w:marTop w:val="0"/>
      <w:marBottom w:val="0"/>
      <w:divBdr>
        <w:top w:val="none" w:sz="0" w:space="0" w:color="auto"/>
        <w:left w:val="none" w:sz="0" w:space="0" w:color="auto"/>
        <w:bottom w:val="none" w:sz="0" w:space="0" w:color="auto"/>
        <w:right w:val="none" w:sz="0" w:space="0" w:color="auto"/>
      </w:divBdr>
    </w:div>
    <w:div w:id="1808157903">
      <w:bodyDiv w:val="1"/>
      <w:marLeft w:val="0"/>
      <w:marRight w:val="0"/>
      <w:marTop w:val="0"/>
      <w:marBottom w:val="0"/>
      <w:divBdr>
        <w:top w:val="none" w:sz="0" w:space="0" w:color="auto"/>
        <w:left w:val="none" w:sz="0" w:space="0" w:color="auto"/>
        <w:bottom w:val="none" w:sz="0" w:space="0" w:color="auto"/>
        <w:right w:val="none" w:sz="0" w:space="0" w:color="auto"/>
      </w:divBdr>
    </w:div>
    <w:div w:id="1814565613">
      <w:bodyDiv w:val="1"/>
      <w:marLeft w:val="0"/>
      <w:marRight w:val="0"/>
      <w:marTop w:val="0"/>
      <w:marBottom w:val="0"/>
      <w:divBdr>
        <w:top w:val="none" w:sz="0" w:space="0" w:color="auto"/>
        <w:left w:val="none" w:sz="0" w:space="0" w:color="auto"/>
        <w:bottom w:val="none" w:sz="0" w:space="0" w:color="auto"/>
        <w:right w:val="none" w:sz="0" w:space="0" w:color="auto"/>
      </w:divBdr>
    </w:div>
    <w:div w:id="1823161228">
      <w:bodyDiv w:val="1"/>
      <w:marLeft w:val="0"/>
      <w:marRight w:val="0"/>
      <w:marTop w:val="0"/>
      <w:marBottom w:val="0"/>
      <w:divBdr>
        <w:top w:val="none" w:sz="0" w:space="0" w:color="auto"/>
        <w:left w:val="none" w:sz="0" w:space="0" w:color="auto"/>
        <w:bottom w:val="none" w:sz="0" w:space="0" w:color="auto"/>
        <w:right w:val="none" w:sz="0" w:space="0" w:color="auto"/>
      </w:divBdr>
    </w:div>
    <w:div w:id="1824155428">
      <w:bodyDiv w:val="1"/>
      <w:marLeft w:val="0"/>
      <w:marRight w:val="0"/>
      <w:marTop w:val="0"/>
      <w:marBottom w:val="0"/>
      <w:divBdr>
        <w:top w:val="none" w:sz="0" w:space="0" w:color="auto"/>
        <w:left w:val="none" w:sz="0" w:space="0" w:color="auto"/>
        <w:bottom w:val="none" w:sz="0" w:space="0" w:color="auto"/>
        <w:right w:val="none" w:sz="0" w:space="0" w:color="auto"/>
      </w:divBdr>
    </w:div>
    <w:div w:id="1826706279">
      <w:bodyDiv w:val="1"/>
      <w:marLeft w:val="0"/>
      <w:marRight w:val="0"/>
      <w:marTop w:val="0"/>
      <w:marBottom w:val="0"/>
      <w:divBdr>
        <w:top w:val="none" w:sz="0" w:space="0" w:color="auto"/>
        <w:left w:val="none" w:sz="0" w:space="0" w:color="auto"/>
        <w:bottom w:val="none" w:sz="0" w:space="0" w:color="auto"/>
        <w:right w:val="none" w:sz="0" w:space="0" w:color="auto"/>
      </w:divBdr>
    </w:div>
    <w:div w:id="1831797872">
      <w:bodyDiv w:val="1"/>
      <w:marLeft w:val="0"/>
      <w:marRight w:val="0"/>
      <w:marTop w:val="0"/>
      <w:marBottom w:val="0"/>
      <w:divBdr>
        <w:top w:val="none" w:sz="0" w:space="0" w:color="auto"/>
        <w:left w:val="none" w:sz="0" w:space="0" w:color="auto"/>
        <w:bottom w:val="none" w:sz="0" w:space="0" w:color="auto"/>
        <w:right w:val="none" w:sz="0" w:space="0" w:color="auto"/>
      </w:divBdr>
    </w:div>
    <w:div w:id="1853110705">
      <w:bodyDiv w:val="1"/>
      <w:marLeft w:val="0"/>
      <w:marRight w:val="0"/>
      <w:marTop w:val="0"/>
      <w:marBottom w:val="0"/>
      <w:divBdr>
        <w:top w:val="none" w:sz="0" w:space="0" w:color="auto"/>
        <w:left w:val="none" w:sz="0" w:space="0" w:color="auto"/>
        <w:bottom w:val="none" w:sz="0" w:space="0" w:color="auto"/>
        <w:right w:val="none" w:sz="0" w:space="0" w:color="auto"/>
      </w:divBdr>
    </w:div>
    <w:div w:id="1855340333">
      <w:bodyDiv w:val="1"/>
      <w:marLeft w:val="0"/>
      <w:marRight w:val="0"/>
      <w:marTop w:val="0"/>
      <w:marBottom w:val="0"/>
      <w:divBdr>
        <w:top w:val="none" w:sz="0" w:space="0" w:color="auto"/>
        <w:left w:val="none" w:sz="0" w:space="0" w:color="auto"/>
        <w:bottom w:val="none" w:sz="0" w:space="0" w:color="auto"/>
        <w:right w:val="none" w:sz="0" w:space="0" w:color="auto"/>
      </w:divBdr>
    </w:div>
    <w:div w:id="1856840769">
      <w:bodyDiv w:val="1"/>
      <w:marLeft w:val="0"/>
      <w:marRight w:val="0"/>
      <w:marTop w:val="0"/>
      <w:marBottom w:val="0"/>
      <w:divBdr>
        <w:top w:val="none" w:sz="0" w:space="0" w:color="auto"/>
        <w:left w:val="none" w:sz="0" w:space="0" w:color="auto"/>
        <w:bottom w:val="none" w:sz="0" w:space="0" w:color="auto"/>
        <w:right w:val="none" w:sz="0" w:space="0" w:color="auto"/>
      </w:divBdr>
    </w:div>
    <w:div w:id="1857498897">
      <w:bodyDiv w:val="1"/>
      <w:marLeft w:val="0"/>
      <w:marRight w:val="0"/>
      <w:marTop w:val="0"/>
      <w:marBottom w:val="0"/>
      <w:divBdr>
        <w:top w:val="none" w:sz="0" w:space="0" w:color="auto"/>
        <w:left w:val="none" w:sz="0" w:space="0" w:color="auto"/>
        <w:bottom w:val="none" w:sz="0" w:space="0" w:color="auto"/>
        <w:right w:val="none" w:sz="0" w:space="0" w:color="auto"/>
      </w:divBdr>
    </w:div>
    <w:div w:id="1857966483">
      <w:bodyDiv w:val="1"/>
      <w:marLeft w:val="0"/>
      <w:marRight w:val="0"/>
      <w:marTop w:val="0"/>
      <w:marBottom w:val="0"/>
      <w:divBdr>
        <w:top w:val="none" w:sz="0" w:space="0" w:color="auto"/>
        <w:left w:val="none" w:sz="0" w:space="0" w:color="auto"/>
        <w:bottom w:val="none" w:sz="0" w:space="0" w:color="auto"/>
        <w:right w:val="none" w:sz="0" w:space="0" w:color="auto"/>
      </w:divBdr>
    </w:div>
    <w:div w:id="1884171650">
      <w:bodyDiv w:val="1"/>
      <w:marLeft w:val="0"/>
      <w:marRight w:val="0"/>
      <w:marTop w:val="0"/>
      <w:marBottom w:val="0"/>
      <w:divBdr>
        <w:top w:val="none" w:sz="0" w:space="0" w:color="auto"/>
        <w:left w:val="none" w:sz="0" w:space="0" w:color="auto"/>
        <w:bottom w:val="none" w:sz="0" w:space="0" w:color="auto"/>
        <w:right w:val="none" w:sz="0" w:space="0" w:color="auto"/>
      </w:divBdr>
    </w:div>
    <w:div w:id="1892839614">
      <w:bodyDiv w:val="1"/>
      <w:marLeft w:val="0"/>
      <w:marRight w:val="0"/>
      <w:marTop w:val="0"/>
      <w:marBottom w:val="0"/>
      <w:divBdr>
        <w:top w:val="none" w:sz="0" w:space="0" w:color="auto"/>
        <w:left w:val="none" w:sz="0" w:space="0" w:color="auto"/>
        <w:bottom w:val="none" w:sz="0" w:space="0" w:color="auto"/>
        <w:right w:val="none" w:sz="0" w:space="0" w:color="auto"/>
      </w:divBdr>
    </w:div>
    <w:div w:id="1898204342">
      <w:bodyDiv w:val="1"/>
      <w:marLeft w:val="0"/>
      <w:marRight w:val="0"/>
      <w:marTop w:val="0"/>
      <w:marBottom w:val="0"/>
      <w:divBdr>
        <w:top w:val="none" w:sz="0" w:space="0" w:color="auto"/>
        <w:left w:val="none" w:sz="0" w:space="0" w:color="auto"/>
        <w:bottom w:val="none" w:sz="0" w:space="0" w:color="auto"/>
        <w:right w:val="none" w:sz="0" w:space="0" w:color="auto"/>
      </w:divBdr>
    </w:div>
    <w:div w:id="1901476923">
      <w:bodyDiv w:val="1"/>
      <w:marLeft w:val="0"/>
      <w:marRight w:val="0"/>
      <w:marTop w:val="0"/>
      <w:marBottom w:val="0"/>
      <w:divBdr>
        <w:top w:val="none" w:sz="0" w:space="0" w:color="auto"/>
        <w:left w:val="none" w:sz="0" w:space="0" w:color="auto"/>
        <w:bottom w:val="none" w:sz="0" w:space="0" w:color="auto"/>
        <w:right w:val="none" w:sz="0" w:space="0" w:color="auto"/>
      </w:divBdr>
    </w:div>
    <w:div w:id="1906062319">
      <w:bodyDiv w:val="1"/>
      <w:marLeft w:val="0"/>
      <w:marRight w:val="0"/>
      <w:marTop w:val="0"/>
      <w:marBottom w:val="0"/>
      <w:divBdr>
        <w:top w:val="none" w:sz="0" w:space="0" w:color="auto"/>
        <w:left w:val="none" w:sz="0" w:space="0" w:color="auto"/>
        <w:bottom w:val="none" w:sz="0" w:space="0" w:color="auto"/>
        <w:right w:val="none" w:sz="0" w:space="0" w:color="auto"/>
      </w:divBdr>
    </w:div>
    <w:div w:id="1906837739">
      <w:bodyDiv w:val="1"/>
      <w:marLeft w:val="0"/>
      <w:marRight w:val="0"/>
      <w:marTop w:val="0"/>
      <w:marBottom w:val="0"/>
      <w:divBdr>
        <w:top w:val="none" w:sz="0" w:space="0" w:color="auto"/>
        <w:left w:val="none" w:sz="0" w:space="0" w:color="auto"/>
        <w:bottom w:val="none" w:sz="0" w:space="0" w:color="auto"/>
        <w:right w:val="none" w:sz="0" w:space="0" w:color="auto"/>
      </w:divBdr>
    </w:div>
    <w:div w:id="1908612465">
      <w:bodyDiv w:val="1"/>
      <w:marLeft w:val="0"/>
      <w:marRight w:val="0"/>
      <w:marTop w:val="0"/>
      <w:marBottom w:val="0"/>
      <w:divBdr>
        <w:top w:val="none" w:sz="0" w:space="0" w:color="auto"/>
        <w:left w:val="none" w:sz="0" w:space="0" w:color="auto"/>
        <w:bottom w:val="none" w:sz="0" w:space="0" w:color="auto"/>
        <w:right w:val="none" w:sz="0" w:space="0" w:color="auto"/>
      </w:divBdr>
      <w:divsChild>
        <w:div w:id="215242956">
          <w:marLeft w:val="547"/>
          <w:marRight w:val="0"/>
          <w:marTop w:val="48"/>
          <w:marBottom w:val="0"/>
          <w:divBdr>
            <w:top w:val="none" w:sz="0" w:space="0" w:color="auto"/>
            <w:left w:val="none" w:sz="0" w:space="0" w:color="auto"/>
            <w:bottom w:val="none" w:sz="0" w:space="0" w:color="auto"/>
            <w:right w:val="none" w:sz="0" w:space="0" w:color="auto"/>
          </w:divBdr>
        </w:div>
        <w:div w:id="1936285564">
          <w:marLeft w:val="547"/>
          <w:marRight w:val="0"/>
          <w:marTop w:val="48"/>
          <w:marBottom w:val="0"/>
          <w:divBdr>
            <w:top w:val="none" w:sz="0" w:space="0" w:color="auto"/>
            <w:left w:val="none" w:sz="0" w:space="0" w:color="auto"/>
            <w:bottom w:val="none" w:sz="0" w:space="0" w:color="auto"/>
            <w:right w:val="none" w:sz="0" w:space="0" w:color="auto"/>
          </w:divBdr>
        </w:div>
        <w:div w:id="2022269438">
          <w:marLeft w:val="547"/>
          <w:marRight w:val="0"/>
          <w:marTop w:val="48"/>
          <w:marBottom w:val="0"/>
          <w:divBdr>
            <w:top w:val="none" w:sz="0" w:space="0" w:color="auto"/>
            <w:left w:val="none" w:sz="0" w:space="0" w:color="auto"/>
            <w:bottom w:val="none" w:sz="0" w:space="0" w:color="auto"/>
            <w:right w:val="none" w:sz="0" w:space="0" w:color="auto"/>
          </w:divBdr>
        </w:div>
        <w:div w:id="402871601">
          <w:marLeft w:val="547"/>
          <w:marRight w:val="0"/>
          <w:marTop w:val="48"/>
          <w:marBottom w:val="0"/>
          <w:divBdr>
            <w:top w:val="none" w:sz="0" w:space="0" w:color="auto"/>
            <w:left w:val="none" w:sz="0" w:space="0" w:color="auto"/>
            <w:bottom w:val="none" w:sz="0" w:space="0" w:color="auto"/>
            <w:right w:val="none" w:sz="0" w:space="0" w:color="auto"/>
          </w:divBdr>
        </w:div>
        <w:div w:id="2109496173">
          <w:marLeft w:val="547"/>
          <w:marRight w:val="0"/>
          <w:marTop w:val="48"/>
          <w:marBottom w:val="0"/>
          <w:divBdr>
            <w:top w:val="none" w:sz="0" w:space="0" w:color="auto"/>
            <w:left w:val="none" w:sz="0" w:space="0" w:color="auto"/>
            <w:bottom w:val="none" w:sz="0" w:space="0" w:color="auto"/>
            <w:right w:val="none" w:sz="0" w:space="0" w:color="auto"/>
          </w:divBdr>
        </w:div>
        <w:div w:id="1774939183">
          <w:marLeft w:val="547"/>
          <w:marRight w:val="0"/>
          <w:marTop w:val="48"/>
          <w:marBottom w:val="0"/>
          <w:divBdr>
            <w:top w:val="none" w:sz="0" w:space="0" w:color="auto"/>
            <w:left w:val="none" w:sz="0" w:space="0" w:color="auto"/>
            <w:bottom w:val="none" w:sz="0" w:space="0" w:color="auto"/>
            <w:right w:val="none" w:sz="0" w:space="0" w:color="auto"/>
          </w:divBdr>
        </w:div>
      </w:divsChild>
    </w:div>
    <w:div w:id="1918588759">
      <w:bodyDiv w:val="1"/>
      <w:marLeft w:val="0"/>
      <w:marRight w:val="0"/>
      <w:marTop w:val="0"/>
      <w:marBottom w:val="0"/>
      <w:divBdr>
        <w:top w:val="none" w:sz="0" w:space="0" w:color="auto"/>
        <w:left w:val="none" w:sz="0" w:space="0" w:color="auto"/>
        <w:bottom w:val="none" w:sz="0" w:space="0" w:color="auto"/>
        <w:right w:val="none" w:sz="0" w:space="0" w:color="auto"/>
      </w:divBdr>
    </w:div>
    <w:div w:id="1919361978">
      <w:bodyDiv w:val="1"/>
      <w:marLeft w:val="0"/>
      <w:marRight w:val="0"/>
      <w:marTop w:val="0"/>
      <w:marBottom w:val="0"/>
      <w:divBdr>
        <w:top w:val="none" w:sz="0" w:space="0" w:color="auto"/>
        <w:left w:val="none" w:sz="0" w:space="0" w:color="auto"/>
        <w:bottom w:val="none" w:sz="0" w:space="0" w:color="auto"/>
        <w:right w:val="none" w:sz="0" w:space="0" w:color="auto"/>
      </w:divBdr>
    </w:div>
    <w:div w:id="1928027994">
      <w:bodyDiv w:val="1"/>
      <w:marLeft w:val="0"/>
      <w:marRight w:val="0"/>
      <w:marTop w:val="0"/>
      <w:marBottom w:val="0"/>
      <w:divBdr>
        <w:top w:val="none" w:sz="0" w:space="0" w:color="auto"/>
        <w:left w:val="none" w:sz="0" w:space="0" w:color="auto"/>
        <w:bottom w:val="none" w:sz="0" w:space="0" w:color="auto"/>
        <w:right w:val="none" w:sz="0" w:space="0" w:color="auto"/>
      </w:divBdr>
    </w:div>
    <w:div w:id="1930891893">
      <w:bodyDiv w:val="1"/>
      <w:marLeft w:val="0"/>
      <w:marRight w:val="0"/>
      <w:marTop w:val="0"/>
      <w:marBottom w:val="0"/>
      <w:divBdr>
        <w:top w:val="none" w:sz="0" w:space="0" w:color="auto"/>
        <w:left w:val="none" w:sz="0" w:space="0" w:color="auto"/>
        <w:bottom w:val="none" w:sz="0" w:space="0" w:color="auto"/>
        <w:right w:val="none" w:sz="0" w:space="0" w:color="auto"/>
      </w:divBdr>
    </w:div>
    <w:div w:id="1957372584">
      <w:bodyDiv w:val="1"/>
      <w:marLeft w:val="0"/>
      <w:marRight w:val="0"/>
      <w:marTop w:val="0"/>
      <w:marBottom w:val="0"/>
      <w:divBdr>
        <w:top w:val="none" w:sz="0" w:space="0" w:color="auto"/>
        <w:left w:val="none" w:sz="0" w:space="0" w:color="auto"/>
        <w:bottom w:val="none" w:sz="0" w:space="0" w:color="auto"/>
        <w:right w:val="none" w:sz="0" w:space="0" w:color="auto"/>
      </w:divBdr>
    </w:div>
    <w:div w:id="1965840439">
      <w:bodyDiv w:val="1"/>
      <w:marLeft w:val="0"/>
      <w:marRight w:val="0"/>
      <w:marTop w:val="0"/>
      <w:marBottom w:val="0"/>
      <w:divBdr>
        <w:top w:val="none" w:sz="0" w:space="0" w:color="auto"/>
        <w:left w:val="none" w:sz="0" w:space="0" w:color="auto"/>
        <w:bottom w:val="none" w:sz="0" w:space="0" w:color="auto"/>
        <w:right w:val="none" w:sz="0" w:space="0" w:color="auto"/>
      </w:divBdr>
    </w:div>
    <w:div w:id="1966232155">
      <w:bodyDiv w:val="1"/>
      <w:marLeft w:val="0"/>
      <w:marRight w:val="0"/>
      <w:marTop w:val="0"/>
      <w:marBottom w:val="0"/>
      <w:divBdr>
        <w:top w:val="none" w:sz="0" w:space="0" w:color="auto"/>
        <w:left w:val="none" w:sz="0" w:space="0" w:color="auto"/>
        <w:bottom w:val="none" w:sz="0" w:space="0" w:color="auto"/>
        <w:right w:val="none" w:sz="0" w:space="0" w:color="auto"/>
      </w:divBdr>
    </w:div>
    <w:div w:id="1986736380">
      <w:bodyDiv w:val="1"/>
      <w:marLeft w:val="0"/>
      <w:marRight w:val="0"/>
      <w:marTop w:val="0"/>
      <w:marBottom w:val="0"/>
      <w:divBdr>
        <w:top w:val="none" w:sz="0" w:space="0" w:color="auto"/>
        <w:left w:val="none" w:sz="0" w:space="0" w:color="auto"/>
        <w:bottom w:val="none" w:sz="0" w:space="0" w:color="auto"/>
        <w:right w:val="none" w:sz="0" w:space="0" w:color="auto"/>
      </w:divBdr>
    </w:div>
    <w:div w:id="1991400877">
      <w:bodyDiv w:val="1"/>
      <w:marLeft w:val="0"/>
      <w:marRight w:val="0"/>
      <w:marTop w:val="0"/>
      <w:marBottom w:val="0"/>
      <w:divBdr>
        <w:top w:val="none" w:sz="0" w:space="0" w:color="auto"/>
        <w:left w:val="none" w:sz="0" w:space="0" w:color="auto"/>
        <w:bottom w:val="none" w:sz="0" w:space="0" w:color="auto"/>
        <w:right w:val="none" w:sz="0" w:space="0" w:color="auto"/>
      </w:divBdr>
    </w:div>
    <w:div w:id="2018457536">
      <w:bodyDiv w:val="1"/>
      <w:marLeft w:val="0"/>
      <w:marRight w:val="0"/>
      <w:marTop w:val="0"/>
      <w:marBottom w:val="0"/>
      <w:divBdr>
        <w:top w:val="none" w:sz="0" w:space="0" w:color="auto"/>
        <w:left w:val="none" w:sz="0" w:space="0" w:color="auto"/>
        <w:bottom w:val="none" w:sz="0" w:space="0" w:color="auto"/>
        <w:right w:val="none" w:sz="0" w:space="0" w:color="auto"/>
      </w:divBdr>
    </w:div>
    <w:div w:id="2046372189">
      <w:bodyDiv w:val="1"/>
      <w:marLeft w:val="0"/>
      <w:marRight w:val="0"/>
      <w:marTop w:val="0"/>
      <w:marBottom w:val="0"/>
      <w:divBdr>
        <w:top w:val="none" w:sz="0" w:space="0" w:color="auto"/>
        <w:left w:val="none" w:sz="0" w:space="0" w:color="auto"/>
        <w:bottom w:val="none" w:sz="0" w:space="0" w:color="auto"/>
        <w:right w:val="none" w:sz="0" w:space="0" w:color="auto"/>
      </w:divBdr>
    </w:div>
    <w:div w:id="2047870840">
      <w:bodyDiv w:val="1"/>
      <w:marLeft w:val="0"/>
      <w:marRight w:val="0"/>
      <w:marTop w:val="0"/>
      <w:marBottom w:val="0"/>
      <w:divBdr>
        <w:top w:val="none" w:sz="0" w:space="0" w:color="auto"/>
        <w:left w:val="none" w:sz="0" w:space="0" w:color="auto"/>
        <w:bottom w:val="none" w:sz="0" w:space="0" w:color="auto"/>
        <w:right w:val="none" w:sz="0" w:space="0" w:color="auto"/>
      </w:divBdr>
    </w:div>
    <w:div w:id="2053798570">
      <w:bodyDiv w:val="1"/>
      <w:marLeft w:val="0"/>
      <w:marRight w:val="0"/>
      <w:marTop w:val="0"/>
      <w:marBottom w:val="0"/>
      <w:divBdr>
        <w:top w:val="none" w:sz="0" w:space="0" w:color="auto"/>
        <w:left w:val="none" w:sz="0" w:space="0" w:color="auto"/>
        <w:bottom w:val="none" w:sz="0" w:space="0" w:color="auto"/>
        <w:right w:val="none" w:sz="0" w:space="0" w:color="auto"/>
      </w:divBdr>
    </w:div>
    <w:div w:id="2073234177">
      <w:bodyDiv w:val="1"/>
      <w:marLeft w:val="0"/>
      <w:marRight w:val="0"/>
      <w:marTop w:val="0"/>
      <w:marBottom w:val="0"/>
      <w:divBdr>
        <w:top w:val="none" w:sz="0" w:space="0" w:color="auto"/>
        <w:left w:val="none" w:sz="0" w:space="0" w:color="auto"/>
        <w:bottom w:val="none" w:sz="0" w:space="0" w:color="auto"/>
        <w:right w:val="none" w:sz="0" w:space="0" w:color="auto"/>
      </w:divBdr>
    </w:div>
    <w:div w:id="2107840859">
      <w:bodyDiv w:val="1"/>
      <w:marLeft w:val="0"/>
      <w:marRight w:val="0"/>
      <w:marTop w:val="0"/>
      <w:marBottom w:val="0"/>
      <w:divBdr>
        <w:top w:val="none" w:sz="0" w:space="0" w:color="auto"/>
        <w:left w:val="none" w:sz="0" w:space="0" w:color="auto"/>
        <w:bottom w:val="none" w:sz="0" w:space="0" w:color="auto"/>
        <w:right w:val="none" w:sz="0" w:space="0" w:color="auto"/>
      </w:divBdr>
    </w:div>
    <w:div w:id="2116559203">
      <w:bodyDiv w:val="1"/>
      <w:marLeft w:val="0"/>
      <w:marRight w:val="0"/>
      <w:marTop w:val="0"/>
      <w:marBottom w:val="0"/>
      <w:divBdr>
        <w:top w:val="none" w:sz="0" w:space="0" w:color="auto"/>
        <w:left w:val="none" w:sz="0" w:space="0" w:color="auto"/>
        <w:bottom w:val="none" w:sz="0" w:space="0" w:color="auto"/>
        <w:right w:val="none" w:sz="0" w:space="0" w:color="auto"/>
      </w:divBdr>
    </w:div>
    <w:div w:id="2117212122">
      <w:bodyDiv w:val="1"/>
      <w:marLeft w:val="0"/>
      <w:marRight w:val="0"/>
      <w:marTop w:val="0"/>
      <w:marBottom w:val="0"/>
      <w:divBdr>
        <w:top w:val="none" w:sz="0" w:space="0" w:color="auto"/>
        <w:left w:val="none" w:sz="0" w:space="0" w:color="auto"/>
        <w:bottom w:val="none" w:sz="0" w:space="0" w:color="auto"/>
        <w:right w:val="none" w:sz="0" w:space="0" w:color="auto"/>
      </w:divBdr>
    </w:div>
    <w:div w:id="2121995467">
      <w:bodyDiv w:val="1"/>
      <w:marLeft w:val="0"/>
      <w:marRight w:val="0"/>
      <w:marTop w:val="0"/>
      <w:marBottom w:val="0"/>
      <w:divBdr>
        <w:top w:val="none" w:sz="0" w:space="0" w:color="auto"/>
        <w:left w:val="none" w:sz="0" w:space="0" w:color="auto"/>
        <w:bottom w:val="none" w:sz="0" w:space="0" w:color="auto"/>
        <w:right w:val="none" w:sz="0" w:space="0" w:color="auto"/>
      </w:divBdr>
    </w:div>
    <w:div w:id="214141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3.xml"/><Relationship Id="rId26" Type="http://schemas.openxmlformats.org/officeDocument/2006/relationships/footer" Target="footer8.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eader" Target="header6.xml"/><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1.xml"/><Relationship Id="rId22" Type="http://schemas.openxmlformats.org/officeDocument/2006/relationships/image" Target="media/image7.png"/><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hyperlink" Target="http://www.vu.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CIRES\CIRES%20templates\CIRES_v3Jul17_blank.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vuclfile-res.ad.vu.edu.au\Research\CIRES\SES%20Score%202017\Data\Phase_2_Analysis\SIH_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81714785651793"/>
          <c:y val="4.1666666666666664E-2"/>
          <c:w val="0.73392125984251966"/>
          <c:h val="0.65901137357830275"/>
        </c:manualLayout>
      </c:layout>
      <c:lineChart>
        <c:grouping val="standard"/>
        <c:varyColors val="0"/>
        <c:ser>
          <c:idx val="0"/>
          <c:order val="0"/>
          <c:tx>
            <c:strRef>
              <c:f>Graphs!$A$7</c:f>
              <c:strCache>
                <c:ptCount val="1"/>
                <c:pt idx="0">
                  <c:v>Median gross household income (LHS)</c:v>
                </c:pt>
              </c:strCache>
            </c:strRef>
          </c:tx>
          <c:spPr>
            <a:ln w="28575" cap="rnd">
              <a:solidFill>
                <a:srgbClr val="203864"/>
              </a:solidFill>
              <a:round/>
            </a:ln>
            <a:effectLst/>
          </c:spPr>
          <c:marker>
            <c:symbol val="triangle"/>
            <c:size val="6"/>
            <c:spPr>
              <a:solidFill>
                <a:schemeClr val="accent1"/>
              </a:solidFill>
              <a:ln w="9525">
                <a:noFill/>
              </a:ln>
              <a:effectLst/>
            </c:spPr>
          </c:marker>
          <c:cat>
            <c:strRef>
              <c:f>Graphs!$B$6:$F$6</c:f>
              <c:strCache>
                <c:ptCount val="5"/>
                <c:pt idx="0">
                  <c:v>15–24</c:v>
                </c:pt>
                <c:pt idx="1">
                  <c:v>25–34</c:v>
                </c:pt>
                <c:pt idx="2">
                  <c:v>35–44</c:v>
                </c:pt>
                <c:pt idx="3">
                  <c:v>45–54</c:v>
                </c:pt>
                <c:pt idx="4">
                  <c:v>55–64</c:v>
                </c:pt>
              </c:strCache>
            </c:strRef>
          </c:cat>
          <c:val>
            <c:numRef>
              <c:f>Graphs!$B$7:$F$7</c:f>
              <c:numCache>
                <c:formatCode>"$"#,##0</c:formatCode>
                <c:ptCount val="5"/>
                <c:pt idx="0">
                  <c:v>1303</c:v>
                </c:pt>
                <c:pt idx="1">
                  <c:v>1934</c:v>
                </c:pt>
                <c:pt idx="2">
                  <c:v>2161</c:v>
                </c:pt>
                <c:pt idx="3">
                  <c:v>2100</c:v>
                </c:pt>
                <c:pt idx="4">
                  <c:v>1711</c:v>
                </c:pt>
              </c:numCache>
            </c:numRef>
          </c:val>
          <c:smooth val="0"/>
          <c:extLst>
            <c:ext xmlns:c16="http://schemas.microsoft.com/office/drawing/2014/chart" uri="{C3380CC4-5D6E-409C-BE32-E72D297353CC}">
              <c16:uniqueId val="{00000000-0454-4948-8F5D-037B44F22A50}"/>
            </c:ext>
          </c:extLst>
        </c:ser>
        <c:dLbls>
          <c:showLegendKey val="0"/>
          <c:showVal val="0"/>
          <c:showCatName val="0"/>
          <c:showSerName val="0"/>
          <c:showPercent val="0"/>
          <c:showBubbleSize val="0"/>
        </c:dLbls>
        <c:marker val="1"/>
        <c:smooth val="0"/>
        <c:axId val="634295728"/>
        <c:axId val="503015504"/>
      </c:lineChart>
      <c:lineChart>
        <c:grouping val="standard"/>
        <c:varyColors val="0"/>
        <c:ser>
          <c:idx val="1"/>
          <c:order val="1"/>
          <c:tx>
            <c:strRef>
              <c:f>Graphs!$A$8</c:f>
              <c:strCache>
                <c:ptCount val="1"/>
                <c:pt idx="0">
                  <c:v>Median household net wealth (RHS)</c:v>
                </c:pt>
              </c:strCache>
            </c:strRef>
          </c:tx>
          <c:spPr>
            <a:ln w="28575" cap="rnd">
              <a:solidFill>
                <a:srgbClr val="7E7E7E"/>
              </a:solidFill>
              <a:prstDash val="sysDash"/>
              <a:round/>
            </a:ln>
            <a:effectLst/>
          </c:spPr>
          <c:marker>
            <c:symbol val="circle"/>
            <c:size val="5"/>
            <c:spPr>
              <a:solidFill>
                <a:srgbClr val="7E7E7E"/>
              </a:solidFill>
              <a:ln w="9525">
                <a:noFill/>
              </a:ln>
              <a:effectLst/>
            </c:spPr>
          </c:marker>
          <c:cat>
            <c:strRef>
              <c:f>Graphs!$B$6:$F$6</c:f>
              <c:strCache>
                <c:ptCount val="5"/>
                <c:pt idx="0">
                  <c:v>15–24</c:v>
                </c:pt>
                <c:pt idx="1">
                  <c:v>25–34</c:v>
                </c:pt>
                <c:pt idx="2">
                  <c:v>35–44</c:v>
                </c:pt>
                <c:pt idx="3">
                  <c:v>45–54</c:v>
                </c:pt>
                <c:pt idx="4">
                  <c:v>55–64</c:v>
                </c:pt>
              </c:strCache>
            </c:strRef>
          </c:cat>
          <c:val>
            <c:numRef>
              <c:f>Graphs!$B$8:$F$8</c:f>
              <c:numCache>
                <c:formatCode>"$"#,##0</c:formatCode>
                <c:ptCount val="5"/>
                <c:pt idx="0">
                  <c:v>35.1</c:v>
                </c:pt>
                <c:pt idx="1">
                  <c:v>164.8</c:v>
                </c:pt>
                <c:pt idx="2">
                  <c:v>411.8</c:v>
                </c:pt>
                <c:pt idx="3">
                  <c:v>642.70000000000005</c:v>
                </c:pt>
                <c:pt idx="4">
                  <c:v>898.4</c:v>
                </c:pt>
              </c:numCache>
            </c:numRef>
          </c:val>
          <c:smooth val="1"/>
          <c:extLst>
            <c:ext xmlns:c16="http://schemas.microsoft.com/office/drawing/2014/chart" uri="{C3380CC4-5D6E-409C-BE32-E72D297353CC}">
              <c16:uniqueId val="{00000001-0454-4948-8F5D-037B44F22A50}"/>
            </c:ext>
          </c:extLst>
        </c:ser>
        <c:dLbls>
          <c:showLegendKey val="0"/>
          <c:showVal val="0"/>
          <c:showCatName val="0"/>
          <c:showSerName val="0"/>
          <c:showPercent val="0"/>
          <c:showBubbleSize val="0"/>
        </c:dLbls>
        <c:marker val="1"/>
        <c:smooth val="0"/>
        <c:axId val="634309040"/>
        <c:axId val="502942928"/>
      </c:lineChart>
      <c:catAx>
        <c:axId val="634295728"/>
        <c:scaling>
          <c:orientation val="minMax"/>
        </c:scaling>
        <c:delete val="0"/>
        <c:axPos val="b"/>
        <c:title>
          <c:tx>
            <c:strRef>
              <c:f>Graphs!$A$13</c:f>
              <c:strCache>
                <c:ptCount val="1"/>
                <c:pt idx="0">
                  <c:v>Age of reference person (years)</c:v>
                </c:pt>
              </c:strCache>
            </c:strRef>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03015504"/>
        <c:crosses val="autoZero"/>
        <c:auto val="1"/>
        <c:lblAlgn val="ctr"/>
        <c:lblOffset val="100"/>
        <c:noMultiLvlLbl val="0"/>
      </c:catAx>
      <c:valAx>
        <c:axId val="503015504"/>
        <c:scaling>
          <c:orientation val="minMax"/>
        </c:scaling>
        <c:delete val="0"/>
        <c:axPos val="l"/>
        <c:majorGridlines>
          <c:spPr>
            <a:ln w="9525" cap="flat" cmpd="sng" algn="ctr">
              <a:solidFill>
                <a:schemeClr val="tx1">
                  <a:lumMod val="15000"/>
                  <a:lumOff val="85000"/>
                </a:schemeClr>
              </a:solidFill>
              <a:round/>
            </a:ln>
            <a:effectLst/>
          </c:spPr>
        </c:majorGridlines>
        <c:title>
          <c:tx>
            <c:strRef>
              <c:f>Graphs!$A$10</c:f>
              <c:strCache>
                <c:ptCount val="1"/>
                <c:pt idx="0">
                  <c:v>Household gross income (weekly)</c:v>
                </c:pt>
              </c:strCache>
            </c:strRef>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4295728"/>
        <c:crosses val="autoZero"/>
        <c:crossBetween val="between"/>
      </c:valAx>
      <c:valAx>
        <c:axId val="502942928"/>
        <c:scaling>
          <c:orientation val="minMax"/>
        </c:scaling>
        <c:delete val="0"/>
        <c:axPos val="r"/>
        <c:title>
          <c:tx>
            <c:strRef>
              <c:f>Graphs!$A$11</c:f>
              <c:strCache>
                <c:ptCount val="1"/>
                <c:pt idx="0">
                  <c:v>Median household net wealth ($'000)</c:v>
                </c:pt>
              </c:strCache>
            </c:strRef>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4309040"/>
        <c:crosses val="max"/>
        <c:crossBetween val="between"/>
        <c:majorUnit val="200"/>
      </c:valAx>
      <c:catAx>
        <c:axId val="634309040"/>
        <c:scaling>
          <c:orientation val="minMax"/>
        </c:scaling>
        <c:delete val="1"/>
        <c:axPos val="b"/>
        <c:numFmt formatCode="General" sourceLinked="1"/>
        <c:majorTickMark val="out"/>
        <c:minorTickMark val="none"/>
        <c:tickLblPos val="nextTo"/>
        <c:crossAx val="502942928"/>
        <c:crosses val="autoZero"/>
        <c:auto val="1"/>
        <c:lblAlgn val="ctr"/>
        <c:lblOffset val="100"/>
        <c:noMultiLvlLbl val="0"/>
      </c:catAx>
      <c:spPr>
        <a:noFill/>
        <a:ln>
          <a:noFill/>
        </a:ln>
        <a:effectLst/>
      </c:spPr>
    </c:plotArea>
    <c:legend>
      <c:legendPos val="b"/>
      <c:layout>
        <c:manualLayout>
          <c:xMode val="edge"/>
          <c:yMode val="edge"/>
          <c:x val="4.543659003831417E-2"/>
          <c:y val="0.87008111556325241"/>
          <c:w val="0.95079352580927379"/>
          <c:h val="0.107639982502187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F6F8FB"/>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Cen17</b:Tag>
    <b:SourceType>Report</b:SourceType>
    <b:Guid>{0821CFCD-5CD0-4774-8786-4C319C8E88FB}</b:Guid>
    <b:Author>
      <b:Author>
        <b:Corporate>Centre for International Research on Education Systems, Victoria University</b:Corporate>
      </b:Author>
    </b:Author>
    <b:Title>The Socio-Economic Status (SES) score methodology used in recurrent school funding arrangements – Research Paper</b:Title>
    <b:Year>2017</b:Year>
    <b:Publisher>Australian Government Department of Education and Training</b:Publisher>
    <b:City>Canberra</b:City>
    <b:RefOrder>10</b:RefOrder>
  </b:Source>
  <b:Source>
    <b:Tag>Cat17</b:Tag>
    <b:SourceType>Report</b:SourceType>
    <b:Guid>{ADE12C7B-AC82-4644-875E-F98A3C1E178D}</b:Guid>
    <b:Title>Capacity to contribute and school SES scores</b:Title>
    <b:Year>2017</b:Year>
    <b:City>Melbourne</b:City>
    <b:Publisher>Catholic Education Commission of Victoria</b:Publisher>
    <b:Author>
      <b:Author>
        <b:Corporate>Catholic Education Commission of Victoria</b:Corporate>
      </b:Author>
    </b:Author>
    <b:RefOrder>1</b:RefOrder>
  </b:Source>
  <b:Source>
    <b:Tag>Far</b:Tag>
    <b:SourceType>ConferenceProceedings</b:SourceType>
    <b:Guid>{0A29B93C-AF9C-47A9-87F3-6A71B82C611E}</b:Guid>
    <b:Author>
      <b:Author>
        <b:NameList>
          <b:Person>
            <b:Last>Farish</b:Last>
            <b:First>Stephen</b:First>
          </b:Person>
        </b:NameList>
      </b:Author>
    </b:Author>
    <b:Title>Senate Employment Legislation Committee inquiry into the Australian Education Amendment Bill 2017</b:Title>
    <b:Pages>1-8</b:Pages>
    <b:Year>2017</b:Year>
    <b:ConferenceName>Senate Education and Employment Legislation Committee</b:ConferenceName>
    <b:City>Canberra</b:City>
    <b:Publisher>Commonwealth of Australia</b:Publisher>
    <b:RefOrder>11</b:RefOrder>
  </b:Source>
  <b:Source>
    <b:Tag>Dun02</b:Tag>
    <b:SourceType>JournalArticle</b:SourceType>
    <b:Guid>{5FCEEB99-26E6-4B91-8ED2-4C5C2BC16F15}</b:Guid>
    <b:Title>Optimal Indicators of Socioeconomic Status for Health Research</b:Title>
    <b:Year>2002</b:Year>
    <b:JournalName>American Journal of Public Health</b:JournalName>
    <b:Pages>1151-1158</b:Pages>
    <b:Volume>92</b:Volume>
    <b:Issue>7</b:Issue>
    <b:Author>
      <b:Author>
        <b:NameList>
          <b:Person>
            <b:Last>Duncan</b:Last>
            <b:First>G</b:First>
          </b:Person>
          <b:Person>
            <b:Last>Daly</b:Last>
            <b:First>M</b:First>
          </b:Person>
          <b:Person>
            <b:Last>McDonough</b:Last>
            <b:First>P</b:First>
          </b:Person>
          <b:Person>
            <b:Last>Williams</b:Last>
            <b:First>D</b:First>
          </b:Person>
        </b:NameList>
      </b:Author>
    </b:Author>
    <b:RefOrder>4</b:RefOrder>
  </b:Source>
  <b:Source>
    <b:Tag>Aus181</b:Tag>
    <b:SourceType>Report</b:SourceType>
    <b:Guid>{21EFD160-0275-4EFE-B41A-151F9B75B7F9}</b:Guid>
    <b:Author>
      <b:Author>
        <b:Corporate>Australian Bureau of Statistics</b:Corporate>
      </b:Author>
    </b:Author>
    <b:Title>Socio-Economic Indexes for Areas (SEIFA): Technical Paper, Cat. No. 2033.0.55.001</b:Title>
    <b:Year>2018</b:Year>
    <b:Publisher>Australian Bureau of Statistics</b:Publisher>
    <b:City>Canberra</b:City>
    <b:RefOrder>12</b:RefOrder>
  </b:Source>
  <b:Source>
    <b:Tag>Far13</b:Tag>
    <b:SourceType>Report</b:SourceType>
    <b:Guid>{BC5F23F2-996A-4E5D-93C3-126B04EA6F93}</b:Guid>
    <b:Title>Recalculation of the Modified A Socioeconomic Status (SES) Indicator using 2011 Australian Bureau of Statistics Census Data</b:Title>
    <b:Year>2013</b:Year>
    <b:City>Canberra</b:City>
    <b:Publisher>Department of Education, Employment and Workplace Relations</b:Publisher>
    <b:Author>
      <b:Author>
        <b:NameList>
          <b:Person>
            <b:Last>Farish</b:Last>
            <b:First>Stephen</b:First>
          </b:Person>
        </b:NameList>
      </b:Author>
    </b:Author>
    <b:RefOrder>7</b:RefOrder>
  </b:Source>
  <b:Source>
    <b:Tag>Dun89</b:Tag>
    <b:SourceType>Book</b:SourceType>
    <b:Guid>{95E50DA4-6702-4587-871A-749C8A30CDAD}</b:Guid>
    <b:Title>Principal Components Analysis</b:Title>
    <b:Year>1989</b:Year>
    <b:Publisher>Sage Publications</b:Publisher>
    <b:City>Newbury Park, California</b:City>
    <b:Author>
      <b:Author>
        <b:NameList>
          <b:Person>
            <b:Last>Dunteman</b:Last>
            <b:First>George</b:First>
            <b:Middle>H.</b:Middle>
          </b:Person>
        </b:NameList>
      </b:Author>
    </b:Author>
    <b:RefOrder>6</b:RefOrder>
  </b:Source>
  <b:Source>
    <b:Tag>Kol09</b:Tag>
    <b:SourceType>ArticleInAPeriodical</b:SourceType>
    <b:Guid>{B63A2C64-696D-486C-A8FE-6477D5C3ECAF}</b:Guid>
    <b:Title>Socioeconomic status measurement with discrete proxy variables: Is principal component analysis a reliable answer?</b:Title>
    <b:Year>2009</b:Year>
    <b:Month>March</b:Month>
    <b:Author>
      <b:Author>
        <b:NameList>
          <b:Person>
            <b:Last>Kolenikov</b:Last>
            <b:First>Stanislav</b:First>
          </b:Person>
          <b:Person>
            <b:Last>Angeles</b:Last>
            <b:First>Gustavo</b:First>
          </b:Person>
        </b:NameList>
      </b:Author>
    </b:Author>
    <b:PeriodicalTitle>Review of Income and Wealth</b:PeriodicalTitle>
    <b:Pages>128-165</b:Pages>
    <b:Volume>55</b:Volume>
    <b:Issue>1</b:Issue>
    <b:RefOrder>8</b:RefOrder>
  </b:Source>
  <b:Source>
    <b:Tag>Aus05</b:Tag>
    <b:SourceType>Report</b:SourceType>
    <b:Guid>{B8242961-40AF-4113-A7D7-B404278A0BCE}</b:Guid>
    <b:Author>
      <b:Author>
        <b:Corporate>Australian Bureau of Statistics</b:Corporate>
      </b:Author>
    </b:Author>
    <b:Title>Information Paper: ANZSCO - Australian and New Zealand Standard Classification of Occupations, 2005, Cat. No. 1221.0</b:Title>
    <b:Year>2005</b:Year>
    <b:Publisher>Australian Bureau of Statistics</b:Publisher>
    <b:City>Canberra</b:City>
    <b:RefOrder>13</b:RefOrder>
  </b:Source>
  <b:Source>
    <b:Tag>Dep99</b:Tag>
    <b:SourceType>Report</b:SourceType>
    <b:Guid>{52790B95-F313-41E3-8B1A-46F3EC4A0F4E}</b:Guid>
    <b:Author>
      <b:Author>
        <b:Corporate>Department of Education, Training and Youth Affairs</b:Corporate>
      </b:Author>
    </b:Author>
    <b:Title>SES Simulation Project: Validation Report</b:Title>
    <b:Year>1999</b:Year>
    <b:Publisher>Department of Education, Training and Youth Affairs</b:Publisher>
    <b:City>Canberra</b:City>
    <b:RefOrder>14</b:RefOrder>
  </b:Source>
  <b:Source>
    <b:Tag>OEC13</b:Tag>
    <b:SourceType>Report</b:SourceType>
    <b:Guid>{497294AA-371A-405D-A8FD-367E1607E59A}</b:Guid>
    <b:Author>
      <b:Author>
        <b:Corporate>Organisation for Economic Co-operation and Development</b:Corporate>
      </b:Author>
    </b:Author>
    <b:Title>OECD Framework for Statistics on the Distribution of Household Income, Consumption and Wealth</b:Title>
    <b:City>Paris</b:City>
    <b:Year>2013</b:Year>
    <b:Publisher>OECD Publishing</b:Publisher>
    <b:RefOrder>3</b:RefOrder>
  </b:Source>
  <b:Source>
    <b:Tag>Aus16</b:Tag>
    <b:SourceType>Report</b:SourceType>
    <b:Guid>{4F7A86E1-4353-4A11-8FC6-D25646A526BD}</b:Guid>
    <b:Author>
      <b:Author>
        <b:Corporate>Australian Bureau of Statistics</b:Corporate>
      </b:Author>
    </b:Author>
    <b:Title>Census of Population and Housing: Census Dictionary, 2016, Cat. No. 2901.0</b:Title>
    <b:Year>2016</b:Year>
    <b:Publisher>Australian Bureau of Statistics</b:Publisher>
    <b:City>Canberra</b:City>
    <b:RefOrder>15</b:RefOrder>
  </b:Source>
  <b:Source>
    <b:Tag>Aus171</b:Tag>
    <b:SourceType>ElectronicSource</b:SourceType>
    <b:Guid>{181F3BD8-CB69-4E08-A67E-47543D2E8A5A}</b:Guid>
    <b:Author>
      <b:Author>
        <b:Corporate>Australian Bureau of Statistics</b:Corporate>
      </b:Author>
    </b:Author>
    <b:Title>Microdata: Household Expenditure, Income and Housing, 2015-16, Cat. No. 6540.0</b:Title>
    <b:Year>2017c</b:Year>
    <b:City>Canberra</b:City>
    <b:StateProvince>Australian Capital Territory</b:StateProvince>
    <b:CountryRegion>Australia</b:CountryRegion>
    <b:Month>October</b:Month>
    <b:Day>25</b:Day>
    <b:RefOrder>9</b:RefOrder>
  </b:Source>
  <b:Source>
    <b:Tag>Aus172</b:Tag>
    <b:SourceType>InternetSite</b:SourceType>
    <b:Guid>{2634BDE8-A0F4-4CB7-9C60-D69B2DC1FB04}</b:Guid>
    <b:Title>Key Concepts</b:Title>
    <b:Year>2017b</b:Year>
    <b:Author>
      <b:Author>
        <b:Corporate>Australian Bureau of Statistics</b:Corporate>
      </b:Author>
    </b:Author>
    <b:InternetSiteTitle>Household Income and Wealth, Australia, 2015-16</b:InternetSiteTitle>
    <b:URL>http://www.abs.gov.au/ausstats/abs@.nsf/Lookup/by%20Subject/6523.0~2015-16~Main%20Features~Key%20Concepts~3</b:URL>
    <b:RefOrder>5</b:RefOrder>
  </b:Source>
  <b:Source>
    <b:Tag>Aus173</b:Tag>
    <b:SourceType>ElectronicSource</b:SourceType>
    <b:Guid>{C64DB5E2-EEA8-4F8E-B66C-ACE258815D18}</b:Guid>
    <b:Author>
      <b:Author>
        <b:Corporate>Australian Bureau of Statistics</b:Corporate>
      </b:Author>
    </b:Author>
    <b:Title>Household Income and Wealth, Australia: Summary of Results, 2015–16 , Cat. No. 6523.0</b:Title>
    <b:Year>2017a</b:Year>
    <b:City>Canberra</b:City>
    <b:StateProvince>Australian Capital Territory</b:StateProvince>
    <b:CountryRegion>Australia</b:CountryRegion>
    <b:Publisher>Australian Bureau of Statistics</b:Publisher>
    <b:RefOrder>2</b:RefOrder>
  </b:Source>
</b:Sources>
</file>

<file path=customXml/itemProps1.xml><?xml version="1.0" encoding="utf-8"?>
<ds:datastoreItem xmlns:ds="http://schemas.openxmlformats.org/officeDocument/2006/customXml" ds:itemID="{9EFE5F14-B3B9-49B2-9E04-EB09B0911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CIRES_v3Jul17_blank.dotm</Template>
  <TotalTime>0</TotalTime>
  <Pages>32</Pages>
  <Words>7439</Words>
  <Characters>42408</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The potential for including household wealth in a measure of capacity to contribute</vt:lpstr>
    </vt:vector>
  </TitlesOfParts>
  <Company>UOM</Company>
  <LinksUpToDate>false</LinksUpToDate>
  <CharactersWithSpaces>49748</CharactersWithSpaces>
  <SharedDoc>false</SharedDoc>
  <HLinks>
    <vt:vector size="42" baseType="variant">
      <vt:variant>
        <vt:i4>3473505</vt:i4>
      </vt:variant>
      <vt:variant>
        <vt:i4>18</vt:i4>
      </vt:variant>
      <vt:variant>
        <vt:i4>0</vt:i4>
      </vt:variant>
      <vt:variant>
        <vt:i4>5</vt:i4>
      </vt:variant>
      <vt:variant>
        <vt:lpwstr>http://www.edfac.unimelb.edu.au/cpell/projects/</vt:lpwstr>
      </vt:variant>
      <vt:variant>
        <vt:lpwstr/>
      </vt:variant>
      <vt:variant>
        <vt:i4>3080306</vt:i4>
      </vt:variant>
      <vt:variant>
        <vt:i4>15</vt:i4>
      </vt:variant>
      <vt:variant>
        <vt:i4>0</vt:i4>
      </vt:variant>
      <vt:variant>
        <vt:i4>5</vt:i4>
      </vt:variant>
      <vt:variant>
        <vt:lpwstr>http://www.edfac.unimelb.edu.au/cpell/publications/</vt:lpwstr>
      </vt:variant>
      <vt:variant>
        <vt:lpwstr/>
      </vt:variant>
      <vt:variant>
        <vt:i4>4587587</vt:i4>
      </vt:variant>
      <vt:variant>
        <vt:i4>12</vt:i4>
      </vt:variant>
      <vt:variant>
        <vt:i4>0</vt:i4>
      </vt:variant>
      <vt:variant>
        <vt:i4>5</vt:i4>
      </vt:variant>
      <vt:variant>
        <vt:lpwstr>http://www.eduweb.vic.gov.au/edulibrary/public/postcomp/effectivestrategiesguideprint.pdf</vt:lpwstr>
      </vt:variant>
      <vt:variant>
        <vt:lpwstr/>
      </vt:variant>
      <vt:variant>
        <vt:i4>7340135</vt:i4>
      </vt:variant>
      <vt:variant>
        <vt:i4>9</vt:i4>
      </vt:variant>
      <vt:variant>
        <vt:i4>0</vt:i4>
      </vt:variant>
      <vt:variant>
        <vt:i4>5</vt:i4>
      </vt:variant>
      <vt:variant>
        <vt:lpwstr>http://www.eduweb.vic.gov.au/edulibrary/public/postcomp/effectivestrategiesreportprint.pdf</vt:lpwstr>
      </vt:variant>
      <vt:variant>
        <vt:lpwstr/>
      </vt:variant>
      <vt:variant>
        <vt:i4>8257555</vt:i4>
      </vt:variant>
      <vt:variant>
        <vt:i4>6</vt:i4>
      </vt:variant>
      <vt:variant>
        <vt:i4>0</vt:i4>
      </vt:variant>
      <vt:variant>
        <vt:i4>5</vt:i4>
      </vt:variant>
      <vt:variant>
        <vt:lpwstr>http://www.fya.org.au/wp-content/uploads/2009/05/fya_hypafreport_online_68pp.pdf</vt:lpwstr>
      </vt:variant>
      <vt:variant>
        <vt:lpwstr/>
      </vt:variant>
      <vt:variant>
        <vt:i4>2687013</vt:i4>
      </vt:variant>
      <vt:variant>
        <vt:i4>3</vt:i4>
      </vt:variant>
      <vt:variant>
        <vt:i4>0</vt:i4>
      </vt:variant>
      <vt:variant>
        <vt:i4>5</vt:i4>
      </vt:variant>
      <vt:variant>
        <vt:lpwstr>http://cdrp.ucsb.edu/dropouts/download.php?file=researchreport7.pdf</vt:lpwstr>
      </vt:variant>
      <vt:variant>
        <vt:lpwstr/>
      </vt:variant>
      <vt:variant>
        <vt:i4>6094883</vt:i4>
      </vt:variant>
      <vt:variant>
        <vt:i4>0</vt:i4>
      </vt:variant>
      <vt:variant>
        <vt:i4>0</vt:i4>
      </vt:variant>
      <vt:variant>
        <vt:i4>5</vt:i4>
      </vt:variant>
      <vt:variant>
        <vt:lpwstr>mailto:lamb@unimelb.edu.au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potential for including household wealth in a measure of capacity to contribute</dc:title>
  <dc:creator>Andrew Wade</dc:creator>
  <cp:lastModifiedBy>HODGSON,Philip</cp:lastModifiedBy>
  <cp:revision>2</cp:revision>
  <cp:lastPrinted>2016-09-27T06:27:00Z</cp:lastPrinted>
  <dcterms:created xsi:type="dcterms:W3CDTF">2018-07-13T01:00:00Z</dcterms:created>
  <dcterms:modified xsi:type="dcterms:W3CDTF">2018-07-13T01:00:00Z</dcterms:modified>
</cp:coreProperties>
</file>