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24B44" w14:textId="187305D3" w:rsidR="000B7C8C" w:rsidRPr="00126EFC" w:rsidRDefault="008227CD" w:rsidP="003F5EC2">
      <w:pPr>
        <w:pStyle w:val="H1TITLE"/>
        <w:rPr>
          <w:rFonts w:cs="Arial"/>
          <w:b w:val="0"/>
          <w:caps/>
          <w:noProof w:val="0"/>
          <w:sz w:val="44"/>
          <w:szCs w:val="44"/>
          <w:lang w:val="en-GB"/>
        </w:rPr>
      </w:pPr>
      <w:bookmarkStart w:id="0" w:name="_Hlk505335675"/>
      <w:bookmarkStart w:id="1" w:name="_GoBack"/>
      <w:bookmarkEnd w:id="0"/>
      <w:bookmarkEnd w:id="1"/>
      <w:r>
        <w:rPr>
          <w:rFonts w:cs="Arial"/>
          <w:sz w:val="44"/>
          <w:szCs w:val="44"/>
        </w:rPr>
        <w:t xml:space="preserve">Stability of Incomes </w:t>
      </w:r>
      <w:r w:rsidR="00087843">
        <w:rPr>
          <w:rFonts w:cs="Arial"/>
          <w:sz w:val="44"/>
          <w:szCs w:val="44"/>
        </w:rPr>
        <w:t>for small geographies</w:t>
      </w:r>
    </w:p>
    <w:p w14:paraId="652ACA19" w14:textId="74171ABE" w:rsidR="00A93B7F" w:rsidRPr="00126EFC" w:rsidRDefault="007E4C38" w:rsidP="00C25C98">
      <w:pPr>
        <w:pStyle w:val="H1TITLE"/>
        <w:spacing w:before="840"/>
        <w:rPr>
          <w:rFonts w:cs="Arial"/>
          <w:b w:val="0"/>
          <w:caps/>
          <w:noProof w:val="0"/>
          <w:sz w:val="44"/>
          <w:szCs w:val="44"/>
          <w:lang w:val="en-GB"/>
        </w:rPr>
      </w:pPr>
      <w:r w:rsidRPr="006859F3">
        <w:rPr>
          <w:rFonts w:cs="Arial"/>
          <w:b w:val="0"/>
          <w:caps/>
          <w:noProof w:val="0"/>
          <w:sz w:val="44"/>
          <w:szCs w:val="44"/>
          <w:lang w:val="en-GB"/>
        </w:rPr>
        <w:t xml:space="preserve">Report for </w:t>
      </w:r>
      <w:r w:rsidR="008A6F5F" w:rsidRPr="006859F3">
        <w:rPr>
          <w:rFonts w:cs="Arial"/>
          <w:b w:val="0"/>
          <w:caps/>
          <w:noProof w:val="0"/>
          <w:sz w:val="44"/>
          <w:szCs w:val="44"/>
          <w:lang w:val="en-GB"/>
        </w:rPr>
        <w:t>THE NA</w:t>
      </w:r>
      <w:r w:rsidR="006859F3" w:rsidRPr="006859F3">
        <w:rPr>
          <w:rFonts w:cs="Arial"/>
          <w:b w:val="0"/>
          <w:caps/>
          <w:noProof w:val="0"/>
          <w:sz w:val="44"/>
          <w:szCs w:val="44"/>
          <w:lang w:val="en-GB"/>
        </w:rPr>
        <w:t>TIONAL SCHOOL RESOUCING BOARD</w:t>
      </w:r>
    </w:p>
    <w:p w14:paraId="35982003" w14:textId="77777777" w:rsidR="00A93B7F" w:rsidRPr="00126EFC" w:rsidRDefault="00A93B7F" w:rsidP="00B86D30">
      <w:pPr>
        <w:pStyle w:val="H1TITLE"/>
        <w:rPr>
          <w:rFonts w:cs="Arial"/>
          <w:b w:val="0"/>
          <w:caps/>
          <w:noProof w:val="0"/>
          <w:sz w:val="56"/>
          <w:szCs w:val="56"/>
          <w:lang w:val="en-GB"/>
        </w:rPr>
      </w:pPr>
    </w:p>
    <w:p w14:paraId="2810E164" w14:textId="2CF9432F" w:rsidR="00016798" w:rsidRPr="00126EFC" w:rsidRDefault="009B008B" w:rsidP="00B86D30">
      <w:pPr>
        <w:pStyle w:val="H1TITLE"/>
        <w:rPr>
          <w:rFonts w:cs="Arial"/>
          <w:b w:val="0"/>
          <w:noProof w:val="0"/>
          <w:sz w:val="56"/>
          <w:szCs w:val="56"/>
          <w:lang w:val="en-GB"/>
        </w:rPr>
      </w:pPr>
      <w:r>
        <w:rPr>
          <w:rFonts w:cs="Arial"/>
          <w:b w:val="0"/>
          <w:caps/>
          <w:noProof w:val="0"/>
          <w:sz w:val="28"/>
          <w:szCs w:val="28"/>
          <w:lang w:val="en-GB"/>
        </w:rPr>
        <w:t>March</w:t>
      </w:r>
      <w:r w:rsidR="008227CD">
        <w:rPr>
          <w:rFonts w:cs="Arial"/>
          <w:b w:val="0"/>
          <w:caps/>
          <w:noProof w:val="0"/>
          <w:sz w:val="28"/>
          <w:szCs w:val="28"/>
          <w:lang w:val="en-GB"/>
        </w:rPr>
        <w:t xml:space="preserve"> 2018</w:t>
      </w:r>
    </w:p>
    <w:sdt>
      <w:sdtPr>
        <w:rPr>
          <w:rFonts w:ascii="Arial" w:hAnsi="Arial" w:cs="Arial"/>
        </w:rPr>
        <w:alias w:val="Abstract"/>
        <w:id w:val="251871541"/>
        <w:showingPlcHdr/>
        <w:dataBinding w:prefixMappings="xmlns:ns0='http://schemas.microsoft.com/office/2006/coverPageProps' " w:xpath="/ns0:CoverPageProperties[1]/ns0:Abstract[1]" w:storeItemID="{55AF091B-3C7A-41E3-B477-F2FDAA23CFDA}"/>
        <w:text/>
      </w:sdtPr>
      <w:sdtEndPr/>
      <w:sdtContent>
        <w:p w14:paraId="7174593C" w14:textId="2648F880" w:rsidR="00D70D41" w:rsidRPr="00126EFC" w:rsidRDefault="00A93B7F" w:rsidP="003E60CB">
          <w:pPr>
            <w:rPr>
              <w:rFonts w:ascii="Arial" w:hAnsi="Arial" w:cs="Arial"/>
            </w:rPr>
          </w:pPr>
          <w:r w:rsidRPr="00126EFC">
            <w:rPr>
              <w:rFonts w:ascii="Arial" w:hAnsi="Arial" w:cs="Arial"/>
            </w:rPr>
            <w:t xml:space="preserve">     </w:t>
          </w:r>
        </w:p>
      </w:sdtContent>
    </w:sdt>
    <w:p w14:paraId="5EC8089B" w14:textId="77777777" w:rsidR="00411474" w:rsidRPr="00126EFC" w:rsidRDefault="00411474" w:rsidP="003805D8">
      <w:pPr>
        <w:ind w:firstLine="0"/>
        <w:rPr>
          <w:rFonts w:ascii="Arial" w:hAnsi="Arial" w:cs="Arial"/>
        </w:rPr>
      </w:pPr>
    </w:p>
    <w:p w14:paraId="76E775CA" w14:textId="49A48A01" w:rsidR="00A603EE" w:rsidRPr="00126EFC" w:rsidRDefault="009920CE" w:rsidP="003805D8">
      <w:pPr>
        <w:ind w:firstLine="0"/>
        <w:rPr>
          <w:rFonts w:ascii="Arial" w:hAnsi="Arial" w:cs="Arial"/>
        </w:rPr>
      </w:pPr>
      <w:r w:rsidRPr="00126EFC">
        <w:rPr>
          <w:rFonts w:ascii="Arial" w:hAnsi="Arial" w:cs="Arial"/>
        </w:rPr>
        <w:t xml:space="preserve">By </w:t>
      </w:r>
      <w:r w:rsidR="00CB1CD9" w:rsidRPr="00126EFC">
        <w:rPr>
          <w:rFonts w:ascii="Arial" w:hAnsi="Arial" w:cs="Arial"/>
        </w:rPr>
        <w:t>Robert Tanton</w:t>
      </w:r>
      <w:r w:rsidR="008227CD">
        <w:rPr>
          <w:rFonts w:ascii="Arial" w:hAnsi="Arial" w:cs="Arial"/>
        </w:rPr>
        <w:t xml:space="preserve"> and Dominic Peel</w:t>
      </w:r>
    </w:p>
    <w:p w14:paraId="6D01CC40" w14:textId="77777777" w:rsidR="000D438E" w:rsidRPr="00126EFC" w:rsidRDefault="000D438E" w:rsidP="003805D8">
      <w:pPr>
        <w:ind w:firstLine="0"/>
        <w:rPr>
          <w:rFonts w:ascii="Arial" w:hAnsi="Arial" w:cs="Arial"/>
        </w:rPr>
      </w:pPr>
    </w:p>
    <w:p w14:paraId="289EBA60" w14:textId="269EAFB9" w:rsidR="00A603EE" w:rsidRPr="00126EFC" w:rsidRDefault="00A603EE" w:rsidP="003805D8">
      <w:pPr>
        <w:ind w:firstLine="0"/>
        <w:rPr>
          <w:rFonts w:ascii="Arial" w:hAnsi="Arial" w:cs="Arial"/>
        </w:rPr>
      </w:pPr>
    </w:p>
    <w:p w14:paraId="6C60AF3E" w14:textId="701798F2" w:rsidR="00A603EE" w:rsidRPr="00126EFC" w:rsidRDefault="00A603EE" w:rsidP="003805D8">
      <w:pPr>
        <w:ind w:firstLine="0"/>
        <w:rPr>
          <w:rFonts w:ascii="Arial" w:hAnsi="Arial" w:cs="Arial"/>
        </w:rPr>
      </w:pPr>
    </w:p>
    <w:p w14:paraId="13D14FA5" w14:textId="12560E48" w:rsidR="003805D8" w:rsidRPr="00126EFC" w:rsidRDefault="003805D8" w:rsidP="003805D8">
      <w:pPr>
        <w:ind w:firstLine="0"/>
        <w:rPr>
          <w:rFonts w:ascii="Arial" w:hAnsi="Arial" w:cs="Arial"/>
        </w:rPr>
      </w:pPr>
    </w:p>
    <w:p w14:paraId="217ADAFE" w14:textId="05DD0493" w:rsidR="00584794" w:rsidRPr="00126EFC" w:rsidRDefault="00584794" w:rsidP="003805D8">
      <w:pPr>
        <w:ind w:firstLine="0"/>
        <w:rPr>
          <w:rFonts w:ascii="Arial" w:hAnsi="Arial" w:cs="Arial"/>
        </w:rPr>
      </w:pPr>
    </w:p>
    <w:p w14:paraId="23CF0EB5" w14:textId="2385714C" w:rsidR="00584794" w:rsidRPr="00126EFC" w:rsidRDefault="00584794" w:rsidP="003805D8">
      <w:pPr>
        <w:ind w:firstLine="0"/>
        <w:rPr>
          <w:rFonts w:ascii="Arial" w:hAnsi="Arial" w:cs="Arial"/>
        </w:rPr>
      </w:pPr>
    </w:p>
    <w:p w14:paraId="7CDC4101" w14:textId="110C078A" w:rsidR="00584794" w:rsidRPr="00126EFC" w:rsidRDefault="00584794" w:rsidP="003805D8">
      <w:pPr>
        <w:ind w:firstLine="0"/>
        <w:rPr>
          <w:rFonts w:ascii="Arial" w:hAnsi="Arial" w:cs="Arial"/>
        </w:rPr>
      </w:pPr>
    </w:p>
    <w:p w14:paraId="28B6C285" w14:textId="2D8FF1C1" w:rsidR="00584794" w:rsidRPr="00126EFC" w:rsidRDefault="00584794" w:rsidP="003805D8">
      <w:pPr>
        <w:ind w:firstLine="0"/>
        <w:rPr>
          <w:rFonts w:ascii="Arial" w:hAnsi="Arial" w:cs="Arial"/>
        </w:rPr>
      </w:pPr>
    </w:p>
    <w:p w14:paraId="0651253D" w14:textId="33E5FF95" w:rsidR="00584794" w:rsidRPr="00126EFC" w:rsidRDefault="00584794" w:rsidP="003805D8">
      <w:pPr>
        <w:ind w:firstLine="0"/>
        <w:rPr>
          <w:rFonts w:ascii="Arial" w:hAnsi="Arial" w:cs="Arial"/>
        </w:rPr>
      </w:pPr>
    </w:p>
    <w:p w14:paraId="720E3C1F" w14:textId="7AE4BAFA" w:rsidR="00584794" w:rsidRPr="00126EFC" w:rsidRDefault="00584794" w:rsidP="003805D8">
      <w:pPr>
        <w:ind w:firstLine="0"/>
        <w:rPr>
          <w:rFonts w:ascii="Arial" w:hAnsi="Arial" w:cs="Arial"/>
        </w:rPr>
      </w:pPr>
    </w:p>
    <w:p w14:paraId="4406E00B" w14:textId="2F63996C" w:rsidR="003805D8" w:rsidRPr="00126EFC" w:rsidRDefault="003805D8" w:rsidP="003805D8">
      <w:pPr>
        <w:ind w:firstLine="0"/>
        <w:rPr>
          <w:rFonts w:ascii="Arial" w:hAnsi="Arial" w:cs="Arial"/>
        </w:rPr>
      </w:pPr>
    </w:p>
    <w:p w14:paraId="0AE42EDB" w14:textId="1DABBC14" w:rsidR="00584794" w:rsidRPr="00126EFC" w:rsidRDefault="00584794" w:rsidP="00D46042">
      <w:pPr>
        <w:ind w:firstLine="0"/>
        <w:jc w:val="left"/>
        <w:rPr>
          <w:rFonts w:ascii="Arial" w:hAnsi="Arial" w:cs="Arial"/>
          <w:b/>
          <w:color w:val="FF0000"/>
        </w:rPr>
      </w:pPr>
    </w:p>
    <w:p w14:paraId="6EE65076" w14:textId="53F647BD" w:rsidR="00584794" w:rsidRPr="00872844" w:rsidRDefault="00E57ECA" w:rsidP="00D46042">
      <w:pPr>
        <w:ind w:firstLine="0"/>
        <w:jc w:val="left"/>
        <w:rPr>
          <w:rFonts w:ascii="Arial" w:hAnsi="Arial" w:cs="Arial"/>
          <w:color w:val="FF0000"/>
          <w:sz w:val="20"/>
        </w:rPr>
      </w:pPr>
      <w:r w:rsidRPr="00872844">
        <w:rPr>
          <w:rFonts w:ascii="Arial" w:hAnsi="Arial" w:cs="Arial"/>
          <w:sz w:val="20"/>
        </w:rPr>
        <w:t xml:space="preserve">Note-this version of </w:t>
      </w:r>
      <w:r w:rsidR="00FB18F5">
        <w:rPr>
          <w:rFonts w:ascii="Arial" w:hAnsi="Arial" w:cs="Arial"/>
          <w:sz w:val="20"/>
        </w:rPr>
        <w:t xml:space="preserve">the report does not contain </w:t>
      </w:r>
      <w:r w:rsidRPr="00872844">
        <w:rPr>
          <w:rFonts w:ascii="Arial" w:hAnsi="Arial" w:cs="Arial"/>
          <w:sz w:val="20"/>
        </w:rPr>
        <w:t>appendices. To view the</w:t>
      </w:r>
      <w:r w:rsidR="00872844" w:rsidRPr="00872844">
        <w:rPr>
          <w:rFonts w:ascii="Arial" w:hAnsi="Arial" w:cs="Arial"/>
          <w:sz w:val="20"/>
        </w:rPr>
        <w:t xml:space="preserve"> full report, please access the following</w:t>
      </w:r>
      <w:r w:rsidRPr="00872844">
        <w:rPr>
          <w:rFonts w:ascii="Arial" w:hAnsi="Arial" w:cs="Arial"/>
          <w:sz w:val="20"/>
        </w:rPr>
        <w:t xml:space="preserve"> </w:t>
      </w:r>
      <w:hyperlink r:id="rId9" w:history="1">
        <w:r w:rsidRPr="00872844">
          <w:rPr>
            <w:rStyle w:val="Hyperlink"/>
            <w:rFonts w:ascii="Arial" w:hAnsi="Arial" w:cs="Arial"/>
            <w:sz w:val="20"/>
          </w:rPr>
          <w:t>link</w:t>
        </w:r>
      </w:hyperlink>
    </w:p>
    <w:p w14:paraId="39307F17" w14:textId="74C548F4" w:rsidR="003805D8" w:rsidRPr="00126EFC" w:rsidRDefault="003805D8" w:rsidP="00D46042">
      <w:pPr>
        <w:ind w:firstLine="0"/>
        <w:jc w:val="left"/>
        <w:rPr>
          <w:rFonts w:ascii="Arial" w:hAnsi="Arial" w:cs="Arial"/>
          <w:b/>
          <w:color w:val="FF0000"/>
          <w:sz w:val="28"/>
        </w:rPr>
        <w:sectPr w:rsidR="003805D8" w:rsidRPr="00126EFC" w:rsidSect="00FB18F5">
          <w:headerReference w:type="default" r:id="rId10"/>
          <w:footerReference w:type="even" r:id="rId11"/>
          <w:footerReference w:type="default" r:id="rId12"/>
          <w:headerReference w:type="first" r:id="rId13"/>
          <w:footerReference w:type="first" r:id="rId14"/>
          <w:pgSz w:w="11900" w:h="16840"/>
          <w:pgMar w:top="4253" w:right="1694" w:bottom="567" w:left="851" w:header="709" w:footer="709" w:gutter="0"/>
          <w:cols w:space="284"/>
          <w:titlePg/>
          <w:docGrid w:linePitch="360"/>
        </w:sectPr>
      </w:pPr>
    </w:p>
    <w:p w14:paraId="1385AC6E" w14:textId="77777777" w:rsidR="00016798" w:rsidRPr="00126EFC" w:rsidRDefault="00016798" w:rsidP="007E4F2C">
      <w:pPr>
        <w:pStyle w:val="Heading1"/>
        <w:rPr>
          <w:rFonts w:eastAsiaTheme="minorEastAsia" w:cs="Arial"/>
        </w:rPr>
        <w:sectPr w:rsidR="00016798" w:rsidRPr="00126EFC" w:rsidSect="008E6F2A">
          <w:headerReference w:type="first" r:id="rId15"/>
          <w:footerReference w:type="first" r:id="rId16"/>
          <w:pgSz w:w="11900" w:h="16840"/>
          <w:pgMar w:top="3119" w:right="851" w:bottom="567" w:left="851" w:header="709" w:footer="709" w:gutter="0"/>
          <w:pgNumType w:fmt="lowerRoman" w:start="1"/>
          <w:cols w:space="284"/>
          <w:titlePg/>
          <w:docGrid w:linePitch="360"/>
        </w:sectPr>
      </w:pPr>
    </w:p>
    <w:p w14:paraId="0A34A406" w14:textId="77777777" w:rsidR="008E25E5" w:rsidRPr="00126EFC" w:rsidRDefault="008E25E5" w:rsidP="00E426A9">
      <w:pPr>
        <w:pStyle w:val="Heading4"/>
        <w:ind w:firstLine="567"/>
        <w:rPr>
          <w:rFonts w:cs="Arial"/>
          <w:i w:val="0"/>
          <w:sz w:val="32"/>
        </w:rPr>
      </w:pPr>
      <w:bookmarkStart w:id="2" w:name="_Toc435709315"/>
      <w:bookmarkStart w:id="3" w:name="_Toc435711575"/>
      <w:bookmarkStart w:id="4" w:name="_Toc435774634"/>
      <w:bookmarkStart w:id="5" w:name="_Toc435793646"/>
      <w:bookmarkStart w:id="6" w:name="_Toc436125650"/>
      <w:bookmarkStart w:id="7" w:name="_Toc436232636"/>
      <w:bookmarkStart w:id="8" w:name="_Toc436299695"/>
      <w:bookmarkStart w:id="9" w:name="_Toc436300739"/>
      <w:bookmarkStart w:id="10" w:name="_Toc436320678"/>
      <w:bookmarkStart w:id="11" w:name="_Toc436728488"/>
      <w:bookmarkStart w:id="12" w:name="_Toc440545016"/>
      <w:bookmarkStart w:id="13" w:name="_Toc440549295"/>
      <w:bookmarkStart w:id="14" w:name="_Toc440619079"/>
      <w:bookmarkStart w:id="15" w:name="_Toc478998263"/>
      <w:bookmarkStart w:id="16" w:name="_Toc478998522"/>
      <w:bookmarkStart w:id="17" w:name="_Toc478998578"/>
      <w:bookmarkStart w:id="18" w:name="_Toc478998750"/>
      <w:bookmarkStart w:id="19" w:name="_Toc479004798"/>
      <w:bookmarkStart w:id="20" w:name="_Toc479152254"/>
      <w:bookmarkStart w:id="21" w:name="_Toc479171309"/>
      <w:bookmarkStart w:id="22" w:name="_Toc519077390"/>
      <w:bookmarkStart w:id="23" w:name="_Toc433963047"/>
      <w:r w:rsidRPr="00126EFC">
        <w:rPr>
          <w:rFonts w:cs="Arial"/>
          <w:i w:val="0"/>
          <w:sz w:val="32"/>
        </w:rPr>
        <w:t>About NATSEM/IGPA</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085262A" w14:textId="77777777" w:rsidR="00B317A8" w:rsidRPr="00126EFC" w:rsidRDefault="008E25E5" w:rsidP="009C0704">
      <w:pPr>
        <w:ind w:left="567" w:firstLine="0"/>
        <w:rPr>
          <w:rFonts w:ascii="Arial" w:hAnsi="Arial" w:cs="Arial"/>
        </w:rPr>
      </w:pPr>
      <w:r w:rsidRPr="00126EFC">
        <w:rPr>
          <w:rFonts w:ascii="Arial" w:hAnsi="Arial" w:cs="Arial"/>
        </w:rPr>
        <w:t xml:space="preserve">The National Centre for Social and Economic Modelling (NATSEM) was established on 1 January 1993, and supports its activities through research grants, commissioned research and longer term contracts for policy analysis and model development and maintenance. </w:t>
      </w:r>
    </w:p>
    <w:p w14:paraId="2F15E4A3" w14:textId="77777777" w:rsidR="008E25E5" w:rsidRPr="00126EFC" w:rsidRDefault="008E25E5" w:rsidP="009C0704">
      <w:pPr>
        <w:ind w:left="567" w:firstLine="0"/>
        <w:rPr>
          <w:rFonts w:ascii="Arial" w:hAnsi="Arial" w:cs="Arial"/>
        </w:rPr>
      </w:pPr>
      <w:r w:rsidRPr="00126EFC">
        <w:rPr>
          <w:rFonts w:ascii="Arial" w:hAnsi="Arial" w:cs="Arial"/>
        </w:rPr>
        <w:t>In January 2014, the Institute for Governance and Policy Analysis (IGPA) at the University of Canberra was established to harness the research strengths of NATSEM and the ANZSOG Institute for Governance (ANZSIG).</w:t>
      </w:r>
      <w:r w:rsidR="00F3789C" w:rsidRPr="00126EFC">
        <w:rPr>
          <w:rFonts w:ascii="Arial" w:hAnsi="Arial" w:cs="Arial"/>
        </w:rPr>
        <w:t xml:space="preserve"> </w:t>
      </w:r>
      <w:r w:rsidRPr="00126EFC">
        <w:rPr>
          <w:rFonts w:ascii="Arial" w:hAnsi="Arial" w:cs="Arial"/>
        </w:rPr>
        <w:t xml:space="preserve">The aim of this Institute is to create and sustain an international class research institution for the study and practice of governance and public policy. The Institute has a strong social mission committed to the production of leading edge research and research driven education programs with genuine public value and, by implication, policy impact. The integration of ANZSIG and NATSEM has created exciting opportunities for the development of cutting edge research in public policy analysis through combining expertise in qualitative and quantitative methods, micro-simulation and policy modelling and evaluation. </w:t>
      </w:r>
    </w:p>
    <w:p w14:paraId="75F110B6" w14:textId="77777777" w:rsidR="006E62CA" w:rsidRPr="00126EFC" w:rsidRDefault="006E62CA" w:rsidP="009C0704">
      <w:pPr>
        <w:ind w:firstLine="0"/>
        <w:rPr>
          <w:rFonts w:ascii="Arial" w:hAnsi="Arial" w:cs="Arial"/>
        </w:rPr>
      </w:pPr>
    </w:p>
    <w:p w14:paraId="3C1B0B9B" w14:textId="77777777" w:rsidR="008E25E5" w:rsidRPr="00126EFC" w:rsidRDefault="008E25E5" w:rsidP="001E790F">
      <w:pPr>
        <w:ind w:left="567" w:firstLine="0"/>
        <w:rPr>
          <w:rFonts w:ascii="Arial" w:hAnsi="Arial" w:cs="Arial"/>
        </w:rPr>
      </w:pPr>
      <w:r w:rsidRPr="00126EFC">
        <w:rPr>
          <w:rFonts w:ascii="Arial" w:hAnsi="Arial" w:cs="Arial"/>
        </w:rPr>
        <w:t>NATSEM is one of three research centres within IGPA. NATSEM aims to be a key contributor to social and economic policy debate and analysis by undertaking independent and impartial research of the highest quality, including supplying valued commissioned research services. NATSEM is one of Australia’s leading economic and social policy research centres and is regarded as one of the world’s foremost centres of excellence for micro-data analysis, microsimulation modelling and policy evaluation. In keeping with IGPA’s core mission, NATSEM’s research activities aim to have significant policy impact and lead to social and economic change.</w:t>
      </w:r>
    </w:p>
    <w:p w14:paraId="74990BF4" w14:textId="77777777" w:rsidR="000E6115" w:rsidRPr="00126EFC" w:rsidRDefault="000E6115" w:rsidP="009C0704">
      <w:pPr>
        <w:ind w:left="567"/>
        <w:rPr>
          <w:rFonts w:ascii="Arial" w:hAnsi="Arial" w:cs="Arial"/>
        </w:rPr>
      </w:pPr>
    </w:p>
    <w:p w14:paraId="2E6C76E5" w14:textId="7A805FA3" w:rsidR="008E25E5" w:rsidRPr="00126EFC" w:rsidRDefault="00D82E7E" w:rsidP="007E4F2C">
      <w:pPr>
        <w:rPr>
          <w:rFonts w:ascii="Arial" w:hAnsi="Arial" w:cs="Arial"/>
        </w:rPr>
      </w:pPr>
      <w:r w:rsidRPr="00126EFC">
        <w:rPr>
          <w:rFonts w:ascii="Arial" w:hAnsi="Arial" w:cs="Arial"/>
        </w:rPr>
        <w:t xml:space="preserve">IGPA </w:t>
      </w:r>
      <w:r w:rsidR="008E25E5" w:rsidRPr="00126EFC">
        <w:rPr>
          <w:rFonts w:ascii="Arial" w:hAnsi="Arial" w:cs="Arial"/>
        </w:rPr>
        <w:t>Director: Professor Mark Evans</w:t>
      </w:r>
    </w:p>
    <w:p w14:paraId="29E1F4D7" w14:textId="1A3201A8" w:rsidR="00D82E7E" w:rsidRPr="00126EFC" w:rsidRDefault="00D82E7E" w:rsidP="007E4F2C">
      <w:pPr>
        <w:rPr>
          <w:rFonts w:ascii="Arial" w:hAnsi="Arial" w:cs="Arial"/>
        </w:rPr>
      </w:pPr>
      <w:r w:rsidRPr="00126EFC">
        <w:rPr>
          <w:rFonts w:ascii="Arial" w:hAnsi="Arial" w:cs="Arial"/>
        </w:rPr>
        <w:t>NATSEM Directors: Professor Robert Tanton and Professor Laurie Brown</w:t>
      </w:r>
    </w:p>
    <w:p w14:paraId="1219EE5C" w14:textId="77777777" w:rsidR="008E25E5" w:rsidRPr="00126EFC" w:rsidRDefault="008E25E5" w:rsidP="007E4F2C">
      <w:pPr>
        <w:rPr>
          <w:rFonts w:ascii="Arial" w:hAnsi="Arial" w:cs="Arial"/>
        </w:rPr>
      </w:pPr>
    </w:p>
    <w:p w14:paraId="0E8C66DF" w14:textId="1570ECA9" w:rsidR="001C4A57" w:rsidRPr="00126EFC" w:rsidRDefault="001C4A57" w:rsidP="007E4F2C">
      <w:pPr>
        <w:rPr>
          <w:rFonts w:ascii="Arial" w:hAnsi="Arial" w:cs="Arial"/>
        </w:rPr>
      </w:pPr>
    </w:p>
    <w:p w14:paraId="3B5326B8" w14:textId="77777777" w:rsidR="007F0E4B" w:rsidRPr="00126EFC" w:rsidRDefault="007F0E4B" w:rsidP="007E4F2C">
      <w:pPr>
        <w:rPr>
          <w:rFonts w:ascii="Arial" w:hAnsi="Arial" w:cs="Arial"/>
        </w:rPr>
        <w:sectPr w:rsidR="007F0E4B" w:rsidRPr="00126EFC" w:rsidSect="008E6F2A">
          <w:headerReference w:type="first" r:id="rId17"/>
          <w:footerReference w:type="first" r:id="rId18"/>
          <w:type w:val="continuous"/>
          <w:pgSz w:w="11900" w:h="16840"/>
          <w:pgMar w:top="3119" w:right="851" w:bottom="567" w:left="851" w:header="709" w:footer="709" w:gutter="0"/>
          <w:pgNumType w:fmt="lowerRoman"/>
          <w:cols w:space="284"/>
          <w:titlePg/>
          <w:docGrid w:linePitch="360"/>
        </w:sectPr>
      </w:pPr>
    </w:p>
    <w:bookmarkStart w:id="24" w:name="_Toc436232637" w:displacedByCustomXml="next"/>
    <w:bookmarkStart w:id="25" w:name="_Toc435793647" w:displacedByCustomXml="next"/>
    <w:bookmarkStart w:id="26" w:name="_Toc435709316" w:displacedByCustomXml="next"/>
    <w:bookmarkStart w:id="27" w:name="_Toc435711576" w:displacedByCustomXml="next"/>
    <w:bookmarkStart w:id="28" w:name="_Toc435774635" w:displacedByCustomXml="next"/>
    <w:bookmarkStart w:id="29" w:name="_Toc436125651" w:displacedByCustomXml="next"/>
    <w:bookmarkStart w:id="30" w:name="_Toc436299696" w:displacedByCustomXml="next"/>
    <w:bookmarkStart w:id="31" w:name="_Toc436300740" w:displacedByCustomXml="next"/>
    <w:bookmarkStart w:id="32" w:name="_Toc436320679" w:displacedByCustomXml="next"/>
    <w:bookmarkStart w:id="33" w:name="_Toc436728489" w:displacedByCustomXml="next"/>
    <w:sdt>
      <w:sdtPr>
        <w:rPr>
          <w:rFonts w:ascii="Arial" w:hAnsi="Arial" w:cs="Arial"/>
          <w:sz w:val="20"/>
          <w:szCs w:val="20"/>
        </w:rPr>
        <w:id w:val="2026897099"/>
        <w:docPartObj>
          <w:docPartGallery w:val="Table of Contents"/>
          <w:docPartUnique/>
        </w:docPartObj>
      </w:sdtPr>
      <w:sdtEndPr/>
      <w:sdtContent>
        <w:p w14:paraId="0001330B" w14:textId="77777777" w:rsidR="004021C3" w:rsidRPr="00126EFC" w:rsidRDefault="004021C3" w:rsidP="007E4F2C">
          <w:pPr>
            <w:rPr>
              <w:rFonts w:ascii="Arial" w:hAnsi="Arial" w:cs="Arial"/>
            </w:rPr>
            <w:sectPr w:rsidR="004021C3" w:rsidRPr="00126EFC" w:rsidSect="008E6F2A">
              <w:headerReference w:type="first" r:id="rId19"/>
              <w:footerReference w:type="first" r:id="rId20"/>
              <w:type w:val="continuous"/>
              <w:pgSz w:w="11900" w:h="16840"/>
              <w:pgMar w:top="3544" w:right="851" w:bottom="1418" w:left="851" w:header="708" w:footer="708" w:gutter="0"/>
              <w:pgNumType w:fmt="lowerRoman"/>
              <w:cols w:space="284"/>
              <w:titlePg/>
              <w:docGrid w:linePitch="360"/>
            </w:sectPr>
          </w:pPr>
        </w:p>
        <w:p w14:paraId="490FEA70" w14:textId="77777777" w:rsidR="005B3215" w:rsidRPr="00126EFC" w:rsidRDefault="005B3215" w:rsidP="007C333B">
          <w:pPr>
            <w:pStyle w:val="HeaderH1"/>
            <w:rPr>
              <w:rFonts w:cs="Arial"/>
            </w:rPr>
          </w:pPr>
          <w:bookmarkStart w:id="34" w:name="_Toc440545017"/>
          <w:bookmarkStart w:id="35" w:name="_Toc440549296"/>
          <w:bookmarkStart w:id="36" w:name="_Toc440619080"/>
          <w:bookmarkStart w:id="37" w:name="_Toc478998264"/>
          <w:bookmarkStart w:id="38" w:name="_Toc478998523"/>
          <w:bookmarkStart w:id="39" w:name="_Toc478998579"/>
          <w:bookmarkStart w:id="40" w:name="_Toc478998751"/>
          <w:bookmarkStart w:id="41" w:name="_Toc479004799"/>
          <w:bookmarkStart w:id="42" w:name="_Toc479152255"/>
          <w:bookmarkStart w:id="43" w:name="_Toc479171310"/>
          <w:bookmarkStart w:id="44" w:name="_Toc519077391"/>
          <w:r w:rsidRPr="00126EFC">
            <w:rPr>
              <w:rFonts w:cs="Arial"/>
            </w:rPr>
            <w:t>Table of Contents</w:t>
          </w:r>
          <w:bookmarkEnd w:id="23"/>
          <w:bookmarkEnd w:id="34"/>
          <w:bookmarkEnd w:id="35"/>
          <w:bookmarkEnd w:id="36"/>
          <w:bookmarkEnd w:id="37"/>
          <w:bookmarkEnd w:id="38"/>
          <w:bookmarkEnd w:id="39"/>
          <w:bookmarkEnd w:id="40"/>
          <w:bookmarkEnd w:id="41"/>
          <w:bookmarkEnd w:id="42"/>
          <w:bookmarkEnd w:id="43"/>
          <w:bookmarkEnd w:id="44"/>
          <w:bookmarkEnd w:id="33"/>
          <w:bookmarkEnd w:id="32"/>
          <w:bookmarkEnd w:id="31"/>
          <w:bookmarkEnd w:id="30"/>
          <w:bookmarkEnd w:id="29"/>
          <w:bookmarkEnd w:id="28"/>
          <w:bookmarkEnd w:id="27"/>
          <w:bookmarkEnd w:id="26"/>
          <w:bookmarkEnd w:id="25"/>
          <w:bookmarkEnd w:id="24"/>
        </w:p>
        <w:p w14:paraId="1B5211D7" w14:textId="782DF1D9" w:rsidR="00F94721" w:rsidRDefault="00AC5DEA">
          <w:pPr>
            <w:pStyle w:val="TOC4"/>
            <w:rPr>
              <w:rFonts w:asciiTheme="minorHAnsi" w:hAnsiTheme="minorHAnsi"/>
              <w:noProof/>
              <w:sz w:val="22"/>
              <w:szCs w:val="22"/>
              <w:lang w:val="en-AU" w:eastAsia="en-AU"/>
              <w14:ligatures w14:val="none"/>
            </w:rPr>
          </w:pPr>
          <w:r w:rsidRPr="00126EFC">
            <w:rPr>
              <w:rFonts w:ascii="Arial" w:hAnsi="Arial" w:cs="Arial"/>
            </w:rPr>
            <w:fldChar w:fldCharType="begin"/>
          </w:r>
          <w:r w:rsidRPr="00126EFC">
            <w:rPr>
              <w:rFonts w:ascii="Arial" w:hAnsi="Arial" w:cs="Arial"/>
            </w:rPr>
            <w:instrText xml:space="preserve"> TOC \o "1-4" </w:instrText>
          </w:r>
          <w:r w:rsidRPr="00126EFC">
            <w:rPr>
              <w:rFonts w:ascii="Arial" w:hAnsi="Arial" w:cs="Arial"/>
            </w:rPr>
            <w:fldChar w:fldCharType="separate"/>
          </w:r>
          <w:r w:rsidR="00F94721" w:rsidRPr="00654AA5">
            <w:rPr>
              <w:rFonts w:cs="Arial"/>
              <w:noProof/>
            </w:rPr>
            <w:t>About NATSEM/IGPA</w:t>
          </w:r>
          <w:r w:rsidR="00F94721">
            <w:rPr>
              <w:noProof/>
            </w:rPr>
            <w:tab/>
          </w:r>
          <w:r w:rsidR="00F94721">
            <w:rPr>
              <w:noProof/>
            </w:rPr>
            <w:fldChar w:fldCharType="begin"/>
          </w:r>
          <w:r w:rsidR="00F94721">
            <w:rPr>
              <w:noProof/>
            </w:rPr>
            <w:instrText xml:space="preserve"> PAGEREF _Toc519077390 \h </w:instrText>
          </w:r>
          <w:r w:rsidR="00F94721">
            <w:rPr>
              <w:noProof/>
            </w:rPr>
          </w:r>
          <w:r w:rsidR="00F94721">
            <w:rPr>
              <w:noProof/>
            </w:rPr>
            <w:fldChar w:fldCharType="separate"/>
          </w:r>
          <w:r w:rsidR="00F94721">
            <w:rPr>
              <w:noProof/>
            </w:rPr>
            <w:t>i</w:t>
          </w:r>
          <w:r w:rsidR="00F94721">
            <w:rPr>
              <w:noProof/>
            </w:rPr>
            <w:fldChar w:fldCharType="end"/>
          </w:r>
        </w:p>
        <w:p w14:paraId="36832D7D" w14:textId="7F079E2A" w:rsidR="00F94721" w:rsidRDefault="00F94721">
          <w:pPr>
            <w:pStyle w:val="TOC1"/>
            <w:rPr>
              <w:rFonts w:asciiTheme="minorHAnsi" w:hAnsiTheme="minorHAnsi"/>
              <w:b w:val="0"/>
              <w:color w:val="auto"/>
              <w:sz w:val="22"/>
              <w:szCs w:val="22"/>
              <w:lang w:val="en-AU" w:eastAsia="en-AU"/>
              <w14:ligatures w14:val="none"/>
            </w:rPr>
          </w:pPr>
          <w:r w:rsidRPr="00654AA5">
            <w:rPr>
              <w:rFonts w:cs="Arial"/>
            </w:rPr>
            <w:t>Table of Contents</w:t>
          </w:r>
          <w:r>
            <w:tab/>
          </w:r>
          <w:r>
            <w:fldChar w:fldCharType="begin"/>
          </w:r>
          <w:r>
            <w:instrText xml:space="preserve"> PAGEREF _Toc519077391 \h </w:instrText>
          </w:r>
          <w:r>
            <w:fldChar w:fldCharType="separate"/>
          </w:r>
          <w:r>
            <w:t>ii</w:t>
          </w:r>
          <w:r>
            <w:fldChar w:fldCharType="end"/>
          </w:r>
        </w:p>
        <w:p w14:paraId="6174D9B8" w14:textId="7D11D4CA" w:rsidR="00F94721" w:rsidRDefault="00F94721">
          <w:pPr>
            <w:pStyle w:val="TOC4"/>
            <w:rPr>
              <w:rFonts w:asciiTheme="minorHAnsi" w:hAnsiTheme="minorHAnsi"/>
              <w:noProof/>
              <w:sz w:val="22"/>
              <w:szCs w:val="22"/>
              <w:lang w:val="en-AU" w:eastAsia="en-AU"/>
              <w14:ligatures w14:val="none"/>
            </w:rPr>
          </w:pPr>
          <w:r w:rsidRPr="00654AA5">
            <w:rPr>
              <w:rFonts w:cs="Arial"/>
              <w:noProof/>
            </w:rPr>
            <w:t>Author Note</w:t>
          </w:r>
          <w:r>
            <w:rPr>
              <w:noProof/>
            </w:rPr>
            <w:tab/>
          </w:r>
          <w:r>
            <w:rPr>
              <w:noProof/>
            </w:rPr>
            <w:fldChar w:fldCharType="begin"/>
          </w:r>
          <w:r>
            <w:rPr>
              <w:noProof/>
            </w:rPr>
            <w:instrText xml:space="preserve"> PAGEREF _Toc519077392 \h </w:instrText>
          </w:r>
          <w:r>
            <w:rPr>
              <w:noProof/>
            </w:rPr>
          </w:r>
          <w:r>
            <w:rPr>
              <w:noProof/>
            </w:rPr>
            <w:fldChar w:fldCharType="separate"/>
          </w:r>
          <w:r>
            <w:rPr>
              <w:noProof/>
            </w:rPr>
            <w:t>iii</w:t>
          </w:r>
          <w:r>
            <w:rPr>
              <w:noProof/>
            </w:rPr>
            <w:fldChar w:fldCharType="end"/>
          </w:r>
        </w:p>
        <w:p w14:paraId="5AD1425B" w14:textId="22AE6A86" w:rsidR="00F94721" w:rsidRDefault="00F94721">
          <w:pPr>
            <w:pStyle w:val="TOC4"/>
            <w:rPr>
              <w:rFonts w:asciiTheme="minorHAnsi" w:hAnsiTheme="minorHAnsi"/>
              <w:noProof/>
              <w:sz w:val="22"/>
              <w:szCs w:val="22"/>
              <w:lang w:val="en-AU" w:eastAsia="en-AU"/>
              <w14:ligatures w14:val="none"/>
            </w:rPr>
          </w:pPr>
          <w:r w:rsidRPr="00654AA5">
            <w:rPr>
              <w:rFonts w:cs="Arial"/>
              <w:noProof/>
            </w:rPr>
            <w:t>Acknowledgement</w:t>
          </w:r>
          <w:r>
            <w:rPr>
              <w:noProof/>
            </w:rPr>
            <w:tab/>
          </w:r>
          <w:r>
            <w:rPr>
              <w:noProof/>
            </w:rPr>
            <w:fldChar w:fldCharType="begin"/>
          </w:r>
          <w:r>
            <w:rPr>
              <w:noProof/>
            </w:rPr>
            <w:instrText xml:space="preserve"> PAGEREF _Toc519077393 \h </w:instrText>
          </w:r>
          <w:r>
            <w:rPr>
              <w:noProof/>
            </w:rPr>
          </w:r>
          <w:r>
            <w:rPr>
              <w:noProof/>
            </w:rPr>
            <w:fldChar w:fldCharType="separate"/>
          </w:r>
          <w:r>
            <w:rPr>
              <w:noProof/>
            </w:rPr>
            <w:t>iii</w:t>
          </w:r>
          <w:r>
            <w:rPr>
              <w:noProof/>
            </w:rPr>
            <w:fldChar w:fldCharType="end"/>
          </w:r>
        </w:p>
        <w:p w14:paraId="28EB8715" w14:textId="0135A20A" w:rsidR="00F94721" w:rsidRDefault="00F94721">
          <w:pPr>
            <w:pStyle w:val="TOC4"/>
            <w:rPr>
              <w:rFonts w:asciiTheme="minorHAnsi" w:hAnsiTheme="minorHAnsi"/>
              <w:noProof/>
              <w:sz w:val="22"/>
              <w:szCs w:val="22"/>
              <w:lang w:val="en-AU" w:eastAsia="en-AU"/>
              <w14:ligatures w14:val="none"/>
            </w:rPr>
          </w:pPr>
          <w:r w:rsidRPr="00654AA5">
            <w:rPr>
              <w:rFonts w:cs="Arial"/>
              <w:noProof/>
            </w:rPr>
            <w:t>Acronyms</w:t>
          </w:r>
          <w:r>
            <w:rPr>
              <w:noProof/>
            </w:rPr>
            <w:tab/>
          </w:r>
          <w:r>
            <w:rPr>
              <w:noProof/>
            </w:rPr>
            <w:fldChar w:fldCharType="begin"/>
          </w:r>
          <w:r>
            <w:rPr>
              <w:noProof/>
            </w:rPr>
            <w:instrText xml:space="preserve"> PAGEREF _Toc519077394 \h </w:instrText>
          </w:r>
          <w:r>
            <w:rPr>
              <w:noProof/>
            </w:rPr>
          </w:r>
          <w:r>
            <w:rPr>
              <w:noProof/>
            </w:rPr>
            <w:fldChar w:fldCharType="separate"/>
          </w:r>
          <w:r>
            <w:rPr>
              <w:noProof/>
            </w:rPr>
            <w:t>iii</w:t>
          </w:r>
          <w:r>
            <w:rPr>
              <w:noProof/>
            </w:rPr>
            <w:fldChar w:fldCharType="end"/>
          </w:r>
        </w:p>
        <w:p w14:paraId="6EAA0B4A" w14:textId="18C84D0F" w:rsidR="00F94721" w:rsidRDefault="00F94721">
          <w:pPr>
            <w:pStyle w:val="TOC1"/>
            <w:tabs>
              <w:tab w:val="left" w:pos="1200"/>
            </w:tabs>
            <w:rPr>
              <w:rFonts w:asciiTheme="minorHAnsi" w:hAnsiTheme="minorHAnsi"/>
              <w:b w:val="0"/>
              <w:color w:val="auto"/>
              <w:sz w:val="22"/>
              <w:szCs w:val="22"/>
              <w:lang w:val="en-AU" w:eastAsia="en-AU"/>
              <w14:ligatures w14:val="none"/>
            </w:rPr>
          </w:pPr>
          <w:r w:rsidRPr="00654AA5">
            <w:rPr>
              <w:rFonts w:cs="Arial"/>
            </w:rPr>
            <w:t>1.</w:t>
          </w:r>
          <w:r>
            <w:rPr>
              <w:rFonts w:asciiTheme="minorHAnsi" w:hAnsiTheme="minorHAnsi"/>
              <w:b w:val="0"/>
              <w:color w:val="auto"/>
              <w:sz w:val="22"/>
              <w:szCs w:val="22"/>
              <w:lang w:val="en-AU" w:eastAsia="en-AU"/>
              <w14:ligatures w14:val="none"/>
            </w:rPr>
            <w:tab/>
          </w:r>
          <w:r w:rsidRPr="00654AA5">
            <w:rPr>
              <w:rFonts w:cs="Arial"/>
            </w:rPr>
            <w:t>Introduction</w:t>
          </w:r>
          <w:r>
            <w:tab/>
          </w:r>
          <w:r>
            <w:fldChar w:fldCharType="begin"/>
          </w:r>
          <w:r>
            <w:instrText xml:space="preserve"> PAGEREF _Toc519077395 \h </w:instrText>
          </w:r>
          <w:r>
            <w:fldChar w:fldCharType="separate"/>
          </w:r>
          <w:r>
            <w:t>6</w:t>
          </w:r>
          <w:r>
            <w:fldChar w:fldCharType="end"/>
          </w:r>
        </w:p>
        <w:p w14:paraId="0C800DD9" w14:textId="6A6B6A76" w:rsidR="00F94721" w:rsidRDefault="00F94721">
          <w:pPr>
            <w:pStyle w:val="TOC1"/>
            <w:tabs>
              <w:tab w:val="left" w:pos="1200"/>
            </w:tabs>
            <w:rPr>
              <w:rFonts w:asciiTheme="minorHAnsi" w:hAnsiTheme="minorHAnsi"/>
              <w:b w:val="0"/>
              <w:color w:val="auto"/>
              <w:sz w:val="22"/>
              <w:szCs w:val="22"/>
              <w:lang w:val="en-AU" w:eastAsia="en-AU"/>
              <w14:ligatures w14:val="none"/>
            </w:rPr>
          </w:pPr>
          <w:r w:rsidRPr="00654AA5">
            <w:rPr>
              <w:rFonts w:cs="Arial"/>
            </w:rPr>
            <w:t>2.</w:t>
          </w:r>
          <w:r>
            <w:rPr>
              <w:rFonts w:asciiTheme="minorHAnsi" w:hAnsiTheme="minorHAnsi"/>
              <w:b w:val="0"/>
              <w:color w:val="auto"/>
              <w:sz w:val="22"/>
              <w:szCs w:val="22"/>
              <w:lang w:val="en-AU" w:eastAsia="en-AU"/>
              <w14:ligatures w14:val="none"/>
            </w:rPr>
            <w:tab/>
          </w:r>
          <w:r w:rsidRPr="00654AA5">
            <w:rPr>
              <w:rFonts w:cs="Arial"/>
            </w:rPr>
            <w:t>Research Questions</w:t>
          </w:r>
          <w:r>
            <w:tab/>
          </w:r>
          <w:r>
            <w:fldChar w:fldCharType="begin"/>
          </w:r>
          <w:r>
            <w:instrText xml:space="preserve"> PAGEREF _Toc519077396 \h </w:instrText>
          </w:r>
          <w:r>
            <w:fldChar w:fldCharType="separate"/>
          </w:r>
          <w:r>
            <w:t>7</w:t>
          </w:r>
          <w:r>
            <w:fldChar w:fldCharType="end"/>
          </w:r>
        </w:p>
        <w:p w14:paraId="279FE9F7" w14:textId="218F605A" w:rsidR="00F94721" w:rsidRDefault="00F94721">
          <w:pPr>
            <w:pStyle w:val="TOC1"/>
            <w:tabs>
              <w:tab w:val="left" w:pos="1200"/>
            </w:tabs>
            <w:rPr>
              <w:rFonts w:asciiTheme="minorHAnsi" w:hAnsiTheme="minorHAnsi"/>
              <w:b w:val="0"/>
              <w:color w:val="auto"/>
              <w:sz w:val="22"/>
              <w:szCs w:val="22"/>
              <w:lang w:val="en-AU" w:eastAsia="en-AU"/>
              <w14:ligatures w14:val="none"/>
            </w:rPr>
          </w:pPr>
          <w:r w:rsidRPr="00654AA5">
            <w:rPr>
              <w:lang w:val="en-AU" w:eastAsia="en-AU"/>
            </w:rPr>
            <w:t>3.</w:t>
          </w:r>
          <w:r>
            <w:rPr>
              <w:rFonts w:asciiTheme="minorHAnsi" w:hAnsiTheme="minorHAnsi"/>
              <w:b w:val="0"/>
              <w:color w:val="auto"/>
              <w:sz w:val="22"/>
              <w:szCs w:val="22"/>
              <w:lang w:val="en-AU" w:eastAsia="en-AU"/>
              <w14:ligatures w14:val="none"/>
            </w:rPr>
            <w:tab/>
          </w:r>
          <w:r w:rsidRPr="00654AA5">
            <w:rPr>
              <w:lang w:val="en-AU" w:eastAsia="en-AU"/>
            </w:rPr>
            <w:t>Method</w:t>
          </w:r>
          <w:r>
            <w:tab/>
          </w:r>
          <w:r>
            <w:fldChar w:fldCharType="begin"/>
          </w:r>
          <w:r>
            <w:instrText xml:space="preserve"> PAGEREF _Toc519077397 \h </w:instrText>
          </w:r>
          <w:r>
            <w:fldChar w:fldCharType="separate"/>
          </w:r>
          <w:r>
            <w:t>8</w:t>
          </w:r>
          <w:r>
            <w:fldChar w:fldCharType="end"/>
          </w:r>
        </w:p>
        <w:p w14:paraId="3CDF820C" w14:textId="5549DBFC" w:rsidR="00F94721" w:rsidRDefault="00F94721">
          <w:pPr>
            <w:pStyle w:val="TOC1"/>
            <w:tabs>
              <w:tab w:val="left" w:pos="1200"/>
            </w:tabs>
            <w:rPr>
              <w:rFonts w:asciiTheme="minorHAnsi" w:hAnsiTheme="minorHAnsi"/>
              <w:b w:val="0"/>
              <w:color w:val="auto"/>
              <w:sz w:val="22"/>
              <w:szCs w:val="22"/>
              <w:lang w:val="en-AU" w:eastAsia="en-AU"/>
              <w14:ligatures w14:val="none"/>
            </w:rPr>
          </w:pPr>
          <w:r w:rsidRPr="00654AA5">
            <w:rPr>
              <w:lang w:val="en-AU" w:eastAsia="en-AU"/>
            </w:rPr>
            <w:t>4.</w:t>
          </w:r>
          <w:r>
            <w:rPr>
              <w:rFonts w:asciiTheme="minorHAnsi" w:hAnsiTheme="minorHAnsi"/>
              <w:b w:val="0"/>
              <w:color w:val="auto"/>
              <w:sz w:val="22"/>
              <w:szCs w:val="22"/>
              <w:lang w:val="en-AU" w:eastAsia="en-AU"/>
              <w14:ligatures w14:val="none"/>
            </w:rPr>
            <w:tab/>
          </w:r>
          <w:r w:rsidRPr="00654AA5">
            <w:rPr>
              <w:lang w:val="en-AU" w:eastAsia="en-AU"/>
            </w:rPr>
            <w:t>Results</w:t>
          </w:r>
          <w:r>
            <w:tab/>
          </w:r>
          <w:r>
            <w:fldChar w:fldCharType="begin"/>
          </w:r>
          <w:r>
            <w:instrText xml:space="preserve"> PAGEREF _Toc519077398 \h </w:instrText>
          </w:r>
          <w:r>
            <w:fldChar w:fldCharType="separate"/>
          </w:r>
          <w:r>
            <w:t>14</w:t>
          </w:r>
          <w:r>
            <w:fldChar w:fldCharType="end"/>
          </w:r>
        </w:p>
        <w:p w14:paraId="658CCD9D" w14:textId="7A0D0360" w:rsidR="00F94721" w:rsidRDefault="00F94721">
          <w:pPr>
            <w:pStyle w:val="TOC2"/>
            <w:rPr>
              <w:rFonts w:asciiTheme="minorHAnsi" w:hAnsiTheme="minorHAnsi"/>
              <w:noProof/>
              <w:lang w:val="en-AU" w:eastAsia="en-AU"/>
              <w14:ligatures w14:val="none"/>
            </w:rPr>
          </w:pPr>
          <w:r w:rsidRPr="00654AA5">
            <w:rPr>
              <w:noProof/>
              <w:lang w:val="en-AU" w:eastAsia="en-AU"/>
            </w:rPr>
            <w:t xml:space="preserve">PIT </w:t>
          </w:r>
          <w:r>
            <w:rPr>
              <w:noProof/>
            </w:rPr>
            <w:t>Analysis</w:t>
          </w:r>
          <w:r>
            <w:rPr>
              <w:noProof/>
            </w:rPr>
            <w:tab/>
          </w:r>
          <w:r>
            <w:rPr>
              <w:noProof/>
            </w:rPr>
            <w:fldChar w:fldCharType="begin"/>
          </w:r>
          <w:r>
            <w:rPr>
              <w:noProof/>
            </w:rPr>
            <w:instrText xml:space="preserve"> PAGEREF _Toc519077399 \h </w:instrText>
          </w:r>
          <w:r>
            <w:rPr>
              <w:noProof/>
            </w:rPr>
          </w:r>
          <w:r>
            <w:rPr>
              <w:noProof/>
            </w:rPr>
            <w:fldChar w:fldCharType="separate"/>
          </w:r>
          <w:r>
            <w:rPr>
              <w:noProof/>
            </w:rPr>
            <w:t>14</w:t>
          </w:r>
          <w:r>
            <w:rPr>
              <w:noProof/>
            </w:rPr>
            <w:fldChar w:fldCharType="end"/>
          </w:r>
        </w:p>
        <w:p w14:paraId="65B8F645" w14:textId="4225FA38" w:rsidR="00F94721" w:rsidRDefault="00F94721">
          <w:pPr>
            <w:pStyle w:val="TOC2"/>
            <w:rPr>
              <w:rFonts w:asciiTheme="minorHAnsi" w:hAnsiTheme="minorHAnsi"/>
              <w:noProof/>
              <w:lang w:val="en-AU" w:eastAsia="en-AU"/>
              <w14:ligatures w14:val="none"/>
            </w:rPr>
          </w:pPr>
          <w:r w:rsidRPr="00654AA5">
            <w:rPr>
              <w:noProof/>
              <w:lang w:val="en-AU" w:eastAsia="en-AU"/>
            </w:rPr>
            <w:t>Census Data Analysis</w:t>
          </w:r>
          <w:r>
            <w:rPr>
              <w:noProof/>
            </w:rPr>
            <w:tab/>
          </w:r>
          <w:r>
            <w:rPr>
              <w:noProof/>
            </w:rPr>
            <w:fldChar w:fldCharType="begin"/>
          </w:r>
          <w:r>
            <w:rPr>
              <w:noProof/>
            </w:rPr>
            <w:instrText xml:space="preserve"> PAGEREF _Toc519077400 \h </w:instrText>
          </w:r>
          <w:r>
            <w:rPr>
              <w:noProof/>
            </w:rPr>
          </w:r>
          <w:r>
            <w:rPr>
              <w:noProof/>
            </w:rPr>
            <w:fldChar w:fldCharType="separate"/>
          </w:r>
          <w:r>
            <w:rPr>
              <w:noProof/>
            </w:rPr>
            <w:t>19</w:t>
          </w:r>
          <w:r>
            <w:rPr>
              <w:noProof/>
            </w:rPr>
            <w:fldChar w:fldCharType="end"/>
          </w:r>
        </w:p>
        <w:p w14:paraId="03CCA709" w14:textId="3BF11EA7" w:rsidR="00F94721" w:rsidRDefault="00F94721">
          <w:pPr>
            <w:pStyle w:val="TOC2"/>
            <w:rPr>
              <w:rFonts w:asciiTheme="minorHAnsi" w:hAnsiTheme="minorHAnsi"/>
              <w:noProof/>
              <w:lang w:val="en-AU" w:eastAsia="en-AU"/>
              <w14:ligatures w14:val="none"/>
            </w:rPr>
          </w:pPr>
          <w:r w:rsidRPr="00654AA5">
            <w:rPr>
              <w:noProof/>
              <w:lang w:val="en-AU" w:eastAsia="en-AU"/>
            </w:rPr>
            <w:t>Case Study Analysis</w:t>
          </w:r>
          <w:r>
            <w:rPr>
              <w:noProof/>
            </w:rPr>
            <w:tab/>
          </w:r>
          <w:r>
            <w:rPr>
              <w:noProof/>
            </w:rPr>
            <w:fldChar w:fldCharType="begin"/>
          </w:r>
          <w:r>
            <w:rPr>
              <w:noProof/>
            </w:rPr>
            <w:instrText xml:space="preserve"> PAGEREF _Toc519077401 \h </w:instrText>
          </w:r>
          <w:r>
            <w:rPr>
              <w:noProof/>
            </w:rPr>
          </w:r>
          <w:r>
            <w:rPr>
              <w:noProof/>
            </w:rPr>
            <w:fldChar w:fldCharType="separate"/>
          </w:r>
          <w:r>
            <w:rPr>
              <w:noProof/>
            </w:rPr>
            <w:t>21</w:t>
          </w:r>
          <w:r>
            <w:rPr>
              <w:noProof/>
            </w:rPr>
            <w:fldChar w:fldCharType="end"/>
          </w:r>
        </w:p>
        <w:p w14:paraId="5D30C24F" w14:textId="45D71747" w:rsidR="00F94721" w:rsidRDefault="00F94721">
          <w:pPr>
            <w:pStyle w:val="TOC1"/>
            <w:tabs>
              <w:tab w:val="left" w:pos="1200"/>
            </w:tabs>
            <w:rPr>
              <w:rFonts w:asciiTheme="minorHAnsi" w:hAnsiTheme="minorHAnsi"/>
              <w:b w:val="0"/>
              <w:color w:val="auto"/>
              <w:sz w:val="22"/>
              <w:szCs w:val="22"/>
              <w:lang w:val="en-AU" w:eastAsia="en-AU"/>
              <w14:ligatures w14:val="none"/>
            </w:rPr>
          </w:pPr>
          <w:r w:rsidRPr="00654AA5">
            <w:rPr>
              <w:lang w:val="en-AU" w:eastAsia="en-AU"/>
            </w:rPr>
            <w:t>5.</w:t>
          </w:r>
          <w:r>
            <w:rPr>
              <w:rFonts w:asciiTheme="minorHAnsi" w:hAnsiTheme="minorHAnsi"/>
              <w:b w:val="0"/>
              <w:color w:val="auto"/>
              <w:sz w:val="22"/>
              <w:szCs w:val="22"/>
              <w:lang w:val="en-AU" w:eastAsia="en-AU"/>
              <w14:ligatures w14:val="none"/>
            </w:rPr>
            <w:tab/>
          </w:r>
          <w:r w:rsidRPr="00654AA5">
            <w:rPr>
              <w:lang w:val="en-AU" w:eastAsia="en-AU"/>
            </w:rPr>
            <w:t>Conclusions</w:t>
          </w:r>
          <w:r>
            <w:tab/>
          </w:r>
          <w:r>
            <w:fldChar w:fldCharType="begin"/>
          </w:r>
          <w:r>
            <w:instrText xml:space="preserve"> PAGEREF _Toc519077402 \h </w:instrText>
          </w:r>
          <w:r>
            <w:fldChar w:fldCharType="separate"/>
          </w:r>
          <w:r>
            <w:t>22</w:t>
          </w:r>
          <w:r>
            <w:fldChar w:fldCharType="end"/>
          </w:r>
        </w:p>
        <w:p w14:paraId="329B39D3" w14:textId="1D82DEAA" w:rsidR="00F94721" w:rsidRDefault="00F94721">
          <w:pPr>
            <w:pStyle w:val="TOC1"/>
            <w:rPr>
              <w:rFonts w:asciiTheme="minorHAnsi" w:hAnsiTheme="minorHAnsi"/>
              <w:b w:val="0"/>
              <w:color w:val="auto"/>
              <w:sz w:val="22"/>
              <w:szCs w:val="22"/>
              <w:lang w:val="en-AU" w:eastAsia="en-AU"/>
              <w14:ligatures w14:val="none"/>
            </w:rPr>
          </w:pPr>
          <w:r w:rsidRPr="00654AA5">
            <w:rPr>
              <w:rFonts w:cs="Arial"/>
            </w:rPr>
            <w:t>References</w:t>
          </w:r>
          <w:r>
            <w:tab/>
          </w:r>
          <w:r>
            <w:fldChar w:fldCharType="begin"/>
          </w:r>
          <w:r>
            <w:instrText xml:space="preserve"> PAGEREF _Toc519077403 \h </w:instrText>
          </w:r>
          <w:r>
            <w:fldChar w:fldCharType="separate"/>
          </w:r>
          <w:r>
            <w:t>24</w:t>
          </w:r>
          <w:r>
            <w:fldChar w:fldCharType="end"/>
          </w:r>
        </w:p>
        <w:p w14:paraId="4F926EE0" w14:textId="3345E43F" w:rsidR="005B3215" w:rsidRPr="00126EFC" w:rsidRDefault="00AC5DEA" w:rsidP="00AC5DEA">
          <w:pPr>
            <w:pStyle w:val="TOC9"/>
            <w:rPr>
              <w:rFonts w:ascii="Arial" w:hAnsi="Arial" w:cs="Arial"/>
            </w:rPr>
          </w:pPr>
          <w:r w:rsidRPr="00126EFC">
            <w:rPr>
              <w:rFonts w:ascii="Arial" w:hAnsi="Arial" w:cs="Arial"/>
              <w:b/>
              <w:noProof/>
              <w:color w:val="009EDD"/>
              <w:sz w:val="24"/>
              <w:szCs w:val="24"/>
            </w:rPr>
            <w:fldChar w:fldCharType="end"/>
          </w:r>
        </w:p>
      </w:sdtContent>
    </w:sdt>
    <w:p w14:paraId="3FB45A79" w14:textId="77777777" w:rsidR="004C3970" w:rsidRPr="00126EFC" w:rsidRDefault="004C3970" w:rsidP="007E4F2C">
      <w:pPr>
        <w:rPr>
          <w:rFonts w:ascii="Arial" w:hAnsi="Arial" w:cs="Arial"/>
        </w:rPr>
        <w:sectPr w:rsidR="004C3970" w:rsidRPr="00126EFC" w:rsidSect="00C65616">
          <w:type w:val="continuous"/>
          <w:pgSz w:w="11900" w:h="16840"/>
          <w:pgMar w:top="3119" w:right="851" w:bottom="567" w:left="851" w:header="737" w:footer="709" w:gutter="0"/>
          <w:pgNumType w:fmt="lowerRoman"/>
          <w:cols w:space="284"/>
          <w:titlePg/>
          <w:docGrid w:linePitch="360"/>
        </w:sectPr>
      </w:pPr>
    </w:p>
    <w:p w14:paraId="04FF984C" w14:textId="77777777" w:rsidR="00521239" w:rsidRPr="00126EFC" w:rsidRDefault="00521239" w:rsidP="0001450B">
      <w:pPr>
        <w:pStyle w:val="Heading4"/>
        <w:rPr>
          <w:rFonts w:cs="Arial"/>
          <w:i w:val="0"/>
          <w:sz w:val="32"/>
        </w:rPr>
      </w:pPr>
      <w:bookmarkStart w:id="45" w:name="_Toc435711577"/>
      <w:bookmarkStart w:id="46" w:name="_Toc435774636"/>
      <w:bookmarkStart w:id="47" w:name="_Toc435793648"/>
      <w:bookmarkStart w:id="48" w:name="_Toc436125652"/>
      <w:bookmarkStart w:id="49" w:name="_Toc436232638"/>
      <w:bookmarkStart w:id="50" w:name="_Toc436299697"/>
      <w:bookmarkStart w:id="51" w:name="_Toc436300741"/>
      <w:bookmarkStart w:id="52" w:name="_Toc436320680"/>
      <w:bookmarkStart w:id="53" w:name="_Toc436728490"/>
      <w:bookmarkStart w:id="54" w:name="_Toc440545018"/>
      <w:bookmarkStart w:id="55" w:name="_Toc440549297"/>
      <w:bookmarkStart w:id="56" w:name="_Toc440619081"/>
      <w:bookmarkStart w:id="57" w:name="_Toc478998265"/>
      <w:bookmarkStart w:id="58" w:name="_Toc478998524"/>
      <w:bookmarkStart w:id="59" w:name="_Toc478998580"/>
      <w:bookmarkStart w:id="60" w:name="_Toc478998752"/>
      <w:bookmarkStart w:id="61" w:name="_Toc479004800"/>
      <w:bookmarkStart w:id="62" w:name="_Toc479152256"/>
      <w:bookmarkStart w:id="63" w:name="_Toc479171311"/>
      <w:bookmarkStart w:id="64" w:name="_Toc519077392"/>
      <w:r w:rsidRPr="00126EFC">
        <w:rPr>
          <w:rFonts w:cs="Arial"/>
          <w:i w:val="0"/>
          <w:sz w:val="32"/>
        </w:rPr>
        <w:t>Author Note</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5C8241E5" w14:textId="77777777" w:rsidR="00521239" w:rsidRPr="00126EFC" w:rsidRDefault="00521239" w:rsidP="007E4F2C">
      <w:pPr>
        <w:rPr>
          <w:rFonts w:ascii="Arial" w:hAnsi="Arial" w:cs="Arial"/>
        </w:rPr>
      </w:pPr>
      <w:r w:rsidRPr="00126EFC">
        <w:rPr>
          <w:rFonts w:ascii="Arial" w:hAnsi="Arial" w:cs="Arial"/>
        </w:rPr>
        <w:t xml:space="preserve">Authors of this </w:t>
      </w:r>
      <w:r w:rsidR="0043795E" w:rsidRPr="00126EFC">
        <w:rPr>
          <w:rFonts w:ascii="Arial" w:hAnsi="Arial" w:cs="Arial"/>
        </w:rPr>
        <w:t>report</w:t>
      </w:r>
      <w:r w:rsidR="00CB1CD9" w:rsidRPr="00126EFC">
        <w:rPr>
          <w:rFonts w:ascii="Arial" w:hAnsi="Arial" w:cs="Arial"/>
        </w:rPr>
        <w:t xml:space="preserve"> are</w:t>
      </w:r>
      <w:r w:rsidR="009C0EE8" w:rsidRPr="00126EFC">
        <w:rPr>
          <w:rFonts w:ascii="Arial" w:hAnsi="Arial" w:cs="Arial"/>
        </w:rPr>
        <w:t>:</w:t>
      </w:r>
    </w:p>
    <w:p w14:paraId="0C26E76E" w14:textId="77777777" w:rsidR="003829DD" w:rsidRPr="00126EFC" w:rsidRDefault="003829DD" w:rsidP="007E4F2C">
      <w:pPr>
        <w:rPr>
          <w:rFonts w:ascii="Arial" w:hAnsi="Arial" w:cs="Arial"/>
        </w:rPr>
      </w:pPr>
      <w:r w:rsidRPr="00126EFC">
        <w:rPr>
          <w:rFonts w:ascii="Arial" w:hAnsi="Arial" w:cs="Arial"/>
        </w:rPr>
        <w:t>Professor Robert Tanton, University of Canberra</w:t>
      </w:r>
    </w:p>
    <w:p w14:paraId="652CD357" w14:textId="1F6653AA" w:rsidR="00DD15FB" w:rsidRPr="00126EFC" w:rsidRDefault="008227CD" w:rsidP="00D82E7E">
      <w:pPr>
        <w:rPr>
          <w:rFonts w:ascii="Arial" w:hAnsi="Arial" w:cs="Arial"/>
        </w:rPr>
      </w:pPr>
      <w:bookmarkStart w:id="65" w:name="_Toc435711578"/>
      <w:bookmarkStart w:id="66" w:name="_Toc435774637"/>
      <w:bookmarkStart w:id="67" w:name="_Toc435793649"/>
      <w:bookmarkStart w:id="68" w:name="_Toc436125653"/>
      <w:bookmarkStart w:id="69" w:name="_Toc436232639"/>
      <w:bookmarkStart w:id="70" w:name="_Toc436299698"/>
      <w:bookmarkStart w:id="71" w:name="_Toc436300742"/>
      <w:bookmarkStart w:id="72" w:name="_Toc436320681"/>
      <w:bookmarkStart w:id="73" w:name="_Toc436728491"/>
      <w:bookmarkStart w:id="74" w:name="_Toc440545019"/>
      <w:bookmarkStart w:id="75" w:name="_Toc440549298"/>
      <w:bookmarkStart w:id="76" w:name="_Toc440619082"/>
      <w:r>
        <w:rPr>
          <w:rFonts w:ascii="Arial" w:hAnsi="Arial" w:cs="Arial"/>
        </w:rPr>
        <w:t>Dominic Peel, University of Canberra</w:t>
      </w:r>
    </w:p>
    <w:p w14:paraId="03B4A8B8" w14:textId="77777777" w:rsidR="0001450B" w:rsidRPr="00126EFC" w:rsidRDefault="0001450B" w:rsidP="0001450B">
      <w:pPr>
        <w:rPr>
          <w:rFonts w:ascii="Arial" w:hAnsi="Arial" w:cs="Arial"/>
        </w:rPr>
      </w:pPr>
    </w:p>
    <w:p w14:paraId="44B954D7" w14:textId="77777777" w:rsidR="00521239" w:rsidRPr="00126EFC" w:rsidRDefault="00521239" w:rsidP="0001450B">
      <w:pPr>
        <w:pStyle w:val="Heading4"/>
        <w:rPr>
          <w:rFonts w:cs="Arial"/>
          <w:i w:val="0"/>
          <w:sz w:val="32"/>
        </w:rPr>
      </w:pPr>
      <w:bookmarkStart w:id="77" w:name="_Toc478998266"/>
      <w:bookmarkStart w:id="78" w:name="_Toc478998525"/>
      <w:bookmarkStart w:id="79" w:name="_Toc478998581"/>
      <w:bookmarkStart w:id="80" w:name="_Toc478998753"/>
      <w:bookmarkStart w:id="81" w:name="_Toc479004801"/>
      <w:bookmarkStart w:id="82" w:name="_Toc479152257"/>
      <w:bookmarkStart w:id="83" w:name="_Toc479171312"/>
      <w:bookmarkStart w:id="84" w:name="_Toc519077393"/>
      <w:r w:rsidRPr="00126EFC">
        <w:rPr>
          <w:rFonts w:cs="Arial"/>
          <w:i w:val="0"/>
          <w:sz w:val="32"/>
        </w:rPr>
        <w:t>Acknowledgement</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14F88636" w14:textId="6A26EB8C" w:rsidR="000D709F" w:rsidRDefault="000D709F" w:rsidP="001E790F">
      <w:pPr>
        <w:ind w:left="567" w:firstLine="0"/>
        <w:rPr>
          <w:rFonts w:ascii="Arial" w:hAnsi="Arial" w:cs="Arial"/>
        </w:rPr>
      </w:pPr>
      <w:r w:rsidRPr="00126EFC">
        <w:rPr>
          <w:rFonts w:ascii="Arial" w:hAnsi="Arial" w:cs="Arial"/>
        </w:rPr>
        <w:t xml:space="preserve">This study is undertaken by the </w:t>
      </w:r>
      <w:r w:rsidR="00695057" w:rsidRPr="00126EFC">
        <w:rPr>
          <w:rFonts w:ascii="Arial" w:hAnsi="Arial" w:cs="Arial"/>
        </w:rPr>
        <w:t xml:space="preserve">National Centre for Social and Economic Modelling </w:t>
      </w:r>
      <w:r w:rsidRPr="00126EFC">
        <w:rPr>
          <w:rFonts w:ascii="Arial" w:hAnsi="Arial" w:cs="Arial"/>
        </w:rPr>
        <w:t xml:space="preserve">(NATSEM), the Institute for Governance and Policy Analysis (IGPA), at the University of Canberra, and </w:t>
      </w:r>
      <w:r w:rsidR="008227CD">
        <w:rPr>
          <w:rFonts w:ascii="Arial" w:hAnsi="Arial" w:cs="Arial"/>
        </w:rPr>
        <w:t>wa</w:t>
      </w:r>
      <w:r w:rsidRPr="00126EFC">
        <w:rPr>
          <w:rFonts w:ascii="Arial" w:hAnsi="Arial" w:cs="Arial"/>
        </w:rPr>
        <w:t xml:space="preserve">s </w:t>
      </w:r>
      <w:r w:rsidR="00264567" w:rsidRPr="00126EFC">
        <w:rPr>
          <w:rFonts w:ascii="Arial" w:hAnsi="Arial" w:cs="Arial"/>
        </w:rPr>
        <w:t xml:space="preserve">commissioned by </w:t>
      </w:r>
      <w:r w:rsidR="00D82E7E" w:rsidRPr="00126EFC">
        <w:rPr>
          <w:rFonts w:ascii="Arial" w:hAnsi="Arial" w:cs="Arial"/>
        </w:rPr>
        <w:t xml:space="preserve">the </w:t>
      </w:r>
      <w:r w:rsidR="004A57E6">
        <w:rPr>
          <w:rFonts w:ascii="Arial" w:hAnsi="Arial" w:cs="Arial"/>
        </w:rPr>
        <w:t>National School Resourcing Board</w:t>
      </w:r>
      <w:r w:rsidR="008227CD">
        <w:rPr>
          <w:rFonts w:ascii="Arial" w:hAnsi="Arial" w:cs="Arial"/>
        </w:rPr>
        <w:t>.</w:t>
      </w:r>
      <w:r w:rsidR="00CD11AB" w:rsidRPr="00126EFC">
        <w:rPr>
          <w:rFonts w:ascii="Arial" w:hAnsi="Arial" w:cs="Arial"/>
        </w:rPr>
        <w:t xml:space="preserve"> </w:t>
      </w:r>
    </w:p>
    <w:p w14:paraId="562F8039" w14:textId="2A4211F2" w:rsidR="006E6738" w:rsidRPr="00BA21C9" w:rsidRDefault="009662BC" w:rsidP="009662BC">
      <w:pPr>
        <w:ind w:left="567" w:firstLine="0"/>
        <w:rPr>
          <w:rFonts w:ascii="Arial" w:hAnsi="Arial" w:cs="Arial"/>
        </w:rPr>
      </w:pPr>
      <w:r>
        <w:rPr>
          <w:rFonts w:ascii="Arial" w:hAnsi="Arial" w:cs="Arial"/>
        </w:rPr>
        <w:t>We would like to thank Nic Biddle</w:t>
      </w:r>
      <w:r w:rsidR="00BA21C9">
        <w:rPr>
          <w:rFonts w:ascii="Arial" w:hAnsi="Arial" w:cs="Arial"/>
        </w:rPr>
        <w:t xml:space="preserve"> and</w:t>
      </w:r>
      <w:r>
        <w:rPr>
          <w:rFonts w:ascii="Arial" w:hAnsi="Arial" w:cs="Arial"/>
        </w:rPr>
        <w:t xml:space="preserve"> Andrew Wade </w:t>
      </w:r>
      <w:r w:rsidRPr="00BA21C9">
        <w:rPr>
          <w:rFonts w:ascii="Arial" w:hAnsi="Arial" w:cs="Arial"/>
        </w:rPr>
        <w:t xml:space="preserve">for comments on earlier versions of this report. </w:t>
      </w:r>
    </w:p>
    <w:p w14:paraId="7756EECF" w14:textId="77777777" w:rsidR="006E6738" w:rsidRPr="00126EFC" w:rsidRDefault="006E6738" w:rsidP="0001450B">
      <w:pPr>
        <w:ind w:firstLine="0"/>
        <w:rPr>
          <w:rFonts w:ascii="Arial" w:hAnsi="Arial" w:cs="Arial"/>
        </w:rPr>
      </w:pPr>
    </w:p>
    <w:p w14:paraId="5D146ED0" w14:textId="77777777" w:rsidR="003D6A77" w:rsidRPr="00126EFC" w:rsidRDefault="003D6A77" w:rsidP="0001450B">
      <w:pPr>
        <w:ind w:firstLine="0"/>
        <w:rPr>
          <w:rFonts w:ascii="Arial" w:hAnsi="Arial" w:cs="Arial"/>
        </w:rPr>
      </w:pPr>
    </w:p>
    <w:p w14:paraId="73EC05E3" w14:textId="77777777" w:rsidR="003D6A77" w:rsidRPr="00126EFC" w:rsidRDefault="003D6A77" w:rsidP="0001450B">
      <w:pPr>
        <w:ind w:firstLine="0"/>
        <w:rPr>
          <w:rFonts w:ascii="Arial" w:hAnsi="Arial" w:cs="Arial"/>
        </w:rPr>
      </w:pPr>
    </w:p>
    <w:p w14:paraId="4DD838BD" w14:textId="4D3406BB" w:rsidR="006E6738" w:rsidRDefault="006E6738" w:rsidP="007E4F2C">
      <w:pPr>
        <w:rPr>
          <w:rFonts w:ascii="Arial" w:hAnsi="Arial" w:cs="Arial"/>
        </w:rPr>
      </w:pPr>
    </w:p>
    <w:p w14:paraId="5FF30A2D" w14:textId="77777777" w:rsidR="008227CD" w:rsidRPr="00126EFC" w:rsidRDefault="008227CD" w:rsidP="007E4F2C">
      <w:pPr>
        <w:rPr>
          <w:rFonts w:ascii="Arial" w:hAnsi="Arial" w:cs="Arial"/>
        </w:rPr>
      </w:pPr>
    </w:p>
    <w:p w14:paraId="7B059A60" w14:textId="77777777" w:rsidR="006E6738" w:rsidRPr="00126EFC" w:rsidRDefault="0001450B" w:rsidP="0001450B">
      <w:pPr>
        <w:pStyle w:val="Heading4"/>
        <w:rPr>
          <w:rFonts w:cs="Arial"/>
          <w:i w:val="0"/>
          <w:sz w:val="32"/>
        </w:rPr>
      </w:pPr>
      <w:bookmarkStart w:id="85" w:name="_Toc519077394"/>
      <w:r w:rsidRPr="00126EFC">
        <w:rPr>
          <w:rFonts w:cs="Arial"/>
          <w:i w:val="0"/>
          <w:sz w:val="32"/>
        </w:rPr>
        <w:t>Acronyms</w:t>
      </w:r>
      <w:bookmarkEnd w:id="85"/>
    </w:p>
    <w:p w14:paraId="21004E69" w14:textId="77777777" w:rsidR="006E6738" w:rsidRPr="00126EFC" w:rsidRDefault="006E6738" w:rsidP="006E6738">
      <w:pPr>
        <w:rPr>
          <w:rFonts w:ascii="Arial" w:hAnsi="Arial" w:cs="Arial"/>
        </w:rPr>
      </w:pPr>
      <w:r w:rsidRPr="00126EFC">
        <w:rPr>
          <w:rFonts w:ascii="Arial" w:hAnsi="Arial" w:cs="Arial"/>
        </w:rPr>
        <w:t>ABS</w:t>
      </w:r>
      <w:r w:rsidRPr="00126EFC">
        <w:rPr>
          <w:rFonts w:ascii="Arial" w:hAnsi="Arial" w:cs="Arial"/>
        </w:rPr>
        <w:tab/>
      </w:r>
      <w:r w:rsidRPr="00126EFC">
        <w:rPr>
          <w:rFonts w:ascii="Arial" w:hAnsi="Arial" w:cs="Arial"/>
        </w:rPr>
        <w:tab/>
        <w:t>Australian Bureau of Statistics</w:t>
      </w:r>
    </w:p>
    <w:p w14:paraId="16DEDF89" w14:textId="2C0DFD70" w:rsidR="009B008B" w:rsidRDefault="009B008B" w:rsidP="006E6738">
      <w:pPr>
        <w:rPr>
          <w:rFonts w:ascii="Arial" w:hAnsi="Arial" w:cs="Arial"/>
        </w:rPr>
      </w:pPr>
      <w:r>
        <w:rPr>
          <w:rFonts w:ascii="Arial" w:hAnsi="Arial" w:cs="Arial"/>
        </w:rPr>
        <w:t>ATO</w:t>
      </w:r>
      <w:r>
        <w:rPr>
          <w:rFonts w:ascii="Arial" w:hAnsi="Arial" w:cs="Arial"/>
        </w:rPr>
        <w:tab/>
      </w:r>
      <w:r>
        <w:rPr>
          <w:rFonts w:ascii="Arial" w:hAnsi="Arial" w:cs="Arial"/>
        </w:rPr>
        <w:tab/>
        <w:t>Australian Taxation Office</w:t>
      </w:r>
    </w:p>
    <w:p w14:paraId="6CD78261" w14:textId="055E89F3" w:rsidR="009B008B" w:rsidRDefault="009B008B" w:rsidP="006E6738">
      <w:pPr>
        <w:rPr>
          <w:rFonts w:ascii="Arial" w:hAnsi="Arial" w:cs="Arial"/>
        </w:rPr>
      </w:pPr>
      <w:r>
        <w:rPr>
          <w:rFonts w:ascii="Arial" w:hAnsi="Arial" w:cs="Arial"/>
        </w:rPr>
        <w:t>PIT</w:t>
      </w:r>
      <w:r>
        <w:rPr>
          <w:rFonts w:ascii="Arial" w:hAnsi="Arial" w:cs="Arial"/>
        </w:rPr>
        <w:tab/>
      </w:r>
      <w:r>
        <w:rPr>
          <w:rFonts w:ascii="Arial" w:hAnsi="Arial" w:cs="Arial"/>
        </w:rPr>
        <w:tab/>
        <w:t>Personal Income Tax</w:t>
      </w:r>
    </w:p>
    <w:p w14:paraId="2A3F54C0" w14:textId="77777777" w:rsidR="009B008B" w:rsidRDefault="009B008B" w:rsidP="009B008B">
      <w:pPr>
        <w:rPr>
          <w:rFonts w:ascii="Arial" w:hAnsi="Arial" w:cs="Arial"/>
        </w:rPr>
      </w:pPr>
      <w:r>
        <w:rPr>
          <w:rFonts w:ascii="Arial" w:hAnsi="Arial" w:cs="Arial"/>
        </w:rPr>
        <w:t>RMSE</w:t>
      </w:r>
      <w:r>
        <w:rPr>
          <w:rFonts w:ascii="Arial" w:hAnsi="Arial" w:cs="Arial"/>
        </w:rPr>
        <w:tab/>
      </w:r>
      <w:r>
        <w:rPr>
          <w:rFonts w:ascii="Arial" w:hAnsi="Arial" w:cs="Arial"/>
        </w:rPr>
        <w:tab/>
        <w:t>Root Mean Squared Error</w:t>
      </w:r>
    </w:p>
    <w:p w14:paraId="126395E4" w14:textId="77777777" w:rsidR="009B008B" w:rsidRDefault="009B008B" w:rsidP="009B008B">
      <w:pPr>
        <w:rPr>
          <w:rFonts w:ascii="Arial" w:hAnsi="Arial" w:cs="Arial"/>
        </w:rPr>
      </w:pPr>
      <w:r>
        <w:rPr>
          <w:rFonts w:ascii="Arial" w:hAnsi="Arial" w:cs="Arial"/>
        </w:rPr>
        <w:t>SA1</w:t>
      </w:r>
      <w:r>
        <w:rPr>
          <w:rFonts w:ascii="Arial" w:hAnsi="Arial" w:cs="Arial"/>
        </w:rPr>
        <w:tab/>
      </w:r>
      <w:r>
        <w:rPr>
          <w:rFonts w:ascii="Arial" w:hAnsi="Arial" w:cs="Arial"/>
        </w:rPr>
        <w:tab/>
        <w:t>Statistical Areas Level 1</w:t>
      </w:r>
    </w:p>
    <w:p w14:paraId="04FF5533" w14:textId="51352A10" w:rsidR="006E6738" w:rsidRDefault="006E6738" w:rsidP="006E6738">
      <w:pPr>
        <w:rPr>
          <w:rFonts w:ascii="Arial" w:hAnsi="Arial" w:cs="Arial"/>
        </w:rPr>
      </w:pPr>
      <w:r w:rsidRPr="00126EFC">
        <w:rPr>
          <w:rFonts w:ascii="Arial" w:hAnsi="Arial" w:cs="Arial"/>
        </w:rPr>
        <w:t>SA</w:t>
      </w:r>
      <w:r w:rsidR="008227CD">
        <w:rPr>
          <w:rFonts w:ascii="Arial" w:hAnsi="Arial" w:cs="Arial"/>
        </w:rPr>
        <w:t>2</w:t>
      </w:r>
      <w:r w:rsidRPr="00126EFC">
        <w:rPr>
          <w:rFonts w:ascii="Arial" w:hAnsi="Arial" w:cs="Arial"/>
        </w:rPr>
        <w:tab/>
      </w:r>
      <w:r w:rsidRPr="00126EFC">
        <w:rPr>
          <w:rFonts w:ascii="Arial" w:hAnsi="Arial" w:cs="Arial"/>
        </w:rPr>
        <w:tab/>
        <w:t xml:space="preserve">Statistical Areas Level </w:t>
      </w:r>
      <w:r w:rsidR="009B008B">
        <w:rPr>
          <w:rFonts w:ascii="Arial" w:hAnsi="Arial" w:cs="Arial"/>
        </w:rPr>
        <w:t>2</w:t>
      </w:r>
    </w:p>
    <w:p w14:paraId="7F9B9428" w14:textId="7CF4841F" w:rsidR="009B008B" w:rsidRDefault="009B008B" w:rsidP="006E6738">
      <w:pPr>
        <w:rPr>
          <w:rFonts w:ascii="Arial" w:hAnsi="Arial" w:cs="Arial"/>
        </w:rPr>
      </w:pPr>
      <w:r>
        <w:rPr>
          <w:rFonts w:ascii="Arial" w:hAnsi="Arial" w:cs="Arial"/>
        </w:rPr>
        <w:t>SEIFA</w:t>
      </w:r>
      <w:r>
        <w:rPr>
          <w:rFonts w:ascii="Arial" w:hAnsi="Arial" w:cs="Arial"/>
        </w:rPr>
        <w:tab/>
      </w:r>
      <w:r>
        <w:rPr>
          <w:rFonts w:ascii="Arial" w:hAnsi="Arial" w:cs="Arial"/>
        </w:rPr>
        <w:tab/>
        <w:t>Socio-Economic Index for Areas</w:t>
      </w:r>
    </w:p>
    <w:p w14:paraId="17BD6546" w14:textId="6C1BB5F9" w:rsidR="009B008B" w:rsidRDefault="009B008B" w:rsidP="006E6738">
      <w:pPr>
        <w:rPr>
          <w:rFonts w:ascii="Arial" w:hAnsi="Arial" w:cs="Arial"/>
        </w:rPr>
      </w:pPr>
      <w:r>
        <w:rPr>
          <w:rFonts w:ascii="Arial" w:hAnsi="Arial" w:cs="Arial"/>
        </w:rPr>
        <w:t>SES</w:t>
      </w:r>
      <w:r>
        <w:rPr>
          <w:rFonts w:ascii="Arial" w:hAnsi="Arial" w:cs="Arial"/>
        </w:rPr>
        <w:tab/>
      </w:r>
      <w:r>
        <w:rPr>
          <w:rFonts w:ascii="Arial" w:hAnsi="Arial" w:cs="Arial"/>
        </w:rPr>
        <w:tab/>
        <w:t>Socio-Economic Status</w:t>
      </w:r>
    </w:p>
    <w:p w14:paraId="7E210511" w14:textId="77777777" w:rsidR="009B008B" w:rsidRPr="00126EFC" w:rsidRDefault="009B008B" w:rsidP="006E6738">
      <w:pPr>
        <w:rPr>
          <w:rFonts w:ascii="Arial" w:hAnsi="Arial" w:cs="Arial"/>
        </w:rPr>
      </w:pPr>
    </w:p>
    <w:p w14:paraId="6E2EB186" w14:textId="77777777" w:rsidR="006E6738" w:rsidRPr="00126EFC" w:rsidRDefault="006E6738" w:rsidP="006E6738">
      <w:pPr>
        <w:pStyle w:val="HeaderH1"/>
        <w:rPr>
          <w:rFonts w:cs="Arial"/>
        </w:rPr>
        <w:sectPr w:rsidR="006E6738" w:rsidRPr="00126EFC" w:rsidSect="00DD1FA8">
          <w:headerReference w:type="first" r:id="rId21"/>
          <w:pgSz w:w="11900" w:h="16840"/>
          <w:pgMar w:top="2835" w:right="851" w:bottom="1418" w:left="851" w:header="709" w:footer="709" w:gutter="0"/>
          <w:pgNumType w:fmt="lowerRoman"/>
          <w:cols w:space="284"/>
          <w:titlePg/>
          <w:docGrid w:linePitch="360"/>
        </w:sectPr>
      </w:pPr>
    </w:p>
    <w:p w14:paraId="105D5140" w14:textId="77777777" w:rsidR="006629DC" w:rsidRPr="00126EFC" w:rsidRDefault="006629DC" w:rsidP="001E790F">
      <w:pPr>
        <w:rPr>
          <w:rFonts w:ascii="Arial" w:hAnsi="Arial" w:cs="Arial"/>
          <w:i/>
        </w:rPr>
      </w:pPr>
    </w:p>
    <w:p w14:paraId="3C18FAFB" w14:textId="7E5419F5" w:rsidR="00A94E00" w:rsidRDefault="00A94E00" w:rsidP="00A94E00">
      <w:r>
        <w:t xml:space="preserve">The SES </w:t>
      </w:r>
      <w:r w:rsidR="0009117A">
        <w:t>score</w:t>
      </w:r>
      <w:r>
        <w:t xml:space="preserve"> used by the Commonwealth Government </w:t>
      </w:r>
      <w:r w:rsidR="0009117A">
        <w:t>in the calculation of</w:t>
      </w:r>
      <w:r>
        <w:t xml:space="preserve"> funding </w:t>
      </w:r>
      <w:r w:rsidR="0009117A">
        <w:t>for</w:t>
      </w:r>
      <w:r>
        <w:t xml:space="preserve"> </w:t>
      </w:r>
      <w:r w:rsidR="0009117A">
        <w:t xml:space="preserve">non-Government </w:t>
      </w:r>
      <w:r>
        <w:t xml:space="preserve">schools uses the calculated SES of the areas in which a student lives. SES </w:t>
      </w:r>
      <w:r w:rsidR="0009117A">
        <w:t xml:space="preserve">scores are </w:t>
      </w:r>
      <w:r>
        <w:t>calculated at the SA1 level based on measures of family and household income, education and occupation. The values for each component are combined using a 1/3 weight for education; a 1/3 weight for occupation; and a 1/6 weight for household income and a 1/6 weight for family income. The values for each student are then used to calculate an average for the school.</w:t>
      </w:r>
    </w:p>
    <w:p w14:paraId="25615204" w14:textId="7038D069" w:rsidR="00A94E00" w:rsidRDefault="00A94E00" w:rsidP="00A94E00">
      <w:r>
        <w:t>The funding model is needs based and designed to take into account the parents’ capacity to pay for their child’s education. In the original specification of the SES index, occupation and education were included in the index to reduce the effect of variability in incomes for small areas.</w:t>
      </w:r>
    </w:p>
    <w:p w14:paraId="21942D56" w14:textId="1C67C6EA" w:rsidR="00A94E00" w:rsidRDefault="00A94E00" w:rsidP="00A94E00">
      <w:r>
        <w:t xml:space="preserve">Some of the critique of the SES </w:t>
      </w:r>
      <w:r w:rsidR="0009117A">
        <w:t xml:space="preserve">score methodology </w:t>
      </w:r>
      <w:r>
        <w:t xml:space="preserve">has been that education and occupation are not relevant when assessing capacity to pay for a child’s education – the main factor is income. Education and occupation should, therefore, not be included in the SES </w:t>
      </w:r>
      <w:r w:rsidR="0009117A">
        <w:t>score</w:t>
      </w:r>
      <w:r>
        <w:t xml:space="preserve">. Education and occupation were originally included in the SES </w:t>
      </w:r>
      <w:r w:rsidR="0009117A">
        <w:t xml:space="preserve">score </w:t>
      </w:r>
      <w:r>
        <w:t xml:space="preserve">calculation because it was theorised that income within small areas was variable over time, but </w:t>
      </w:r>
      <w:r w:rsidR="0009117A">
        <w:t>there is limited evidence to support this.</w:t>
      </w:r>
    </w:p>
    <w:p w14:paraId="202E9E2F" w14:textId="1EA2245F" w:rsidR="0024530D" w:rsidRDefault="00667E1A" w:rsidP="007E4F2C">
      <w:pPr>
        <w:rPr>
          <w:rFonts w:ascii="Arial" w:hAnsi="Arial" w:cs="Arial"/>
        </w:rPr>
      </w:pPr>
      <w:r>
        <w:rPr>
          <w:rFonts w:ascii="Arial" w:hAnsi="Arial" w:cs="Arial"/>
        </w:rPr>
        <w:t xml:space="preserve">This analysis </w:t>
      </w:r>
      <w:r w:rsidR="00A94E00">
        <w:rPr>
          <w:rFonts w:ascii="Arial" w:hAnsi="Arial" w:cs="Arial"/>
        </w:rPr>
        <w:t>attempts to answer the four research questions:</w:t>
      </w:r>
    </w:p>
    <w:p w14:paraId="61BEB7A0" w14:textId="77777777" w:rsidR="0024530D" w:rsidRPr="0024530D" w:rsidRDefault="0024530D" w:rsidP="0024530D">
      <w:pPr>
        <w:rPr>
          <w:rFonts w:ascii="Arial" w:hAnsi="Arial" w:cs="Arial"/>
        </w:rPr>
      </w:pPr>
      <w:r w:rsidRPr="0024530D">
        <w:rPr>
          <w:rFonts w:ascii="Arial" w:hAnsi="Arial" w:cs="Arial"/>
        </w:rPr>
        <w:t>•</w:t>
      </w:r>
      <w:r w:rsidRPr="0024530D">
        <w:rPr>
          <w:rFonts w:ascii="Arial" w:hAnsi="Arial" w:cs="Arial"/>
        </w:rPr>
        <w:tab/>
        <w:t>How variable is personal income data at the small area level across years?</w:t>
      </w:r>
    </w:p>
    <w:p w14:paraId="6C975122" w14:textId="2FE23133" w:rsidR="0024530D" w:rsidRPr="0024530D" w:rsidRDefault="0024530D" w:rsidP="0024530D">
      <w:pPr>
        <w:rPr>
          <w:rFonts w:ascii="Arial" w:hAnsi="Arial" w:cs="Arial"/>
        </w:rPr>
      </w:pPr>
      <w:r w:rsidRPr="0024530D">
        <w:rPr>
          <w:rFonts w:ascii="Arial" w:hAnsi="Arial" w:cs="Arial"/>
        </w:rPr>
        <w:t>•</w:t>
      </w:r>
      <w:r w:rsidRPr="0024530D">
        <w:rPr>
          <w:rFonts w:ascii="Arial" w:hAnsi="Arial" w:cs="Arial"/>
        </w:rPr>
        <w:tab/>
        <w:t>Are income measures sensitive to economic changes and cycles?</w:t>
      </w:r>
    </w:p>
    <w:p w14:paraId="041087A8" w14:textId="622F5910" w:rsidR="0024530D" w:rsidRPr="0024530D" w:rsidRDefault="0024530D" w:rsidP="0024530D">
      <w:pPr>
        <w:rPr>
          <w:rFonts w:ascii="Arial" w:hAnsi="Arial" w:cs="Arial"/>
        </w:rPr>
      </w:pPr>
      <w:r w:rsidRPr="0024530D">
        <w:rPr>
          <w:rFonts w:ascii="Arial" w:hAnsi="Arial" w:cs="Arial"/>
        </w:rPr>
        <w:t>•</w:t>
      </w:r>
      <w:r w:rsidRPr="0024530D">
        <w:rPr>
          <w:rFonts w:ascii="Arial" w:hAnsi="Arial" w:cs="Arial"/>
        </w:rPr>
        <w:tab/>
      </w:r>
      <w:r w:rsidR="007C52FB" w:rsidRPr="007C52FB">
        <w:rPr>
          <w:rFonts w:ascii="Arial" w:hAnsi="Arial" w:cs="Arial"/>
        </w:rPr>
        <w:t>Are non-income variables still required to stabilise income dimensions of a capacity to contribute measure?</w:t>
      </w:r>
    </w:p>
    <w:p w14:paraId="2D18BEEB" w14:textId="19C8DE42" w:rsidR="0024530D" w:rsidRDefault="0024530D" w:rsidP="0024530D">
      <w:pPr>
        <w:rPr>
          <w:rFonts w:ascii="Arial" w:hAnsi="Arial" w:cs="Arial"/>
        </w:rPr>
      </w:pPr>
      <w:r w:rsidRPr="0024530D">
        <w:rPr>
          <w:rFonts w:ascii="Arial" w:hAnsi="Arial" w:cs="Arial"/>
        </w:rPr>
        <w:t>•</w:t>
      </w:r>
      <w:r w:rsidRPr="0024530D">
        <w:rPr>
          <w:rFonts w:ascii="Arial" w:hAnsi="Arial" w:cs="Arial"/>
        </w:rPr>
        <w:tab/>
        <w:t>Are there methods to use multiple years of income data to stabilise measures?</w:t>
      </w:r>
    </w:p>
    <w:p w14:paraId="4A03537B" w14:textId="77777777" w:rsidR="0024530D" w:rsidRDefault="0024530D" w:rsidP="0024530D">
      <w:pPr>
        <w:rPr>
          <w:rFonts w:ascii="Arial" w:hAnsi="Arial" w:cs="Arial"/>
        </w:rPr>
      </w:pPr>
    </w:p>
    <w:p w14:paraId="102EE516" w14:textId="24AA5112" w:rsidR="00914459" w:rsidRDefault="00914459" w:rsidP="007E4F2C">
      <w:pPr>
        <w:rPr>
          <w:rFonts w:ascii="Arial" w:hAnsi="Arial" w:cs="Arial"/>
        </w:rPr>
      </w:pPr>
      <w:r>
        <w:rPr>
          <w:rFonts w:ascii="Arial" w:hAnsi="Arial" w:cs="Arial"/>
        </w:rPr>
        <w:t xml:space="preserve">The first two questions are about the variability of income measures, while the second two questions </w:t>
      </w:r>
      <w:r w:rsidR="00050F92">
        <w:rPr>
          <w:rFonts w:ascii="Arial" w:hAnsi="Arial" w:cs="Arial"/>
        </w:rPr>
        <w:t>are</w:t>
      </w:r>
      <w:r>
        <w:rPr>
          <w:rFonts w:ascii="Arial" w:hAnsi="Arial" w:cs="Arial"/>
        </w:rPr>
        <w:t xml:space="preserve"> around ways to stabilise an income measure.</w:t>
      </w:r>
    </w:p>
    <w:p w14:paraId="686B489C" w14:textId="433D743C" w:rsidR="007A40A7" w:rsidRDefault="00914459" w:rsidP="007E4F2C">
      <w:pPr>
        <w:rPr>
          <w:rFonts w:ascii="Arial" w:hAnsi="Arial" w:cs="Arial"/>
        </w:rPr>
      </w:pPr>
      <w:r>
        <w:rPr>
          <w:rFonts w:ascii="Arial" w:hAnsi="Arial" w:cs="Arial"/>
        </w:rPr>
        <w:t xml:space="preserve">To answer the first two questions, we </w:t>
      </w:r>
      <w:r w:rsidR="00667E1A">
        <w:rPr>
          <w:rFonts w:ascii="Arial" w:hAnsi="Arial" w:cs="Arial"/>
        </w:rPr>
        <w:t xml:space="preserve">looked at the variability of incomes </w:t>
      </w:r>
      <w:r w:rsidR="006219B9">
        <w:rPr>
          <w:rFonts w:ascii="Arial" w:hAnsi="Arial" w:cs="Arial"/>
        </w:rPr>
        <w:t>aggregated to the S</w:t>
      </w:r>
      <w:r w:rsidR="00667E1A">
        <w:rPr>
          <w:rFonts w:ascii="Arial" w:hAnsi="Arial" w:cs="Arial"/>
        </w:rPr>
        <w:t xml:space="preserve">A2 level using Personal Income Tax (PIT) data over 10 years; and </w:t>
      </w:r>
      <w:r w:rsidR="006219B9">
        <w:rPr>
          <w:rFonts w:ascii="Arial" w:hAnsi="Arial" w:cs="Arial"/>
        </w:rPr>
        <w:t>to</w:t>
      </w:r>
      <w:r w:rsidR="00667E1A">
        <w:rPr>
          <w:rFonts w:ascii="Arial" w:hAnsi="Arial" w:cs="Arial"/>
        </w:rPr>
        <w:t xml:space="preserve"> the SA1 level using Census data from 3 Census’. </w:t>
      </w:r>
      <w:r w:rsidR="00CD1D1D">
        <w:rPr>
          <w:rFonts w:ascii="Arial" w:hAnsi="Arial" w:cs="Arial"/>
        </w:rPr>
        <w:t>V</w:t>
      </w:r>
      <w:r w:rsidR="00667E1A">
        <w:rPr>
          <w:rFonts w:ascii="Arial" w:hAnsi="Arial" w:cs="Arial"/>
        </w:rPr>
        <w:t>ariability</w:t>
      </w:r>
      <w:r w:rsidR="00CD1D1D">
        <w:rPr>
          <w:rFonts w:ascii="Arial" w:hAnsi="Arial" w:cs="Arial"/>
        </w:rPr>
        <w:t xml:space="preserve"> in</w:t>
      </w:r>
      <w:r w:rsidR="00667E1A">
        <w:rPr>
          <w:rFonts w:ascii="Arial" w:hAnsi="Arial" w:cs="Arial"/>
        </w:rPr>
        <w:t xml:space="preserve"> PIT data </w:t>
      </w:r>
      <w:r w:rsidR="007A40A7">
        <w:rPr>
          <w:rFonts w:ascii="Arial" w:hAnsi="Arial" w:cs="Arial"/>
        </w:rPr>
        <w:t xml:space="preserve">for each SA2 in each capital city/balance of State in Australia </w:t>
      </w:r>
      <w:r w:rsidR="00667E1A">
        <w:rPr>
          <w:rFonts w:ascii="Arial" w:hAnsi="Arial" w:cs="Arial"/>
        </w:rPr>
        <w:t>w</w:t>
      </w:r>
      <w:r w:rsidR="0068020E">
        <w:rPr>
          <w:rFonts w:ascii="Arial" w:hAnsi="Arial" w:cs="Arial"/>
        </w:rPr>
        <w:t xml:space="preserve">as identified by first </w:t>
      </w:r>
      <w:r w:rsidR="00A94E00">
        <w:rPr>
          <w:rFonts w:ascii="Arial" w:hAnsi="Arial" w:cs="Arial"/>
        </w:rPr>
        <w:t>rebasing</w:t>
      </w:r>
      <w:r w:rsidR="0068020E">
        <w:rPr>
          <w:rFonts w:ascii="Arial" w:hAnsi="Arial" w:cs="Arial"/>
        </w:rPr>
        <w:t xml:space="preserve"> incomes to the </w:t>
      </w:r>
      <w:r w:rsidR="007A40A7">
        <w:rPr>
          <w:rFonts w:ascii="Arial" w:hAnsi="Arial" w:cs="Arial"/>
        </w:rPr>
        <w:t xml:space="preserve">income for each capital city/balance of state in the </w:t>
      </w:r>
      <w:r w:rsidR="0068020E">
        <w:rPr>
          <w:rFonts w:ascii="Arial" w:hAnsi="Arial" w:cs="Arial"/>
        </w:rPr>
        <w:t>base year (either 200</w:t>
      </w:r>
      <w:r w:rsidR="0024530D">
        <w:rPr>
          <w:rFonts w:ascii="Arial" w:hAnsi="Arial" w:cs="Arial"/>
        </w:rPr>
        <w:t>5</w:t>
      </w:r>
      <w:r w:rsidR="0068020E">
        <w:rPr>
          <w:rFonts w:ascii="Arial" w:hAnsi="Arial" w:cs="Arial"/>
        </w:rPr>
        <w:t xml:space="preserve">/06 or 2010/11) and calculating percentage changes in subsequent years compared to the base. This was then plotted </w:t>
      </w:r>
      <w:r w:rsidR="007A40A7">
        <w:rPr>
          <w:rFonts w:ascii="Arial" w:hAnsi="Arial" w:cs="Arial"/>
        </w:rPr>
        <w:t xml:space="preserve">for each capital city/balance of state </w:t>
      </w:r>
      <w:r w:rsidR="0068020E">
        <w:rPr>
          <w:rFonts w:ascii="Arial" w:hAnsi="Arial" w:cs="Arial"/>
        </w:rPr>
        <w:t xml:space="preserve">as </w:t>
      </w:r>
      <w:r w:rsidR="007A40A7">
        <w:rPr>
          <w:rFonts w:ascii="Arial" w:hAnsi="Arial" w:cs="Arial"/>
        </w:rPr>
        <w:t xml:space="preserve">a </w:t>
      </w:r>
      <w:r w:rsidR="0068020E">
        <w:rPr>
          <w:rFonts w:ascii="Arial" w:hAnsi="Arial" w:cs="Arial"/>
        </w:rPr>
        <w:t xml:space="preserve">time series to provide a graphical representation of the changes. Additionally, </w:t>
      </w:r>
      <w:r w:rsidR="00A94E00">
        <w:rPr>
          <w:rFonts w:ascii="Arial" w:hAnsi="Arial" w:cs="Arial"/>
        </w:rPr>
        <w:t xml:space="preserve">a basic </w:t>
      </w:r>
      <w:r w:rsidR="0068020E">
        <w:rPr>
          <w:rFonts w:ascii="Arial" w:hAnsi="Arial" w:cs="Arial"/>
        </w:rPr>
        <w:t>regression</w:t>
      </w:r>
      <w:r w:rsidR="00A94E00">
        <w:rPr>
          <w:rFonts w:ascii="Arial" w:hAnsi="Arial" w:cs="Arial"/>
        </w:rPr>
        <w:t xml:space="preserve"> with slope and intercept terms only was</w:t>
      </w:r>
      <w:r w:rsidR="0068020E">
        <w:rPr>
          <w:rFonts w:ascii="Arial" w:hAnsi="Arial" w:cs="Arial"/>
        </w:rPr>
        <w:t xml:space="preserve"> run for each SA2 and the root-mean-square errors </w:t>
      </w:r>
      <w:r w:rsidR="0009117A">
        <w:rPr>
          <w:rFonts w:ascii="Arial" w:hAnsi="Arial" w:cs="Arial"/>
        </w:rPr>
        <w:t xml:space="preserve">(RMSE) </w:t>
      </w:r>
      <w:r w:rsidR="0068020E">
        <w:rPr>
          <w:rFonts w:ascii="Arial" w:hAnsi="Arial" w:cs="Arial"/>
        </w:rPr>
        <w:t>were calculated, providing an easily interpretable measure of income variability relative to the overall trend.</w:t>
      </w:r>
    </w:p>
    <w:p w14:paraId="1A597F39" w14:textId="1A5CD7A5" w:rsidR="00A94E00" w:rsidRDefault="00A94E00" w:rsidP="007E4F2C">
      <w:pPr>
        <w:rPr>
          <w:rFonts w:ascii="Arial" w:hAnsi="Arial" w:cs="Arial"/>
        </w:rPr>
      </w:pPr>
      <w:r>
        <w:rPr>
          <w:rFonts w:ascii="Arial" w:hAnsi="Arial" w:cs="Arial"/>
        </w:rPr>
        <w:t xml:space="preserve"> </w:t>
      </w:r>
      <w:r w:rsidR="007A40A7">
        <w:rPr>
          <w:rFonts w:ascii="Arial" w:hAnsi="Arial" w:cs="Arial"/>
        </w:rPr>
        <w:t>The graphs also showed where 95% of the national values fell, for all years. Values falling outside these lines are outside the top and bottom 2.5% of values, so could be considered significant differences.</w:t>
      </w:r>
      <w:r w:rsidR="007A40A7">
        <w:rPr>
          <w:rStyle w:val="FootnoteReference"/>
          <w:rFonts w:ascii="Arial" w:hAnsi="Arial" w:cs="Arial"/>
        </w:rPr>
        <w:footnoteReference w:id="2"/>
      </w:r>
    </w:p>
    <w:p w14:paraId="39FF336C" w14:textId="789E4FA9" w:rsidR="00A54950" w:rsidRDefault="00667E1A" w:rsidP="007E4F2C">
      <w:pPr>
        <w:rPr>
          <w:rFonts w:ascii="Arial" w:hAnsi="Arial" w:cs="Arial"/>
        </w:rPr>
      </w:pPr>
      <w:r>
        <w:rPr>
          <w:rFonts w:ascii="Arial" w:hAnsi="Arial" w:cs="Arial"/>
        </w:rPr>
        <w:t xml:space="preserve">The analysis of the Census data looked at quintile tables, showing changes in quintiles at the SA1 level in the SES score; and a score using </w:t>
      </w:r>
      <w:r w:rsidR="00914459">
        <w:rPr>
          <w:rFonts w:ascii="Arial" w:hAnsi="Arial" w:cs="Arial"/>
        </w:rPr>
        <w:t>household</w:t>
      </w:r>
      <w:r>
        <w:rPr>
          <w:rFonts w:ascii="Arial" w:hAnsi="Arial" w:cs="Arial"/>
        </w:rPr>
        <w:t xml:space="preserve"> income only</w:t>
      </w:r>
      <w:r w:rsidR="00914459">
        <w:rPr>
          <w:rFonts w:ascii="Arial" w:hAnsi="Arial" w:cs="Arial"/>
        </w:rPr>
        <w:t>, both obtained from the Department</w:t>
      </w:r>
      <w:r>
        <w:rPr>
          <w:rFonts w:ascii="Arial" w:hAnsi="Arial" w:cs="Arial"/>
        </w:rPr>
        <w:t>.</w:t>
      </w:r>
      <w:r w:rsidR="00A94E00">
        <w:rPr>
          <w:rFonts w:ascii="Arial" w:hAnsi="Arial" w:cs="Arial"/>
        </w:rPr>
        <w:t xml:space="preserve"> The Census data was also used to answer the third research question, by looking at the variability of the SES measure and an income only measure over three Census periods.</w:t>
      </w:r>
    </w:p>
    <w:p w14:paraId="6C62FC1B" w14:textId="28C7A940" w:rsidR="00A94E00" w:rsidRDefault="007A40A7" w:rsidP="007E4F2C">
      <w:pPr>
        <w:rPr>
          <w:rFonts w:ascii="Arial" w:hAnsi="Arial" w:cs="Arial"/>
        </w:rPr>
      </w:pPr>
      <w:r>
        <w:rPr>
          <w:rFonts w:ascii="Arial" w:hAnsi="Arial" w:cs="Arial"/>
        </w:rPr>
        <w:t>To answer</w:t>
      </w:r>
      <w:r w:rsidR="00A94E00">
        <w:rPr>
          <w:rFonts w:ascii="Arial" w:hAnsi="Arial" w:cs="Arial"/>
        </w:rPr>
        <w:t xml:space="preserve"> the final research question, a 3 year moving average of the PIT data was used, and the same tests (graphs over time and RMSE) were used to summarise the variability.</w:t>
      </w:r>
    </w:p>
    <w:p w14:paraId="3F4B7BCC" w14:textId="412B07E2" w:rsidR="00A94E00" w:rsidRDefault="00A94E00" w:rsidP="007E4F2C">
      <w:pPr>
        <w:rPr>
          <w:rFonts w:ascii="Arial" w:hAnsi="Arial" w:cs="Arial"/>
        </w:rPr>
      </w:pPr>
      <w:r>
        <w:rPr>
          <w:rFonts w:ascii="Arial" w:hAnsi="Arial" w:cs="Arial"/>
        </w:rPr>
        <w:t>In addition, for one period of the PIT data, median income was available rather than mean. Mean incomes are heavily influenced by extreme incomes, and are therefore known to be skewed. This means a mean, or average, is not a good summary measure as extreme values can influence it. Normally a median is used as a summary of incomes, and a median income is a lot more stable over time. Therefore, the summary figures for the PIT data (graphs and the RMSE) were also calculated for median incomes.</w:t>
      </w:r>
    </w:p>
    <w:p w14:paraId="522246A8" w14:textId="525732B0" w:rsidR="0068020E" w:rsidRDefault="00914459" w:rsidP="007E4F2C">
      <w:pPr>
        <w:rPr>
          <w:rFonts w:ascii="Arial" w:hAnsi="Arial" w:cs="Arial"/>
        </w:rPr>
      </w:pPr>
      <w:r>
        <w:rPr>
          <w:rFonts w:ascii="Arial" w:hAnsi="Arial" w:cs="Arial"/>
        </w:rPr>
        <w:t>The PIT analysis was conducted at the SA2 level because this was</w:t>
      </w:r>
      <w:r w:rsidR="0068020E">
        <w:rPr>
          <w:rFonts w:ascii="Arial" w:hAnsi="Arial" w:cs="Arial"/>
        </w:rPr>
        <w:t xml:space="preserve"> the smallest area for which personal income tax data is publicly available</w:t>
      </w:r>
      <w:r>
        <w:rPr>
          <w:rFonts w:ascii="Arial" w:hAnsi="Arial" w:cs="Arial"/>
        </w:rPr>
        <w:t xml:space="preserve">. </w:t>
      </w:r>
      <w:r w:rsidR="0068020E">
        <w:rPr>
          <w:rFonts w:ascii="Arial" w:hAnsi="Arial" w:cs="Arial"/>
        </w:rPr>
        <w:t xml:space="preserve">SA2s are </w:t>
      </w:r>
      <w:r>
        <w:rPr>
          <w:rFonts w:ascii="Arial" w:hAnsi="Arial" w:cs="Arial"/>
        </w:rPr>
        <w:t xml:space="preserve">also </w:t>
      </w:r>
      <w:r w:rsidR="0068020E">
        <w:rPr>
          <w:rFonts w:ascii="Arial" w:hAnsi="Arial" w:cs="Arial"/>
        </w:rPr>
        <w:t xml:space="preserve">the smallest areas at which we could reasonably expect incomes to be stable from year to year. SA1 areas, the smallest areas for which most </w:t>
      </w:r>
      <w:r w:rsidR="0024530D">
        <w:rPr>
          <w:rFonts w:ascii="Arial" w:hAnsi="Arial" w:cs="Arial"/>
        </w:rPr>
        <w:t xml:space="preserve">ABS </w:t>
      </w:r>
      <w:r w:rsidR="0068020E">
        <w:rPr>
          <w:rFonts w:ascii="Arial" w:hAnsi="Arial" w:cs="Arial"/>
        </w:rPr>
        <w:t>data is publicly available, have an average population of approximately 400 individuals. Of these, only a fraction would be income earners; the remainder would be children, the elderly, unemployed or otherwise unable to work.</w:t>
      </w:r>
      <w:r w:rsidR="00883CFC">
        <w:rPr>
          <w:rFonts w:ascii="Arial" w:hAnsi="Arial" w:cs="Arial"/>
        </w:rPr>
        <w:t xml:space="preserve"> With such low populations, small changes </w:t>
      </w:r>
      <w:r w:rsidR="00D67F92">
        <w:rPr>
          <w:rFonts w:ascii="Arial" w:hAnsi="Arial" w:cs="Arial"/>
        </w:rPr>
        <w:t>incomes as measured in dollars may represent large percentage changes.</w:t>
      </w:r>
    </w:p>
    <w:p w14:paraId="55BE7335" w14:textId="1F257CB1" w:rsidR="0091049C" w:rsidRDefault="00667E1A" w:rsidP="007E4F2C">
      <w:pPr>
        <w:rPr>
          <w:rFonts w:ascii="Arial" w:hAnsi="Arial" w:cs="Arial"/>
        </w:rPr>
      </w:pPr>
      <w:r>
        <w:rPr>
          <w:rFonts w:ascii="Arial" w:hAnsi="Arial" w:cs="Arial"/>
        </w:rPr>
        <w:t>The results showed that</w:t>
      </w:r>
      <w:r w:rsidR="0009266C">
        <w:rPr>
          <w:rFonts w:ascii="Arial" w:hAnsi="Arial" w:cs="Arial"/>
        </w:rPr>
        <w:t>, for most areas</w:t>
      </w:r>
      <w:r w:rsidR="006B6D43">
        <w:rPr>
          <w:rFonts w:ascii="Arial" w:hAnsi="Arial" w:cs="Arial"/>
        </w:rPr>
        <w:t>,</w:t>
      </w:r>
      <w:r w:rsidR="0009266C">
        <w:rPr>
          <w:rFonts w:ascii="Arial" w:hAnsi="Arial" w:cs="Arial"/>
        </w:rPr>
        <w:t xml:space="preserve"> incomes remained relatively stable. </w:t>
      </w:r>
      <w:r w:rsidR="00255D88">
        <w:rPr>
          <w:rFonts w:ascii="Arial" w:hAnsi="Arial" w:cs="Arial"/>
        </w:rPr>
        <w:t xml:space="preserve">The number of SA2’s which had income changes within the 95% range of national income change was close to 90% in each time period looked at. In the first time period, </w:t>
      </w:r>
      <w:r w:rsidR="002467AE">
        <w:rPr>
          <w:rFonts w:ascii="Arial" w:hAnsi="Arial" w:cs="Arial"/>
        </w:rPr>
        <w:t>12</w:t>
      </w:r>
      <w:r w:rsidR="00255D88">
        <w:rPr>
          <w:rFonts w:ascii="Arial" w:hAnsi="Arial" w:cs="Arial"/>
        </w:rPr>
        <w:t>% of SA2’s had income change outside the 95% national change; and in the second time period, 1</w:t>
      </w:r>
      <w:r w:rsidR="002467AE">
        <w:rPr>
          <w:rFonts w:ascii="Arial" w:hAnsi="Arial" w:cs="Arial"/>
        </w:rPr>
        <w:t>0</w:t>
      </w:r>
      <w:r w:rsidR="00255D88">
        <w:rPr>
          <w:rFonts w:ascii="Arial" w:hAnsi="Arial" w:cs="Arial"/>
        </w:rPr>
        <w:t xml:space="preserve">% had changes outside the 95% national change. </w:t>
      </w:r>
      <w:r w:rsidR="0091049C">
        <w:rPr>
          <w:rFonts w:ascii="Arial" w:hAnsi="Arial" w:cs="Arial"/>
        </w:rPr>
        <w:t xml:space="preserve">Areas with low populations of earners may experience large changes in average incomes </w:t>
      </w:r>
      <w:r w:rsidR="008E0DCF">
        <w:rPr>
          <w:rFonts w:ascii="Arial" w:hAnsi="Arial" w:cs="Arial"/>
        </w:rPr>
        <w:t>over the period studied</w:t>
      </w:r>
      <w:r w:rsidR="0091049C">
        <w:rPr>
          <w:rFonts w:ascii="Arial" w:hAnsi="Arial" w:cs="Arial"/>
        </w:rPr>
        <w:t xml:space="preserve">. </w:t>
      </w:r>
      <w:r w:rsidR="0009266C">
        <w:rPr>
          <w:rFonts w:ascii="Arial" w:hAnsi="Arial" w:cs="Arial"/>
        </w:rPr>
        <w:t>Areas that have sufficiently large and diverse population</w:t>
      </w:r>
      <w:r w:rsidR="0091049C">
        <w:rPr>
          <w:rFonts w:ascii="Arial" w:hAnsi="Arial" w:cs="Arial"/>
        </w:rPr>
        <w:t>s</w:t>
      </w:r>
      <w:r w:rsidR="0009266C">
        <w:rPr>
          <w:rFonts w:ascii="Arial" w:hAnsi="Arial" w:cs="Arial"/>
        </w:rPr>
        <w:t xml:space="preserve"> are unlikely to be affected by </w:t>
      </w:r>
      <w:r w:rsidR="0091049C">
        <w:rPr>
          <w:rFonts w:ascii="Arial" w:hAnsi="Arial" w:cs="Arial"/>
        </w:rPr>
        <w:t>dramatic changes in income over short periods of time, however, some notable exceptions were observed.</w:t>
      </w:r>
    </w:p>
    <w:p w14:paraId="22130544" w14:textId="12D93AC4" w:rsidR="0091049C" w:rsidRDefault="0091049C" w:rsidP="007E4F2C">
      <w:pPr>
        <w:rPr>
          <w:rFonts w:ascii="Arial" w:hAnsi="Arial" w:cs="Arial"/>
        </w:rPr>
      </w:pPr>
      <w:r>
        <w:rPr>
          <w:rFonts w:ascii="Arial" w:hAnsi="Arial" w:cs="Arial"/>
        </w:rPr>
        <w:t>Some areas undergoing structural change, such as subdivision</w:t>
      </w:r>
      <w:r w:rsidR="00493DF6">
        <w:rPr>
          <w:rFonts w:ascii="Arial" w:hAnsi="Arial" w:cs="Arial"/>
        </w:rPr>
        <w:t>s</w:t>
      </w:r>
      <w:r>
        <w:rPr>
          <w:rFonts w:ascii="Arial" w:hAnsi="Arial" w:cs="Arial"/>
        </w:rPr>
        <w:t xml:space="preserve"> and new building, gentrification and urban infill, or areas that are particularly dependent on specific industries, such as mining or agriculture, experience</w:t>
      </w:r>
      <w:r w:rsidR="00841C10">
        <w:rPr>
          <w:rFonts w:ascii="Arial" w:hAnsi="Arial" w:cs="Arial"/>
        </w:rPr>
        <w:t>d</w:t>
      </w:r>
      <w:r>
        <w:rPr>
          <w:rFonts w:ascii="Arial" w:hAnsi="Arial" w:cs="Arial"/>
        </w:rPr>
        <w:t xml:space="preserve"> relatively large changes in average incomes over relatively short periods of time.</w:t>
      </w:r>
    </w:p>
    <w:p w14:paraId="7A5E862E" w14:textId="77777777" w:rsidR="003D71C2" w:rsidRDefault="0091049C" w:rsidP="00D67F92">
      <w:pPr>
        <w:rPr>
          <w:rFonts w:ascii="Arial" w:hAnsi="Arial" w:cs="Arial"/>
        </w:rPr>
      </w:pPr>
      <w:r w:rsidRPr="0091049C">
        <w:rPr>
          <w:rFonts w:ascii="Arial" w:hAnsi="Arial" w:cs="Arial"/>
        </w:rPr>
        <w:t>The</w:t>
      </w:r>
      <w:r>
        <w:rPr>
          <w:rFonts w:ascii="Arial" w:hAnsi="Arial" w:cs="Arial"/>
        </w:rPr>
        <w:t xml:space="preserve"> </w:t>
      </w:r>
      <w:r w:rsidR="00101FF5">
        <w:rPr>
          <w:rFonts w:ascii="Arial" w:hAnsi="Arial" w:cs="Arial"/>
        </w:rPr>
        <w:t xml:space="preserve">reasons </w:t>
      </w:r>
      <w:r w:rsidR="00D76182">
        <w:rPr>
          <w:rFonts w:ascii="Arial" w:hAnsi="Arial" w:cs="Arial"/>
        </w:rPr>
        <w:t>for change will differ from place to place, and will likely be dependent on</w:t>
      </w:r>
      <w:r w:rsidR="00005043">
        <w:rPr>
          <w:rFonts w:ascii="Arial" w:hAnsi="Arial" w:cs="Arial"/>
        </w:rPr>
        <w:t xml:space="preserve"> a combination of</w:t>
      </w:r>
      <w:r w:rsidR="00D76182">
        <w:rPr>
          <w:rFonts w:ascii="Arial" w:hAnsi="Arial" w:cs="Arial"/>
        </w:rPr>
        <w:t xml:space="preserve"> local planning policy and events affecting the broader economy. In some cases, incomes may rise and fall with the economy, in others they may rise or fall as the social makeup of the area changes. Examples of this might include a country town in decline where workers emigrate in search of better opportunities, or an inner suburb in which previously low-value housing is being demolished or renovated to accommodate wealthier </w:t>
      </w:r>
      <w:r w:rsidR="0024530D">
        <w:rPr>
          <w:rFonts w:ascii="Arial" w:hAnsi="Arial" w:cs="Arial"/>
        </w:rPr>
        <w:t>households</w:t>
      </w:r>
      <w:r w:rsidR="00D76182">
        <w:rPr>
          <w:rFonts w:ascii="Arial" w:hAnsi="Arial" w:cs="Arial"/>
        </w:rPr>
        <w:t xml:space="preserve"> hoping to take a</w:t>
      </w:r>
      <w:r w:rsidR="00D67F92">
        <w:rPr>
          <w:rFonts w:ascii="Arial" w:hAnsi="Arial" w:cs="Arial"/>
        </w:rPr>
        <w:t>dvantage of the central location.</w:t>
      </w:r>
    </w:p>
    <w:p w14:paraId="4CCF7580" w14:textId="77777777" w:rsidR="003F3F5A" w:rsidRDefault="003D71C2" w:rsidP="003F3F5A">
      <w:pPr>
        <w:rPr>
          <w:rFonts w:ascii="Arial" w:hAnsi="Arial" w:cs="Arial"/>
        </w:rPr>
      </w:pPr>
      <w:r>
        <w:rPr>
          <w:rFonts w:ascii="Arial" w:hAnsi="Arial" w:cs="Arial"/>
        </w:rPr>
        <w:t>We found that median incomes were much more stable than mean income</w:t>
      </w:r>
      <w:r w:rsidR="00841C10">
        <w:rPr>
          <w:rFonts w:ascii="Arial" w:hAnsi="Arial" w:cs="Arial"/>
        </w:rPr>
        <w:t xml:space="preserve">s. This </w:t>
      </w:r>
      <w:r>
        <w:rPr>
          <w:rFonts w:ascii="Arial" w:hAnsi="Arial" w:cs="Arial"/>
        </w:rPr>
        <w:t xml:space="preserve">would suggest median income </w:t>
      </w:r>
      <w:r w:rsidR="00841C10">
        <w:rPr>
          <w:rFonts w:ascii="Arial" w:hAnsi="Arial" w:cs="Arial"/>
        </w:rPr>
        <w:t xml:space="preserve">should be </w:t>
      </w:r>
      <w:r>
        <w:rPr>
          <w:rFonts w:ascii="Arial" w:hAnsi="Arial" w:cs="Arial"/>
        </w:rPr>
        <w:t>used in the SES measure. We also found that using a moving average reduced any variability further, but still reflected a change in incomes when this did occur in an area. The use of a moving average meant any income change was slowly brought into effect, allowing time for schools to respond to the changing situation.</w:t>
      </w:r>
    </w:p>
    <w:p w14:paraId="2BB592DB" w14:textId="5F44B177" w:rsidR="003F3F5A" w:rsidRDefault="003F3F5A" w:rsidP="003F3F5A">
      <w:pPr>
        <w:rPr>
          <w:rFonts w:ascii="Arial" w:hAnsi="Arial" w:cs="Arial"/>
        </w:rPr>
      </w:pPr>
      <w:r>
        <w:rPr>
          <w:rFonts w:ascii="Arial" w:hAnsi="Arial" w:cs="Arial"/>
        </w:rPr>
        <w:t xml:space="preserve">An example of the relative stability of mean, median, and smoothed mean and median incomes from 2010/11 to 2014/15 is provided in </w:t>
      </w:r>
      <w:r>
        <w:rPr>
          <w:rFonts w:ascii="Arial" w:hAnsi="Arial" w:cs="Arial"/>
        </w:rPr>
        <w:fldChar w:fldCharType="begin"/>
      </w:r>
      <w:r>
        <w:rPr>
          <w:rFonts w:ascii="Arial" w:hAnsi="Arial" w:cs="Arial"/>
        </w:rPr>
        <w:instrText xml:space="preserve"> REF _Ref508889276 \h </w:instrText>
      </w:r>
      <w:r>
        <w:rPr>
          <w:rFonts w:ascii="Arial" w:hAnsi="Arial" w:cs="Arial"/>
        </w:rPr>
      </w:r>
      <w:r>
        <w:rPr>
          <w:rFonts w:ascii="Arial" w:hAnsi="Arial" w:cs="Arial"/>
        </w:rPr>
        <w:fldChar w:fldCharType="separate"/>
      </w:r>
      <w:r w:rsidR="00171745">
        <w:t xml:space="preserve">Figure </w:t>
      </w:r>
      <w:r w:rsidR="00171745">
        <w:rPr>
          <w:noProof/>
        </w:rPr>
        <w:t>1</w:t>
      </w:r>
      <w:r>
        <w:rPr>
          <w:rFonts w:ascii="Arial" w:hAnsi="Arial" w:cs="Arial"/>
        </w:rPr>
        <w:fldChar w:fldCharType="end"/>
      </w:r>
      <w:r>
        <w:rPr>
          <w:rFonts w:ascii="Arial" w:hAnsi="Arial" w:cs="Arial"/>
        </w:rPr>
        <w:t xml:space="preserve">. The Esperance Region SA2 has a relatively variable income compared to most other SA2s, and this is especially visible when taking the mean income, which can vary by over 20%. If median incomes are taken instead, this variation is reduced considerably, but </w:t>
      </w:r>
      <w:r w:rsidR="00050F92">
        <w:rPr>
          <w:rFonts w:ascii="Arial" w:hAnsi="Arial" w:cs="Arial"/>
        </w:rPr>
        <w:t xml:space="preserve">it </w:t>
      </w:r>
      <w:r>
        <w:rPr>
          <w:rFonts w:ascii="Arial" w:hAnsi="Arial" w:cs="Arial"/>
        </w:rPr>
        <w:t>is still able to capture the gradual increase in incomes observed over the period. A smoothed median income shows even less variability</w:t>
      </w:r>
      <w:r w:rsidR="00050F92">
        <w:rPr>
          <w:rFonts w:ascii="Arial" w:hAnsi="Arial" w:cs="Arial"/>
        </w:rPr>
        <w:t xml:space="preserve"> while still picking up the trend increase</w:t>
      </w:r>
      <w:r>
        <w:rPr>
          <w:rFonts w:ascii="Arial" w:hAnsi="Arial" w:cs="Arial"/>
        </w:rPr>
        <w:t xml:space="preserve">, as can be seen in </w:t>
      </w:r>
      <w:r>
        <w:rPr>
          <w:rFonts w:ascii="Arial" w:hAnsi="Arial" w:cs="Arial"/>
        </w:rPr>
        <w:fldChar w:fldCharType="begin"/>
      </w:r>
      <w:r>
        <w:rPr>
          <w:rFonts w:ascii="Arial" w:hAnsi="Arial" w:cs="Arial"/>
        </w:rPr>
        <w:instrText xml:space="preserve"> REF _Ref508889276 \h </w:instrText>
      </w:r>
      <w:r>
        <w:rPr>
          <w:rFonts w:ascii="Arial" w:hAnsi="Arial" w:cs="Arial"/>
        </w:rPr>
      </w:r>
      <w:r>
        <w:rPr>
          <w:rFonts w:ascii="Arial" w:hAnsi="Arial" w:cs="Arial"/>
        </w:rPr>
        <w:fldChar w:fldCharType="separate"/>
      </w:r>
      <w:r w:rsidR="00171745">
        <w:t xml:space="preserve">Figure </w:t>
      </w:r>
      <w:r w:rsidR="00171745">
        <w:rPr>
          <w:noProof/>
        </w:rPr>
        <w:t>1</w:t>
      </w:r>
      <w:r>
        <w:rPr>
          <w:rFonts w:ascii="Arial" w:hAnsi="Arial" w:cs="Arial"/>
        </w:rPr>
        <w:fldChar w:fldCharType="end"/>
      </w:r>
      <w:r>
        <w:rPr>
          <w:rFonts w:ascii="Arial" w:hAnsi="Arial" w:cs="Arial"/>
        </w:rPr>
        <w:t>.</w:t>
      </w:r>
    </w:p>
    <w:p w14:paraId="6FCFB6E5" w14:textId="0E453477" w:rsidR="003F3F5A" w:rsidRDefault="003F3F5A" w:rsidP="003F3F5A">
      <w:pPr>
        <w:pStyle w:val="Caption"/>
        <w:keepNext/>
        <w:jc w:val="both"/>
      </w:pPr>
      <w:bookmarkStart w:id="86" w:name="_Ref508889276"/>
      <w:r>
        <w:t xml:space="preserve">Figure </w:t>
      </w:r>
      <w:r>
        <w:fldChar w:fldCharType="begin"/>
      </w:r>
      <w:r>
        <w:instrText xml:space="preserve"> SEQ Figure \* ARABIC </w:instrText>
      </w:r>
      <w:r>
        <w:fldChar w:fldCharType="separate"/>
      </w:r>
      <w:r w:rsidR="00171745">
        <w:rPr>
          <w:noProof/>
        </w:rPr>
        <w:t>1</w:t>
      </w:r>
      <w:r>
        <w:fldChar w:fldCharType="end"/>
      </w:r>
      <w:bookmarkEnd w:id="86"/>
      <w:r>
        <w:t xml:space="preserve"> </w:t>
      </w:r>
      <w:r w:rsidRPr="005C4397">
        <w:t xml:space="preserve">Change in income from 2010-11 </w:t>
      </w:r>
      <w:r>
        <w:t xml:space="preserve">to 2014-15 </w:t>
      </w:r>
      <w:r w:rsidRPr="005C4397">
        <w:t>in Esperance Region SA2</w:t>
      </w:r>
    </w:p>
    <w:p w14:paraId="0EA85925" w14:textId="77777777" w:rsidR="003F3F5A" w:rsidRDefault="003F3F5A" w:rsidP="003F3F5A">
      <w:pPr>
        <w:jc w:val="center"/>
        <w:rPr>
          <w:rFonts w:ascii="Arial" w:hAnsi="Arial" w:cs="Arial"/>
        </w:rPr>
      </w:pPr>
      <w:r>
        <w:rPr>
          <w:noProof/>
          <w:lang w:val="en-AU" w:eastAsia="en-AU"/>
          <w14:ligatures w14:val="none"/>
        </w:rPr>
        <w:drawing>
          <wp:inline distT="0" distB="0" distL="0" distR="0" wp14:anchorId="6B708DEC" wp14:editId="6CA6D5ED">
            <wp:extent cx="5295265" cy="3556635"/>
            <wp:effectExtent l="0" t="0" r="635" b="5715"/>
            <wp:docPr id="328" name="Picture 328" descr="This chart shows mean, smoothed mean, median and smoothed median income median. There is high variability in mean income, with less variability if using median income. Smoothed median income is even less variable, while still picking up trend changes." title="Change in income from 2010-11 to 2014-15 in Esperance Region SA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95265" cy="3556635"/>
                    </a:xfrm>
                    <a:prstGeom prst="rect">
                      <a:avLst/>
                    </a:prstGeom>
                  </pic:spPr>
                </pic:pic>
              </a:graphicData>
            </a:graphic>
          </wp:inline>
        </w:drawing>
      </w:r>
    </w:p>
    <w:p w14:paraId="3072AC81" w14:textId="06A43A18" w:rsidR="003D71C2" w:rsidRDefault="003D71C2" w:rsidP="00D67F92">
      <w:pPr>
        <w:rPr>
          <w:rFonts w:ascii="Arial" w:hAnsi="Arial" w:cs="Arial"/>
        </w:rPr>
      </w:pPr>
    </w:p>
    <w:p w14:paraId="03A69533" w14:textId="6C28AE47" w:rsidR="003E3E18" w:rsidRDefault="003D71C2" w:rsidP="00D67F92">
      <w:pPr>
        <w:rPr>
          <w:rFonts w:ascii="Arial" w:hAnsi="Arial" w:cs="Arial"/>
        </w:rPr>
      </w:pPr>
      <w:r>
        <w:rPr>
          <w:rFonts w:ascii="Arial" w:hAnsi="Arial" w:cs="Arial"/>
        </w:rPr>
        <w:t>Areas that do experience large changes in incomes that are not due to a low population base need</w:t>
      </w:r>
      <w:r w:rsidR="00D67F92">
        <w:rPr>
          <w:rFonts w:ascii="Arial" w:hAnsi="Arial" w:cs="Arial"/>
        </w:rPr>
        <w:t xml:space="preserve"> to be assessed on a case by case basis mak</w:t>
      </w:r>
      <w:r w:rsidR="0024530D">
        <w:rPr>
          <w:rFonts w:ascii="Arial" w:hAnsi="Arial" w:cs="Arial"/>
        </w:rPr>
        <w:t>ing</w:t>
      </w:r>
      <w:r w:rsidR="00D67F92">
        <w:rPr>
          <w:rFonts w:ascii="Arial" w:hAnsi="Arial" w:cs="Arial"/>
        </w:rPr>
        <w:t xml:space="preserve"> use of local knowledge about the area and what </w:t>
      </w:r>
      <w:r w:rsidR="008C4EE4">
        <w:rPr>
          <w:rFonts w:ascii="Arial" w:hAnsi="Arial" w:cs="Arial"/>
        </w:rPr>
        <w:t>factors are likely t</w:t>
      </w:r>
      <w:r w:rsidR="0024530D">
        <w:rPr>
          <w:rFonts w:ascii="Arial" w:hAnsi="Arial" w:cs="Arial"/>
        </w:rPr>
        <w:t>o be driving changes in income.</w:t>
      </w:r>
      <w:r w:rsidR="006B6D43">
        <w:rPr>
          <w:rFonts w:ascii="Arial" w:hAnsi="Arial" w:cs="Arial"/>
        </w:rPr>
        <w:t xml:space="preserve"> This is a fundamental limitation of any area based funding policy implemented where areas are not static. Most areas </w:t>
      </w:r>
      <w:r w:rsidR="003E3E18">
        <w:rPr>
          <w:rFonts w:ascii="Arial" w:hAnsi="Arial" w:cs="Arial"/>
        </w:rPr>
        <w:t>are relatively stable most of the time, but to ensure that those that do change, possibly dramatically and unexpectedly, are adequately funded, incomes must be monitored and any changes investigated.</w:t>
      </w:r>
      <w:r>
        <w:rPr>
          <w:rFonts w:ascii="Arial" w:hAnsi="Arial" w:cs="Arial"/>
        </w:rPr>
        <w:t xml:space="preserve"> For one community in NSW which did have a large population, we identified a large increase in PIT income in one year only. Any anomalies like these can exist in administrative data, and they need to be identified, assessed and if need be, removed (or adjusted back to the trend) from any income dataset used to ca</w:t>
      </w:r>
      <w:r w:rsidR="004C70DD">
        <w:rPr>
          <w:rFonts w:ascii="Arial" w:hAnsi="Arial" w:cs="Arial"/>
        </w:rPr>
        <w:t xml:space="preserve">lculate funding </w:t>
      </w:r>
      <w:r>
        <w:rPr>
          <w:rFonts w:ascii="Arial" w:hAnsi="Arial" w:cs="Arial"/>
        </w:rPr>
        <w:t xml:space="preserve">as it would mean reduced funding in one year </w:t>
      </w:r>
      <w:r w:rsidR="004C70DD">
        <w:rPr>
          <w:rFonts w:ascii="Arial" w:hAnsi="Arial" w:cs="Arial"/>
        </w:rPr>
        <w:t>(the income increased more than 100% in one year, and returned to normal levels the next year)</w:t>
      </w:r>
      <w:r>
        <w:rPr>
          <w:rFonts w:ascii="Arial" w:hAnsi="Arial" w:cs="Arial"/>
        </w:rPr>
        <w:t>.</w:t>
      </w:r>
    </w:p>
    <w:p w14:paraId="4BB8EBED" w14:textId="04A47232" w:rsidR="004C70DD" w:rsidRDefault="004C70DD" w:rsidP="00D67F92">
      <w:pPr>
        <w:rPr>
          <w:rFonts w:ascii="Arial" w:hAnsi="Arial" w:cs="Arial"/>
        </w:rPr>
      </w:pPr>
      <w:r>
        <w:rPr>
          <w:rFonts w:ascii="Arial" w:hAnsi="Arial" w:cs="Arial"/>
        </w:rPr>
        <w:t>In answer to the research questions asked:</w:t>
      </w:r>
    </w:p>
    <w:p w14:paraId="38E82F6D" w14:textId="7F0B0B79" w:rsidR="004C70DD" w:rsidRPr="004C70DD" w:rsidRDefault="004C70DD" w:rsidP="004C70DD">
      <w:pPr>
        <w:rPr>
          <w:rFonts w:ascii="Arial" w:hAnsi="Arial" w:cs="Arial"/>
          <w:b/>
          <w:i/>
        </w:rPr>
      </w:pPr>
      <w:r w:rsidRPr="004C70DD">
        <w:rPr>
          <w:rFonts w:ascii="Arial" w:hAnsi="Arial" w:cs="Arial"/>
          <w:b/>
          <w:i/>
        </w:rPr>
        <w:t>•</w:t>
      </w:r>
      <w:r w:rsidRPr="004C70DD">
        <w:rPr>
          <w:rFonts w:ascii="Arial" w:hAnsi="Arial" w:cs="Arial"/>
          <w:b/>
          <w:i/>
        </w:rPr>
        <w:tab/>
        <w:t>How variable is personal income data at the small area level across years?</w:t>
      </w:r>
    </w:p>
    <w:p w14:paraId="65C41EAF" w14:textId="0865E14B" w:rsidR="004C70DD" w:rsidRPr="0024530D" w:rsidRDefault="004C70DD" w:rsidP="004C70DD">
      <w:pPr>
        <w:rPr>
          <w:rFonts w:ascii="Arial" w:hAnsi="Arial" w:cs="Arial"/>
        </w:rPr>
      </w:pPr>
      <w:r>
        <w:rPr>
          <w:rFonts w:ascii="Arial" w:hAnsi="Arial" w:cs="Arial"/>
        </w:rPr>
        <w:tab/>
      </w:r>
      <w:r>
        <w:rPr>
          <w:rFonts w:ascii="Arial" w:hAnsi="Arial" w:cs="Arial"/>
        </w:rPr>
        <w:tab/>
        <w:t xml:space="preserve">Income is generally very stable for most small areas across Australia. </w:t>
      </w:r>
      <w:r w:rsidR="003F3F5A">
        <w:rPr>
          <w:rFonts w:ascii="Arial" w:hAnsi="Arial" w:cs="Arial"/>
        </w:rPr>
        <w:t xml:space="preserve">This is shown by the fact that approximately 88% of SA2s from 2005/06 to 2010/11 and 90% from 2010/11 to 2014/15 had changes in mean incomes within 95% of the national variation in mean incomes. </w:t>
      </w:r>
      <w:r>
        <w:rPr>
          <w:rFonts w:ascii="Arial" w:hAnsi="Arial" w:cs="Arial"/>
        </w:rPr>
        <w:t>Instability occurred in areas of low population; and areas experiencing changes like drought, mining booms</w:t>
      </w:r>
      <w:r w:rsidR="00050F92">
        <w:rPr>
          <w:rFonts w:ascii="Arial" w:hAnsi="Arial" w:cs="Arial"/>
        </w:rPr>
        <w:t>,</w:t>
      </w:r>
      <w:r>
        <w:rPr>
          <w:rFonts w:ascii="Arial" w:hAnsi="Arial" w:cs="Arial"/>
        </w:rPr>
        <w:t xml:space="preserve"> urban renewal or new growth areas.</w:t>
      </w:r>
      <w:r w:rsidR="003F3F5A">
        <w:rPr>
          <w:rFonts w:ascii="Arial" w:hAnsi="Arial" w:cs="Arial"/>
        </w:rPr>
        <w:t xml:space="preserve"> Where mean income is variable, using a median income reduces this variability; and using a smoothed median income reduces it even further.</w:t>
      </w:r>
    </w:p>
    <w:p w14:paraId="3E703A1F" w14:textId="6A45A3BF" w:rsidR="004C70DD" w:rsidRDefault="004C70DD" w:rsidP="004C70DD">
      <w:pPr>
        <w:rPr>
          <w:rFonts w:ascii="Arial" w:hAnsi="Arial" w:cs="Arial"/>
          <w:b/>
          <w:i/>
        </w:rPr>
      </w:pPr>
      <w:r w:rsidRPr="0024530D">
        <w:rPr>
          <w:rFonts w:ascii="Arial" w:hAnsi="Arial" w:cs="Arial"/>
        </w:rPr>
        <w:t>•</w:t>
      </w:r>
      <w:r w:rsidRPr="0024530D">
        <w:rPr>
          <w:rFonts w:ascii="Arial" w:hAnsi="Arial" w:cs="Arial"/>
        </w:rPr>
        <w:tab/>
      </w:r>
      <w:r w:rsidRPr="004C70DD">
        <w:rPr>
          <w:rFonts w:ascii="Arial" w:hAnsi="Arial" w:cs="Arial"/>
          <w:b/>
          <w:i/>
        </w:rPr>
        <w:t>Are income measures sensitive to economic changes and cycles?</w:t>
      </w:r>
    </w:p>
    <w:p w14:paraId="7EC8E887" w14:textId="77660F9F" w:rsidR="004C70DD" w:rsidRPr="004C70DD" w:rsidRDefault="00B75CCC" w:rsidP="004C70DD">
      <w:pPr>
        <w:rPr>
          <w:rFonts w:ascii="Arial" w:hAnsi="Arial" w:cs="Arial"/>
        </w:rPr>
      </w:pPr>
      <w:r>
        <w:rPr>
          <w:rFonts w:ascii="Arial" w:hAnsi="Arial" w:cs="Arial"/>
        </w:rPr>
        <w:t>Yes</w:t>
      </w:r>
      <w:r w:rsidR="004C70DD">
        <w:rPr>
          <w:rFonts w:ascii="Arial" w:hAnsi="Arial" w:cs="Arial"/>
        </w:rPr>
        <w:t xml:space="preserve"> – </w:t>
      </w:r>
      <w:r>
        <w:rPr>
          <w:rFonts w:ascii="Arial" w:hAnsi="Arial" w:cs="Arial"/>
        </w:rPr>
        <w:t>this research has found that outside factors will affect incomes, and can affect them dramatically.</w:t>
      </w:r>
      <w:r w:rsidR="004C70DD">
        <w:rPr>
          <w:rFonts w:ascii="Arial" w:hAnsi="Arial" w:cs="Arial"/>
        </w:rPr>
        <w:t xml:space="preserve"> Drought, mining booms, new growth areas, business closures, etc, can all affect incomes. </w:t>
      </w:r>
      <w:r>
        <w:rPr>
          <w:rFonts w:ascii="Arial" w:hAnsi="Arial" w:cs="Arial"/>
        </w:rPr>
        <w:t>While we haven’t been able to test in this analysis whether income in some areas is more affected by outside shocks (termed in the literature resilience), t</w:t>
      </w:r>
      <w:r w:rsidR="004C70DD">
        <w:rPr>
          <w:rFonts w:ascii="Arial" w:hAnsi="Arial" w:cs="Arial"/>
        </w:rPr>
        <w:t xml:space="preserve">here is evidence in outside literature for higher </w:t>
      </w:r>
      <w:r w:rsidR="000E2FD9">
        <w:rPr>
          <w:rFonts w:ascii="Arial" w:hAnsi="Arial" w:cs="Arial"/>
        </w:rPr>
        <w:t xml:space="preserve">capacity to adapt </w:t>
      </w:r>
      <w:r w:rsidR="004C70DD">
        <w:rPr>
          <w:rFonts w:ascii="Arial" w:hAnsi="Arial" w:cs="Arial"/>
        </w:rPr>
        <w:t>to external shocks in urban areas</w:t>
      </w:r>
      <w:r w:rsidR="000E2FD9">
        <w:rPr>
          <w:rFonts w:ascii="Arial" w:hAnsi="Arial" w:cs="Arial"/>
        </w:rPr>
        <w:t xml:space="preserve"> due to greater access to jobs </w:t>
      </w:r>
      <w:r w:rsidR="000E2FD9">
        <w:rPr>
          <w:rFonts w:ascii="Arial" w:hAnsi="Arial" w:cs="Arial"/>
        </w:rPr>
        <w:fldChar w:fldCharType="begin" w:fldLock="1"/>
      </w:r>
      <w:r w:rsidR="00F56229">
        <w:rPr>
          <w:rFonts w:ascii="Arial" w:hAnsi="Arial" w:cs="Arial"/>
        </w:rPr>
        <w:instrText>ADDIN CSL_CITATION { "citationItems" : [ { "id" : "ITEM-1", "itemData" : { "DOI" : "10.1007/s41685-017-0039-z", "ISSN" : "2509-7946", "author" : [ { "dropping-particle" : "", "family" : "Vidyattama", "given" : "Yogi", "non-dropping-particle" : "", "parse-names" : false, "suffix" : "" }, { "dropping-particle" : "", "family" : "Pearson", "given" : "Leonie J.", "non-dropping-particle" : "", "parse-names" : false, "suffix" : "" }, { "dropping-particle" : "", "family" : "Tanton", "given" : "Robert", "non-dropping-particle" : "", "parse-names" : false, "suffix" : "" }, { "dropping-particle" : "", "family" : "Mohanty", "given" : "Itismita", "non-dropping-particle" : "", "parse-names" : false, "suffix" : "" } ], "container-title" : "Asia-Pacific Journal of Regional Science", "id" : "ITEM-1", "issued" : { "date-parts" : [ [ "2017", "6", "9" ] ] }, "title" : "Assessing adaptive capacity during the drought period in the Murray\u2013Darling Basin", "type" : "article-journal" }, "uris" : [ "http://www.mendeley.com/documents/?uuid=d53e7693-2870-48e1-832a-9c7734625f7a" ] } ], "mendeley" : { "formattedCitation" : "(Vidyattama, Pearson, Tanton, &amp; Mohanty, 2017)", "plainTextFormattedCitation" : "(Vidyattama, Pearson, Tanton, &amp; Mohanty, 2017)", "previouslyFormattedCitation" : "(Vidyattama, Pearson, Tanton, &amp; Mohanty, 2017)" }, "properties" : {  }, "schema" : "https://github.com/citation-style-language/schema/raw/master/csl-citation.json" }</w:instrText>
      </w:r>
      <w:r w:rsidR="000E2FD9">
        <w:rPr>
          <w:rFonts w:ascii="Arial" w:hAnsi="Arial" w:cs="Arial"/>
        </w:rPr>
        <w:fldChar w:fldCharType="separate"/>
      </w:r>
      <w:r w:rsidR="003618AC" w:rsidRPr="003618AC">
        <w:rPr>
          <w:rFonts w:ascii="Arial" w:hAnsi="Arial" w:cs="Arial"/>
          <w:noProof/>
        </w:rPr>
        <w:t>(Vidyattama, Pearson, Tanton, &amp; Mohanty, 2017)</w:t>
      </w:r>
      <w:r w:rsidR="000E2FD9">
        <w:rPr>
          <w:rFonts w:ascii="Arial" w:hAnsi="Arial" w:cs="Arial"/>
        </w:rPr>
        <w:fldChar w:fldCharType="end"/>
      </w:r>
      <w:r w:rsidR="004C70DD">
        <w:rPr>
          <w:rFonts w:ascii="Arial" w:hAnsi="Arial" w:cs="Arial"/>
        </w:rPr>
        <w:t>, but this isn’t just to do with incomes.</w:t>
      </w:r>
    </w:p>
    <w:p w14:paraId="72729119" w14:textId="7683E5A2" w:rsidR="004C70DD" w:rsidRDefault="004C70DD" w:rsidP="004C70DD">
      <w:pPr>
        <w:rPr>
          <w:rFonts w:ascii="Arial" w:hAnsi="Arial" w:cs="Arial"/>
          <w:b/>
          <w:i/>
        </w:rPr>
      </w:pPr>
      <w:r w:rsidRPr="000E2FD9">
        <w:rPr>
          <w:rFonts w:ascii="Arial" w:hAnsi="Arial" w:cs="Arial"/>
          <w:b/>
          <w:i/>
        </w:rPr>
        <w:t>•</w:t>
      </w:r>
      <w:r w:rsidRPr="000E2FD9">
        <w:rPr>
          <w:rFonts w:ascii="Arial" w:hAnsi="Arial" w:cs="Arial"/>
          <w:b/>
          <w:i/>
        </w:rPr>
        <w:tab/>
      </w:r>
      <w:bookmarkStart w:id="87" w:name="_Hlk508807790"/>
      <w:r w:rsidRPr="000E2FD9">
        <w:rPr>
          <w:rFonts w:ascii="Arial" w:hAnsi="Arial" w:cs="Arial"/>
          <w:b/>
          <w:i/>
        </w:rPr>
        <w:t xml:space="preserve">Are non-income variables still required to stabilise </w:t>
      </w:r>
      <w:r w:rsidR="007C52FB">
        <w:rPr>
          <w:rFonts w:ascii="Arial" w:hAnsi="Arial" w:cs="Arial"/>
          <w:b/>
          <w:i/>
        </w:rPr>
        <w:t xml:space="preserve">income dimensions </w:t>
      </w:r>
      <w:r w:rsidRPr="000E2FD9">
        <w:rPr>
          <w:rFonts w:ascii="Arial" w:hAnsi="Arial" w:cs="Arial"/>
          <w:b/>
          <w:i/>
        </w:rPr>
        <w:t xml:space="preserve">of </w:t>
      </w:r>
      <w:r w:rsidR="007C52FB">
        <w:rPr>
          <w:rFonts w:ascii="Arial" w:hAnsi="Arial" w:cs="Arial"/>
          <w:b/>
          <w:i/>
        </w:rPr>
        <w:t xml:space="preserve">a </w:t>
      </w:r>
      <w:r w:rsidRPr="000E2FD9">
        <w:rPr>
          <w:rFonts w:ascii="Arial" w:hAnsi="Arial" w:cs="Arial"/>
          <w:b/>
          <w:i/>
        </w:rPr>
        <w:t>capacity to contribute</w:t>
      </w:r>
      <w:r w:rsidR="007C52FB">
        <w:rPr>
          <w:rFonts w:ascii="Arial" w:hAnsi="Arial" w:cs="Arial"/>
          <w:b/>
          <w:i/>
        </w:rPr>
        <w:t xml:space="preserve"> measure</w:t>
      </w:r>
      <w:r w:rsidRPr="000E2FD9">
        <w:rPr>
          <w:rFonts w:ascii="Arial" w:hAnsi="Arial" w:cs="Arial"/>
          <w:b/>
          <w:i/>
        </w:rPr>
        <w:t>?</w:t>
      </w:r>
      <w:bookmarkEnd w:id="87"/>
    </w:p>
    <w:p w14:paraId="7330D160" w14:textId="483F1E26" w:rsidR="000E2FD9" w:rsidRPr="000E2FD9" w:rsidRDefault="000279C3" w:rsidP="004C70DD">
      <w:pPr>
        <w:rPr>
          <w:rFonts w:ascii="Arial" w:hAnsi="Arial" w:cs="Arial"/>
        </w:rPr>
      </w:pPr>
      <w:r>
        <w:rPr>
          <w:rFonts w:ascii="Arial" w:hAnsi="Arial" w:cs="Arial"/>
        </w:rPr>
        <w:t>No</w:t>
      </w:r>
      <w:r w:rsidR="000E2FD9">
        <w:rPr>
          <w:rFonts w:ascii="Arial" w:hAnsi="Arial" w:cs="Arial"/>
        </w:rPr>
        <w:t xml:space="preserve">. </w:t>
      </w:r>
      <w:r w:rsidR="003F639D">
        <w:rPr>
          <w:rFonts w:ascii="Arial" w:hAnsi="Arial" w:cs="Arial"/>
        </w:rPr>
        <w:t xml:space="preserve">While income and education variables do provide some stability compared to an income only SES measure, there are other, more appropriate, ways of achieving the same result. </w:t>
      </w:r>
      <w:r w:rsidR="000E2FD9">
        <w:rPr>
          <w:rFonts w:ascii="Arial" w:hAnsi="Arial" w:cs="Arial"/>
        </w:rPr>
        <w:t xml:space="preserve">In this paper, we have shown </w:t>
      </w:r>
      <w:r w:rsidR="003F639D">
        <w:rPr>
          <w:rFonts w:ascii="Arial" w:hAnsi="Arial" w:cs="Arial"/>
        </w:rPr>
        <w:t xml:space="preserve">a number of ways of </w:t>
      </w:r>
      <w:r w:rsidR="000E2FD9">
        <w:rPr>
          <w:rFonts w:ascii="Arial" w:hAnsi="Arial" w:cs="Arial"/>
        </w:rPr>
        <w:t>stabilis</w:t>
      </w:r>
      <w:r w:rsidR="003F639D">
        <w:rPr>
          <w:rFonts w:ascii="Arial" w:hAnsi="Arial" w:cs="Arial"/>
        </w:rPr>
        <w:t>ing</w:t>
      </w:r>
      <w:r w:rsidR="000E2FD9">
        <w:rPr>
          <w:rFonts w:ascii="Arial" w:hAnsi="Arial" w:cs="Arial"/>
        </w:rPr>
        <w:t xml:space="preserve"> an income only measure without incorporating non-income variables.</w:t>
      </w:r>
    </w:p>
    <w:p w14:paraId="3035641E" w14:textId="77777777" w:rsidR="004C70DD" w:rsidRPr="000E2FD9" w:rsidRDefault="004C70DD" w:rsidP="004C70DD">
      <w:pPr>
        <w:rPr>
          <w:rFonts w:ascii="Arial" w:hAnsi="Arial" w:cs="Arial"/>
          <w:b/>
          <w:i/>
        </w:rPr>
      </w:pPr>
      <w:r w:rsidRPr="000E2FD9">
        <w:rPr>
          <w:rFonts w:ascii="Arial" w:hAnsi="Arial" w:cs="Arial"/>
          <w:b/>
          <w:i/>
        </w:rPr>
        <w:t>•</w:t>
      </w:r>
      <w:r w:rsidRPr="000E2FD9">
        <w:rPr>
          <w:rFonts w:ascii="Arial" w:hAnsi="Arial" w:cs="Arial"/>
          <w:b/>
          <w:i/>
        </w:rPr>
        <w:tab/>
        <w:t>Are there methods to use multiple years of income data to stabilise measures?</w:t>
      </w:r>
    </w:p>
    <w:p w14:paraId="10CB6AC9" w14:textId="3B7EF1CD" w:rsidR="003E3E18" w:rsidRPr="000E2FD9" w:rsidRDefault="000E2FD9" w:rsidP="000E2FD9">
      <w:pPr>
        <w:rPr>
          <w:rFonts w:ascii="Arial" w:hAnsi="Arial" w:cs="Arial"/>
        </w:rPr>
        <w:sectPr w:rsidR="003E3E18" w:rsidRPr="000E2FD9" w:rsidSect="00DD1FA8">
          <w:headerReference w:type="first" r:id="rId23"/>
          <w:pgSz w:w="11900" w:h="16840" w:code="9"/>
          <w:pgMar w:top="2268" w:right="851" w:bottom="1418" w:left="851" w:header="709" w:footer="709" w:gutter="0"/>
          <w:pgNumType w:start="1"/>
          <w:cols w:space="284"/>
          <w:titlePg/>
          <w:docGrid w:linePitch="360"/>
        </w:sectPr>
      </w:pPr>
      <w:r>
        <w:rPr>
          <w:rFonts w:ascii="Arial" w:hAnsi="Arial" w:cs="Arial"/>
        </w:rPr>
        <w:t xml:space="preserve">Yes. In this paper, we have shown that using median income; and using a three year moving average of </w:t>
      </w:r>
      <w:r w:rsidR="00050F92">
        <w:rPr>
          <w:rFonts w:ascii="Arial" w:hAnsi="Arial" w:cs="Arial"/>
        </w:rPr>
        <w:t xml:space="preserve">median </w:t>
      </w:r>
      <w:r>
        <w:rPr>
          <w:rFonts w:ascii="Arial" w:hAnsi="Arial" w:cs="Arial"/>
        </w:rPr>
        <w:t xml:space="preserve">income stabilises the income measure. However, </w:t>
      </w:r>
      <w:r w:rsidR="000279C3">
        <w:rPr>
          <w:rFonts w:ascii="Arial" w:hAnsi="Arial" w:cs="Arial"/>
        </w:rPr>
        <w:t>e</w:t>
      </w:r>
      <w:r>
        <w:rPr>
          <w:rFonts w:ascii="Arial" w:hAnsi="Arial" w:cs="Arial"/>
        </w:rPr>
        <w:t xml:space="preserve">xtreme changes in area level income </w:t>
      </w:r>
      <w:r w:rsidR="00050F92">
        <w:rPr>
          <w:rFonts w:ascii="Arial" w:hAnsi="Arial" w:cs="Arial"/>
        </w:rPr>
        <w:t xml:space="preserve">can still occur, and </w:t>
      </w:r>
      <w:r>
        <w:rPr>
          <w:rFonts w:ascii="Arial" w:hAnsi="Arial" w:cs="Arial"/>
        </w:rPr>
        <w:t xml:space="preserve">need to be looked at each year to identify </w:t>
      </w:r>
      <w:r w:rsidR="000279C3">
        <w:rPr>
          <w:rFonts w:ascii="Arial" w:hAnsi="Arial" w:cs="Arial"/>
        </w:rPr>
        <w:t>whether the extreme change is due</w:t>
      </w:r>
      <w:r w:rsidR="00050F92">
        <w:rPr>
          <w:rFonts w:ascii="Arial" w:hAnsi="Arial" w:cs="Arial"/>
        </w:rPr>
        <w:t xml:space="preserve"> to low population in the area,</w:t>
      </w:r>
      <w:r w:rsidR="000279C3">
        <w:rPr>
          <w:rFonts w:ascii="Arial" w:hAnsi="Arial" w:cs="Arial"/>
        </w:rPr>
        <w:t xml:space="preserve"> is a </w:t>
      </w:r>
      <w:r>
        <w:rPr>
          <w:rFonts w:ascii="Arial" w:hAnsi="Arial" w:cs="Arial"/>
        </w:rPr>
        <w:t>data quality issue</w:t>
      </w:r>
      <w:r w:rsidR="00050F92">
        <w:rPr>
          <w:rFonts w:ascii="Arial" w:hAnsi="Arial" w:cs="Arial"/>
        </w:rPr>
        <w:t>, or is a real change caused by, for example, the closure of a large industry in the area</w:t>
      </w:r>
      <w:r>
        <w:rPr>
          <w:rFonts w:ascii="Arial" w:hAnsi="Arial" w:cs="Arial"/>
        </w:rPr>
        <w:t>.</w:t>
      </w:r>
    </w:p>
    <w:p w14:paraId="4048CFCA" w14:textId="6F19B265" w:rsidR="000031BF" w:rsidRPr="00126EFC" w:rsidRDefault="001B3A2E" w:rsidP="0037468A">
      <w:pPr>
        <w:pStyle w:val="Headingnumbered"/>
        <w:rPr>
          <w:rFonts w:cs="Arial"/>
        </w:rPr>
      </w:pPr>
      <w:bookmarkStart w:id="88" w:name="_Ref477353062"/>
      <w:bookmarkStart w:id="89" w:name="_Ref477353248"/>
      <w:bookmarkStart w:id="90" w:name="_Toc519077395"/>
      <w:r w:rsidRPr="00126EFC">
        <w:rPr>
          <w:rFonts w:cs="Arial"/>
        </w:rPr>
        <w:t>Introduction</w:t>
      </w:r>
      <w:bookmarkEnd w:id="88"/>
      <w:bookmarkEnd w:id="89"/>
      <w:bookmarkEnd w:id="90"/>
    </w:p>
    <w:p w14:paraId="49D9D758" w14:textId="4939A282" w:rsidR="002F10ED" w:rsidRDefault="005630E3" w:rsidP="005630E3">
      <w:r>
        <w:t xml:space="preserve">The SES </w:t>
      </w:r>
      <w:r w:rsidR="003F639D">
        <w:t>score methodology</w:t>
      </w:r>
      <w:r>
        <w:t xml:space="preserve"> used by the Commonwealth Government to </w:t>
      </w:r>
      <w:r w:rsidR="003F639D">
        <w:t xml:space="preserve">calculate capacity to contribute for non-government </w:t>
      </w:r>
      <w:r>
        <w:t>schools uses the calculated SES of the areas in which a student live</w:t>
      </w:r>
      <w:r w:rsidR="00AC61CB">
        <w:t>s</w:t>
      </w:r>
      <w:r>
        <w:t xml:space="preserve">. SES </w:t>
      </w:r>
      <w:r w:rsidR="003F639D">
        <w:t xml:space="preserve">scores are </w:t>
      </w:r>
      <w:r>
        <w:t xml:space="preserve">calculated at the SA1 level </w:t>
      </w:r>
      <w:r w:rsidR="003F33EC">
        <w:t xml:space="preserve">and </w:t>
      </w:r>
      <w:r w:rsidR="003F639D">
        <w:t xml:space="preserve">are </w:t>
      </w:r>
      <w:r w:rsidR="003F33EC">
        <w:t>based on measures of</w:t>
      </w:r>
      <w:r>
        <w:t xml:space="preserve"> family and household income, education and occupation. The values for each component are combined using a 1/3 weight for education; a 1/3 weight for occupation; and a 1/6 weight for household income and </w:t>
      </w:r>
      <w:r w:rsidR="003F33EC">
        <w:t xml:space="preserve">a </w:t>
      </w:r>
      <w:r>
        <w:t xml:space="preserve">1/6 weight for family income. The values for each student </w:t>
      </w:r>
      <w:r w:rsidR="003F33EC">
        <w:t>are then used to calculate an average for the</w:t>
      </w:r>
      <w:r>
        <w:t xml:space="preserve"> school.</w:t>
      </w:r>
    </w:p>
    <w:p w14:paraId="594032C6" w14:textId="7C35114B" w:rsidR="005630E3" w:rsidRDefault="005630E3" w:rsidP="005630E3">
      <w:r>
        <w:t xml:space="preserve">The </w:t>
      </w:r>
      <w:r w:rsidR="003F639D">
        <w:t xml:space="preserve">school </w:t>
      </w:r>
      <w:r>
        <w:t xml:space="preserve">funding model is needs based </w:t>
      </w:r>
      <w:r w:rsidR="003E625A">
        <w:t>and</w:t>
      </w:r>
      <w:r>
        <w:t xml:space="preserve"> designed to take into account the parents</w:t>
      </w:r>
      <w:r w:rsidR="003E625A">
        <w:t>’</w:t>
      </w:r>
      <w:r>
        <w:t xml:space="preserve"> capacity to pay for their child’s education</w:t>
      </w:r>
      <w:r w:rsidR="003F639D">
        <w:t xml:space="preserve"> by discounting the base funding amount</w:t>
      </w:r>
      <w:r>
        <w:t xml:space="preserve">. In the original specification of the SES index, occupation and education were included in the index to </w:t>
      </w:r>
      <w:r w:rsidR="003F33EC">
        <w:t xml:space="preserve">reduce the effect of </w:t>
      </w:r>
      <w:r>
        <w:t xml:space="preserve">variability in </w:t>
      </w:r>
      <w:r w:rsidR="007A61F9">
        <w:t>incomes for small areas (SA1).</w:t>
      </w:r>
    </w:p>
    <w:p w14:paraId="2EB16CDA" w14:textId="6C440214" w:rsidR="007A61F9" w:rsidRDefault="007A61F9" w:rsidP="005630E3">
      <w:r>
        <w:t xml:space="preserve">Some of the critique of the SES </w:t>
      </w:r>
      <w:r w:rsidR="003F639D">
        <w:t>score methodology</w:t>
      </w:r>
      <w:r>
        <w:t xml:space="preserve"> has been that education and occupation are not relevant</w:t>
      </w:r>
      <w:r w:rsidR="003F33EC">
        <w:t xml:space="preserve"> when</w:t>
      </w:r>
      <w:r>
        <w:t xml:space="preserve"> assess</w:t>
      </w:r>
      <w:r w:rsidR="00037155">
        <w:t>i</w:t>
      </w:r>
      <w:r>
        <w:t xml:space="preserve">ng capacity to pay for a child’s education – the main factor is income. </w:t>
      </w:r>
      <w:r w:rsidR="003F33EC">
        <w:t>E</w:t>
      </w:r>
      <w:r>
        <w:t>ducation and occupation should</w:t>
      </w:r>
      <w:r w:rsidR="003F33EC">
        <w:t>, therefore,</w:t>
      </w:r>
      <w:r>
        <w:t xml:space="preserve"> not be in</w:t>
      </w:r>
      <w:r w:rsidR="003F33EC">
        <w:t>cluded in</w:t>
      </w:r>
      <w:r>
        <w:t xml:space="preserve"> the SES calculation</w:t>
      </w:r>
      <w:r w:rsidR="003F33EC">
        <w:t>.</w:t>
      </w:r>
      <w:r>
        <w:t xml:space="preserve"> </w:t>
      </w:r>
      <w:r w:rsidR="003F33EC">
        <w:t>E</w:t>
      </w:r>
      <w:r>
        <w:t xml:space="preserve">ducation and occupation were originally included in the SES calculation because it was theorised that income </w:t>
      </w:r>
      <w:r w:rsidR="003F33EC">
        <w:t xml:space="preserve">within small areas </w:t>
      </w:r>
      <w:r w:rsidR="00914459">
        <w:t>was variable</w:t>
      </w:r>
      <w:r>
        <w:t xml:space="preserve"> over time, but th</w:t>
      </w:r>
      <w:r w:rsidR="003F639D">
        <w:t>ere is limited evidence to support this</w:t>
      </w:r>
      <w:r>
        <w:t>.</w:t>
      </w:r>
    </w:p>
    <w:p w14:paraId="0FC9BAF9" w14:textId="652E6FA4" w:rsidR="00EA7820" w:rsidRDefault="0044622C" w:rsidP="00EA7820">
      <w:r>
        <w:t>This report looks at the variability of income</w:t>
      </w:r>
      <w:r w:rsidR="003F33EC">
        <w:t>s</w:t>
      </w:r>
      <w:r>
        <w:t xml:space="preserve"> </w:t>
      </w:r>
      <w:r w:rsidR="00FE53F4">
        <w:t xml:space="preserve">for areas </w:t>
      </w:r>
      <w:r>
        <w:t>over time, using 10 years of annual Personal Income Tax data at the SA2 level; as well as Census data at the SA1 level (the same data used to calculate the SA1 SES index).</w:t>
      </w:r>
      <w:r w:rsidR="00EA7820">
        <w:t xml:space="preserve"> In particular, the datasets used are:</w:t>
      </w:r>
    </w:p>
    <w:p w14:paraId="4916A19F" w14:textId="5EAB0F16" w:rsidR="00EA7820" w:rsidRDefault="00EA7820" w:rsidP="00EA7820">
      <w:pPr>
        <w:pStyle w:val="ListParagraph"/>
        <w:numPr>
          <w:ilvl w:val="0"/>
          <w:numId w:val="30"/>
        </w:numPr>
      </w:pPr>
      <w:r>
        <w:t>Two sets of Personal Income Tax (PIT) data at the SA2 level. These datasets cover the financial years 2005/06 to 2010/11, and 2010/11 to 2014/15. Due to changes in definitions</w:t>
      </w:r>
      <w:r>
        <w:rPr>
          <w:rStyle w:val="FootnoteReference"/>
        </w:rPr>
        <w:footnoteReference w:id="3"/>
      </w:r>
      <w:r>
        <w:t>, these datasets are not directly comparable and could not be merged. As such, each dataset was analysed separately.</w:t>
      </w:r>
    </w:p>
    <w:p w14:paraId="04432F53" w14:textId="30676376" w:rsidR="00EA7820" w:rsidRDefault="00EA7820" w:rsidP="00EA7820">
      <w:pPr>
        <w:pStyle w:val="ListParagraph"/>
        <w:numPr>
          <w:ilvl w:val="0"/>
          <w:numId w:val="30"/>
        </w:numPr>
      </w:pPr>
      <w:r>
        <w:t xml:space="preserve">Census family income data and the SES </w:t>
      </w:r>
      <w:r w:rsidR="00D40B95">
        <w:t>score</w:t>
      </w:r>
      <w:r>
        <w:t xml:space="preserve"> at the SA1 level, the smallest area available for 2006, 2011 and 2016 Census data.</w:t>
      </w:r>
    </w:p>
    <w:p w14:paraId="68521108" w14:textId="437A1D6B" w:rsidR="00F7172A" w:rsidRDefault="00D40B95" w:rsidP="00F7172A">
      <w:r>
        <w:t>These two datasets used different indicators of income. The PIT analysis used a median or mean income</w:t>
      </w:r>
      <w:r w:rsidR="00F56229">
        <w:t xml:space="preserve"> for the area</w:t>
      </w:r>
      <w:r>
        <w:t xml:space="preserve">; whereas the SES score was an index calculated </w:t>
      </w:r>
      <w:r w:rsidR="00F56229">
        <w:t xml:space="preserve">for an area </w:t>
      </w:r>
      <w:r>
        <w:t xml:space="preserve">from the proportion of people </w:t>
      </w:r>
      <w:r w:rsidR="00F56229">
        <w:t xml:space="preserve">in the area </w:t>
      </w:r>
      <w:r>
        <w:t xml:space="preserve">earning above </w:t>
      </w:r>
      <w:r w:rsidR="006D10E6">
        <w:t>a certain household and family income cut</w:t>
      </w:r>
      <w:r w:rsidR="009B008B">
        <w:t>-</w:t>
      </w:r>
      <w:r w:rsidR="006D10E6">
        <w:t xml:space="preserve">off; and below a </w:t>
      </w:r>
      <w:r>
        <w:t xml:space="preserve">certain </w:t>
      </w:r>
      <w:r w:rsidR="006D10E6">
        <w:t xml:space="preserve">household and family </w:t>
      </w:r>
      <w:r>
        <w:t>income</w:t>
      </w:r>
      <w:r w:rsidR="006D10E6">
        <w:t xml:space="preserve"> cut</w:t>
      </w:r>
      <w:r w:rsidR="009B008B">
        <w:t>-</w:t>
      </w:r>
      <w:r w:rsidR="006D10E6">
        <w:t>off</w:t>
      </w:r>
      <w:r>
        <w:t>. One of the limitations of Census data is that incomes are provided by the ABS in groups, so median and mean incomes are difficult to calculate without some imputation.</w:t>
      </w:r>
    </w:p>
    <w:p w14:paraId="1B367E87" w14:textId="5855BEB0" w:rsidR="00D40B95" w:rsidRDefault="006D10E6" w:rsidP="00F7172A">
      <w:r>
        <w:t>For the analysis of income stability in this paper, we mainly used f</w:t>
      </w:r>
      <w:r w:rsidR="00D40B95">
        <w:t>amily income</w:t>
      </w:r>
      <w:r>
        <w:t>, although some figures used household income</w:t>
      </w:r>
      <w:r w:rsidR="00D40B95">
        <w:t xml:space="preserve"> (</w:t>
      </w:r>
      <w:r>
        <w:t xml:space="preserve">see, </w:t>
      </w:r>
      <w:r w:rsidR="00D40B95">
        <w:t xml:space="preserve">for example, </w:t>
      </w:r>
      <w:r w:rsidR="00D40B95">
        <w:fldChar w:fldCharType="begin"/>
      </w:r>
      <w:r w:rsidR="00D40B95">
        <w:instrText xml:space="preserve"> REF _Ref508806857 \h </w:instrText>
      </w:r>
      <w:r w:rsidR="00D40B95">
        <w:fldChar w:fldCharType="separate"/>
      </w:r>
      <w:r w:rsidR="00171745">
        <w:t xml:space="preserve">Figure </w:t>
      </w:r>
      <w:r w:rsidR="00171745">
        <w:rPr>
          <w:noProof/>
        </w:rPr>
        <w:t>75</w:t>
      </w:r>
      <w:r w:rsidR="00D40B95">
        <w:fldChar w:fldCharType="end"/>
      </w:r>
      <w:r w:rsidR="009C3774">
        <w:t xml:space="preserve"> </w:t>
      </w:r>
      <w:hyperlink r:id="rId24" w:history="1">
        <w:r w:rsidR="009C3774" w:rsidRPr="009C3774">
          <w:rPr>
            <w:rStyle w:val="Hyperlink"/>
          </w:rPr>
          <w:t>here</w:t>
        </w:r>
      </w:hyperlink>
      <w:r w:rsidR="00D40B95">
        <w:t>)</w:t>
      </w:r>
      <w:r>
        <w:t xml:space="preserve">. This is because </w:t>
      </w:r>
      <w:r w:rsidR="00D40B95">
        <w:t>there was not much difference between the two in terms of income variability</w:t>
      </w:r>
      <w:r>
        <w:t>, so it was simpler to choose one for most of the analysis</w:t>
      </w:r>
      <w:r w:rsidR="00F56229">
        <w:t>.</w:t>
      </w:r>
    </w:p>
    <w:p w14:paraId="5EC3B6A1" w14:textId="0C3312E1" w:rsidR="00F56229" w:rsidRDefault="00F56229" w:rsidP="00F7172A">
      <w:r>
        <w:t xml:space="preserve">We need to be clear from the outset that all this analysis is area based, so for any particular area, averaging of incomes has already occurred across the area. This averaging can hide pockets of disadvantage in an area, and particularly affects areas like the ACT </w:t>
      </w:r>
      <w:r>
        <w:fldChar w:fldCharType="begin" w:fldLock="1"/>
      </w:r>
      <w:r>
        <w:instrText>ADDIN CSL_CITATION { "citationItems" : [ { "id" : "ITEM-1", "itemData" : { "DOI" : "10.1080/01442872.2014.981062", "ISSN" : "14701006 01442872", "abstract" : "\u00a9 2015, Taylor &amp; Francis.At a state and territory level, the Australian Capital Territory (ACT) has the highest average income and the lowest levels of disadvantage compared to all other states and territories in Australia. However, a state- and territory-based measure hides disadvantage at the local level by averaging out any disadvantaged areas with the less-disadvantaged areas. A spatial analysis of disadvantage can highlight where people are experiencing disadvantage, and can help inform the government's response to disadvantaged and marginalised people. This article shows that there is suburb-level disadvantage in the ACT, primarily due to housing costs. However, we also find that using the Socio-economic Index for Individuals (SEIFI), there are even disadvantaged households in less-disadvantaged ACT suburbs, and these disadvantaged households do not show up in the suburb-level data due to the averaging of advantaged with disadvantaged households within a suburb. This is particularly so in the ACT due to a policy of peppering public housing (where many disadvantaged people live) within less-disadvantaged neighbourhoods (commonly called mixed tenure). We argue that this mixed tenure policy means that area-based service provision may not be as efficient in the ACT, and that the ACT Government policy of providing services from town centres is an appropriate response. We also argue that due to the higher cost of living in the ACT, the onset of financial stress can be very fast if the main income earner loses a job.", "author" : [ { "dropping-particle" : "", "family" : "Tanton", "given" : "R.", "non-dropping-particle" : "", "parse-names" : false, "suffix" : "" }, { "dropping-particle" : "", "family" : "Vidyattama", "given" : "Y.", "non-dropping-particle" : "", "parse-names" : false, "suffix" : "" }, { "dropping-particle" : "", "family" : "Mohanty", "given" : "I.", "non-dropping-particle" : "", "parse-names" : false, "suffix" : "" } ], "container-title" : "Policy Studies", "id" : "ITEM-1", "issue" : "1", "issued" : { "date-parts" : [ [ "2015" ] ] }, "title" : "Disadvantage in the australian capital territory", "type" : "article-journal", "volume" : "36" }, "uris" : [ "http://www.mendeley.com/documents/?uuid=3b604c18-ef0a-3d37-892c-4598cae9a5da" ] } ], "mendeley" : { "formattedCitation" : "(Tanton, Vidyattama, &amp; Mohanty, 2015)", "plainTextFormattedCitation" : "(Tanton, Vidyattama, &amp; Mohanty, 2015)", "previouslyFormattedCitation" : "(Tanton, Vidyattama, &amp; Mohanty, 2015)" }, "properties" : {  }, "schema" : "https://github.com/citation-style-language/schema/raw/master/csl-citation.json" }</w:instrText>
      </w:r>
      <w:r>
        <w:fldChar w:fldCharType="separate"/>
      </w:r>
      <w:r w:rsidRPr="00F56229">
        <w:rPr>
          <w:noProof/>
        </w:rPr>
        <w:t>(Tanton, Vidyattama, &amp; Mohanty, 2015)</w:t>
      </w:r>
      <w:r>
        <w:fldChar w:fldCharType="end"/>
      </w:r>
      <w:r>
        <w:t xml:space="preserve">. </w:t>
      </w:r>
      <w:r w:rsidR="006D10E6">
        <w:t xml:space="preserve">This averaging </w:t>
      </w:r>
      <w:r>
        <w:t>will be greater for larger areas, which is why we chose the SA1 area for the Census analysis, as this is the smallest area that income data for 2006, 2011 and 2016 is available.</w:t>
      </w:r>
    </w:p>
    <w:p w14:paraId="1AB36FA4" w14:textId="6FB2F882" w:rsidR="00F56229" w:rsidRDefault="00F56229" w:rsidP="00F7172A">
      <w:r>
        <w:t xml:space="preserve">Further, the incomes used in the analysis are incomes for all families and individuals in the area, not incomes of parents of non-Government school children. </w:t>
      </w:r>
      <w:r w:rsidR="007C52FB">
        <w:t>T</w:t>
      </w:r>
      <w:r>
        <w:t>his is the same method used for the current SES score that the department calculates – an area based measure using all earners in the area.</w:t>
      </w:r>
    </w:p>
    <w:p w14:paraId="4BE0FB32" w14:textId="77777777" w:rsidR="00D40B95" w:rsidRDefault="00D40B95" w:rsidP="00F7172A"/>
    <w:p w14:paraId="4BC5F0EC" w14:textId="556E2955" w:rsidR="00D93280" w:rsidRDefault="007A61F9" w:rsidP="0037468A">
      <w:pPr>
        <w:pStyle w:val="Headingnumbered"/>
        <w:rPr>
          <w:rFonts w:cs="Arial"/>
        </w:rPr>
      </w:pPr>
      <w:bookmarkStart w:id="91" w:name="_Toc519077396"/>
      <w:r>
        <w:rPr>
          <w:rFonts w:cs="Arial"/>
        </w:rPr>
        <w:t>Research Question</w:t>
      </w:r>
      <w:r w:rsidR="00EA7820">
        <w:rPr>
          <w:rFonts w:cs="Arial"/>
        </w:rPr>
        <w:t>s</w:t>
      </w:r>
      <w:bookmarkEnd w:id="91"/>
    </w:p>
    <w:p w14:paraId="3CFECB40" w14:textId="57A8D7F3" w:rsidR="00EA7820" w:rsidRDefault="007A61F9" w:rsidP="007A61F9">
      <w:r>
        <w:t>This analysis looks at whether incomes for</w:t>
      </w:r>
      <w:r w:rsidR="00CC1B03">
        <w:t xml:space="preserve"> small area</w:t>
      </w:r>
      <w:r w:rsidR="00B272CA">
        <w:t>s</w:t>
      </w:r>
      <w:r w:rsidR="00CC1B03">
        <w:t xml:space="preserve"> </w:t>
      </w:r>
      <w:r>
        <w:t xml:space="preserve">in Australia vary </w:t>
      </w:r>
      <w:r w:rsidR="00CC1B03">
        <w:t>over time</w:t>
      </w:r>
      <w:r w:rsidR="00EA7820">
        <w:t>, and what methods might reduce any variability</w:t>
      </w:r>
      <w:r>
        <w:t xml:space="preserve">. </w:t>
      </w:r>
      <w:r w:rsidR="00EA7820">
        <w:t>Specifically, the questions asked are:</w:t>
      </w:r>
    </w:p>
    <w:p w14:paraId="76CE87B1" w14:textId="4C011E0F" w:rsidR="00EA7820" w:rsidRPr="0024530D" w:rsidRDefault="00EA7820" w:rsidP="00EA7820">
      <w:pPr>
        <w:pStyle w:val="BulletList"/>
      </w:pPr>
      <w:r w:rsidRPr="0024530D">
        <w:t>How variable is personal income data at the small area level across years?</w:t>
      </w:r>
    </w:p>
    <w:p w14:paraId="6C38959F" w14:textId="2A4AE988" w:rsidR="00EA7820" w:rsidRPr="0024530D" w:rsidRDefault="00EA7820" w:rsidP="00EA7820">
      <w:pPr>
        <w:pStyle w:val="BulletList"/>
      </w:pPr>
      <w:r w:rsidRPr="0024530D">
        <w:t>Are income measures sensitive to economic changes and cycles?</w:t>
      </w:r>
    </w:p>
    <w:p w14:paraId="51D0EC92" w14:textId="10F3B6AC" w:rsidR="00EA7820" w:rsidRPr="0024530D" w:rsidRDefault="00EA7820" w:rsidP="00EA7820">
      <w:pPr>
        <w:pStyle w:val="BulletList"/>
      </w:pPr>
      <w:r w:rsidRPr="0024530D">
        <w:t xml:space="preserve">Are non-income variables still required to stabilise </w:t>
      </w:r>
      <w:r w:rsidR="006D10E6">
        <w:t xml:space="preserve">income </w:t>
      </w:r>
      <w:r w:rsidRPr="0024530D">
        <w:t>measures of capacity to contribute?</w:t>
      </w:r>
    </w:p>
    <w:p w14:paraId="571087F6" w14:textId="75CD36C8" w:rsidR="00EA7820" w:rsidRDefault="00EA7820" w:rsidP="00EA7820">
      <w:pPr>
        <w:pStyle w:val="BulletList"/>
      </w:pPr>
      <w:r w:rsidRPr="0024530D">
        <w:t>Are there methods to use multiple years of income data to stabilise measures?</w:t>
      </w:r>
    </w:p>
    <w:p w14:paraId="1B2BC181" w14:textId="366354AE" w:rsidR="00373D64" w:rsidRDefault="00373D64" w:rsidP="007A61F9"/>
    <w:p w14:paraId="5AA79A86" w14:textId="421E6769" w:rsidR="00D34F14" w:rsidRDefault="00373D64" w:rsidP="00373D64">
      <w:pPr>
        <w:pStyle w:val="Headingnumbered"/>
        <w:rPr>
          <w:lang w:val="en-AU" w:eastAsia="en-AU"/>
        </w:rPr>
      </w:pPr>
      <w:bookmarkStart w:id="92" w:name="_Toc519077397"/>
      <w:r>
        <w:rPr>
          <w:lang w:val="en-AU" w:eastAsia="en-AU"/>
        </w:rPr>
        <w:t>Method</w:t>
      </w:r>
      <w:bookmarkEnd w:id="92"/>
    </w:p>
    <w:p w14:paraId="76C92B6F" w14:textId="53998AA0" w:rsidR="00B51FD4" w:rsidRDefault="00CC1B03" w:rsidP="00B51FD4">
      <w:r>
        <w:t xml:space="preserve">The PIT data </w:t>
      </w:r>
      <w:r w:rsidR="00B905DC">
        <w:t xml:space="preserve">represent the </w:t>
      </w:r>
      <w:r>
        <w:t>average</w:t>
      </w:r>
      <w:r w:rsidR="00B905DC">
        <w:t>,</w:t>
      </w:r>
      <w:r>
        <w:t xml:space="preserve"> </w:t>
      </w:r>
      <w:r w:rsidR="00B905DC">
        <w:t xml:space="preserve">annual, </w:t>
      </w:r>
      <w:r>
        <w:t>gross personal income</w:t>
      </w:r>
      <w:r w:rsidR="00B905DC">
        <w:t>s</w:t>
      </w:r>
      <w:r>
        <w:t xml:space="preserve"> for every SA2 in Australia.</w:t>
      </w:r>
      <w:r w:rsidR="00B905DC">
        <w:t xml:space="preserve"> Data are </w:t>
      </w:r>
      <w:r w:rsidR="00931435">
        <w:t>collected by the Australian Tax Office (ATO)</w:t>
      </w:r>
      <w:r w:rsidR="00B905DC">
        <w:t xml:space="preserve"> from tax re</w:t>
      </w:r>
      <w:r w:rsidR="00931435">
        <w:t>cords and are compiled</w:t>
      </w:r>
      <w:r w:rsidR="00B905DC">
        <w:t xml:space="preserve"> and published by the ABS.</w:t>
      </w:r>
      <w:r>
        <w:t xml:space="preserve"> </w:t>
      </w:r>
    </w:p>
    <w:p w14:paraId="74F7B12E" w14:textId="1029FE39" w:rsidR="00B51FD4" w:rsidRDefault="00482FF2" w:rsidP="00B51FD4">
      <w:r>
        <w:t>For the 2005</w:t>
      </w:r>
      <w:r w:rsidR="00B51FD4">
        <w:t xml:space="preserve">/06 to 2010/11 data, only average </w:t>
      </w:r>
      <w:r w:rsidR="002C2F5A">
        <w:t xml:space="preserve">individual </w:t>
      </w:r>
      <w:r w:rsidR="00B51FD4">
        <w:t xml:space="preserve">income for each SA2 was available. </w:t>
      </w:r>
      <w:r w:rsidR="002C2F5A">
        <w:t>It is known that incomes are heavily skewed, so an average is influenced by any extremely high incomes in an area. A better summary for incomes is median income, but this was not available for the 2005/06 to 2010/11 period. However, it was available for the 2010/11 to 201</w:t>
      </w:r>
      <w:r w:rsidR="00441B48">
        <w:t>4</w:t>
      </w:r>
      <w:r w:rsidR="002C2F5A">
        <w:t>/1</w:t>
      </w:r>
      <w:r w:rsidR="00441B48">
        <w:t>5</w:t>
      </w:r>
      <w:r w:rsidR="002C2F5A">
        <w:t xml:space="preserve"> period, so for this time period, a mean and median income was used to test whether average incomes were more unstable than median incomes.</w:t>
      </w:r>
    </w:p>
    <w:p w14:paraId="346CEC08" w14:textId="2BB2E257" w:rsidR="00373D64" w:rsidRDefault="00482FF2" w:rsidP="00373D64">
      <w:r>
        <w:t xml:space="preserve">Incomes are expressed in current prices, and need to be adjusted to account for changes in the value of the dollar. </w:t>
      </w:r>
      <w:r w:rsidR="008142DA">
        <w:t xml:space="preserve">This would normally be done using a deflator like </w:t>
      </w:r>
      <w:r w:rsidR="0063274B">
        <w:t>average weekly earnings (</w:t>
      </w:r>
      <w:r w:rsidR="008142DA">
        <w:t>AWE</w:t>
      </w:r>
      <w:r w:rsidR="0063274B">
        <w:t>)</w:t>
      </w:r>
      <w:r w:rsidR="008142DA">
        <w:t xml:space="preserve">, but this was </w:t>
      </w:r>
      <w:r w:rsidR="0063274B">
        <w:t>found to be unsuitable given</w:t>
      </w:r>
      <w:r w:rsidR="008142DA">
        <w:t xml:space="preserve"> the different sources of data. </w:t>
      </w:r>
      <w:r w:rsidR="00457C69">
        <w:t>I</w:t>
      </w:r>
      <w:r w:rsidR="00373D64">
        <w:t xml:space="preserve">ncomes </w:t>
      </w:r>
      <w:r w:rsidR="00CC1B03">
        <w:t>we</w:t>
      </w:r>
      <w:r w:rsidR="00373D64">
        <w:t xml:space="preserve">re </w:t>
      </w:r>
      <w:r w:rsidR="0044622C">
        <w:t>adjusted to</w:t>
      </w:r>
      <w:r w:rsidR="00457C69">
        <w:t xml:space="preserve"> be in constant</w:t>
      </w:r>
      <w:r w:rsidR="0044622C">
        <w:t xml:space="preserve"> 2005/06 or 2010/11 </w:t>
      </w:r>
      <w:r w:rsidR="00457C69">
        <w:t xml:space="preserve">dollars </w:t>
      </w:r>
      <w:r w:rsidR="0044622C">
        <w:t>(depending on the series)</w:t>
      </w:r>
      <w:r w:rsidR="00457C69">
        <w:t xml:space="preserve"> using the average income in the capital city or balance of state</w:t>
      </w:r>
      <w:r w:rsidR="0044622C">
        <w:t xml:space="preserve">. </w:t>
      </w:r>
      <w:r w:rsidR="008142DA">
        <w:t>This</w:t>
      </w:r>
      <w:r w:rsidR="00373D64">
        <w:t xml:space="preserve"> meant that an</w:t>
      </w:r>
      <w:r w:rsidR="00D414C4">
        <w:t xml:space="preserve"> SA2 with an income increasing at the same rate as incomes in their capital city/balance of state would </w:t>
      </w:r>
      <w:r w:rsidR="00457C69">
        <w:t>show no variation in income.</w:t>
      </w:r>
    </w:p>
    <w:p w14:paraId="75CE584C" w14:textId="7FD0749C" w:rsidR="00CC1B03" w:rsidRDefault="00CC1B03" w:rsidP="00373D64">
      <w:r>
        <w:t>Average Capital City/Balance of State incomes were used because</w:t>
      </w:r>
      <w:r w:rsidR="00AA57AE">
        <w:t xml:space="preserve"> the rate of income growth</w:t>
      </w:r>
      <w:r>
        <w:t xml:space="preserve"> in capital cities</w:t>
      </w:r>
      <w:r w:rsidR="00914459">
        <w:t xml:space="preserve"> like Melbourne or Sydney may</w:t>
      </w:r>
      <w:r>
        <w:t xml:space="preserve"> differ</w:t>
      </w:r>
      <w:r w:rsidR="00AA57AE">
        <w:t xml:space="preserve"> from that</w:t>
      </w:r>
      <w:r>
        <w:t xml:space="preserve"> outside capital cities. The incomes </w:t>
      </w:r>
      <w:r w:rsidR="008142DA">
        <w:t>standardised to 2005</w:t>
      </w:r>
      <w:r w:rsidR="008A3060">
        <w:t>/06</w:t>
      </w:r>
      <w:r w:rsidR="008142DA">
        <w:t xml:space="preserve"> values </w:t>
      </w:r>
      <w:r>
        <w:t>were calculated as:</w:t>
      </w:r>
    </w:p>
    <w:p w14:paraId="34199A21" w14:textId="6C8022A5" w:rsidR="00CC1B03" w:rsidRDefault="002519A9" w:rsidP="00373D64">
      <m:oMathPara>
        <m:oMath>
          <m:sSubSup>
            <m:sSubSupPr>
              <m:ctrlPr>
                <w:rPr>
                  <w:rFonts w:ascii="Cambria Math" w:hAnsi="Cambria Math"/>
                  <w:i/>
                </w:rPr>
              </m:ctrlPr>
            </m:sSubSupPr>
            <m:e>
              <m:r>
                <w:rPr>
                  <w:rFonts w:ascii="Cambria Math" w:hAnsi="Cambria Math"/>
                </w:rPr>
                <m:t>2005_PIT</m:t>
              </m:r>
            </m:e>
            <m:sub>
              <m:r>
                <w:rPr>
                  <w:rFonts w:ascii="Cambria Math" w:hAnsi="Cambria Math"/>
                </w:rPr>
                <m:t>y</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PIT</m:t>
              </m:r>
            </m:e>
            <m:sub>
              <m:r>
                <w:rPr>
                  <w:rFonts w:ascii="Cambria Math" w:hAnsi="Cambria Math"/>
                </w:rPr>
                <m:t>y</m:t>
              </m:r>
            </m:sub>
            <m:sup>
              <m:r>
                <w:rPr>
                  <w:rFonts w:ascii="Cambria Math" w:hAnsi="Cambria Math"/>
                </w:rPr>
                <m:t>i</m:t>
              </m:r>
            </m:sup>
          </m:sSubSup>
          <m:r>
            <w:rPr>
              <w:rFonts w:ascii="Cambria Math" w:hAnsi="Cambria Math"/>
            </w:rPr>
            <m:t>*</m:t>
          </m:r>
          <m:f>
            <m:fPr>
              <m:ctrlPr>
                <w:rPr>
                  <w:rFonts w:ascii="Cambria Math" w:hAnsi="Cambria Math"/>
                  <w:i/>
                </w:rPr>
              </m:ctrlPr>
            </m:fPr>
            <m:num>
              <m:r>
                <w:rPr>
                  <w:rFonts w:ascii="Cambria Math" w:hAnsi="Cambria Math"/>
                </w:rPr>
                <m:t>2005_PIT</m:t>
              </m:r>
            </m:num>
            <m:den>
              <m:sSub>
                <m:sSubPr>
                  <m:ctrlPr>
                    <w:rPr>
                      <w:rFonts w:ascii="Cambria Math" w:hAnsi="Cambria Math"/>
                      <w:i/>
                    </w:rPr>
                  </m:ctrlPr>
                </m:sSubPr>
                <m:e>
                  <m:r>
                    <w:rPr>
                      <w:rFonts w:ascii="Cambria Math" w:hAnsi="Cambria Math"/>
                    </w:rPr>
                    <m:t>PIT</m:t>
                  </m:r>
                </m:e>
                <m:sub>
                  <m:r>
                    <w:rPr>
                      <w:rFonts w:ascii="Cambria Math" w:hAnsi="Cambria Math"/>
                    </w:rPr>
                    <m:t>y</m:t>
                  </m:r>
                </m:sub>
              </m:sSub>
            </m:den>
          </m:f>
        </m:oMath>
      </m:oMathPara>
    </w:p>
    <w:p w14:paraId="2A0E8CC2" w14:textId="6DD58263" w:rsidR="008A3060" w:rsidRDefault="008142DA" w:rsidP="00373D64">
      <w:r>
        <w:t xml:space="preserve">Where </w:t>
      </w:r>
      <w:r w:rsidR="00853605">
        <w:t>2005_</w:t>
      </w:r>
      <w:r>
        <w:t>PIT</w:t>
      </w:r>
      <w:r w:rsidR="008C5230">
        <w:rPr>
          <w:vertAlign w:val="subscript"/>
        </w:rPr>
        <w:t>y</w:t>
      </w:r>
      <w:r w:rsidR="00853605">
        <w:rPr>
          <w:vertAlign w:val="superscript"/>
        </w:rPr>
        <w:t>i</w:t>
      </w:r>
      <w:r>
        <w:t xml:space="preserve"> is the PIT </w:t>
      </w:r>
      <w:r w:rsidR="00853605">
        <w:t xml:space="preserve">for SA2 i </w:t>
      </w:r>
      <w:r>
        <w:t xml:space="preserve">in Year </w:t>
      </w:r>
      <w:r w:rsidR="008C5230">
        <w:t>y</w:t>
      </w:r>
      <w:r>
        <w:t xml:space="preserve"> in 2005</w:t>
      </w:r>
      <w:r w:rsidR="008A3060">
        <w:t>/06</w:t>
      </w:r>
      <w:r>
        <w:t xml:space="preserve"> prices; PIT</w:t>
      </w:r>
      <w:r w:rsidR="008C5230">
        <w:rPr>
          <w:vertAlign w:val="subscript"/>
        </w:rPr>
        <w:t>y</w:t>
      </w:r>
      <w:r w:rsidR="00853605">
        <w:rPr>
          <w:vertAlign w:val="superscript"/>
        </w:rPr>
        <w:t>i</w:t>
      </w:r>
      <w:r>
        <w:t xml:space="preserve"> is the PIT </w:t>
      </w:r>
      <w:r w:rsidR="00853605">
        <w:t xml:space="preserve">for SA2 i </w:t>
      </w:r>
      <w:r>
        <w:t xml:space="preserve">in year </w:t>
      </w:r>
      <w:r w:rsidR="008C5230">
        <w:t>y</w:t>
      </w:r>
      <w:r w:rsidR="00853605">
        <w:t>; 2005_PIT is the PIT in 2005/06 for the capital city/balance</w:t>
      </w:r>
      <w:r w:rsidR="00681A00">
        <w:t xml:space="preserve"> of state that SA2 i is in; and</w:t>
      </w:r>
      <w:r>
        <w:t xml:space="preserve"> PIT</w:t>
      </w:r>
      <w:r w:rsidR="008C5230" w:rsidRPr="008C5230">
        <w:rPr>
          <w:vertAlign w:val="subscript"/>
        </w:rPr>
        <w:t>y</w:t>
      </w:r>
      <w:r>
        <w:t xml:space="preserve"> is the PIT </w:t>
      </w:r>
      <w:r w:rsidR="00853605">
        <w:t xml:space="preserve">for year </w:t>
      </w:r>
      <w:r w:rsidR="008C5230">
        <w:t>y</w:t>
      </w:r>
      <w:r w:rsidR="00853605">
        <w:t xml:space="preserve"> for the capital city/balance of state that SA2 i is in. </w:t>
      </w:r>
      <w:r w:rsidR="008A3060">
        <w:t xml:space="preserve">This calculation was done for </w:t>
      </w:r>
      <w:r w:rsidR="00853605">
        <w:t xml:space="preserve">the 15 </w:t>
      </w:r>
      <w:r w:rsidR="008A3060">
        <w:t xml:space="preserve">capital city/balance of State </w:t>
      </w:r>
      <w:r w:rsidR="00853605">
        <w:t xml:space="preserve">areas </w:t>
      </w:r>
      <w:r w:rsidR="008A3060">
        <w:t>in Australia (2 for each State and Territory except the ACT, which doesn’t have a balance of state).</w:t>
      </w:r>
      <w:r w:rsidR="000554EB">
        <w:t xml:space="preserve"> </w:t>
      </w:r>
    </w:p>
    <w:p w14:paraId="6886B9BF" w14:textId="0FEACB1B" w:rsidR="007B2CF9" w:rsidRDefault="00CC1B03" w:rsidP="00373D64">
      <w:r>
        <w:t xml:space="preserve">The </w:t>
      </w:r>
      <w:r w:rsidR="008A3060">
        <w:t>percentage change from 2005/06 to each future year w</w:t>
      </w:r>
      <w:r>
        <w:t>as then calculated and graphed for each SA2 in each Capital City/Balance of State. Assuming no real change in incomes</w:t>
      </w:r>
      <w:r w:rsidR="008142DA">
        <w:t xml:space="preserve"> (so if the income in the area grew at exactly the same rate as the average for that capital city/balance of state), </w:t>
      </w:r>
      <w:r>
        <w:t xml:space="preserve">all SA2s would show a 0 for every year. </w:t>
      </w:r>
      <w:r w:rsidR="007B2CF9">
        <w:t xml:space="preserve">We expect some </w:t>
      </w:r>
      <w:r w:rsidR="00914459">
        <w:t xml:space="preserve">variation </w:t>
      </w:r>
      <w:r w:rsidR="00E01DD6">
        <w:t>around this, as</w:t>
      </w:r>
      <w:r w:rsidR="00A6389C">
        <w:t xml:space="preserve"> different areas experience different economic conditions and</w:t>
      </w:r>
      <w:r w:rsidR="00E01DD6">
        <w:t xml:space="preserve"> the deflator applied was based o</w:t>
      </w:r>
      <w:r w:rsidR="00914459">
        <w:t>n the average for all SA2s</w:t>
      </w:r>
      <w:r w:rsidR="006D10E6">
        <w:t xml:space="preserve"> in each capital city/balance of state</w:t>
      </w:r>
      <w:r w:rsidR="00914459">
        <w:t>.</w:t>
      </w:r>
      <w:r w:rsidR="00E01DD6">
        <w:t xml:space="preserve"> We do,</w:t>
      </w:r>
      <w:r w:rsidR="007B2CF9">
        <w:t xml:space="preserve"> however</w:t>
      </w:r>
      <w:r w:rsidR="00E01DD6">
        <w:t>,</w:t>
      </w:r>
      <w:r w:rsidR="007B2CF9">
        <w:t xml:space="preserve"> expect</w:t>
      </w:r>
      <w:r w:rsidR="00E01DD6">
        <w:t xml:space="preserve"> the average for </w:t>
      </w:r>
      <w:r w:rsidR="00561B5B">
        <w:t>each</w:t>
      </w:r>
      <w:r w:rsidR="00E01DD6">
        <w:t xml:space="preserve"> SA2 to be </w:t>
      </w:r>
      <w:r w:rsidR="00561B5B">
        <w:t>close</w:t>
      </w:r>
      <w:r w:rsidR="00E01DD6">
        <w:t xml:space="preserve"> to</w:t>
      </w:r>
      <w:r w:rsidR="007B2CF9">
        <w:t xml:space="preserve"> 0.</w:t>
      </w:r>
    </w:p>
    <w:p w14:paraId="65A0D5F3" w14:textId="5BD59ACC" w:rsidR="008A3060" w:rsidRDefault="008A3060" w:rsidP="00373D64">
      <w:r>
        <w:t>Note that because the percentage change was from the base year</w:t>
      </w:r>
      <w:r w:rsidR="00EF4419">
        <w:t xml:space="preserve"> rather than change from the previous year</w:t>
      </w:r>
      <w:r>
        <w:t xml:space="preserve">, the graphs are interpreted as total change over the period, </w:t>
      </w:r>
      <w:r w:rsidR="007E67A0">
        <w:t>i.e.</w:t>
      </w:r>
      <w:r>
        <w:t xml:space="preserve">, if there is an increase in incomes in one year, and </w:t>
      </w:r>
      <w:r w:rsidR="00EF4419">
        <w:t>there is no change in the next year</w:t>
      </w:r>
      <w:r>
        <w:t>, the change line will show the next year as high also rather than returning to 0.</w:t>
      </w:r>
    </w:p>
    <w:p w14:paraId="36002376" w14:textId="4A516C09" w:rsidR="0034251F" w:rsidRDefault="000F2ADD" w:rsidP="0034251F">
      <w:r>
        <w:t>Plots were then made for each capital city/balance of state, and</w:t>
      </w:r>
      <w:r w:rsidR="00E90910">
        <w:t xml:space="preserve"> selected</w:t>
      </w:r>
      <w:r>
        <w:t xml:space="preserve"> SA2s </w:t>
      </w:r>
      <w:r w:rsidR="007E67A0">
        <w:t>showing</w:t>
      </w:r>
      <w:r>
        <w:t xml:space="preserve"> high variability were identified and labelled</w:t>
      </w:r>
      <w:r w:rsidR="004E26E3">
        <w:t xml:space="preserve"> with their name</w:t>
      </w:r>
      <w:r w:rsidR="007E67A0">
        <w:t>,</w:t>
      </w:r>
      <w:r w:rsidR="004E26E3">
        <w:t xml:space="preserve"> po</w:t>
      </w:r>
      <w:r w:rsidR="007E67A0">
        <w:t>pulation range (i.e. the minimum and maximum populations over the period</w:t>
      </w:r>
      <w:r w:rsidR="00F23396">
        <w:t>)</w:t>
      </w:r>
      <w:r w:rsidR="007E67A0">
        <w:t>, and number of students enrolled in non-government schools.</w:t>
      </w:r>
      <w:r w:rsidR="004E26E3">
        <w:t xml:space="preserve"> Population</w:t>
      </w:r>
      <w:r w:rsidR="00F23396">
        <w:t>s</w:t>
      </w:r>
      <w:r w:rsidR="004E26E3">
        <w:t xml:space="preserve"> were shown because low populations of tax payers in an SA2 are likely to contribute to</w:t>
      </w:r>
      <w:r w:rsidR="007E67A0">
        <w:t xml:space="preserve"> greater</w:t>
      </w:r>
      <w:r w:rsidR="004E26E3">
        <w:t xml:space="preserve"> instability of average incomes in that SA2.</w:t>
      </w:r>
      <w:r w:rsidR="00F23396">
        <w:t xml:space="preserve"> Population ranges</w:t>
      </w:r>
      <w:r w:rsidR="00441B48">
        <w:t xml:space="preserve"> (from the first year to the last)</w:t>
      </w:r>
      <w:r w:rsidR="00F23396">
        <w:t>, rather than mean populations, allowed high growth areas to be more easily identified.</w:t>
      </w:r>
      <w:r>
        <w:t xml:space="preserve"> </w:t>
      </w:r>
      <w:r w:rsidR="00482FF2">
        <w:t>The number of students in the area was shown because if an area has high income variability, but a low student population, the variability may not be an issue – it will have a minimal impact on schools funding (unless all the students go to the one small school).</w:t>
      </w:r>
    </w:p>
    <w:p w14:paraId="400D9F2C" w14:textId="26B95C60" w:rsidR="001D5008" w:rsidRDefault="0034251F" w:rsidP="00373D64">
      <w:r>
        <w:t>The Roo</w:t>
      </w:r>
      <w:r w:rsidR="000F2ADD">
        <w:t>t Mean Squared Error</w:t>
      </w:r>
      <w:r w:rsidR="003A722B">
        <w:t xml:space="preserve"> (RMSE)</w:t>
      </w:r>
      <w:r w:rsidR="000F2ADD">
        <w:t xml:space="preserve"> </w:t>
      </w:r>
      <w:r w:rsidR="00B4794A">
        <w:t xml:space="preserve">is a standard statistical tool for measuring variability, and is normally used in regression models to estimate the variability of the estimated values around the true values of a dependent variable. In our case, we have used it to estimate the variability of actual income for each area around the trend income for the area over the time period of each PIT dataset. </w:t>
      </w:r>
      <w:r w:rsidR="000F2ADD">
        <w:t>The RMSE</w:t>
      </w:r>
      <w:r w:rsidR="003B4683">
        <w:t xml:space="preserve"> represents</w:t>
      </w:r>
      <w:r w:rsidR="000F2ADD">
        <w:t xml:space="preserve"> the</w:t>
      </w:r>
      <w:r w:rsidR="006B3D90">
        <w:t xml:space="preserve"> mean</w:t>
      </w:r>
      <w:r w:rsidR="000F2ADD">
        <w:t xml:space="preserve"> error around a regression line </w:t>
      </w:r>
      <w:r w:rsidR="006B3D90">
        <w:t>for incomes in each year</w:t>
      </w:r>
      <w:r w:rsidR="000F2ADD">
        <w:t>.</w:t>
      </w:r>
    </w:p>
    <w:p w14:paraId="6ABB9173" w14:textId="4B4B5158" w:rsidR="002A294D" w:rsidRPr="002A294D" w:rsidRDefault="002519A9" w:rsidP="00373D64">
      <w:pPr>
        <w:rPr>
          <w:b/>
        </w:rPr>
      </w:pPr>
      <m:oMathPara>
        <m:oMath>
          <m:sSub>
            <m:sSubPr>
              <m:ctrlPr>
                <w:rPr>
                  <w:rFonts w:ascii="Cambria Math" w:hAnsi="Cambria Math"/>
                  <w:b/>
                  <w:i/>
                </w:rPr>
              </m:ctrlPr>
            </m:sSubPr>
            <m:e>
              <m:r>
                <m:rPr>
                  <m:sty m:val="bi"/>
                </m:rPr>
                <w:rPr>
                  <w:rFonts w:ascii="Cambria Math" w:hAnsi="Cambria Math"/>
                </w:rPr>
                <m:t>RMSE</m:t>
              </m:r>
            </m:e>
            <m:sub>
              <m:r>
                <m:rPr>
                  <m:sty m:val="bi"/>
                </m:rPr>
                <w:rPr>
                  <w:rFonts w:ascii="Cambria Math" w:hAnsi="Cambria Math"/>
                </w:rPr>
                <m:t>i</m:t>
              </m:r>
            </m:sub>
          </m:sSub>
          <m:r>
            <m:rPr>
              <m:sty m:val="bi"/>
            </m:rPr>
            <w:rPr>
              <w:rFonts w:ascii="Cambria Math" w:hAnsi="Cambria Math"/>
            </w:rPr>
            <m:t>=</m:t>
          </m:r>
          <m:rad>
            <m:radPr>
              <m:degHide m:val="1"/>
              <m:ctrlPr>
                <w:rPr>
                  <w:rFonts w:ascii="Cambria Math" w:hAnsi="Cambria Math"/>
                  <w:b/>
                  <w:i/>
                </w:rPr>
              </m:ctrlPr>
            </m:radPr>
            <m:deg/>
            <m:e>
              <m:f>
                <m:fPr>
                  <m:ctrlPr>
                    <w:rPr>
                      <w:rFonts w:ascii="Cambria Math" w:hAnsi="Cambria Math"/>
                      <w:b/>
                      <w:i/>
                    </w:rPr>
                  </m:ctrlPr>
                </m:fPr>
                <m:num>
                  <m:nary>
                    <m:naryPr>
                      <m:chr m:val="∑"/>
                      <m:limLoc m:val="subSup"/>
                      <m:ctrlPr>
                        <w:rPr>
                          <w:rFonts w:ascii="Cambria Math" w:hAnsi="Cambria Math"/>
                          <w:b/>
                          <w:i/>
                        </w:rPr>
                      </m:ctrlPr>
                    </m:naryPr>
                    <m:sub>
                      <m:r>
                        <m:rPr>
                          <m:sty m:val="bi"/>
                        </m:rPr>
                        <w:rPr>
                          <w:rFonts w:ascii="Cambria Math" w:hAnsi="Cambria Math"/>
                        </w:rPr>
                        <m:t>y=1</m:t>
                      </m:r>
                    </m:sub>
                    <m:sup>
                      <m:r>
                        <m:rPr>
                          <m:sty m:val="bi"/>
                        </m:rPr>
                        <w:rPr>
                          <w:rFonts w:ascii="Cambria Math" w:hAnsi="Cambria Math"/>
                        </w:rPr>
                        <m:t>n</m:t>
                      </m:r>
                    </m:sup>
                    <m:e>
                      <m:sSup>
                        <m:sSupPr>
                          <m:ctrlPr>
                            <w:rPr>
                              <w:rFonts w:ascii="Cambria Math" w:hAnsi="Cambria Math"/>
                              <w:b/>
                              <w:i/>
                            </w:rPr>
                          </m:ctrlPr>
                        </m:sSupPr>
                        <m:e>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PIT</m:t>
                              </m:r>
                            </m:e>
                            <m:sub>
                              <m:r>
                                <m:rPr>
                                  <m:sty m:val="bi"/>
                                </m:rPr>
                                <w:rPr>
                                  <w:rFonts w:ascii="Cambria Math" w:hAnsi="Cambria Math"/>
                                </w:rPr>
                                <m:t>i</m:t>
                              </m:r>
                            </m:sub>
                            <m:sup>
                              <m:r>
                                <m:rPr>
                                  <m:sty m:val="bi"/>
                                </m:rPr>
                                <w:rPr>
                                  <w:rFonts w:ascii="Cambria Math" w:hAnsi="Cambria Math"/>
                                </w:rPr>
                                <m:t>y</m:t>
                              </m:r>
                            </m:sup>
                          </m:sSubSup>
                          <m:r>
                            <m:rPr>
                              <m:sty m:val="bi"/>
                            </m:rPr>
                            <w:rPr>
                              <w:rFonts w:ascii="Cambria Math" w:hAnsi="Cambria Math"/>
                            </w:rPr>
                            <m:t>-</m:t>
                          </m:r>
                          <m:sSubSup>
                            <m:sSubSupPr>
                              <m:ctrlPr>
                                <w:rPr>
                                  <w:rFonts w:ascii="Cambria Math" w:hAnsi="Cambria Math"/>
                                  <w:b/>
                                  <w:i/>
                                </w:rPr>
                              </m:ctrlPr>
                            </m:sSubSupPr>
                            <m:e>
                              <m:acc>
                                <m:accPr>
                                  <m:ctrlPr>
                                    <w:rPr>
                                      <w:rFonts w:ascii="Cambria Math" w:hAnsi="Cambria Math"/>
                                      <w:b/>
                                      <w:i/>
                                    </w:rPr>
                                  </m:ctrlPr>
                                </m:accPr>
                                <m:e>
                                  <m:r>
                                    <m:rPr>
                                      <m:sty m:val="bi"/>
                                    </m:rPr>
                                    <w:rPr>
                                      <w:rFonts w:ascii="Cambria Math" w:hAnsi="Cambria Math"/>
                                    </w:rPr>
                                    <m:t>PIT</m:t>
                                  </m:r>
                                </m:e>
                              </m:acc>
                            </m:e>
                            <m:sub>
                              <m:r>
                                <m:rPr>
                                  <m:sty m:val="bi"/>
                                </m:rPr>
                                <w:rPr>
                                  <w:rFonts w:ascii="Cambria Math" w:hAnsi="Cambria Math"/>
                                </w:rPr>
                                <m:t>i</m:t>
                              </m:r>
                            </m:sub>
                            <m:sup>
                              <m:r>
                                <m:rPr>
                                  <m:sty m:val="bi"/>
                                </m:rPr>
                                <w:rPr>
                                  <w:rFonts w:ascii="Cambria Math" w:hAnsi="Cambria Math"/>
                                </w:rPr>
                                <m:t>y</m:t>
                              </m:r>
                            </m:sup>
                          </m:sSubSup>
                          <m:r>
                            <m:rPr>
                              <m:sty m:val="bi"/>
                            </m:rPr>
                            <w:rPr>
                              <w:rFonts w:ascii="Cambria Math" w:hAnsi="Cambria Math"/>
                            </w:rPr>
                            <m:t>)</m:t>
                          </m:r>
                        </m:e>
                        <m:sup>
                          <m:r>
                            <m:rPr>
                              <m:sty m:val="bi"/>
                            </m:rPr>
                            <w:rPr>
                              <w:rFonts w:ascii="Cambria Math" w:hAnsi="Cambria Math"/>
                            </w:rPr>
                            <m:t>2</m:t>
                          </m:r>
                        </m:sup>
                      </m:sSup>
                    </m:e>
                  </m:nary>
                </m:num>
                <m:den>
                  <m:sSub>
                    <m:sSubPr>
                      <m:ctrlPr>
                        <w:rPr>
                          <w:rFonts w:ascii="Cambria Math" w:hAnsi="Cambria Math"/>
                          <w:b/>
                          <w:i/>
                        </w:rPr>
                      </m:ctrlPr>
                    </m:sSubPr>
                    <m:e>
                      <m:r>
                        <m:rPr>
                          <m:sty m:val="bi"/>
                        </m:rPr>
                        <w:rPr>
                          <w:rFonts w:ascii="Cambria Math" w:hAnsi="Cambria Math"/>
                        </w:rPr>
                        <m:t>n</m:t>
                      </m:r>
                    </m:e>
                    <m:sub/>
                  </m:sSub>
                </m:den>
              </m:f>
            </m:e>
          </m:rad>
        </m:oMath>
      </m:oMathPara>
    </w:p>
    <w:p w14:paraId="04DE08EA" w14:textId="6A45EA58" w:rsidR="00E426BD" w:rsidRDefault="004547F8" w:rsidP="00E426BD">
      <w:r>
        <w:t xml:space="preserve">Where </w:t>
      </w:r>
      <w:r w:rsidR="008C5230">
        <w:t>RMSE</w:t>
      </w:r>
      <w:r w:rsidR="008C5230" w:rsidRPr="008C5230">
        <w:rPr>
          <w:vertAlign w:val="subscript"/>
        </w:rPr>
        <w:t>i</w:t>
      </w:r>
      <w:r w:rsidR="008C5230">
        <w:t xml:space="preserve"> is the RMSE for SA2 i; PIT</w:t>
      </w:r>
      <w:r w:rsidR="00A45BD1" w:rsidRPr="00A45BD1">
        <w:rPr>
          <w:vertAlign w:val="superscript"/>
        </w:rPr>
        <w:t>y</w:t>
      </w:r>
      <w:r w:rsidR="00A45BD1">
        <w:rPr>
          <w:vertAlign w:val="subscript"/>
        </w:rPr>
        <w:t>i</w:t>
      </w:r>
      <w:r>
        <w:t xml:space="preserve"> is the PIT income for </w:t>
      </w:r>
      <w:r w:rsidR="00A45BD1">
        <w:t xml:space="preserve">SA2 i in </w:t>
      </w:r>
      <w:r>
        <w:t>year Y;</w:t>
      </w:r>
      <w:r w:rsidR="00B4794A" w:rsidRPr="00B4794A">
        <w:t xml:space="preserve"> </w:t>
      </w:r>
      <m:oMath>
        <m:sSub>
          <m:sSubPr>
            <m:ctrlPr>
              <w:rPr>
                <w:rFonts w:ascii="Cambria Math" w:hAnsi="Cambria Math"/>
              </w:rPr>
            </m:ctrlPr>
          </m:sSubPr>
          <m:e>
            <m:acc>
              <m:accPr>
                <m:ctrlPr>
                  <w:rPr>
                    <w:rFonts w:ascii="Cambria Math" w:hAnsi="Cambria Math"/>
                  </w:rPr>
                </m:ctrlPr>
              </m:accPr>
              <m:e>
                <m:sSubSup>
                  <m:sSubSupPr>
                    <m:ctrlPr>
                      <w:rPr>
                        <w:rFonts w:ascii="Cambria Math" w:hAnsi="Cambria Math"/>
                        <w:i/>
                      </w:rPr>
                    </m:ctrlPr>
                  </m:sSubSupPr>
                  <m:e>
                    <m:r>
                      <w:rPr>
                        <w:rFonts w:ascii="Cambria Math" w:hAnsi="Cambria Math"/>
                      </w:rPr>
                      <m:t>PIT</m:t>
                    </m:r>
                  </m:e>
                  <m:sub>
                    <m:r>
                      <w:rPr>
                        <w:rFonts w:ascii="Cambria Math" w:hAnsi="Cambria Math"/>
                      </w:rPr>
                      <m:t>i</m:t>
                    </m:r>
                  </m:sub>
                  <m:sup>
                    <m:r>
                      <w:rPr>
                        <w:rFonts w:ascii="Cambria Math" w:hAnsi="Cambria Math"/>
                      </w:rPr>
                      <m:t>y</m:t>
                    </m:r>
                  </m:sup>
                </m:sSubSup>
              </m:e>
            </m:acc>
          </m:e>
          <m:sub/>
        </m:sSub>
      </m:oMath>
      <w:r w:rsidR="00B4794A" w:rsidRPr="00B4794A">
        <w:t xml:space="preserve"> is the estimate of </w:t>
      </w:r>
      <w:r w:rsidR="008C5230">
        <w:t>PIT income</w:t>
      </w:r>
      <w:r w:rsidR="00B4794A" w:rsidRPr="00B4794A">
        <w:t xml:space="preserve"> from </w:t>
      </w:r>
      <w:r w:rsidR="008C5230">
        <w:t>a simple r</w:t>
      </w:r>
      <w:r w:rsidR="00B4794A" w:rsidRPr="00B4794A">
        <w:t>egression model</w:t>
      </w:r>
      <w:r w:rsidR="008C5230">
        <w:t xml:space="preserve"> </w:t>
      </w:r>
      <w:r w:rsidR="00A45BD1">
        <w:t xml:space="preserve">for SA2 i and year y </w:t>
      </w:r>
      <w:r w:rsidR="008C5230">
        <w:t>with only an intercept and slope</w:t>
      </w:r>
      <w:r w:rsidR="00B4794A" w:rsidRPr="00B4794A">
        <w:t xml:space="preserve">; </w:t>
      </w:r>
      <w:r w:rsidR="00B4794A">
        <w:t xml:space="preserve">i is the SA2; and n is the number of </w:t>
      </w:r>
      <w:r w:rsidR="008C5230">
        <w:t>time periods</w:t>
      </w:r>
      <w:r w:rsidR="00A45BD1">
        <w:t xml:space="preserve"> (which is constant for all SA2’s i)</w:t>
      </w:r>
      <w:r w:rsidR="00B4794A">
        <w:t xml:space="preserve">. </w:t>
      </w:r>
      <w:r w:rsidR="000F2ADD">
        <w:t>If the income</w:t>
      </w:r>
      <w:r w:rsidR="00113AC3">
        <w:t xml:space="preserve"> in an SA2</w:t>
      </w:r>
      <w:r w:rsidR="000F2ADD">
        <w:t xml:space="preserve"> doesn’t change much</w:t>
      </w:r>
      <w:r w:rsidR="00113AC3">
        <w:t xml:space="preserve"> or increases/decreases at a relatively consistent rate</w:t>
      </w:r>
      <w:r w:rsidR="000F2ADD">
        <w:t>, then the RMS</w:t>
      </w:r>
      <w:r w:rsidR="002A294D">
        <w:t>E</w:t>
      </w:r>
      <w:r w:rsidR="000F2ADD">
        <w:t xml:space="preserve"> will be low; whereas if </w:t>
      </w:r>
      <w:r w:rsidR="00113AC3">
        <w:t xml:space="preserve">incomes are inconsistent across years </w:t>
      </w:r>
      <w:r w:rsidR="000F2ADD">
        <w:t>it will be high.</w:t>
      </w:r>
      <w:r w:rsidR="001174E8">
        <w:t xml:space="preserve"> An example for two fictional areas is shown in </w:t>
      </w:r>
      <w:r w:rsidR="00B51FD4">
        <w:fldChar w:fldCharType="begin"/>
      </w:r>
      <w:r w:rsidR="00B51FD4">
        <w:instrText xml:space="preserve"> REF _Ref506822023 \h </w:instrText>
      </w:r>
      <w:r w:rsidR="00B51FD4">
        <w:fldChar w:fldCharType="separate"/>
      </w:r>
      <w:r w:rsidR="00171745">
        <w:t xml:space="preserve">Figure </w:t>
      </w:r>
      <w:r w:rsidR="00171745">
        <w:rPr>
          <w:noProof/>
        </w:rPr>
        <w:t>2</w:t>
      </w:r>
      <w:r w:rsidR="00B51FD4">
        <w:fldChar w:fldCharType="end"/>
      </w:r>
      <w:r w:rsidR="00B51FD4">
        <w:t>.</w:t>
      </w:r>
    </w:p>
    <w:p w14:paraId="7403BE78" w14:textId="01467AE5" w:rsidR="00A45BD1" w:rsidRDefault="001D5008" w:rsidP="00610B27">
      <w:r>
        <w:t xml:space="preserve"> In this figure, the RMSE for the first area is $144.64; and for the second area is $</w:t>
      </w:r>
      <w:r w:rsidR="00E74465">
        <w:t>8</w:t>
      </w:r>
      <w:r>
        <w:t>.</w:t>
      </w:r>
      <w:r w:rsidR="00E74465">
        <w:t>67</w:t>
      </w:r>
      <w:r>
        <w:t>. This is then better understood when expressed as a percentage of the average income, so in the first area, it is 0.24% of the average income; and in the second area it is 0.01%.</w:t>
      </w:r>
      <w:r w:rsidR="0044622C">
        <w:t xml:space="preserve"> </w:t>
      </w:r>
      <w:r w:rsidR="00113AC3">
        <w:t>T</w:t>
      </w:r>
      <w:r w:rsidR="0044622C">
        <w:t>he area with more variability in income shows a higher RMSE.</w:t>
      </w:r>
    </w:p>
    <w:p w14:paraId="3D120D06" w14:textId="77777777" w:rsidR="000F2ADD" w:rsidRDefault="000F2ADD" w:rsidP="00373D64"/>
    <w:p w14:paraId="3CFA8D42" w14:textId="0A06B355" w:rsidR="005721AD" w:rsidRDefault="005721AD" w:rsidP="005721AD">
      <w:pPr>
        <w:pStyle w:val="Caption"/>
        <w:jc w:val="left"/>
      </w:pPr>
      <w:bookmarkStart w:id="93" w:name="_Ref506822023"/>
      <w:r>
        <w:t xml:space="preserve">Figure </w:t>
      </w:r>
      <w:r w:rsidR="00E56D16">
        <w:fldChar w:fldCharType="begin"/>
      </w:r>
      <w:r w:rsidR="00E56D16">
        <w:instrText xml:space="preserve"> SEQ Figure \* ARABIC </w:instrText>
      </w:r>
      <w:r w:rsidR="00E56D16">
        <w:fldChar w:fldCharType="separate"/>
      </w:r>
      <w:r w:rsidR="00171745">
        <w:rPr>
          <w:noProof/>
        </w:rPr>
        <w:t>2</w:t>
      </w:r>
      <w:r w:rsidR="00E56D16">
        <w:fldChar w:fldCharType="end"/>
      </w:r>
      <w:bookmarkEnd w:id="93"/>
      <w:r>
        <w:t>: RMSE for 2 fictional areas</w:t>
      </w:r>
    </w:p>
    <w:p w14:paraId="7309F072" w14:textId="77777777" w:rsidR="005721AD" w:rsidRPr="001D5008" w:rsidRDefault="005721AD" w:rsidP="005721AD">
      <w:pPr>
        <w:jc w:val="center"/>
      </w:pPr>
      <w:r>
        <w:rPr>
          <w:noProof/>
          <w:lang w:val="en-AU" w:eastAsia="en-AU"/>
          <w14:ligatures w14:val="none"/>
        </w:rPr>
        <w:drawing>
          <wp:inline distT="0" distB="0" distL="0" distR="0" wp14:anchorId="5F5A2C97" wp14:editId="715A6E34">
            <wp:extent cx="2466975" cy="1733550"/>
            <wp:effectExtent l="0" t="0" r="9525" b="0"/>
            <wp:docPr id="1" name="Chart 1" descr="High variability in income shows a high RMSE." title="RMSE for fictional area - high RMSE">
              <a:extLst xmlns:a="http://schemas.openxmlformats.org/drawingml/2006/main">
                <a:ext uri="{FF2B5EF4-FFF2-40B4-BE49-F238E27FC236}">
                  <a16:creationId xmlns:a16="http://schemas.microsoft.com/office/drawing/2014/main" id="{C89119CB-8AA6-4674-87D9-2205EAE2F5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lang w:val="en-AU" w:eastAsia="en-AU"/>
          <w14:ligatures w14:val="none"/>
        </w:rPr>
        <w:drawing>
          <wp:inline distT="0" distB="0" distL="0" distR="0" wp14:anchorId="00219452" wp14:editId="4FA3890F">
            <wp:extent cx="2752725" cy="1724025"/>
            <wp:effectExtent l="0" t="0" r="9525" b="9525"/>
            <wp:docPr id="2" name="Chart 2" descr="Low variability in income shows a low RMSE." title="RMSE for fictional area - low RMSE">
              <a:extLst xmlns:a="http://schemas.openxmlformats.org/drawingml/2006/main">
                <a:ext uri="{FF2B5EF4-FFF2-40B4-BE49-F238E27FC236}">
                  <a16:creationId xmlns:a16="http://schemas.microsoft.com/office/drawing/2014/main" id="{30FDB268-48A3-4743-9A95-0142E9EEC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13658EF" w14:textId="77777777" w:rsidR="005721AD" w:rsidRDefault="005721AD" w:rsidP="00373D64"/>
    <w:p w14:paraId="059F650D" w14:textId="5DA8B480" w:rsidR="0034251F" w:rsidRDefault="0034251F" w:rsidP="00373D64">
      <w:r>
        <w:t xml:space="preserve">The RMSE was then plotted against the </w:t>
      </w:r>
      <w:r w:rsidR="00F95921">
        <w:t xml:space="preserve">average </w:t>
      </w:r>
      <w:r>
        <w:t>population in the area</w:t>
      </w:r>
      <w:r w:rsidR="00561B5B">
        <w:t xml:space="preserve"> using a scatter plot</w:t>
      </w:r>
      <w:r w:rsidR="002F6AB2">
        <w:t xml:space="preserve"> (</w:t>
      </w:r>
      <w:r w:rsidR="00104CB8">
        <w:t>see Figure 18 for an example</w:t>
      </w:r>
      <w:r w:rsidR="007B06F9">
        <w:t xml:space="preserve"> </w:t>
      </w:r>
      <w:hyperlink r:id="rId27" w:history="1">
        <w:r w:rsidR="007B06F9" w:rsidRPr="009C3774">
          <w:rPr>
            <w:rStyle w:val="Hyperlink"/>
          </w:rPr>
          <w:t>here</w:t>
        </w:r>
      </w:hyperlink>
      <w:r w:rsidR="002F6AB2">
        <w:t>)</w:t>
      </w:r>
      <w:r w:rsidR="00F95921">
        <w:t>.</w:t>
      </w:r>
      <w:r>
        <w:t xml:space="preserve"> </w:t>
      </w:r>
      <w:r w:rsidR="00F95921">
        <w:t xml:space="preserve">This </w:t>
      </w:r>
      <w:r>
        <w:t>highlighted that areas with low</w:t>
      </w:r>
      <w:r w:rsidR="003227EC">
        <w:t>er</w:t>
      </w:r>
      <w:r>
        <w:t xml:space="preserve"> population</w:t>
      </w:r>
      <w:r w:rsidR="003227EC">
        <w:t>s tended to have</w:t>
      </w:r>
      <w:r>
        <w:t xml:space="preserve"> higher RMSE</w:t>
      </w:r>
      <w:r w:rsidR="003227EC">
        <w:t xml:space="preserve"> values</w:t>
      </w:r>
      <w:r>
        <w:t>.</w:t>
      </w:r>
    </w:p>
    <w:p w14:paraId="540F6095" w14:textId="4EDE1B0E" w:rsidR="006D6A08" w:rsidRDefault="006D6A08" w:rsidP="00E426BD">
      <w:pPr>
        <w:pStyle w:val="Caption"/>
        <w:jc w:val="both"/>
      </w:pPr>
      <w:r>
        <w:t>We were also interested in the distribution of the RMSE’s across Australia. For this, we calculated the mean, median and standard deviation of the RMSE values for all SA2’s across Australia and show these in a table</w:t>
      </w:r>
      <w:r w:rsidR="002F6AB2">
        <w:t>, as well as a frequency distribution (</w:t>
      </w:r>
      <w:r w:rsidR="00104CB8">
        <w:t>see Figure 19 for an example</w:t>
      </w:r>
      <w:r w:rsidR="007B06F9">
        <w:t xml:space="preserve"> </w:t>
      </w:r>
      <w:hyperlink r:id="rId28" w:history="1">
        <w:r w:rsidR="007B06F9" w:rsidRPr="009C3774">
          <w:rPr>
            <w:rStyle w:val="Hyperlink"/>
          </w:rPr>
          <w:t>here</w:t>
        </w:r>
      </w:hyperlink>
      <w:r w:rsidR="002F6AB2">
        <w:t>)</w:t>
      </w:r>
      <w:r>
        <w:t>.</w:t>
      </w:r>
    </w:p>
    <w:p w14:paraId="6B436E59" w14:textId="622594FB" w:rsidR="006D6A08" w:rsidRDefault="006D6A08" w:rsidP="00E426BD">
      <w:pPr>
        <w:pStyle w:val="Caption"/>
        <w:jc w:val="both"/>
      </w:pPr>
      <w:r>
        <w:t>Because the RMSE’s can be difficult to interpret, we also calculated a frequency distribution of the total % change in PIT incomes from the first year to the final year for each time period</w:t>
      </w:r>
      <w:r w:rsidR="002F6AB2">
        <w:t xml:space="preserve"> (</w:t>
      </w:r>
      <w:r w:rsidR="00722C64">
        <w:t xml:space="preserve">see Figure 20 for an example, </w:t>
      </w:r>
      <w:hyperlink r:id="rId29" w:history="1">
        <w:r w:rsidR="007B06F9" w:rsidRPr="009C3774">
          <w:rPr>
            <w:rStyle w:val="Hyperlink"/>
          </w:rPr>
          <w:t>here</w:t>
        </w:r>
      </w:hyperlink>
      <w:r w:rsidR="002F6AB2">
        <w:t>)</w:t>
      </w:r>
      <w:r>
        <w:t xml:space="preserve">. Many areas show </w:t>
      </w:r>
      <w:r w:rsidR="00DE395E">
        <w:t>minimal</w:t>
      </w:r>
      <w:r>
        <w:t xml:space="preserve"> change</w:t>
      </w:r>
      <w:r w:rsidR="00DE395E">
        <w:t xml:space="preserve"> (-2 to 2%)</w:t>
      </w:r>
      <w:r>
        <w:t>, but this graph does show that a very small percent are above or below 10% change.</w:t>
      </w:r>
    </w:p>
    <w:p w14:paraId="21B20BE8" w14:textId="7EA4C0E1" w:rsidR="005E1147" w:rsidRDefault="005E1147" w:rsidP="00071509">
      <w:pPr>
        <w:pStyle w:val="Caption"/>
        <w:keepNext/>
        <w:jc w:val="both"/>
      </w:pPr>
      <w:r>
        <w:t xml:space="preserve">Finally, </w:t>
      </w:r>
      <w:r w:rsidR="006D6A08">
        <w:t xml:space="preserve">we wanted to look at how variability in incomes changed over time, so a series of scatter plots was created which showed how the ranks changed each year. </w:t>
      </w:r>
      <w:r>
        <w:t>In these plots (</w:t>
      </w:r>
      <w:r w:rsidR="00722C64">
        <w:t>Figure 21 is an example</w:t>
      </w:r>
      <w:r w:rsidR="00B12FDE">
        <w:t xml:space="preserve">, </w:t>
      </w:r>
      <w:hyperlink r:id="rId30" w:history="1">
        <w:r w:rsidR="00B12FDE" w:rsidRPr="009C3774">
          <w:rPr>
            <w:rStyle w:val="Hyperlink"/>
          </w:rPr>
          <w:t>here</w:t>
        </w:r>
      </w:hyperlink>
      <w:r>
        <w:t xml:space="preserve">), the horizontal axis and vertical axis for each graph can be identified from the boxes with text in them – so, for example, the first graph </w:t>
      </w:r>
      <w:r w:rsidR="00E426BD">
        <w:t xml:space="preserve">in </w:t>
      </w:r>
      <w:r w:rsidR="00E426BD">
        <w:fldChar w:fldCharType="begin"/>
      </w:r>
      <w:r w:rsidR="00E426BD">
        <w:instrText xml:space="preserve"> REF _Ref506997572 \h </w:instrText>
      </w:r>
      <w:r w:rsidR="00E426BD">
        <w:fldChar w:fldCharType="separate"/>
      </w:r>
      <w:r w:rsidR="00171745">
        <w:t xml:space="preserve">Figure </w:t>
      </w:r>
      <w:r w:rsidR="00171745">
        <w:rPr>
          <w:noProof/>
        </w:rPr>
        <w:t>21</w:t>
      </w:r>
      <w:r w:rsidR="00E426BD">
        <w:fldChar w:fldCharType="end"/>
      </w:r>
      <w:r w:rsidR="00E426BD">
        <w:t xml:space="preserve"> </w:t>
      </w:r>
      <w:r>
        <w:t xml:space="preserve">(so the second box reading from the top) is the graph with 2005 rank on the vertical axis; and 2006 rank on the horizontal axis. The first graph in the second row of </w:t>
      </w:r>
      <w:r w:rsidR="00E426BD">
        <w:fldChar w:fldCharType="begin"/>
      </w:r>
      <w:r w:rsidR="00E426BD">
        <w:instrText xml:space="preserve"> REF _Ref506997572 \h </w:instrText>
      </w:r>
      <w:r w:rsidR="00E426BD">
        <w:fldChar w:fldCharType="separate"/>
      </w:r>
      <w:r w:rsidR="00171745">
        <w:t xml:space="preserve">Figure </w:t>
      </w:r>
      <w:r w:rsidR="00171745">
        <w:rPr>
          <w:noProof/>
        </w:rPr>
        <w:t>21</w:t>
      </w:r>
      <w:r w:rsidR="00E426BD">
        <w:fldChar w:fldCharType="end"/>
      </w:r>
      <w:r w:rsidR="00E426BD">
        <w:t xml:space="preserve"> </w:t>
      </w:r>
      <w:r>
        <w:t>shows the scatter plot with 2005 rank on the horizontal axis, and 2006 rank on the vertical axis.</w:t>
      </w:r>
      <w:r w:rsidR="00BB28DF">
        <w:t xml:space="preserve"> This is also summarised as a table of correlation coefficients (</w:t>
      </w:r>
      <w:r w:rsidR="00297507">
        <w:t xml:space="preserve">see Table 3 and 4 </w:t>
      </w:r>
      <w:hyperlink r:id="rId31" w:history="1">
        <w:r w:rsidR="00B12FDE" w:rsidRPr="009C3774">
          <w:rPr>
            <w:rStyle w:val="Hyperlink"/>
          </w:rPr>
          <w:t>here</w:t>
        </w:r>
      </w:hyperlink>
      <w:r w:rsidR="00BB28DF">
        <w:t>).</w:t>
      </w:r>
    </w:p>
    <w:p w14:paraId="41AE8B8F" w14:textId="4BA9889F" w:rsidR="005721AD" w:rsidRDefault="005721AD" w:rsidP="005721AD">
      <w:r>
        <w:t>Using all SA2’s across Australia, we then calculated where 95% of values were; and then for each capital city/balance of state, we were able to plot these 95% lines on the graphs, and identify points that fell outside of these lines (so the top 2.5% and the bottom 2.5% of values</w:t>
      </w:r>
      <w:r w:rsidR="00067AFF">
        <w:t xml:space="preserve"> in Australia</w:t>
      </w:r>
      <w:r>
        <w:t>).</w:t>
      </w:r>
      <w:bookmarkStart w:id="94" w:name="_Ref505332222"/>
      <w:r w:rsidR="002F6AB2">
        <w:t xml:space="preserve"> All the SA2’s that were outside these lines are shown in Appendix 5, along with the minimum and maximum populations; and the change for each year, to show whether it is a consistent increase or decrease; or whether it just happened in one year.</w:t>
      </w:r>
    </w:p>
    <w:p w14:paraId="41EB293B" w14:textId="0E78E218" w:rsidR="00A71B5C" w:rsidRDefault="00A71B5C" w:rsidP="005721AD">
      <w:r>
        <w:t xml:space="preserve">All the graphs for </w:t>
      </w:r>
      <w:r w:rsidR="00200455">
        <w:t>mean incomes are shown in Appendix 1</w:t>
      </w:r>
      <w:r w:rsidR="00B12FDE">
        <w:t xml:space="preserve">, </w:t>
      </w:r>
      <w:r w:rsidR="00050B6E">
        <w:t xml:space="preserve">(available </w:t>
      </w:r>
      <w:hyperlink r:id="rId32" w:history="1">
        <w:r w:rsidR="00B12FDE" w:rsidRPr="009C3774">
          <w:rPr>
            <w:rStyle w:val="Hyperlink"/>
          </w:rPr>
          <w:t>here</w:t>
        </w:r>
      </w:hyperlink>
      <w:r w:rsidR="00050B6E">
        <w:t>)</w:t>
      </w:r>
      <w:r w:rsidR="00200455">
        <w:t>.</w:t>
      </w:r>
    </w:p>
    <w:p w14:paraId="7B57A05A" w14:textId="46F9633D" w:rsidR="005721AD" w:rsidRDefault="005721AD" w:rsidP="005721AD">
      <w:r>
        <w:t xml:space="preserve">Finally, </w:t>
      </w:r>
      <w:r w:rsidR="00E426BD">
        <w:t xml:space="preserve">to answer the research question about whether there are methods to combine multiple years of income data to stabilise measures, we calculated </w:t>
      </w:r>
      <w:r>
        <w:t xml:space="preserve">a moving average of incomes using the PIT data </w:t>
      </w:r>
      <w:r w:rsidR="00E426BD">
        <w:t xml:space="preserve">for each period calculated </w:t>
      </w:r>
      <w:r>
        <w:t xml:space="preserve">using </w:t>
      </w:r>
      <w:r w:rsidR="0025312A">
        <w:t>the formula:</w:t>
      </w:r>
    </w:p>
    <w:p w14:paraId="41083A09" w14:textId="27289301" w:rsidR="0025312A" w:rsidRDefault="0025312A" w:rsidP="005721AD">
      <w:r>
        <w:t>MA_PIT</w:t>
      </w:r>
      <w:r w:rsidRPr="0025312A">
        <w:rPr>
          <w:vertAlign w:val="superscript"/>
        </w:rPr>
        <w:t>i</w:t>
      </w:r>
      <w:r>
        <w:t xml:space="preserve"> = (1/6)*x</w:t>
      </w:r>
      <w:r w:rsidRPr="0025312A">
        <w:rPr>
          <w:vertAlign w:val="superscript"/>
        </w:rPr>
        <w:t>i</w:t>
      </w:r>
      <w:r w:rsidRPr="0025312A">
        <w:rPr>
          <w:vertAlign w:val="subscript"/>
        </w:rPr>
        <w:t>t-2</w:t>
      </w:r>
      <w:r>
        <w:t xml:space="preserve"> + (1/3)*x</w:t>
      </w:r>
      <w:r w:rsidRPr="0025312A">
        <w:rPr>
          <w:vertAlign w:val="superscript"/>
        </w:rPr>
        <w:t>i</w:t>
      </w:r>
      <w:r w:rsidRPr="0025312A">
        <w:rPr>
          <w:vertAlign w:val="subscript"/>
        </w:rPr>
        <w:t>t-1</w:t>
      </w:r>
      <w:r>
        <w:t xml:space="preserve"> + (1/2) *x</w:t>
      </w:r>
      <w:r w:rsidRPr="0025312A">
        <w:rPr>
          <w:vertAlign w:val="superscript"/>
        </w:rPr>
        <w:t>i</w:t>
      </w:r>
      <w:r w:rsidRPr="0025312A">
        <w:rPr>
          <w:vertAlign w:val="subscript"/>
        </w:rPr>
        <w:t>t</w:t>
      </w:r>
    </w:p>
    <w:p w14:paraId="1547E738" w14:textId="21942647" w:rsidR="005721AD" w:rsidRDefault="002F6AB2" w:rsidP="005721AD">
      <w:r>
        <w:t xml:space="preserve">Where </w:t>
      </w:r>
      <w:r w:rsidR="0025312A">
        <w:t>MA_PIT</w:t>
      </w:r>
      <w:r w:rsidR="0025312A" w:rsidRPr="0025312A">
        <w:rPr>
          <w:vertAlign w:val="superscript"/>
        </w:rPr>
        <w:t>i</w:t>
      </w:r>
      <w:r w:rsidR="0025312A">
        <w:t xml:space="preserve"> is the 3 year moving average of PIT for SA2 i; and x</w:t>
      </w:r>
      <w:r w:rsidR="0025312A" w:rsidRPr="0025312A">
        <w:rPr>
          <w:vertAlign w:val="superscript"/>
        </w:rPr>
        <w:t>i</w:t>
      </w:r>
      <w:r w:rsidR="0025312A" w:rsidRPr="0025312A">
        <w:rPr>
          <w:vertAlign w:val="subscript"/>
        </w:rPr>
        <w:t>t</w:t>
      </w:r>
      <w:r w:rsidR="0025312A">
        <w:t xml:space="preserve"> is the PIT income for year t and SA2 i.</w:t>
      </w:r>
      <w:r w:rsidR="00E426BD">
        <w:t xml:space="preserve"> </w:t>
      </w:r>
      <w:r w:rsidR="006B6080">
        <w:t xml:space="preserve">This formula puts most weight on the year t (1/2), with lower weights for t-1 (1/3) and t-2 (1/6). </w:t>
      </w:r>
      <w:r w:rsidR="00E426BD">
        <w:t>The same graphs as used to analyse each PIT period were created for the smoothed income data, and the</w:t>
      </w:r>
      <w:r w:rsidR="00E7658D">
        <w:t xml:space="preserve"> results are</w:t>
      </w:r>
      <w:r>
        <w:t xml:space="preserve"> shown in Appendix 6</w:t>
      </w:r>
      <w:r w:rsidR="00297507">
        <w:t xml:space="preserve"> (see Appendix 6 </w:t>
      </w:r>
      <w:hyperlink r:id="rId33" w:history="1">
        <w:r w:rsidR="00B12FDE" w:rsidRPr="009C3774">
          <w:rPr>
            <w:rStyle w:val="Hyperlink"/>
          </w:rPr>
          <w:t>here</w:t>
        </w:r>
      </w:hyperlink>
      <w:r w:rsidR="00297507">
        <w:t>)</w:t>
      </w:r>
      <w:r w:rsidR="00E426BD">
        <w:t>.</w:t>
      </w:r>
    </w:p>
    <w:p w14:paraId="09338FBC" w14:textId="3D2E7C3A" w:rsidR="002F6AB2" w:rsidRDefault="002F6AB2" w:rsidP="005721AD">
      <w:r>
        <w:t>Results for all these same graphs using median incomes are shown in Appendix 7; and results for smoothed, median incomes are shown in Appendix 8.</w:t>
      </w:r>
      <w:r w:rsidR="00B12FDE">
        <w:t xml:space="preserve"> (All appendices are available </w:t>
      </w:r>
      <w:hyperlink r:id="rId34" w:history="1">
        <w:r w:rsidR="00B12FDE" w:rsidRPr="009C3774">
          <w:rPr>
            <w:rStyle w:val="Hyperlink"/>
          </w:rPr>
          <w:t>here</w:t>
        </w:r>
      </w:hyperlink>
      <w:r w:rsidR="00B12FDE">
        <w:t>).</w:t>
      </w:r>
    </w:p>
    <w:p w14:paraId="58BFE953" w14:textId="1760DB03" w:rsidR="008E0DCF" w:rsidRDefault="008E0DCF" w:rsidP="005721AD">
      <w:r>
        <w:t>There are a number of issues with the PIT data that should be highlighted. The first is that it does not cover all taxpayers. Those receiving an income below the tax free threshold will be excluded; as will those people not paying tax. This will have a small impact on the mean and median used for our numbers.</w:t>
      </w:r>
    </w:p>
    <w:bookmarkEnd w:id="94"/>
    <w:p w14:paraId="27D1A34A" w14:textId="2BCCCE74" w:rsidR="00EF4419" w:rsidRDefault="007B2CF9" w:rsidP="00373D64">
      <w:r>
        <w:t xml:space="preserve">For the Census data, </w:t>
      </w:r>
      <w:r w:rsidR="003227EC">
        <w:t>only three data points for each region were available (</w:t>
      </w:r>
      <w:r>
        <w:t>compared to 10 using the PIT data)</w:t>
      </w:r>
      <w:r w:rsidR="003227EC">
        <w:t>, 2006, 2011 and 2016.</w:t>
      </w:r>
      <w:r w:rsidR="002467AE">
        <w:t xml:space="preserve"> </w:t>
      </w:r>
      <w:r w:rsidR="003227EC">
        <w:t>T</w:t>
      </w:r>
      <w:r>
        <w:t xml:space="preserve">he time between each </w:t>
      </w:r>
      <w:r w:rsidR="003227EC">
        <w:t>observation</w:t>
      </w:r>
      <w:r>
        <w:t xml:space="preserve"> was </w:t>
      </w:r>
      <w:r w:rsidR="003227EC">
        <w:t xml:space="preserve">five </w:t>
      </w:r>
      <w:r>
        <w:t xml:space="preserve">years rather than </w:t>
      </w:r>
      <w:r w:rsidR="003227EC">
        <w:t>one</w:t>
      </w:r>
      <w:r>
        <w:t>, however</w:t>
      </w:r>
      <w:r w:rsidR="003227EC">
        <w:t>,</w:t>
      </w:r>
      <w:r>
        <w:t xml:space="preserve"> the geographies available were much smaller (SA1 ra</w:t>
      </w:r>
      <w:r w:rsidR="00EF4419">
        <w:t>t</w:t>
      </w:r>
      <w:r>
        <w:t>her than SA2)</w:t>
      </w:r>
      <w:r w:rsidR="003227EC">
        <w:t>.</w:t>
      </w:r>
      <w:r>
        <w:t xml:space="preserve"> </w:t>
      </w:r>
      <w:r w:rsidR="00610B27">
        <w:t xml:space="preserve">This means the level of averaging will be less for these areas, so we would expect greater variability using these areas. However, the mean and median income, which was used for the PIT analysis, were not readily available from the Census data without using some imputation from a survey. For this analysis, we also wanted to use the data that the Department uses for the SES score, so the Department provided the SES score, and the underlying family income, household income, education and occupation indexes for each Census year. </w:t>
      </w:r>
      <w:r w:rsidR="00EF4419">
        <w:t>The</w:t>
      </w:r>
      <w:r w:rsidR="00610B27">
        <w:t xml:space="preserve"> family income data was then </w:t>
      </w:r>
      <w:r w:rsidR="00D7019A">
        <w:t xml:space="preserve">used to identify the variability </w:t>
      </w:r>
      <w:r w:rsidR="008C5230">
        <w:t>in</w:t>
      </w:r>
      <w:r w:rsidR="00D7019A">
        <w:t xml:space="preserve"> incomes </w:t>
      </w:r>
      <w:r w:rsidR="008C5230">
        <w:t xml:space="preserve">at the </w:t>
      </w:r>
      <w:r w:rsidR="00D7019A">
        <w:t>SA1</w:t>
      </w:r>
      <w:r w:rsidR="008C5230">
        <w:t xml:space="preserve"> level</w:t>
      </w:r>
      <w:r w:rsidR="00D7019A">
        <w:t>.</w:t>
      </w:r>
      <w:r w:rsidR="00EF4419">
        <w:t xml:space="preserve"> </w:t>
      </w:r>
      <w:r w:rsidR="00D7019A">
        <w:t xml:space="preserve">The </w:t>
      </w:r>
      <w:r w:rsidR="00EF4419">
        <w:t>aim of this process was to identify whether an index using just income was more variable at the SA1 level than the SES index used in the</w:t>
      </w:r>
      <w:r w:rsidR="00D7019A">
        <w:t xml:space="preserve"> school funding</w:t>
      </w:r>
      <w:r w:rsidR="00EF4419">
        <w:t xml:space="preserve"> assessment.</w:t>
      </w:r>
    </w:p>
    <w:p w14:paraId="0B78FE79" w14:textId="161B7445" w:rsidR="000F2ADD" w:rsidRDefault="00B33C67" w:rsidP="00373D64">
      <w:r>
        <w:t>Data from the</w:t>
      </w:r>
      <w:r w:rsidR="00EF4419">
        <w:t xml:space="preserve"> 2006</w:t>
      </w:r>
      <w:r>
        <w:t xml:space="preserve"> census</w:t>
      </w:r>
      <w:r w:rsidR="00EF4419">
        <w:t xml:space="preserve"> were for </w:t>
      </w:r>
      <w:r>
        <w:t>census collection districts (</w:t>
      </w:r>
      <w:r w:rsidR="00EF4419">
        <w:t>CD</w:t>
      </w:r>
      <w:r>
        <w:t xml:space="preserve">), </w:t>
      </w:r>
      <w:r w:rsidR="00EF4419">
        <w:t xml:space="preserve">rather than SA1, </w:t>
      </w:r>
      <w:r>
        <w:t xml:space="preserve">and were </w:t>
      </w:r>
      <w:r w:rsidR="00610B27">
        <w:t xml:space="preserve">concorded to SA1 </w:t>
      </w:r>
      <w:r>
        <w:t xml:space="preserve">using </w:t>
      </w:r>
      <w:r w:rsidR="00EF4419">
        <w:t>a</w:t>
      </w:r>
      <w:r>
        <w:t xml:space="preserve"> population-weighted</w:t>
      </w:r>
      <w:r w:rsidR="00EF4419">
        <w:t xml:space="preserve"> concordance </w:t>
      </w:r>
      <w:r w:rsidR="000F2ADD">
        <w:t>from the ABS</w:t>
      </w:r>
      <w:r>
        <w:t xml:space="preserve"> to enable comparisons across years.</w:t>
      </w:r>
    </w:p>
    <w:p w14:paraId="36482687" w14:textId="6C10660F" w:rsidR="00610B27" w:rsidRDefault="00610B27" w:rsidP="00373D64">
      <w:r>
        <w:t xml:space="preserve">Note that the family and household income data were not means and medians, which the PIT data used. They were indexes </w:t>
      </w:r>
      <w:r w:rsidR="00D44DFE">
        <w:t>based on the proportion of people in an area with incomes above and below certain cut-offs. The reason for this is that the Census has income data available in groups, so calculating a mean or median is difficult without some imputation using survey data (which can provide an income distribution within each of the Census income groups). The SES score therefore uses a proportion of households or families with incomes above; and below certain cutoffs. This is similar to the way SEIFA incorporates income data into an index of disadvantage.</w:t>
      </w:r>
    </w:p>
    <w:p w14:paraId="0A2E857D" w14:textId="1B2ED4F6" w:rsidR="007B2CF9" w:rsidRDefault="002A294D" w:rsidP="00373D64">
      <w:r>
        <w:t>Because the index were ordinal values</w:t>
      </w:r>
      <w:r w:rsidR="00FD3307">
        <w:t>,</w:t>
      </w:r>
      <w:r>
        <w:t xml:space="preserve"> we used quintile tables, which show the quintile that the area was in for one index, compared to the quintile it </w:t>
      </w:r>
      <w:r w:rsidR="00FD3307">
        <w:t>wa</w:t>
      </w:r>
      <w:r>
        <w:t xml:space="preserve">s in for a second index. </w:t>
      </w:r>
      <w:r w:rsidR="00077A78">
        <w:t xml:space="preserve">For this analysis, we used non-government school children weighted quintiles, so each quintile contained an equal number of non-government school children. These number of non-government school children in each area was provided by the Department. </w:t>
      </w:r>
      <w:r>
        <w:t>These quintile tables are used by NATSEM regularly to compare ordinal indexes, for example, the child social exclusion and SEIFA index.</w:t>
      </w:r>
    </w:p>
    <w:p w14:paraId="2A1BB888" w14:textId="0EF34C41" w:rsidR="002A294D" w:rsidRDefault="002A294D" w:rsidP="00373D64">
      <w:r>
        <w:t xml:space="preserve">To compare indexes, we looked at quintile tables </w:t>
      </w:r>
      <w:r w:rsidR="0044622C">
        <w:t xml:space="preserve">comparing </w:t>
      </w:r>
      <w:r>
        <w:t xml:space="preserve">SES </w:t>
      </w:r>
      <w:r w:rsidR="0044622C">
        <w:t>to</w:t>
      </w:r>
      <w:r>
        <w:t xml:space="preserve"> a </w:t>
      </w:r>
      <w:r w:rsidR="008C5230">
        <w:t>household</w:t>
      </w:r>
      <w:r w:rsidR="0044622C">
        <w:t xml:space="preserve"> </w:t>
      </w:r>
      <w:r>
        <w:t xml:space="preserve">income only index in 2006, 2011 and 2016; and then </w:t>
      </w:r>
      <w:r w:rsidR="0044622C">
        <w:t xml:space="preserve">looked at the variability over time for </w:t>
      </w:r>
      <w:r>
        <w:t xml:space="preserve">the SES index from 2006 to 2011, and 2011 to 2016; and the </w:t>
      </w:r>
      <w:r w:rsidR="0044622C">
        <w:t xml:space="preserve">Family </w:t>
      </w:r>
      <w:r>
        <w:t>Income index from 2006 to 2011, and 2011 to 2016. This gives an idea of the difference if an income only index had been used rather than the SES index</w:t>
      </w:r>
      <w:r w:rsidR="0044622C">
        <w:t xml:space="preserve"> for each Census year</w:t>
      </w:r>
      <w:r>
        <w:t xml:space="preserve">; and </w:t>
      </w:r>
      <w:r w:rsidR="00B33C67">
        <w:t>also,</w:t>
      </w:r>
      <w:r>
        <w:t xml:space="preserve"> the variability of the </w:t>
      </w:r>
      <w:r w:rsidR="002467AE">
        <w:t xml:space="preserve">family </w:t>
      </w:r>
      <w:r>
        <w:t>income and SES indexes over time.</w:t>
      </w:r>
      <w:r w:rsidR="00200455">
        <w:t xml:space="preserve"> The quintile tables are shown in Appendix 2.</w:t>
      </w:r>
    </w:p>
    <w:p w14:paraId="382D6F7C" w14:textId="2C16C2CA" w:rsidR="00200455" w:rsidRDefault="00200455" w:rsidP="00373D64">
      <w:r>
        <w:t xml:space="preserve">We also looked at a time series of change in family income at the SA1 level, similar to the analysis with PIT data, but for 3 time periods rather than 5. This means that the variability will be greater, as each data point shows 5 years of change, not one year. </w:t>
      </w:r>
      <w:r w:rsidR="00A951F2">
        <w:t>These graphs are shown in Appendix 3.</w:t>
      </w:r>
    </w:p>
    <w:p w14:paraId="7E992C1B" w14:textId="38694253" w:rsidR="00A508E9" w:rsidRDefault="00A508E9" w:rsidP="00373D64">
      <w:r>
        <w:t>In addition</w:t>
      </w:r>
      <w:r w:rsidR="00B33C67">
        <w:t xml:space="preserve"> to</w:t>
      </w:r>
      <w:r>
        <w:t xml:space="preserve"> the quintile analyses, we also explored changes in each domain</w:t>
      </w:r>
      <w:r w:rsidR="0002067B">
        <w:t xml:space="preserve"> index</w:t>
      </w:r>
      <w:r w:rsidR="00681A00">
        <w:t xml:space="preserve"> at the SA1 level</w:t>
      </w:r>
      <w:r>
        <w:t xml:space="preserve">: SES, family income, household income, occupation, </w:t>
      </w:r>
      <w:r w:rsidR="006B2B24">
        <w:t xml:space="preserve">and </w:t>
      </w:r>
      <w:r>
        <w:t>education. To do this we calculated the change in rank from 2006 to 2011 and from 2011 to 2016 in absolute values (e.g. -1 is equivalent to 1). We then summed these to show the total</w:t>
      </w:r>
      <w:r w:rsidR="00B33C67">
        <w:t xml:space="preserve"> absolute</w:t>
      </w:r>
      <w:r>
        <w:t xml:space="preserve"> change in rank over the three period</w:t>
      </w:r>
      <w:r w:rsidR="00B33C67">
        <w:t>s</w:t>
      </w:r>
      <w:r>
        <w:t xml:space="preserve">. </w:t>
      </w:r>
    </w:p>
    <w:p w14:paraId="4B189723" w14:textId="59F03EA0" w:rsidR="00A508E9" w:rsidRDefault="00A508E9" w:rsidP="00373D64">
      <w:bookmarkStart w:id="95" w:name="_Hlk506991063"/>
      <w:r>
        <w:t xml:space="preserve">Rank values were plotted </w:t>
      </w:r>
      <w:r w:rsidR="00DC0167">
        <w:t>for each</w:t>
      </w:r>
      <w:r w:rsidR="0002067B">
        <w:t xml:space="preserve"> SA1 in each</w:t>
      </w:r>
      <w:r w:rsidR="00DC0167">
        <w:t xml:space="preserve"> year compared to each other year as a scatterplot matrix</w:t>
      </w:r>
      <w:r w:rsidR="00681A00">
        <w:t xml:space="preserve">, </w:t>
      </w:r>
      <w:bookmarkEnd w:id="95"/>
      <w:r w:rsidR="00681A00">
        <w:t>and these are shown in Appendix 4</w:t>
      </w:r>
      <w:r w:rsidR="002F7DCB">
        <w:t xml:space="preserve"> </w:t>
      </w:r>
      <w:hyperlink r:id="rId35" w:history="1">
        <w:r w:rsidR="0093561F" w:rsidRPr="009C3774">
          <w:rPr>
            <w:rStyle w:val="Hyperlink"/>
          </w:rPr>
          <w:t>here</w:t>
        </w:r>
      </w:hyperlink>
      <w:r w:rsidR="0093561F">
        <w:t xml:space="preserve">. </w:t>
      </w:r>
      <w:r w:rsidR="00513FA6">
        <w:t xml:space="preserve">These graphs are interpreted in the same way that the series of scatterplots for the PIT data are interpreted. </w:t>
      </w:r>
      <w:r w:rsidR="0002067B">
        <w:t>Distributions of rank changes were also plotted</w:t>
      </w:r>
      <w:r w:rsidR="00681A00">
        <w:t xml:space="preserve"> in Appendix 4</w:t>
      </w:r>
      <w:r w:rsidR="00513FA6">
        <w:t xml:space="preserve"> in </w:t>
      </w:r>
      <w:r w:rsidR="00513FA6">
        <w:fldChar w:fldCharType="begin"/>
      </w:r>
      <w:r w:rsidR="00513FA6">
        <w:instrText xml:space="preserve"> REF _Ref506992854 \h </w:instrText>
      </w:r>
      <w:r w:rsidR="00513FA6">
        <w:fldChar w:fldCharType="separate"/>
      </w:r>
      <w:r w:rsidR="00171745">
        <w:t xml:space="preserve">Figure </w:t>
      </w:r>
      <w:r w:rsidR="00171745">
        <w:rPr>
          <w:noProof/>
        </w:rPr>
        <w:t>78</w:t>
      </w:r>
      <w:r w:rsidR="00513FA6">
        <w:fldChar w:fldCharType="end"/>
      </w:r>
      <w:r w:rsidR="00513FA6">
        <w:t xml:space="preserve"> and </w:t>
      </w:r>
      <w:r w:rsidR="00513FA6">
        <w:fldChar w:fldCharType="begin"/>
      </w:r>
      <w:r w:rsidR="00513FA6">
        <w:instrText xml:space="preserve"> REF _Ref506992862 \h </w:instrText>
      </w:r>
      <w:r w:rsidR="00513FA6">
        <w:fldChar w:fldCharType="separate"/>
      </w:r>
      <w:r w:rsidR="00171745">
        <w:t xml:space="preserve">Figure </w:t>
      </w:r>
      <w:r w:rsidR="00171745">
        <w:rPr>
          <w:noProof/>
        </w:rPr>
        <w:t>79</w:t>
      </w:r>
      <w:r w:rsidR="00513FA6">
        <w:fldChar w:fldCharType="end"/>
      </w:r>
      <w:r w:rsidR="002F7DCB">
        <w:t xml:space="preserve"> (</w:t>
      </w:r>
      <w:r w:rsidR="0093561F">
        <w:t xml:space="preserve">available </w:t>
      </w:r>
      <w:hyperlink r:id="rId36" w:history="1">
        <w:r w:rsidR="0093561F" w:rsidRPr="009C3774">
          <w:rPr>
            <w:rStyle w:val="Hyperlink"/>
          </w:rPr>
          <w:t>here</w:t>
        </w:r>
      </w:hyperlink>
      <w:r w:rsidR="002F7DCB">
        <w:t>)</w:t>
      </w:r>
      <w:r w:rsidR="0002067B">
        <w:t>.</w:t>
      </w:r>
    </w:p>
    <w:p w14:paraId="1F82B1B0" w14:textId="1F766F6C" w:rsidR="008355A8" w:rsidRDefault="008355A8" w:rsidP="00373D64">
      <w:r>
        <w:t>Finally, we chose some case study areas, and looked at the change in PIT data for these areas</w:t>
      </w:r>
      <w:r w:rsidR="002467AE">
        <w:t>, while also looking at the change in the population</w:t>
      </w:r>
      <w:r>
        <w:t xml:space="preserve">. </w:t>
      </w:r>
      <w:r w:rsidR="006B6080">
        <w:t xml:space="preserve">For one case study area, we have looked at the mean, median and smoothed median to show the effect of using a smoothed median income for an area where mean income is unstable. These </w:t>
      </w:r>
      <w:r>
        <w:t>case study areas</w:t>
      </w:r>
      <w:r w:rsidR="006B6080">
        <w:t xml:space="preserve"> are</w:t>
      </w:r>
      <w:r>
        <w:t xml:space="preserve"> Emerald</w:t>
      </w:r>
      <w:r w:rsidR="006B6080">
        <w:t xml:space="preserve"> as a mining area</w:t>
      </w:r>
      <w:r w:rsidR="00E81EC7">
        <w:t xml:space="preserve"> in WA</w:t>
      </w:r>
      <w:r w:rsidR="006B6080">
        <w:t xml:space="preserve">; Esperance </w:t>
      </w:r>
      <w:r w:rsidR="006B362A">
        <w:t xml:space="preserve">as a mining area </w:t>
      </w:r>
      <w:r w:rsidR="002467AE">
        <w:t xml:space="preserve">in WA </w:t>
      </w:r>
      <w:r w:rsidR="006B362A">
        <w:t xml:space="preserve">with unstable income; </w:t>
      </w:r>
      <w:r>
        <w:t>Nhulunbuy</w:t>
      </w:r>
      <w:r w:rsidR="006B362A">
        <w:t xml:space="preserve"> as a mining area in another State</w:t>
      </w:r>
      <w:r w:rsidR="00E81EC7">
        <w:t xml:space="preserve"> (the Northern Territory)</w:t>
      </w:r>
      <w:r w:rsidR="006B362A">
        <w:t>; Crace as a high growth area in the ACT; and Redfern-Chippendale as an area of gentrification in Sydney.</w:t>
      </w:r>
    </w:p>
    <w:p w14:paraId="2F1FD6D4" w14:textId="77777777" w:rsidR="007B2CF9" w:rsidRPr="00126EFC" w:rsidRDefault="007B2CF9" w:rsidP="00373D64"/>
    <w:p w14:paraId="23720BED" w14:textId="27A7E34D" w:rsidR="00373D64" w:rsidRDefault="007B2CF9" w:rsidP="00373D64">
      <w:pPr>
        <w:pStyle w:val="Headingnumbered"/>
        <w:rPr>
          <w:lang w:val="en-AU" w:eastAsia="en-AU"/>
        </w:rPr>
      </w:pPr>
      <w:bookmarkStart w:id="96" w:name="_Toc519077398"/>
      <w:r>
        <w:rPr>
          <w:lang w:val="en-AU" w:eastAsia="en-AU"/>
        </w:rPr>
        <w:t>Results</w:t>
      </w:r>
      <w:bookmarkEnd w:id="96"/>
    </w:p>
    <w:p w14:paraId="66F70092" w14:textId="48406701" w:rsidR="00F342B8" w:rsidRDefault="00F342B8" w:rsidP="00103B65">
      <w:pPr>
        <w:pStyle w:val="Heading2"/>
        <w:rPr>
          <w:rFonts w:hint="eastAsia"/>
          <w:lang w:val="en-AU" w:eastAsia="en-AU"/>
        </w:rPr>
      </w:pPr>
      <w:bookmarkStart w:id="97" w:name="_Toc519077399"/>
      <w:r>
        <w:rPr>
          <w:lang w:val="en-AU" w:eastAsia="en-AU"/>
        </w:rPr>
        <w:t xml:space="preserve">PIT </w:t>
      </w:r>
      <w:r w:rsidRPr="00103B65">
        <w:t>Analysis</w:t>
      </w:r>
      <w:bookmarkEnd w:id="97"/>
    </w:p>
    <w:p w14:paraId="69BC65F5" w14:textId="77777777" w:rsidR="00F342B8" w:rsidRPr="00F342B8" w:rsidRDefault="00F342B8" w:rsidP="00F342B8">
      <w:pPr>
        <w:rPr>
          <w:lang w:val="en-AU" w:eastAsia="en-AU"/>
        </w:rPr>
      </w:pPr>
    </w:p>
    <w:p w14:paraId="10B07E73" w14:textId="017850EA" w:rsidR="005F77E7" w:rsidRDefault="00F342B8" w:rsidP="00F342B8">
      <w:pPr>
        <w:rPr>
          <w:lang w:val="en-AU" w:eastAsia="en-AU"/>
        </w:rPr>
      </w:pPr>
      <w:r>
        <w:rPr>
          <w:lang w:val="en-AU" w:eastAsia="en-AU"/>
        </w:rPr>
        <w:t xml:space="preserve">The results from the PIT analysis are shown in </w:t>
      </w:r>
      <w:r w:rsidR="00434B15">
        <w:rPr>
          <w:lang w:val="en-AU" w:eastAsia="en-AU"/>
        </w:rPr>
        <w:t xml:space="preserve">full in Appendix 1. </w:t>
      </w:r>
      <w:r w:rsidR="005F77E7">
        <w:rPr>
          <w:lang w:val="en-AU" w:eastAsia="en-AU"/>
        </w:rPr>
        <w:t xml:space="preserve">This section </w:t>
      </w:r>
      <w:r w:rsidR="0034251F">
        <w:rPr>
          <w:lang w:val="en-AU" w:eastAsia="en-AU"/>
        </w:rPr>
        <w:t>di</w:t>
      </w:r>
      <w:r w:rsidR="0093561F">
        <w:rPr>
          <w:lang w:val="en-AU" w:eastAsia="en-AU"/>
        </w:rPr>
        <w:t>s</w:t>
      </w:r>
      <w:r w:rsidR="0034251F">
        <w:rPr>
          <w:lang w:val="en-AU" w:eastAsia="en-AU"/>
        </w:rPr>
        <w:t>cusses the overall</w:t>
      </w:r>
      <w:r w:rsidR="005F77E7">
        <w:rPr>
          <w:lang w:val="en-AU" w:eastAsia="en-AU"/>
        </w:rPr>
        <w:t xml:space="preserve"> results.</w:t>
      </w:r>
    </w:p>
    <w:p w14:paraId="09E883B2" w14:textId="27DDB7F8" w:rsidR="000227B9" w:rsidRDefault="005F77E7" w:rsidP="000227B9">
      <w:pPr>
        <w:rPr>
          <w:lang w:val="en-AU" w:eastAsia="en-AU"/>
        </w:rPr>
      </w:pPr>
      <w:r>
        <w:rPr>
          <w:lang w:val="en-AU" w:eastAsia="en-AU"/>
        </w:rPr>
        <w:t>Overall, it can be seen that the</w:t>
      </w:r>
      <w:r w:rsidR="003C00F2">
        <w:rPr>
          <w:lang w:val="en-AU" w:eastAsia="en-AU"/>
        </w:rPr>
        <w:t xml:space="preserve"> vast majority of areas had stable incomes that did not change by more than a few percent</w:t>
      </w:r>
      <w:r w:rsidR="003F3F5A">
        <w:rPr>
          <w:lang w:val="en-AU" w:eastAsia="en-AU"/>
        </w:rPr>
        <w:t>, with 88% (2005/06 to 2010/11) or 90% (2010/11 to 2014/15) of SA2s having all changes in income falling within the 95% range of observed national change</w:t>
      </w:r>
      <w:r w:rsidR="003C00F2">
        <w:rPr>
          <w:lang w:val="en-AU" w:eastAsia="en-AU"/>
        </w:rPr>
        <w:t>. There were, however, some areas that had</w:t>
      </w:r>
      <w:r w:rsidR="0034251F">
        <w:rPr>
          <w:lang w:val="en-AU" w:eastAsia="en-AU"/>
        </w:rPr>
        <w:t xml:space="preserve"> high</w:t>
      </w:r>
      <w:r w:rsidR="0002067B">
        <w:rPr>
          <w:lang w:val="en-AU" w:eastAsia="en-AU"/>
        </w:rPr>
        <w:t>ly unstable average incomes</w:t>
      </w:r>
      <w:r w:rsidR="003C00F2">
        <w:rPr>
          <w:lang w:val="en-AU" w:eastAsia="en-AU"/>
        </w:rPr>
        <w:t xml:space="preserve">. </w:t>
      </w:r>
      <w:r w:rsidR="00A425C9">
        <w:rPr>
          <w:lang w:val="en-AU" w:eastAsia="en-AU"/>
        </w:rPr>
        <w:t>The</w:t>
      </w:r>
      <w:r w:rsidR="002467AE">
        <w:rPr>
          <w:lang w:val="en-AU" w:eastAsia="en-AU"/>
        </w:rPr>
        <w:t xml:space="preserve">se tended to be those areas </w:t>
      </w:r>
      <w:r w:rsidR="0034251F">
        <w:rPr>
          <w:lang w:val="en-AU" w:eastAsia="en-AU"/>
        </w:rPr>
        <w:t>with low population</w:t>
      </w:r>
      <w:r w:rsidR="0002067B">
        <w:rPr>
          <w:lang w:val="en-AU" w:eastAsia="en-AU"/>
        </w:rPr>
        <w:t>s of earners</w:t>
      </w:r>
      <w:r w:rsidR="0034251F">
        <w:rPr>
          <w:lang w:val="en-AU" w:eastAsia="en-AU"/>
        </w:rPr>
        <w:t xml:space="preserve">. This can be seen most clearly in </w:t>
      </w:r>
      <w:r w:rsidR="0034251F" w:rsidRPr="00050B6E">
        <w:rPr>
          <w:lang w:val="en-AU" w:eastAsia="en-AU"/>
        </w:rPr>
        <w:fldChar w:fldCharType="begin"/>
      </w:r>
      <w:r w:rsidR="0034251F" w:rsidRPr="00050B6E">
        <w:rPr>
          <w:lang w:val="en-AU" w:eastAsia="en-AU"/>
        </w:rPr>
        <w:instrText xml:space="preserve"> REF _Ref505336987 \h </w:instrText>
      </w:r>
      <w:r w:rsidR="00B674FB" w:rsidRPr="00050B6E">
        <w:rPr>
          <w:lang w:val="en-AU" w:eastAsia="en-AU"/>
        </w:rPr>
        <w:instrText xml:space="preserve"> \* MERGEFORMAT </w:instrText>
      </w:r>
      <w:r w:rsidR="0034251F" w:rsidRPr="00050B6E">
        <w:rPr>
          <w:lang w:val="en-AU" w:eastAsia="en-AU"/>
        </w:rPr>
      </w:r>
      <w:r w:rsidR="0034251F" w:rsidRPr="00050B6E">
        <w:rPr>
          <w:lang w:val="en-AU" w:eastAsia="en-AU"/>
        </w:rPr>
        <w:fldChar w:fldCharType="separate"/>
      </w:r>
      <w:r w:rsidR="00171745" w:rsidRPr="00050B6E">
        <w:t xml:space="preserve">Figure </w:t>
      </w:r>
      <w:r w:rsidR="00171745" w:rsidRPr="00050B6E">
        <w:rPr>
          <w:noProof/>
        </w:rPr>
        <w:t>18</w:t>
      </w:r>
      <w:r w:rsidR="0034251F" w:rsidRPr="00050B6E">
        <w:rPr>
          <w:lang w:val="en-AU" w:eastAsia="en-AU"/>
        </w:rPr>
        <w:fldChar w:fldCharType="end"/>
      </w:r>
      <w:r w:rsidR="0034251F" w:rsidRPr="00050B6E">
        <w:rPr>
          <w:lang w:val="en-AU" w:eastAsia="en-AU"/>
        </w:rPr>
        <w:t xml:space="preserve"> and </w:t>
      </w:r>
      <w:r w:rsidR="0034251F" w:rsidRPr="00050B6E">
        <w:rPr>
          <w:lang w:val="en-AU" w:eastAsia="en-AU"/>
        </w:rPr>
        <w:fldChar w:fldCharType="begin"/>
      </w:r>
      <w:r w:rsidR="0034251F" w:rsidRPr="00050B6E">
        <w:rPr>
          <w:lang w:val="en-AU" w:eastAsia="en-AU"/>
        </w:rPr>
        <w:instrText xml:space="preserve"> REF _Ref505337001 \h </w:instrText>
      </w:r>
      <w:r w:rsidR="00B674FB" w:rsidRPr="00050B6E">
        <w:rPr>
          <w:lang w:val="en-AU" w:eastAsia="en-AU"/>
        </w:rPr>
        <w:instrText xml:space="preserve"> \* MERGEFORMAT </w:instrText>
      </w:r>
      <w:r w:rsidR="0034251F" w:rsidRPr="00050B6E">
        <w:rPr>
          <w:lang w:val="en-AU" w:eastAsia="en-AU"/>
        </w:rPr>
      </w:r>
      <w:r w:rsidR="0034251F" w:rsidRPr="00050B6E">
        <w:rPr>
          <w:lang w:val="en-AU" w:eastAsia="en-AU"/>
        </w:rPr>
        <w:fldChar w:fldCharType="separate"/>
      </w:r>
      <w:r w:rsidR="00171745" w:rsidRPr="00050B6E">
        <w:t xml:space="preserve">Figure </w:t>
      </w:r>
      <w:r w:rsidR="00171745" w:rsidRPr="00050B6E">
        <w:rPr>
          <w:noProof/>
        </w:rPr>
        <w:t>37</w:t>
      </w:r>
      <w:r w:rsidR="0034251F" w:rsidRPr="00050B6E">
        <w:rPr>
          <w:lang w:val="en-AU" w:eastAsia="en-AU"/>
        </w:rPr>
        <w:fldChar w:fldCharType="end"/>
      </w:r>
      <w:r w:rsidR="0093561F">
        <w:rPr>
          <w:lang w:val="en-AU" w:eastAsia="en-AU"/>
        </w:rPr>
        <w:t xml:space="preserve"> </w:t>
      </w:r>
      <w:hyperlink r:id="rId37" w:history="1">
        <w:r w:rsidR="0093561F" w:rsidRPr="009C3774">
          <w:rPr>
            <w:rStyle w:val="Hyperlink"/>
          </w:rPr>
          <w:t>here</w:t>
        </w:r>
      </w:hyperlink>
      <w:r w:rsidR="0034251F">
        <w:rPr>
          <w:lang w:val="en-AU" w:eastAsia="en-AU"/>
        </w:rPr>
        <w:t xml:space="preserve">, where the RMSE is plotted against the </w:t>
      </w:r>
      <w:r w:rsidR="0002067B">
        <w:rPr>
          <w:lang w:val="en-AU" w:eastAsia="en-AU"/>
        </w:rPr>
        <w:t>mean population for each</w:t>
      </w:r>
      <w:r w:rsidR="0034251F">
        <w:rPr>
          <w:lang w:val="en-AU" w:eastAsia="en-AU"/>
        </w:rPr>
        <w:t xml:space="preserve"> area</w:t>
      </w:r>
      <w:r w:rsidR="00A425C9">
        <w:rPr>
          <w:lang w:val="en-AU" w:eastAsia="en-AU"/>
        </w:rPr>
        <w:t xml:space="preserve"> and shows that as population increases the mean error decreases sharply and generally remains low. The plot does, however, show that there are some areas with larger populations and highly unstable incomes. These areas are likely to be experiencing some sort of substantive change in their structure. This could include gentrification and new building or the beginning or end of a boom or bust cycle (e.g. in mining or agriculture)</w:t>
      </w:r>
      <w:r w:rsidR="001A2A56">
        <w:rPr>
          <w:lang w:val="en-AU" w:eastAsia="en-AU"/>
        </w:rPr>
        <w:t>.</w:t>
      </w:r>
      <w:r w:rsidR="000227B9">
        <w:rPr>
          <w:lang w:val="en-AU" w:eastAsia="en-AU"/>
        </w:rPr>
        <w:t xml:space="preserve"> </w:t>
      </w:r>
      <w:r w:rsidR="0034251F">
        <w:rPr>
          <w:lang w:val="en-AU" w:eastAsia="en-AU"/>
        </w:rPr>
        <w:t>Areas with higher variability</w:t>
      </w:r>
      <w:r w:rsidR="000227B9">
        <w:rPr>
          <w:lang w:val="en-AU" w:eastAsia="en-AU"/>
        </w:rPr>
        <w:t xml:space="preserve"> and higher populations</w:t>
      </w:r>
      <w:r w:rsidR="00E93E69">
        <w:rPr>
          <w:lang w:val="en-AU" w:eastAsia="en-AU"/>
        </w:rPr>
        <w:t xml:space="preserve"> also</w:t>
      </w:r>
      <w:r w:rsidR="0034251F">
        <w:rPr>
          <w:lang w:val="en-AU" w:eastAsia="en-AU"/>
        </w:rPr>
        <w:t xml:space="preserve"> tended to be outside the capital cities</w:t>
      </w:r>
      <w:r w:rsidR="000227B9">
        <w:rPr>
          <w:lang w:val="en-AU" w:eastAsia="en-AU"/>
        </w:rPr>
        <w:t>, where economies are typically less diversified and more vulnerable to external shocks</w:t>
      </w:r>
      <w:r w:rsidR="00E93E69">
        <w:rPr>
          <w:lang w:val="en-AU" w:eastAsia="en-AU"/>
        </w:rPr>
        <w:t xml:space="preserve">. </w:t>
      </w:r>
    </w:p>
    <w:p w14:paraId="35CFCF4D" w14:textId="4039DAA7" w:rsidR="0034251F" w:rsidRDefault="00962855" w:rsidP="000227B9">
      <w:pPr>
        <w:rPr>
          <w:lang w:val="en-AU" w:eastAsia="en-AU"/>
        </w:rPr>
      </w:pPr>
      <w:r>
        <w:rPr>
          <w:lang w:val="en-AU" w:eastAsia="en-AU"/>
        </w:rPr>
        <w:t>From 2</w:t>
      </w:r>
      <w:r w:rsidR="00087843">
        <w:rPr>
          <w:lang w:val="en-AU" w:eastAsia="en-AU"/>
        </w:rPr>
        <w:t>005/06 to 2010/</w:t>
      </w:r>
      <w:r>
        <w:rPr>
          <w:lang w:val="en-AU" w:eastAsia="en-AU"/>
        </w:rPr>
        <w:t>11, t</w:t>
      </w:r>
      <w:r w:rsidR="0034251F">
        <w:rPr>
          <w:lang w:val="en-AU" w:eastAsia="en-AU"/>
        </w:rPr>
        <w:t xml:space="preserve">here were no areas with high variability </w:t>
      </w:r>
      <w:r w:rsidR="001A2A56">
        <w:rPr>
          <w:lang w:val="en-AU" w:eastAsia="en-AU"/>
        </w:rPr>
        <w:t xml:space="preserve">(ie, outside the 95% national lines) </w:t>
      </w:r>
      <w:r w:rsidR="0034251F">
        <w:rPr>
          <w:lang w:val="en-AU" w:eastAsia="en-AU"/>
        </w:rPr>
        <w:t>in Hobart.</w:t>
      </w:r>
      <w:r>
        <w:rPr>
          <w:lang w:val="en-AU" w:eastAsia="en-AU"/>
        </w:rPr>
        <w:t xml:space="preserve"> There were more areas wi</w:t>
      </w:r>
      <w:r w:rsidR="00087843">
        <w:rPr>
          <w:lang w:val="en-AU" w:eastAsia="en-AU"/>
        </w:rPr>
        <w:t>th high variability in the 2010/11 to 2014/</w:t>
      </w:r>
      <w:r>
        <w:rPr>
          <w:lang w:val="en-AU" w:eastAsia="en-AU"/>
        </w:rPr>
        <w:t xml:space="preserve">15 period, although Hobart </w:t>
      </w:r>
      <w:r w:rsidR="001A2A56">
        <w:rPr>
          <w:lang w:val="en-AU" w:eastAsia="en-AU"/>
        </w:rPr>
        <w:t xml:space="preserve">and Adelaide </w:t>
      </w:r>
      <w:r>
        <w:rPr>
          <w:lang w:val="en-AU" w:eastAsia="en-AU"/>
        </w:rPr>
        <w:t xml:space="preserve">had no areas </w:t>
      </w:r>
      <w:r w:rsidR="001A2A56">
        <w:rPr>
          <w:lang w:val="en-AU" w:eastAsia="en-AU"/>
        </w:rPr>
        <w:t>outside the 95% national lines.</w:t>
      </w:r>
    </w:p>
    <w:p w14:paraId="5A707CCC" w14:textId="5A372A2C" w:rsidR="00962855" w:rsidRDefault="00962855" w:rsidP="00F342B8">
      <w:pPr>
        <w:rPr>
          <w:lang w:val="en-AU" w:eastAsia="en-AU"/>
        </w:rPr>
      </w:pPr>
      <w:r>
        <w:rPr>
          <w:lang w:val="en-AU" w:eastAsia="en-AU"/>
        </w:rPr>
        <w:t xml:space="preserve">Looking at the areas </w:t>
      </w:r>
      <w:r w:rsidR="003A18D2">
        <w:rPr>
          <w:lang w:val="en-AU" w:eastAsia="en-AU"/>
        </w:rPr>
        <w:t>that were highly variable</w:t>
      </w:r>
      <w:r w:rsidR="00087843">
        <w:rPr>
          <w:lang w:val="en-AU" w:eastAsia="en-AU"/>
        </w:rPr>
        <w:t xml:space="preserve"> in the 2005/</w:t>
      </w:r>
      <w:r>
        <w:rPr>
          <w:lang w:val="en-AU" w:eastAsia="en-AU"/>
        </w:rPr>
        <w:t>06 to 2010-11 period</w:t>
      </w:r>
      <w:r w:rsidR="003A18D2">
        <w:rPr>
          <w:lang w:val="en-AU" w:eastAsia="en-AU"/>
        </w:rPr>
        <w:t>, many</w:t>
      </w:r>
      <w:r w:rsidR="00561B5B">
        <w:rPr>
          <w:lang w:val="en-AU" w:eastAsia="en-AU"/>
        </w:rPr>
        <w:t xml:space="preserve"> were</w:t>
      </w:r>
      <w:r>
        <w:rPr>
          <w:lang w:val="en-AU" w:eastAsia="en-AU"/>
        </w:rPr>
        <w:t xml:space="preserve"> affected by the 2001 – 2009 drought</w:t>
      </w:r>
      <w:r w:rsidR="003A18D2">
        <w:rPr>
          <w:lang w:val="en-AU" w:eastAsia="en-AU"/>
        </w:rPr>
        <w:t>.</w:t>
      </w:r>
      <w:r>
        <w:rPr>
          <w:lang w:val="en-AU" w:eastAsia="en-AU"/>
        </w:rPr>
        <w:t xml:space="preserve"> Narrabri and Grenfell</w:t>
      </w:r>
      <w:r w:rsidR="003A18D2">
        <w:rPr>
          <w:lang w:val="en-AU" w:eastAsia="en-AU"/>
        </w:rPr>
        <w:t xml:space="preserve"> in particular</w:t>
      </w:r>
      <w:r>
        <w:rPr>
          <w:lang w:val="en-AU" w:eastAsia="en-AU"/>
        </w:rPr>
        <w:t xml:space="preserve"> saw consistently lower incomes over this period. Condobolin and Narrabri saw a sharp increase in incomes in 2010</w:t>
      </w:r>
      <w:r w:rsidR="0044622C">
        <w:rPr>
          <w:lang w:val="en-AU" w:eastAsia="en-AU"/>
        </w:rPr>
        <w:t>/11</w:t>
      </w:r>
      <w:r>
        <w:rPr>
          <w:lang w:val="en-AU" w:eastAsia="en-AU"/>
        </w:rPr>
        <w:t>, which was the year the drought broke.</w:t>
      </w:r>
    </w:p>
    <w:p w14:paraId="056178FA" w14:textId="740BD905" w:rsidR="00962855" w:rsidRDefault="00962855" w:rsidP="00F342B8">
      <w:pPr>
        <w:rPr>
          <w:lang w:val="en-AU" w:eastAsia="en-AU"/>
        </w:rPr>
      </w:pPr>
      <w:r>
        <w:rPr>
          <w:lang w:val="en-AU" w:eastAsia="en-AU"/>
        </w:rPr>
        <w:t>Mildura in Victoria saw a sharp increase in</w:t>
      </w:r>
      <w:r w:rsidR="0002067B">
        <w:rPr>
          <w:lang w:val="en-AU" w:eastAsia="en-AU"/>
        </w:rPr>
        <w:t xml:space="preserve"> mean</w:t>
      </w:r>
      <w:r>
        <w:rPr>
          <w:lang w:val="en-AU" w:eastAsia="en-AU"/>
        </w:rPr>
        <w:t xml:space="preserve"> income in 2007</w:t>
      </w:r>
      <w:r w:rsidR="0044622C">
        <w:rPr>
          <w:lang w:val="en-AU" w:eastAsia="en-AU"/>
        </w:rPr>
        <w:t>/08</w:t>
      </w:r>
      <w:r>
        <w:rPr>
          <w:lang w:val="en-AU" w:eastAsia="en-AU"/>
        </w:rPr>
        <w:t>, but this settled back to normal levels in 2008</w:t>
      </w:r>
      <w:r w:rsidR="0044622C">
        <w:rPr>
          <w:lang w:val="en-AU" w:eastAsia="en-AU"/>
        </w:rPr>
        <w:t>/09</w:t>
      </w:r>
      <w:r>
        <w:rPr>
          <w:lang w:val="en-AU" w:eastAsia="en-AU"/>
        </w:rPr>
        <w:t>, suggesting it may be a one</w:t>
      </w:r>
      <w:r w:rsidR="00857625">
        <w:rPr>
          <w:lang w:val="en-AU" w:eastAsia="en-AU"/>
        </w:rPr>
        <w:t>-</w:t>
      </w:r>
      <w:r>
        <w:rPr>
          <w:lang w:val="en-AU" w:eastAsia="en-AU"/>
        </w:rPr>
        <w:t>off</w:t>
      </w:r>
      <w:r w:rsidR="00857625">
        <w:rPr>
          <w:lang w:val="en-AU" w:eastAsia="en-AU"/>
        </w:rPr>
        <w:t xml:space="preserve"> event or an artefact of</w:t>
      </w:r>
      <w:r>
        <w:rPr>
          <w:lang w:val="en-AU" w:eastAsia="en-AU"/>
        </w:rPr>
        <w:t xml:space="preserve"> the data.</w:t>
      </w:r>
    </w:p>
    <w:p w14:paraId="30E877A4" w14:textId="28C074A9" w:rsidR="001725AB" w:rsidRDefault="001725AB" w:rsidP="00F342B8">
      <w:pPr>
        <w:rPr>
          <w:lang w:val="en-AU" w:eastAsia="en-AU"/>
        </w:rPr>
      </w:pPr>
      <w:r>
        <w:rPr>
          <w:lang w:val="en-AU" w:eastAsia="en-AU"/>
        </w:rPr>
        <w:t>In Brisbane, Eagle Farm and Brisbane Airport both had low populations, which would contribute to their instability. Kilroy had one year where incomes were higher than normal, but this returned in the next year, suggesting an anomaly in this year.</w:t>
      </w:r>
    </w:p>
    <w:p w14:paraId="7A484DDC" w14:textId="7ABE3903" w:rsidR="001725AB" w:rsidRDefault="001725AB" w:rsidP="00F342B8">
      <w:pPr>
        <w:rPr>
          <w:lang w:val="en-AU" w:eastAsia="en-AU"/>
        </w:rPr>
      </w:pPr>
      <w:r>
        <w:rPr>
          <w:lang w:val="en-AU" w:eastAsia="en-AU"/>
        </w:rPr>
        <w:t>For areas outside Brisbane, a number experienced consistent change in incomes – for example, Glass House Mountains saw a reduction in 2006</w:t>
      </w:r>
      <w:r w:rsidR="00087843">
        <w:rPr>
          <w:lang w:val="en-AU" w:eastAsia="en-AU"/>
        </w:rPr>
        <w:t>/07</w:t>
      </w:r>
      <w:r>
        <w:rPr>
          <w:lang w:val="en-AU" w:eastAsia="en-AU"/>
        </w:rPr>
        <w:t>, and then incomes stayed at this lower point, suggesting 2005</w:t>
      </w:r>
      <w:r w:rsidR="00087843">
        <w:rPr>
          <w:lang w:val="en-AU" w:eastAsia="en-AU"/>
        </w:rPr>
        <w:t>/06</w:t>
      </w:r>
      <w:r>
        <w:rPr>
          <w:lang w:val="en-AU" w:eastAsia="en-AU"/>
        </w:rPr>
        <w:t xml:space="preserve"> may have been an anomaly. </w:t>
      </w:r>
      <w:r w:rsidR="001311D7">
        <w:rPr>
          <w:lang w:val="en-AU" w:eastAsia="en-AU"/>
        </w:rPr>
        <w:t>Incomes in Northern Peninsula are consistently growing above other areas in rural Queensland, with a reasonable population, suggesting some structural change in this area.</w:t>
      </w:r>
    </w:p>
    <w:p w14:paraId="42705512" w14:textId="54381772" w:rsidR="001311D7" w:rsidRDefault="001311D7" w:rsidP="00F342B8">
      <w:pPr>
        <w:rPr>
          <w:lang w:val="en-AU" w:eastAsia="en-AU"/>
        </w:rPr>
      </w:pPr>
      <w:r>
        <w:rPr>
          <w:lang w:val="en-AU" w:eastAsia="en-AU"/>
        </w:rPr>
        <w:t>All the instability in the Adelaide SA2’s can be attributed to low population areas. Outside Adelaide, Franklin Harbour and Le Hunte both experience consistently increasing incomes, suggesting some structural change in these areas, possibly driven by mining and ports in these two areas.</w:t>
      </w:r>
    </w:p>
    <w:p w14:paraId="71762C00" w14:textId="2245BEC9" w:rsidR="00982D08" w:rsidRDefault="001311D7" w:rsidP="00F342B8">
      <w:pPr>
        <w:rPr>
          <w:lang w:val="en-AU" w:eastAsia="en-AU"/>
        </w:rPr>
      </w:pPr>
      <w:r>
        <w:rPr>
          <w:lang w:val="en-AU" w:eastAsia="en-AU"/>
        </w:rPr>
        <w:t xml:space="preserve">In Perth, Malaga is an industrial precinct, with low population and Dawsville is a relatively new area South of Perth, and experienced very high </w:t>
      </w:r>
      <w:r w:rsidR="00982D08">
        <w:rPr>
          <w:lang w:val="en-AU" w:eastAsia="en-AU"/>
        </w:rPr>
        <w:t xml:space="preserve">population </w:t>
      </w:r>
      <w:r>
        <w:rPr>
          <w:lang w:val="en-AU" w:eastAsia="en-AU"/>
        </w:rPr>
        <w:t>growth</w:t>
      </w:r>
      <w:r w:rsidR="00982D08">
        <w:rPr>
          <w:lang w:val="en-AU" w:eastAsia="en-AU"/>
        </w:rPr>
        <w:t xml:space="preserve"> over this period, contributing to the high</w:t>
      </w:r>
      <w:r w:rsidR="0040321F">
        <w:rPr>
          <w:lang w:val="en-AU" w:eastAsia="en-AU"/>
        </w:rPr>
        <w:t xml:space="preserve"> levels of</w:t>
      </w:r>
      <w:r w:rsidR="00982D08">
        <w:rPr>
          <w:lang w:val="en-AU" w:eastAsia="en-AU"/>
        </w:rPr>
        <w:t xml:space="preserve"> income growth</w:t>
      </w:r>
      <w:r>
        <w:rPr>
          <w:lang w:val="en-AU" w:eastAsia="en-AU"/>
        </w:rPr>
        <w:t>.</w:t>
      </w:r>
      <w:r w:rsidR="00982D08">
        <w:rPr>
          <w:lang w:val="en-AU" w:eastAsia="en-AU"/>
        </w:rPr>
        <w:t xml:space="preserve"> Outside Perth, the average incomes in many areas increased rapidly in 2007</w:t>
      </w:r>
      <w:r w:rsidR="00087843">
        <w:rPr>
          <w:lang w:val="en-AU" w:eastAsia="en-AU"/>
        </w:rPr>
        <w:t>/08</w:t>
      </w:r>
      <w:r w:rsidR="00982D08">
        <w:rPr>
          <w:lang w:val="en-AU" w:eastAsia="en-AU"/>
        </w:rPr>
        <w:t xml:space="preserve"> and 2008</w:t>
      </w:r>
      <w:r w:rsidR="00087843">
        <w:rPr>
          <w:lang w:val="en-AU" w:eastAsia="en-AU"/>
        </w:rPr>
        <w:t>/09</w:t>
      </w:r>
      <w:r w:rsidR="00982D08">
        <w:rPr>
          <w:lang w:val="en-AU" w:eastAsia="en-AU"/>
        </w:rPr>
        <w:t>, p</w:t>
      </w:r>
      <w:r w:rsidR="00087843">
        <w:rPr>
          <w:lang w:val="en-AU" w:eastAsia="en-AU"/>
        </w:rPr>
        <w:t>ossi</w:t>
      </w:r>
      <w:r w:rsidR="00982D08">
        <w:rPr>
          <w:lang w:val="en-AU" w:eastAsia="en-AU"/>
        </w:rPr>
        <w:t>bly driven by the mining boom over this period</w:t>
      </w:r>
      <w:r w:rsidR="00C91494">
        <w:rPr>
          <w:lang w:val="en-AU" w:eastAsia="en-AU"/>
        </w:rPr>
        <w:t>; but many of the areas were also agricultural (eg, Kulin is in the wheatbelt), so subject to income variation due to changing weather patterns</w:t>
      </w:r>
      <w:r w:rsidR="00982D08">
        <w:rPr>
          <w:lang w:val="en-AU" w:eastAsia="en-AU"/>
        </w:rPr>
        <w:t>.</w:t>
      </w:r>
    </w:p>
    <w:p w14:paraId="549CF9CD" w14:textId="55974D14" w:rsidR="00982D08" w:rsidRDefault="00982D08" w:rsidP="00F342B8">
      <w:pPr>
        <w:rPr>
          <w:lang w:val="en-AU" w:eastAsia="en-AU"/>
        </w:rPr>
      </w:pPr>
      <w:r>
        <w:rPr>
          <w:lang w:val="en-AU" w:eastAsia="en-AU"/>
        </w:rPr>
        <w:t xml:space="preserve">SA2’s in Hobart and </w:t>
      </w:r>
      <w:r w:rsidR="00B51FD4">
        <w:rPr>
          <w:lang w:val="en-AU" w:eastAsia="en-AU"/>
        </w:rPr>
        <w:t xml:space="preserve">the balance of </w:t>
      </w:r>
      <w:r>
        <w:rPr>
          <w:lang w:val="en-AU" w:eastAsia="en-AU"/>
        </w:rPr>
        <w:t>Tasmania experienced very low variability in incomes over this period.</w:t>
      </w:r>
    </w:p>
    <w:p w14:paraId="29828979" w14:textId="5ADA8DF8" w:rsidR="00982D08" w:rsidRDefault="00982D08" w:rsidP="00F342B8">
      <w:pPr>
        <w:rPr>
          <w:lang w:val="en-AU" w:eastAsia="en-AU"/>
        </w:rPr>
      </w:pPr>
      <w:r>
        <w:rPr>
          <w:lang w:val="en-AU" w:eastAsia="en-AU"/>
        </w:rPr>
        <w:t xml:space="preserve">Darwin had only one SA2 that experienced </w:t>
      </w:r>
      <w:r w:rsidR="0040321F">
        <w:rPr>
          <w:lang w:val="en-AU" w:eastAsia="en-AU"/>
        </w:rPr>
        <w:t>a notable</w:t>
      </w:r>
      <w:r>
        <w:rPr>
          <w:lang w:val="en-AU" w:eastAsia="en-AU"/>
        </w:rPr>
        <w:t xml:space="preserve"> decrease in income, Darwin City, but this seemed to happen in 2006</w:t>
      </w:r>
      <w:r w:rsidR="00087843">
        <w:rPr>
          <w:lang w:val="en-AU" w:eastAsia="en-AU"/>
        </w:rPr>
        <w:t>/07</w:t>
      </w:r>
      <w:r>
        <w:rPr>
          <w:lang w:val="en-AU" w:eastAsia="en-AU"/>
        </w:rPr>
        <w:t xml:space="preserve"> and 2007</w:t>
      </w:r>
      <w:r w:rsidR="00087843">
        <w:rPr>
          <w:lang w:val="en-AU" w:eastAsia="en-AU"/>
        </w:rPr>
        <w:t>/08</w:t>
      </w:r>
      <w:r>
        <w:rPr>
          <w:lang w:val="en-AU" w:eastAsia="en-AU"/>
        </w:rPr>
        <w:t>, and it has been consistent since then. Areas in the NT outside Darwin experienced some instability in incomes, mainly due to low population counts.</w:t>
      </w:r>
    </w:p>
    <w:p w14:paraId="6F1F858B" w14:textId="2CE3BE8B" w:rsidR="00982D08" w:rsidRDefault="00982D08" w:rsidP="00F342B8">
      <w:pPr>
        <w:rPr>
          <w:lang w:val="en-AU" w:eastAsia="en-AU"/>
        </w:rPr>
      </w:pPr>
      <w:r>
        <w:rPr>
          <w:lang w:val="en-AU" w:eastAsia="en-AU"/>
        </w:rPr>
        <w:t>Areas in the ACT</w:t>
      </w:r>
      <w:r w:rsidR="0040321F">
        <w:rPr>
          <w:lang w:val="en-AU" w:eastAsia="en-AU"/>
        </w:rPr>
        <w:t xml:space="preserve"> with unstable incomes</w:t>
      </w:r>
      <w:r>
        <w:rPr>
          <w:lang w:val="en-AU" w:eastAsia="en-AU"/>
        </w:rPr>
        <w:t xml:space="preserve"> were Crace, a new high growth area in Gungahlin; and Acton, which experienced a drop in incomes in 2006</w:t>
      </w:r>
      <w:r w:rsidR="00087843">
        <w:rPr>
          <w:lang w:val="en-AU" w:eastAsia="en-AU"/>
        </w:rPr>
        <w:t>/07</w:t>
      </w:r>
      <w:r>
        <w:rPr>
          <w:lang w:val="en-AU" w:eastAsia="en-AU"/>
        </w:rPr>
        <w:t xml:space="preserve"> and 2007</w:t>
      </w:r>
      <w:r w:rsidR="00087843">
        <w:rPr>
          <w:lang w:val="en-AU" w:eastAsia="en-AU"/>
        </w:rPr>
        <w:t>/08</w:t>
      </w:r>
      <w:r>
        <w:rPr>
          <w:lang w:val="en-AU" w:eastAsia="en-AU"/>
        </w:rPr>
        <w:t>, but was fairly consistent after this. There were many new student residences for the ANU being built in Acton over this period, which may have contributed to the lower average income.</w:t>
      </w:r>
    </w:p>
    <w:p w14:paraId="57163C5F" w14:textId="6A6CF99D" w:rsidR="00982D08" w:rsidRDefault="00982D08" w:rsidP="00F342B8">
      <w:pPr>
        <w:rPr>
          <w:lang w:val="en-AU" w:eastAsia="en-AU"/>
        </w:rPr>
      </w:pPr>
      <w:r>
        <w:rPr>
          <w:lang w:val="en-AU" w:eastAsia="en-AU"/>
        </w:rPr>
        <w:t>Looking at the graph of RMSE and population</w:t>
      </w:r>
      <w:r w:rsidR="0090041C">
        <w:rPr>
          <w:lang w:val="en-AU" w:eastAsia="en-AU"/>
        </w:rPr>
        <w:t xml:space="preserve"> (</w:t>
      </w:r>
      <w:r w:rsidR="00D86388">
        <w:rPr>
          <w:lang w:val="en-AU" w:eastAsia="en-AU"/>
        </w:rPr>
        <w:fldChar w:fldCharType="begin"/>
      </w:r>
      <w:r w:rsidR="00D86388">
        <w:rPr>
          <w:lang w:val="en-AU" w:eastAsia="en-AU"/>
        </w:rPr>
        <w:instrText xml:space="preserve"> REF _Ref505336987 \h </w:instrText>
      </w:r>
      <w:r w:rsidR="00D86388">
        <w:rPr>
          <w:lang w:val="en-AU" w:eastAsia="en-AU"/>
        </w:rPr>
      </w:r>
      <w:r w:rsidR="00D86388">
        <w:rPr>
          <w:lang w:val="en-AU" w:eastAsia="en-AU"/>
        </w:rPr>
        <w:fldChar w:fldCharType="separate"/>
      </w:r>
      <w:r w:rsidR="00171745">
        <w:t xml:space="preserve">Figure </w:t>
      </w:r>
      <w:r w:rsidR="00171745">
        <w:rPr>
          <w:noProof/>
        </w:rPr>
        <w:t>18</w:t>
      </w:r>
      <w:r w:rsidR="00D86388">
        <w:rPr>
          <w:lang w:val="en-AU" w:eastAsia="en-AU"/>
        </w:rPr>
        <w:fldChar w:fldCharType="end"/>
      </w:r>
      <w:r w:rsidR="00A60532">
        <w:rPr>
          <w:lang w:val="en-AU" w:eastAsia="en-AU"/>
        </w:rPr>
        <w:t xml:space="preserve">, available </w:t>
      </w:r>
      <w:hyperlink r:id="rId38" w:history="1">
        <w:r w:rsidR="00A60532" w:rsidRPr="009C3774">
          <w:rPr>
            <w:rStyle w:val="Hyperlink"/>
          </w:rPr>
          <w:t>here</w:t>
        </w:r>
      </w:hyperlink>
      <w:r w:rsidR="00D86388">
        <w:rPr>
          <w:lang w:val="en-AU" w:eastAsia="en-AU"/>
        </w:rPr>
        <w:t>)</w:t>
      </w:r>
      <w:r>
        <w:rPr>
          <w:lang w:val="en-AU" w:eastAsia="en-AU"/>
        </w:rPr>
        <w:t xml:space="preserve">, it is clear that </w:t>
      </w:r>
      <w:r w:rsidR="00392468">
        <w:rPr>
          <w:lang w:val="en-AU" w:eastAsia="en-AU"/>
        </w:rPr>
        <w:t>low population areas have higher RMSE. However, there are some standout areas like Mosman and Double Bay that are high population and high variability in incomes (increases in Mosman). This could be driven by demographic change in these areas, as older and low</w:t>
      </w:r>
      <w:r w:rsidR="0040321F">
        <w:rPr>
          <w:lang w:val="en-AU" w:eastAsia="en-AU"/>
        </w:rPr>
        <w:t>er</w:t>
      </w:r>
      <w:r w:rsidR="00392468">
        <w:rPr>
          <w:lang w:val="en-AU" w:eastAsia="en-AU"/>
        </w:rPr>
        <w:t xml:space="preserve"> income populations leave, and younger families with higher incomes buy into these areas.</w:t>
      </w:r>
    </w:p>
    <w:p w14:paraId="1A1BE410" w14:textId="505C85BE" w:rsidR="0090041C" w:rsidRDefault="0090041C" w:rsidP="0090041C">
      <w:pPr>
        <w:rPr>
          <w:lang w:val="en-AU" w:eastAsia="en-AU"/>
        </w:rPr>
      </w:pPr>
      <w:r>
        <w:rPr>
          <w:lang w:val="en-AU" w:eastAsia="en-AU"/>
        </w:rPr>
        <w:t>Looking at the figures from 2010/11 to 2014/15, in Sydney it can be seen that the areas with high levels of variability were generally those with low populations. Chullora was a high growth area, and Redfern</w:t>
      </w:r>
      <w:r w:rsidR="00BD1C66">
        <w:rPr>
          <w:lang w:val="en-AU" w:eastAsia="en-AU"/>
        </w:rPr>
        <w:t>-Chippendale</w:t>
      </w:r>
      <w:r>
        <w:rPr>
          <w:lang w:val="en-AU" w:eastAsia="en-AU"/>
        </w:rPr>
        <w:t xml:space="preserve"> showed an increase in incomes in 2014/15, but this is also an area of urban renewal.</w:t>
      </w:r>
    </w:p>
    <w:p w14:paraId="3B08F24F" w14:textId="4CC5A564" w:rsidR="0090041C" w:rsidRDefault="0090041C" w:rsidP="0090041C">
      <w:pPr>
        <w:rPr>
          <w:lang w:val="en-AU" w:eastAsia="en-AU"/>
        </w:rPr>
      </w:pPr>
      <w:r>
        <w:rPr>
          <w:lang w:val="en-AU" w:eastAsia="en-AU"/>
        </w:rPr>
        <w:t>Outside Sydney, Scone showed increasing incomes, although the value in 2013/14 seems to be an anomaly requiring further investigation. Walgett-Lightning ridge showed decrease in income, possibly due to the mining boom ending around this period.</w:t>
      </w:r>
    </w:p>
    <w:p w14:paraId="7CDE4FB2" w14:textId="7530B25F" w:rsidR="0090041C" w:rsidRDefault="0090041C" w:rsidP="0090041C">
      <w:pPr>
        <w:rPr>
          <w:lang w:val="en-AU" w:eastAsia="en-AU"/>
        </w:rPr>
      </w:pPr>
      <w:r>
        <w:rPr>
          <w:lang w:val="en-AU" w:eastAsia="en-AU"/>
        </w:rPr>
        <w:t>In Melbourne, two of the areas with high instability were low population areas (</w:t>
      </w:r>
      <w:r w:rsidR="00E81EC7">
        <w:rPr>
          <w:lang w:val="en-AU" w:eastAsia="en-AU"/>
        </w:rPr>
        <w:t>Melbourne</w:t>
      </w:r>
      <w:r>
        <w:rPr>
          <w:lang w:val="en-AU" w:eastAsia="en-AU"/>
        </w:rPr>
        <w:t xml:space="preserve"> </w:t>
      </w:r>
      <w:r w:rsidR="00E81EC7">
        <w:rPr>
          <w:lang w:val="en-AU" w:eastAsia="en-AU"/>
        </w:rPr>
        <w:t>A</w:t>
      </w:r>
      <w:r>
        <w:rPr>
          <w:lang w:val="en-AU" w:eastAsia="en-AU"/>
        </w:rPr>
        <w:t xml:space="preserve">irport and </w:t>
      </w:r>
      <w:r w:rsidR="00E81EC7">
        <w:rPr>
          <w:lang w:val="en-AU" w:eastAsia="en-AU"/>
        </w:rPr>
        <w:t>Flemington</w:t>
      </w:r>
      <w:r>
        <w:rPr>
          <w:lang w:val="en-AU" w:eastAsia="en-AU"/>
        </w:rPr>
        <w:t xml:space="preserve"> </w:t>
      </w:r>
      <w:r w:rsidR="00E81EC7">
        <w:rPr>
          <w:lang w:val="en-AU" w:eastAsia="en-AU"/>
        </w:rPr>
        <w:t>R</w:t>
      </w:r>
      <w:r>
        <w:rPr>
          <w:lang w:val="en-AU" w:eastAsia="en-AU"/>
        </w:rPr>
        <w:t>acecourse); and one (Wallert) seems to be a high growth area, suggesting a new development and an influx of people, contributing to the high variability in incomes.</w:t>
      </w:r>
    </w:p>
    <w:p w14:paraId="4D55CF92" w14:textId="5CE36E8D" w:rsidR="0090041C" w:rsidRDefault="0090041C" w:rsidP="00482BB7">
      <w:r>
        <w:rPr>
          <w:lang w:val="en-AU" w:eastAsia="en-AU"/>
        </w:rPr>
        <w:t>Outside Melbourne, Alps West had a low population, and Yarram in South Gippsland experienced high income growth in 2013/14 which stayed high in 2014/15. Yarram is a dairy farming area which may affect incomes in the area.</w:t>
      </w:r>
    </w:p>
    <w:p w14:paraId="269CD9E9" w14:textId="47B57ED7" w:rsidR="00591DB4" w:rsidRDefault="00676725" w:rsidP="00F342B8">
      <w:pPr>
        <w:rPr>
          <w:lang w:val="en-AU" w:eastAsia="en-AU"/>
        </w:rPr>
      </w:pPr>
      <w:r>
        <w:rPr>
          <w:lang w:val="en-AU" w:eastAsia="en-AU"/>
        </w:rPr>
        <w:t>In Brisbane, unstable areas were all low population</w:t>
      </w:r>
      <w:r w:rsidR="006B1A61">
        <w:rPr>
          <w:lang w:val="en-AU" w:eastAsia="en-AU"/>
        </w:rPr>
        <w:t xml:space="preserve">, while in the rest of Queensland, </w:t>
      </w:r>
      <w:r w:rsidR="00591DB4">
        <w:rPr>
          <w:lang w:val="en-AU" w:eastAsia="en-AU"/>
        </w:rPr>
        <w:t>Gladstone was the only area with a larger population and increasing incomes, possibly due to the tail end of the mining boom, which was becoming a bust in many other areas around this time.</w:t>
      </w:r>
    </w:p>
    <w:p w14:paraId="2195F80E" w14:textId="76F8E4C4" w:rsidR="00591DB4" w:rsidRDefault="00591DB4" w:rsidP="00F342B8">
      <w:pPr>
        <w:rPr>
          <w:lang w:val="en-AU" w:eastAsia="en-AU"/>
        </w:rPr>
      </w:pPr>
      <w:r>
        <w:rPr>
          <w:lang w:val="en-AU" w:eastAsia="en-AU"/>
        </w:rPr>
        <w:t>In Adelaide, all SA2’s had very small changes in income, except Lonsdale, which was a low population area. In the rest of SA, Le</w:t>
      </w:r>
      <w:r w:rsidR="006D5F16">
        <w:rPr>
          <w:lang w:val="en-AU" w:eastAsia="en-AU"/>
        </w:rPr>
        <w:t xml:space="preserve"> </w:t>
      </w:r>
      <w:r>
        <w:rPr>
          <w:lang w:val="en-AU" w:eastAsia="en-AU"/>
        </w:rPr>
        <w:t>Hunte-Elliston experienced lower incomes. This SA2 experienced much higher incomes in the 200</w:t>
      </w:r>
      <w:r w:rsidR="0044622C">
        <w:rPr>
          <w:lang w:val="en-AU" w:eastAsia="en-AU"/>
        </w:rPr>
        <w:t>5</w:t>
      </w:r>
      <w:r>
        <w:rPr>
          <w:lang w:val="en-AU" w:eastAsia="en-AU"/>
        </w:rPr>
        <w:t>/0</w:t>
      </w:r>
      <w:r w:rsidR="0044622C">
        <w:rPr>
          <w:lang w:val="en-AU" w:eastAsia="en-AU"/>
        </w:rPr>
        <w:t>6</w:t>
      </w:r>
      <w:r>
        <w:rPr>
          <w:lang w:val="en-AU" w:eastAsia="en-AU"/>
        </w:rPr>
        <w:t xml:space="preserve"> to 2010/11 period, so this might signify the end of the mining boom for this port area, and a return to more normal incomes.</w:t>
      </w:r>
    </w:p>
    <w:p w14:paraId="7FE051AA" w14:textId="30562A3D" w:rsidR="00591DB4" w:rsidRDefault="00591DB4" w:rsidP="00F342B8">
      <w:pPr>
        <w:rPr>
          <w:lang w:val="en-AU" w:eastAsia="en-AU"/>
        </w:rPr>
      </w:pPr>
      <w:r>
        <w:rPr>
          <w:lang w:val="en-AU" w:eastAsia="en-AU"/>
        </w:rPr>
        <w:t xml:space="preserve">In Perth, </w:t>
      </w:r>
      <w:r w:rsidR="0090041C">
        <w:rPr>
          <w:lang w:val="en-AU" w:eastAsia="en-AU"/>
        </w:rPr>
        <w:t xml:space="preserve">income </w:t>
      </w:r>
      <w:r>
        <w:rPr>
          <w:lang w:val="en-AU" w:eastAsia="en-AU"/>
        </w:rPr>
        <w:t>variability was</w:t>
      </w:r>
      <w:r w:rsidR="0090041C">
        <w:rPr>
          <w:lang w:val="en-AU" w:eastAsia="en-AU"/>
        </w:rPr>
        <w:t xml:space="preserve"> likely</w:t>
      </w:r>
      <w:r>
        <w:rPr>
          <w:lang w:val="en-AU" w:eastAsia="en-AU"/>
        </w:rPr>
        <w:t xml:space="preserve"> due to low population</w:t>
      </w:r>
      <w:r w:rsidR="0090041C">
        <w:rPr>
          <w:lang w:val="en-AU" w:eastAsia="en-AU"/>
        </w:rPr>
        <w:t>s</w:t>
      </w:r>
      <w:r>
        <w:rPr>
          <w:lang w:val="en-AU" w:eastAsia="en-AU"/>
        </w:rPr>
        <w:t>, and one area of high growth (North Coogee), which looks like a new development in Perth. There was some instability in SA2’s in WA outside Perth, as there was in the 200</w:t>
      </w:r>
      <w:r w:rsidR="00C91494">
        <w:rPr>
          <w:lang w:val="en-AU" w:eastAsia="en-AU"/>
        </w:rPr>
        <w:t>5</w:t>
      </w:r>
      <w:r>
        <w:rPr>
          <w:lang w:val="en-AU" w:eastAsia="en-AU"/>
        </w:rPr>
        <w:t>/0</w:t>
      </w:r>
      <w:r w:rsidR="00C91494">
        <w:rPr>
          <w:lang w:val="en-AU" w:eastAsia="en-AU"/>
        </w:rPr>
        <w:t>6</w:t>
      </w:r>
      <w:r>
        <w:rPr>
          <w:lang w:val="en-AU" w:eastAsia="en-AU"/>
        </w:rPr>
        <w:t xml:space="preserve"> to 2010/11 period</w:t>
      </w:r>
      <w:r w:rsidR="00C91494">
        <w:rPr>
          <w:lang w:val="en-AU" w:eastAsia="en-AU"/>
        </w:rPr>
        <w:t>, a</w:t>
      </w:r>
      <w:r>
        <w:rPr>
          <w:lang w:val="en-AU" w:eastAsia="en-AU"/>
        </w:rPr>
        <w:t xml:space="preserve">nd the areas were the same (Kulin, Esperance), suggesting that </w:t>
      </w:r>
      <w:r w:rsidR="00C91494">
        <w:rPr>
          <w:lang w:val="en-AU" w:eastAsia="en-AU"/>
        </w:rPr>
        <w:t>this variability in incomes is due to either mining or farming. Kulin is interesting, as it is in the wheat</w:t>
      </w:r>
      <w:r w:rsidR="00D26672">
        <w:rPr>
          <w:lang w:val="en-AU" w:eastAsia="en-AU"/>
        </w:rPr>
        <w:t>-</w:t>
      </w:r>
      <w:r w:rsidR="00C91494">
        <w:rPr>
          <w:lang w:val="en-AU" w:eastAsia="en-AU"/>
        </w:rPr>
        <w:t>belt, but incomes have been increasing consistently over the second period, so it isn’t up and down, as we might expect to see in an agricultural area; it has been up over the 5 years. This was different to the 2005/06 to 2010/11 period, where i</w:t>
      </w:r>
      <w:r w:rsidR="0090041C">
        <w:rPr>
          <w:lang w:val="en-AU" w:eastAsia="en-AU"/>
        </w:rPr>
        <w:t>t</w:t>
      </w:r>
      <w:r w:rsidR="00C91494">
        <w:rPr>
          <w:lang w:val="en-AU" w:eastAsia="en-AU"/>
        </w:rPr>
        <w:t xml:space="preserve"> was up and down.</w:t>
      </w:r>
    </w:p>
    <w:p w14:paraId="01808ADA" w14:textId="3639D369" w:rsidR="00C91494" w:rsidRDefault="00C91494" w:rsidP="00F342B8">
      <w:pPr>
        <w:rPr>
          <w:lang w:val="en-AU" w:eastAsia="en-AU"/>
        </w:rPr>
      </w:pPr>
      <w:r>
        <w:rPr>
          <w:lang w:val="en-AU" w:eastAsia="en-AU"/>
        </w:rPr>
        <w:t>Hobart and</w:t>
      </w:r>
      <w:r w:rsidR="0090041C">
        <w:rPr>
          <w:lang w:val="en-AU" w:eastAsia="en-AU"/>
        </w:rPr>
        <w:t xml:space="preserve"> other</w:t>
      </w:r>
      <w:r>
        <w:rPr>
          <w:lang w:val="en-AU" w:eastAsia="en-AU"/>
        </w:rPr>
        <w:t xml:space="preserve"> Tasmania</w:t>
      </w:r>
      <w:r w:rsidR="0090041C">
        <w:rPr>
          <w:lang w:val="en-AU" w:eastAsia="en-AU"/>
        </w:rPr>
        <w:t>n SA2s</w:t>
      </w:r>
      <w:r>
        <w:rPr>
          <w:lang w:val="en-AU" w:eastAsia="en-AU"/>
        </w:rPr>
        <w:t xml:space="preserve"> </w:t>
      </w:r>
      <w:r w:rsidR="0090041C">
        <w:rPr>
          <w:lang w:val="en-AU" w:eastAsia="en-AU"/>
        </w:rPr>
        <w:t>showed</w:t>
      </w:r>
      <w:r>
        <w:rPr>
          <w:lang w:val="en-AU" w:eastAsia="en-AU"/>
        </w:rPr>
        <w:t xml:space="preserve"> very little variability in incomes.</w:t>
      </w:r>
    </w:p>
    <w:p w14:paraId="49302E32" w14:textId="2C4A3BA7" w:rsidR="00C91494" w:rsidRDefault="00C91494" w:rsidP="00F342B8">
      <w:pPr>
        <w:rPr>
          <w:lang w:val="en-AU" w:eastAsia="en-AU"/>
        </w:rPr>
      </w:pPr>
      <w:r>
        <w:rPr>
          <w:lang w:val="en-AU" w:eastAsia="en-AU"/>
        </w:rPr>
        <w:t>Darwin had two areas, but both were showing a changing trend, rather than variability. Brinkin was trending down, and Berrimah up (although it then dropped off from 2013/14). The rest of the NT did show variability in incomes, mainly due to low population.</w:t>
      </w:r>
    </w:p>
    <w:p w14:paraId="36DF4BB0" w14:textId="3AFAF4C5" w:rsidR="00C91494" w:rsidRDefault="00C91494" w:rsidP="00F342B8">
      <w:pPr>
        <w:rPr>
          <w:lang w:val="en-AU" w:eastAsia="en-AU"/>
        </w:rPr>
      </w:pPr>
      <w:r>
        <w:rPr>
          <w:lang w:val="en-AU" w:eastAsia="en-AU"/>
        </w:rPr>
        <w:t>In the ACT, the two SA2’s with varying incomes were both low population areas (Scrivener and Majura).</w:t>
      </w:r>
    </w:p>
    <w:bookmarkStart w:id="98" w:name="_Hlk507516397"/>
    <w:p w14:paraId="488D08F3" w14:textId="0DD567F4" w:rsidR="008A72FC" w:rsidRDefault="008A72FC" w:rsidP="00F342B8">
      <w:pPr>
        <w:rPr>
          <w:lang w:val="en-AU" w:eastAsia="en-AU"/>
        </w:rPr>
      </w:pPr>
      <w:r>
        <w:rPr>
          <w:lang w:val="en-AU" w:eastAsia="en-AU"/>
        </w:rPr>
        <w:fldChar w:fldCharType="begin"/>
      </w:r>
      <w:r>
        <w:rPr>
          <w:lang w:val="en-AU" w:eastAsia="en-AU"/>
        </w:rPr>
        <w:instrText xml:space="preserve"> REF _Ref507162501 \h </w:instrText>
      </w:r>
      <w:r w:rsidR="00B674FB">
        <w:rPr>
          <w:lang w:val="en-AU" w:eastAsia="en-AU"/>
        </w:rPr>
        <w:instrText xml:space="preserve"> \* MERGEFORMAT </w:instrText>
      </w:r>
      <w:r>
        <w:rPr>
          <w:lang w:val="en-AU" w:eastAsia="en-AU"/>
        </w:rPr>
      </w:r>
      <w:r>
        <w:rPr>
          <w:lang w:val="en-AU" w:eastAsia="en-AU"/>
        </w:rPr>
        <w:fldChar w:fldCharType="separate"/>
      </w:r>
      <w:r w:rsidR="00171745" w:rsidRPr="00050B6E">
        <w:t>Figure</w:t>
      </w:r>
      <w:r w:rsidR="00171745">
        <w:t xml:space="preserve"> </w:t>
      </w:r>
      <w:r w:rsidR="00171745">
        <w:rPr>
          <w:noProof/>
        </w:rPr>
        <w:t>20</w:t>
      </w:r>
      <w:r>
        <w:rPr>
          <w:lang w:val="en-AU" w:eastAsia="en-AU"/>
        </w:rPr>
        <w:fldChar w:fldCharType="end"/>
      </w:r>
      <w:r>
        <w:rPr>
          <w:lang w:val="en-AU" w:eastAsia="en-AU"/>
        </w:rPr>
        <w:t xml:space="preserve"> </w:t>
      </w:r>
      <w:r w:rsidR="00A60532">
        <w:rPr>
          <w:lang w:val="en-AU" w:eastAsia="en-AU"/>
        </w:rPr>
        <w:t xml:space="preserve">(available </w:t>
      </w:r>
      <w:hyperlink r:id="rId39" w:history="1">
        <w:r w:rsidR="00A60532" w:rsidRPr="009C3774">
          <w:rPr>
            <w:rStyle w:val="Hyperlink"/>
          </w:rPr>
          <w:t>here</w:t>
        </w:r>
      </w:hyperlink>
      <w:r w:rsidR="00A60532">
        <w:t xml:space="preserve">) </w:t>
      </w:r>
      <w:r>
        <w:rPr>
          <w:lang w:val="en-AU" w:eastAsia="en-AU"/>
        </w:rPr>
        <w:t xml:space="preserve">summarises the distribution of % change in incomes </w:t>
      </w:r>
      <w:r w:rsidR="006C3550">
        <w:rPr>
          <w:lang w:val="en-AU" w:eastAsia="en-AU"/>
        </w:rPr>
        <w:t xml:space="preserve">from 2005/06 to 2010/11 </w:t>
      </w:r>
      <w:r>
        <w:rPr>
          <w:lang w:val="en-AU" w:eastAsia="en-AU"/>
        </w:rPr>
        <w:t xml:space="preserve">for all SA2’s across Australia. It can be seen that about 37% of SA2’s </w:t>
      </w:r>
      <w:r w:rsidR="006C3550">
        <w:rPr>
          <w:lang w:val="en-AU" w:eastAsia="en-AU"/>
        </w:rPr>
        <w:t>experience a change in incomes between</w:t>
      </w:r>
      <w:r>
        <w:rPr>
          <w:lang w:val="en-AU" w:eastAsia="en-AU"/>
        </w:rPr>
        <w:t xml:space="preserve"> -2 to +2% change (the first bar), while most SA2’s are between the -</w:t>
      </w:r>
      <w:r w:rsidR="006C3550">
        <w:rPr>
          <w:lang w:val="en-AU" w:eastAsia="en-AU"/>
        </w:rPr>
        <w:t>6</w:t>
      </w:r>
      <w:r>
        <w:rPr>
          <w:lang w:val="en-AU" w:eastAsia="en-AU"/>
        </w:rPr>
        <w:t>% and +</w:t>
      </w:r>
      <w:r w:rsidR="006C3550">
        <w:rPr>
          <w:lang w:val="en-AU" w:eastAsia="en-AU"/>
        </w:rPr>
        <w:t>6</w:t>
      </w:r>
      <w:r>
        <w:rPr>
          <w:lang w:val="en-AU" w:eastAsia="en-AU"/>
        </w:rPr>
        <w:t>% bars.</w:t>
      </w:r>
      <w:bookmarkEnd w:id="98"/>
    </w:p>
    <w:p w14:paraId="24A4EBCD" w14:textId="0E36A225" w:rsidR="00C91494" w:rsidRDefault="00C91494" w:rsidP="00F342B8">
      <w:pPr>
        <w:rPr>
          <w:lang w:val="en-AU" w:eastAsia="en-AU"/>
        </w:rPr>
      </w:pPr>
      <w:r>
        <w:rPr>
          <w:lang w:val="en-AU" w:eastAsia="en-AU"/>
        </w:rPr>
        <w:t>The scatterplot o</w:t>
      </w:r>
      <w:r w:rsidR="00087843">
        <w:rPr>
          <w:lang w:val="en-AU" w:eastAsia="en-AU"/>
        </w:rPr>
        <w:t>f RMSE’s to population for 2010/11 to 2014/</w:t>
      </w:r>
      <w:r>
        <w:rPr>
          <w:lang w:val="en-AU" w:eastAsia="en-AU"/>
        </w:rPr>
        <w:t>15 again showed higher RMSE’s for lower population, as expected. Again, Scone came up as an odd SA2, with a reasonable population and very high RMSE, but we suspect this is to do with the one odd income in 2013/14, as discussed above.</w:t>
      </w:r>
    </w:p>
    <w:p w14:paraId="60F717DE" w14:textId="027568F6" w:rsidR="006C3550" w:rsidRDefault="006C3550" w:rsidP="00F342B8">
      <w:pPr>
        <w:rPr>
          <w:lang w:val="en-AU" w:eastAsia="en-AU"/>
        </w:rPr>
      </w:pPr>
      <w:r>
        <w:rPr>
          <w:lang w:val="en-AU" w:eastAsia="en-AU"/>
        </w:rPr>
        <w:fldChar w:fldCharType="begin"/>
      </w:r>
      <w:r>
        <w:rPr>
          <w:lang w:val="en-AU" w:eastAsia="en-AU"/>
        </w:rPr>
        <w:instrText xml:space="preserve"> REF _Ref507516333 \h </w:instrText>
      </w:r>
      <w:r>
        <w:rPr>
          <w:lang w:val="en-AU" w:eastAsia="en-AU"/>
        </w:rPr>
      </w:r>
      <w:r>
        <w:rPr>
          <w:lang w:val="en-AU" w:eastAsia="en-AU"/>
        </w:rPr>
        <w:fldChar w:fldCharType="separate"/>
      </w:r>
      <w:r w:rsidR="00171745">
        <w:t xml:space="preserve">Figure </w:t>
      </w:r>
      <w:r w:rsidR="00171745">
        <w:rPr>
          <w:noProof/>
        </w:rPr>
        <w:t>39</w:t>
      </w:r>
      <w:r>
        <w:rPr>
          <w:lang w:val="en-AU" w:eastAsia="en-AU"/>
        </w:rPr>
        <w:fldChar w:fldCharType="end"/>
      </w:r>
      <w:r>
        <w:rPr>
          <w:lang w:val="en-AU" w:eastAsia="en-AU"/>
        </w:rPr>
        <w:t xml:space="preserve"> </w:t>
      </w:r>
      <w:r w:rsidR="00A60532">
        <w:rPr>
          <w:lang w:val="en-AU" w:eastAsia="en-AU"/>
        </w:rPr>
        <w:t xml:space="preserve">(available </w:t>
      </w:r>
      <w:hyperlink r:id="rId40" w:history="1">
        <w:r w:rsidR="00A60532" w:rsidRPr="009C3774">
          <w:rPr>
            <w:rStyle w:val="Hyperlink"/>
          </w:rPr>
          <w:t>here</w:t>
        </w:r>
      </w:hyperlink>
      <w:r w:rsidR="00A60532">
        <w:t xml:space="preserve">) </w:t>
      </w:r>
      <w:r>
        <w:rPr>
          <w:lang w:val="en-AU" w:eastAsia="en-AU"/>
        </w:rPr>
        <w:t>summarises the distribution of % change in incomes from 2010/11 to 2014/15 for all SA2’s across Australia. It can be seen that similar to the previous time period, about 36% of SA2’s experience a change in incomes between -2 to +2% change (the first bar), while most SA2’s are between the -6% and +6% bars.</w:t>
      </w:r>
    </w:p>
    <w:p w14:paraId="2BD80BDF" w14:textId="254F94F4" w:rsidR="00255E6E" w:rsidRDefault="00BC74BF" w:rsidP="00D86388">
      <w:pPr>
        <w:pStyle w:val="Caption"/>
        <w:jc w:val="left"/>
        <w:rPr>
          <w:lang w:val="en-AU" w:eastAsia="en-AU"/>
        </w:rPr>
      </w:pPr>
      <w:r>
        <w:rPr>
          <w:lang w:val="en-AU" w:eastAsia="en-AU"/>
        </w:rPr>
        <w:t xml:space="preserve">Overall, the </w:t>
      </w:r>
      <w:r w:rsidR="00255E6E">
        <w:rPr>
          <w:lang w:val="en-AU" w:eastAsia="en-AU"/>
        </w:rPr>
        <w:t xml:space="preserve">average </w:t>
      </w:r>
      <w:r>
        <w:rPr>
          <w:lang w:val="en-AU" w:eastAsia="en-AU"/>
        </w:rPr>
        <w:t xml:space="preserve">RMSE </w:t>
      </w:r>
      <w:r w:rsidR="00255E6E">
        <w:rPr>
          <w:lang w:val="en-AU" w:eastAsia="en-AU"/>
        </w:rPr>
        <w:t xml:space="preserve">calculated for the years 2005/06 to 2010/11 </w:t>
      </w:r>
      <w:r>
        <w:rPr>
          <w:lang w:val="en-AU" w:eastAsia="en-AU"/>
        </w:rPr>
        <w:t xml:space="preserve">for the PIT incomes for all SA2’s across Australia was </w:t>
      </w:r>
      <w:r w:rsidR="00255E6E">
        <w:rPr>
          <w:lang w:val="en-AU" w:eastAsia="en-AU"/>
        </w:rPr>
        <w:t>about $694, or about 1.7% of the average income of $39,700 (in 2005/06 dollars). For the years 2010/11 to 2014/15, the average RMSE was $926 with an average income of $51,300 in 2010/11 dollars (so 1.8% of income)</w:t>
      </w:r>
      <w:r w:rsidR="007B32D6">
        <w:rPr>
          <w:lang w:val="en-AU" w:eastAsia="en-AU"/>
        </w:rPr>
        <w:t xml:space="preserve"> (</w:t>
      </w:r>
      <w:r w:rsidR="008A72FC">
        <w:rPr>
          <w:lang w:val="en-AU" w:eastAsia="en-AU"/>
        </w:rPr>
        <w:fldChar w:fldCharType="begin"/>
      </w:r>
      <w:r w:rsidR="008A72FC">
        <w:rPr>
          <w:lang w:val="en-AU" w:eastAsia="en-AU"/>
        </w:rPr>
        <w:instrText xml:space="preserve"> REF _Ref506992979 \h </w:instrText>
      </w:r>
      <w:r w:rsidR="008A72FC">
        <w:rPr>
          <w:lang w:val="en-AU" w:eastAsia="en-AU"/>
        </w:rPr>
      </w:r>
      <w:r w:rsidR="008A72FC">
        <w:rPr>
          <w:lang w:val="en-AU" w:eastAsia="en-AU"/>
        </w:rPr>
        <w:fldChar w:fldCharType="separate"/>
      </w:r>
      <w:r w:rsidR="00171745">
        <w:t xml:space="preserve">Table </w:t>
      </w:r>
      <w:r w:rsidR="00171745">
        <w:rPr>
          <w:noProof/>
        </w:rPr>
        <w:t>2</w:t>
      </w:r>
      <w:r w:rsidR="008A72FC">
        <w:rPr>
          <w:lang w:val="en-AU" w:eastAsia="en-AU"/>
        </w:rPr>
        <w:fldChar w:fldCharType="end"/>
      </w:r>
      <w:r w:rsidR="007B32D6">
        <w:rPr>
          <w:lang w:val="en-AU" w:eastAsia="en-AU"/>
        </w:rPr>
        <w:t>)</w:t>
      </w:r>
      <w:r w:rsidR="00255E6E">
        <w:rPr>
          <w:lang w:val="en-AU" w:eastAsia="en-AU"/>
        </w:rPr>
        <w:t>. The distribution of the RMSEs for 2005/06</w:t>
      </w:r>
      <w:r w:rsidR="008A0ACA">
        <w:rPr>
          <w:lang w:val="en-AU" w:eastAsia="en-AU"/>
        </w:rPr>
        <w:t xml:space="preserve"> to 2010/11</w:t>
      </w:r>
      <w:r w:rsidR="00255E6E">
        <w:rPr>
          <w:lang w:val="en-AU" w:eastAsia="en-AU"/>
        </w:rPr>
        <w:t xml:space="preserve"> is shown in </w:t>
      </w:r>
      <w:r w:rsidR="00D86388">
        <w:rPr>
          <w:lang w:val="en-AU" w:eastAsia="en-AU"/>
        </w:rPr>
        <w:fldChar w:fldCharType="begin"/>
      </w:r>
      <w:r w:rsidR="00D86388">
        <w:rPr>
          <w:lang w:val="en-AU" w:eastAsia="en-AU"/>
        </w:rPr>
        <w:instrText xml:space="preserve"> REF _Ref506999536 \h </w:instrText>
      </w:r>
      <w:r w:rsidR="00D86388">
        <w:rPr>
          <w:lang w:val="en-AU" w:eastAsia="en-AU"/>
        </w:rPr>
      </w:r>
      <w:r w:rsidR="00D86388">
        <w:rPr>
          <w:lang w:val="en-AU" w:eastAsia="en-AU"/>
        </w:rPr>
        <w:fldChar w:fldCharType="separate"/>
      </w:r>
      <w:r w:rsidR="00171745">
        <w:t xml:space="preserve">Figure </w:t>
      </w:r>
      <w:r w:rsidR="00171745">
        <w:rPr>
          <w:noProof/>
        </w:rPr>
        <w:t>19</w:t>
      </w:r>
      <w:r w:rsidR="00D86388">
        <w:rPr>
          <w:lang w:val="en-AU" w:eastAsia="en-AU"/>
        </w:rPr>
        <w:fldChar w:fldCharType="end"/>
      </w:r>
      <w:r w:rsidR="008A0ACA">
        <w:rPr>
          <w:lang w:val="en-AU" w:eastAsia="en-AU"/>
        </w:rPr>
        <w:t xml:space="preserve"> and the results for 2010/11 to 2014/15 are shown in </w:t>
      </w:r>
      <w:r w:rsidR="008A0ACA">
        <w:rPr>
          <w:lang w:val="en-AU" w:eastAsia="en-AU"/>
        </w:rPr>
        <w:fldChar w:fldCharType="begin"/>
      </w:r>
      <w:r w:rsidR="008A0ACA">
        <w:rPr>
          <w:lang w:val="en-AU" w:eastAsia="en-AU"/>
        </w:rPr>
        <w:instrText xml:space="preserve"> REF _Ref505353642 \h </w:instrText>
      </w:r>
      <w:r w:rsidR="008A0ACA">
        <w:rPr>
          <w:lang w:val="en-AU" w:eastAsia="en-AU"/>
        </w:rPr>
      </w:r>
      <w:r w:rsidR="008A0ACA">
        <w:rPr>
          <w:lang w:val="en-AU" w:eastAsia="en-AU"/>
        </w:rPr>
        <w:fldChar w:fldCharType="separate"/>
      </w:r>
      <w:r w:rsidR="00171745">
        <w:t xml:space="preserve">Figure </w:t>
      </w:r>
      <w:r w:rsidR="00171745">
        <w:rPr>
          <w:noProof/>
        </w:rPr>
        <w:t>38</w:t>
      </w:r>
      <w:r w:rsidR="008A0ACA">
        <w:rPr>
          <w:lang w:val="en-AU" w:eastAsia="en-AU"/>
        </w:rPr>
        <w:fldChar w:fldCharType="end"/>
      </w:r>
      <w:r w:rsidR="008A0ACA">
        <w:rPr>
          <w:lang w:val="en-AU" w:eastAsia="en-AU"/>
        </w:rPr>
        <w:t>. It can be seen that the distribution is highly skewed, with the majority of SA2’s having RMSE’s of less than $1000 per year (2.5% of average income in 205/06 and 1.9% in 2010/11). In both years, nearly 85% of areas had an RMSE of less than $1000 per year.</w:t>
      </w:r>
    </w:p>
    <w:p w14:paraId="7D10D6B7" w14:textId="2CF305A8" w:rsidR="008355A8" w:rsidRDefault="00513FA6" w:rsidP="00255E6E">
      <w:pPr>
        <w:rPr>
          <w:lang w:val="en-AU" w:eastAsia="en-AU"/>
        </w:rPr>
      </w:pPr>
      <w:r>
        <w:rPr>
          <w:lang w:val="en-AU" w:eastAsia="en-AU"/>
        </w:rPr>
        <w:t xml:space="preserve">Using the median value for the second time period, it can be seen in </w:t>
      </w:r>
      <w:r>
        <w:rPr>
          <w:lang w:val="en-AU" w:eastAsia="en-AU"/>
        </w:rPr>
        <w:fldChar w:fldCharType="begin"/>
      </w:r>
      <w:r>
        <w:rPr>
          <w:lang w:val="en-AU" w:eastAsia="en-AU"/>
        </w:rPr>
        <w:instrText xml:space="preserve"> REF _Ref506992979 \h </w:instrText>
      </w:r>
      <w:r>
        <w:rPr>
          <w:lang w:val="en-AU" w:eastAsia="en-AU"/>
        </w:rPr>
      </w:r>
      <w:r>
        <w:rPr>
          <w:lang w:val="en-AU" w:eastAsia="en-AU"/>
        </w:rPr>
        <w:fldChar w:fldCharType="separate"/>
      </w:r>
      <w:r w:rsidR="00171745">
        <w:t xml:space="preserve">Table </w:t>
      </w:r>
      <w:r w:rsidR="00171745">
        <w:rPr>
          <w:noProof/>
        </w:rPr>
        <w:t>2</w:t>
      </w:r>
      <w:r>
        <w:rPr>
          <w:lang w:val="en-AU" w:eastAsia="en-AU"/>
        </w:rPr>
        <w:fldChar w:fldCharType="end"/>
      </w:r>
      <w:r>
        <w:rPr>
          <w:lang w:val="en-AU" w:eastAsia="en-AU"/>
        </w:rPr>
        <w:t xml:space="preserve"> that the RMSE using a median income is much lower than the RMSE using a mean income. Using a mean income, the average RMSE for all SA2’s was $926.21, whereas using a median it was $616.43. The variability around this mean was also much lower for median income rather than mean, with the standard deviation of the mean RMSE being $1,663.34 compared to $794.73 for median income. The full results (line graphs for the 2010/11 to 2014/15 period for all SA2’s in each capital city/balance of state; distribution of RMSE’s for all SA2’s; and scatterplot of population and RMSE) for median income is shown in Appendix 7</w:t>
      </w:r>
      <w:r w:rsidR="0001787D">
        <w:rPr>
          <w:lang w:val="en-AU" w:eastAsia="en-AU"/>
        </w:rPr>
        <w:t>, and the results for a smoothed median income are shown in Appendix 8</w:t>
      </w:r>
      <w:r w:rsidR="000870F8">
        <w:rPr>
          <w:lang w:val="en-AU" w:eastAsia="en-AU"/>
        </w:rPr>
        <w:t xml:space="preserve"> (</w:t>
      </w:r>
      <w:r w:rsidR="005E512E">
        <w:rPr>
          <w:lang w:val="en-AU" w:eastAsia="en-AU"/>
        </w:rPr>
        <w:t xml:space="preserve">all appendices are available </w:t>
      </w:r>
      <w:hyperlink r:id="rId41" w:history="1">
        <w:r w:rsidR="005E512E" w:rsidRPr="009C3774">
          <w:rPr>
            <w:rStyle w:val="Hyperlink"/>
          </w:rPr>
          <w:t>here</w:t>
        </w:r>
      </w:hyperlink>
      <w:r w:rsidR="005E512E">
        <w:t>).</w:t>
      </w:r>
    </w:p>
    <w:p w14:paraId="56709413" w14:textId="69BEF9C1" w:rsidR="008355A8" w:rsidRDefault="008355A8" w:rsidP="00255E6E">
      <w:pPr>
        <w:rPr>
          <w:lang w:val="en-AU" w:eastAsia="en-AU"/>
        </w:rPr>
      </w:pPr>
      <w:r>
        <w:rPr>
          <w:lang w:val="en-AU" w:eastAsia="en-AU"/>
        </w:rPr>
        <w:t>The plots in Appendix 8 show that the SA2 income variability is much lower using a smoothed median income compared to the or</w:t>
      </w:r>
      <w:r w:rsidR="00EA1DC1">
        <w:rPr>
          <w:lang w:val="en-AU" w:eastAsia="en-AU"/>
        </w:rPr>
        <w:t>i</w:t>
      </w:r>
      <w:r>
        <w:rPr>
          <w:lang w:val="en-AU" w:eastAsia="en-AU"/>
        </w:rPr>
        <w:t xml:space="preserve">ginal unsmoothed mean income. There are still some areas experiencing income variability, but </w:t>
      </w:r>
      <w:r w:rsidR="00A92908">
        <w:rPr>
          <w:lang w:val="en-AU" w:eastAsia="en-AU"/>
        </w:rPr>
        <w:t>they are not as extreme; and are generally the low population areas (</w:t>
      </w:r>
      <w:r w:rsidR="00040593" w:rsidRPr="00050B6E">
        <w:rPr>
          <w:lang w:val="en-AU" w:eastAsia="en-AU"/>
        </w:rPr>
        <w:t xml:space="preserve">see Figure 149 </w:t>
      </w:r>
      <w:hyperlink r:id="rId42" w:history="1">
        <w:r w:rsidR="005E512E" w:rsidRPr="009C3774">
          <w:rPr>
            <w:rStyle w:val="Hyperlink"/>
          </w:rPr>
          <w:t>here</w:t>
        </w:r>
      </w:hyperlink>
      <w:r w:rsidR="00040593">
        <w:rPr>
          <w:lang w:val="en-AU" w:eastAsia="en-AU"/>
        </w:rPr>
        <w:t>)</w:t>
      </w:r>
      <w:r w:rsidR="00A92908">
        <w:rPr>
          <w:lang w:val="en-AU" w:eastAsia="en-AU"/>
        </w:rPr>
        <w:fldChar w:fldCharType="begin"/>
      </w:r>
      <w:r w:rsidR="00A92908">
        <w:rPr>
          <w:lang w:val="en-AU" w:eastAsia="en-AU"/>
        </w:rPr>
        <w:instrText xml:space="preserve"> REF _Ref507165768 \h </w:instrText>
      </w:r>
      <w:r w:rsidR="00A92908">
        <w:rPr>
          <w:lang w:val="en-AU" w:eastAsia="en-AU"/>
        </w:rPr>
      </w:r>
      <w:r w:rsidR="00A92908">
        <w:rPr>
          <w:lang w:val="en-AU" w:eastAsia="en-AU"/>
        </w:rPr>
        <w:fldChar w:fldCharType="end"/>
      </w:r>
      <w:r w:rsidR="00A92908">
        <w:rPr>
          <w:lang w:val="en-AU" w:eastAsia="en-AU"/>
        </w:rPr>
        <w:t>. Comparing the RMSE’s, the distribution using a smoothed median income (</w:t>
      </w:r>
      <w:r w:rsidR="00040593">
        <w:rPr>
          <w:lang w:val="en-AU" w:eastAsia="en-AU"/>
        </w:rPr>
        <w:t xml:space="preserve">see </w:t>
      </w:r>
      <w:r w:rsidR="00040593" w:rsidRPr="00050B6E">
        <w:rPr>
          <w:lang w:val="en-AU" w:eastAsia="en-AU"/>
        </w:rPr>
        <w:t xml:space="preserve">Figure 150 </w:t>
      </w:r>
      <w:hyperlink r:id="rId43" w:history="1">
        <w:r w:rsidR="0057692C" w:rsidRPr="009C3774">
          <w:rPr>
            <w:rStyle w:val="Hyperlink"/>
          </w:rPr>
          <w:t>here</w:t>
        </w:r>
      </w:hyperlink>
      <w:r w:rsidR="00A92908">
        <w:rPr>
          <w:lang w:val="en-AU" w:eastAsia="en-AU"/>
        </w:rPr>
        <w:t>) is much tighter than using mean income (</w:t>
      </w:r>
      <w:r w:rsidR="00E04A78" w:rsidRPr="00050B6E">
        <w:rPr>
          <w:lang w:val="en-AU" w:eastAsia="en-AU"/>
        </w:rPr>
        <w:t xml:space="preserve">see Figure 38 </w:t>
      </w:r>
      <w:hyperlink r:id="rId44" w:history="1">
        <w:r w:rsidR="0057692C" w:rsidRPr="009C3774">
          <w:rPr>
            <w:rStyle w:val="Hyperlink"/>
          </w:rPr>
          <w:t>here</w:t>
        </w:r>
      </w:hyperlink>
      <w:r w:rsidR="00A92908">
        <w:rPr>
          <w:lang w:val="en-AU" w:eastAsia="en-AU"/>
        </w:rPr>
        <w:t>).</w:t>
      </w:r>
    </w:p>
    <w:p w14:paraId="698B281C" w14:textId="77777777" w:rsidR="00A92908" w:rsidRDefault="00A92908" w:rsidP="00255E6E">
      <w:pPr>
        <w:rPr>
          <w:lang w:val="en-AU" w:eastAsia="en-AU"/>
        </w:rPr>
      </w:pPr>
    </w:p>
    <w:p w14:paraId="1CB70EA2" w14:textId="19D78B89" w:rsidR="00513FA6" w:rsidRDefault="00513FA6" w:rsidP="00255E6E">
      <w:pPr>
        <w:rPr>
          <w:lang w:val="en-AU" w:eastAsia="en-AU"/>
        </w:rPr>
      </w:pPr>
      <w:r>
        <w:rPr>
          <w:lang w:val="en-AU" w:eastAsia="en-AU"/>
        </w:rPr>
        <w:t xml:space="preserve"> </w:t>
      </w:r>
    </w:p>
    <w:p w14:paraId="7483F1F4" w14:textId="656F72A7" w:rsidR="005E0394" w:rsidRDefault="00B51FD4" w:rsidP="00B51FD4">
      <w:pPr>
        <w:pStyle w:val="Caption"/>
      </w:pPr>
      <w:r>
        <w:t xml:space="preserve">Table </w:t>
      </w:r>
      <w:r>
        <w:fldChar w:fldCharType="begin"/>
      </w:r>
      <w:r>
        <w:instrText xml:space="preserve"> SEQ Table \* ARABIC </w:instrText>
      </w:r>
      <w:r>
        <w:fldChar w:fldCharType="separate"/>
      </w:r>
      <w:r w:rsidR="00171745">
        <w:rPr>
          <w:noProof/>
        </w:rPr>
        <w:t>1</w:t>
      </w:r>
      <w:r>
        <w:fldChar w:fldCharType="end"/>
      </w:r>
      <w:r>
        <w:t xml:space="preserve"> </w:t>
      </w:r>
      <w:r w:rsidR="005E0394">
        <w:t>Comparison of RMSEs using median and mean incomes for all SA2’s, 2005/06 to 2010/11</w:t>
      </w:r>
    </w:p>
    <w:tbl>
      <w:tblPr>
        <w:tblW w:w="5529" w:type="dxa"/>
        <w:tblLook w:val="04A0" w:firstRow="1" w:lastRow="0" w:firstColumn="1" w:lastColumn="0" w:noHBand="0" w:noVBand="1"/>
        <w:tblCaption w:val="Comparison of RMSEs using median and mean incomes for all SA2’s, 2005/06 to 2010/11"/>
        <w:tblDescription w:val="This is a table comparing RMSEs using both median and mean incomes for all SA2s, from 2005-06 to 2010-11. It shows the RMSE using a median income is much lower than the RMSE using a mean income"/>
      </w:tblPr>
      <w:tblGrid>
        <w:gridCol w:w="1961"/>
        <w:gridCol w:w="1867"/>
        <w:gridCol w:w="1701"/>
      </w:tblGrid>
      <w:tr w:rsidR="005E0394" w:rsidRPr="005E0394" w14:paraId="7E341B7D" w14:textId="77777777" w:rsidTr="0009266C">
        <w:trPr>
          <w:trHeight w:val="288"/>
        </w:trPr>
        <w:tc>
          <w:tcPr>
            <w:tcW w:w="1961" w:type="dxa"/>
            <w:tcBorders>
              <w:top w:val="nil"/>
              <w:left w:val="nil"/>
              <w:bottom w:val="single" w:sz="4" w:space="0" w:color="auto"/>
              <w:right w:val="nil"/>
            </w:tcBorders>
            <w:shd w:val="clear" w:color="auto" w:fill="auto"/>
            <w:noWrap/>
            <w:vAlign w:val="bottom"/>
          </w:tcPr>
          <w:p w14:paraId="12306F75" w14:textId="095CC7E4" w:rsidR="005E0394" w:rsidRPr="005E0394" w:rsidRDefault="005E0394" w:rsidP="005E0394">
            <w:pPr>
              <w:spacing w:line="240" w:lineRule="auto"/>
              <w:ind w:firstLine="0"/>
              <w:jc w:val="left"/>
              <w:rPr>
                <w:rFonts w:ascii="Calibri" w:eastAsia="Times New Roman" w:hAnsi="Calibri" w:cs="Calibri"/>
                <w:color w:val="000000"/>
                <w:sz w:val="22"/>
                <w:szCs w:val="22"/>
                <w:lang w:val="en-US"/>
                <w14:ligatures w14:val="none"/>
              </w:rPr>
            </w:pPr>
          </w:p>
        </w:tc>
        <w:tc>
          <w:tcPr>
            <w:tcW w:w="3568" w:type="dxa"/>
            <w:gridSpan w:val="2"/>
            <w:tcBorders>
              <w:top w:val="nil"/>
              <w:left w:val="nil"/>
              <w:bottom w:val="single" w:sz="4" w:space="0" w:color="auto"/>
              <w:right w:val="nil"/>
            </w:tcBorders>
            <w:shd w:val="clear" w:color="auto" w:fill="auto"/>
            <w:noWrap/>
            <w:vAlign w:val="bottom"/>
          </w:tcPr>
          <w:p w14:paraId="4B6BB60E" w14:textId="04F5ECB0" w:rsidR="005E0394" w:rsidRPr="005E0394" w:rsidRDefault="005E0394" w:rsidP="005E0394">
            <w:pPr>
              <w:spacing w:line="240" w:lineRule="auto"/>
              <w:ind w:firstLine="0"/>
              <w:jc w:val="center"/>
              <w:rPr>
                <w:rFonts w:ascii="Calibri" w:eastAsia="Times New Roman" w:hAnsi="Calibri" w:cs="Calibri"/>
                <w:b/>
                <w:color w:val="000000"/>
                <w:sz w:val="22"/>
                <w:szCs w:val="22"/>
                <w:lang w:val="en-US"/>
                <w14:ligatures w14:val="none"/>
              </w:rPr>
            </w:pPr>
            <w:r>
              <w:rPr>
                <w:rFonts w:ascii="Calibri" w:eastAsia="Times New Roman" w:hAnsi="Calibri" w:cs="Calibri"/>
                <w:b/>
                <w:color w:val="000000"/>
                <w:sz w:val="22"/>
                <w:szCs w:val="22"/>
                <w:lang w:val="en-US"/>
                <w14:ligatures w14:val="none"/>
              </w:rPr>
              <w:t>Mean</w:t>
            </w:r>
          </w:p>
        </w:tc>
      </w:tr>
      <w:tr w:rsidR="005E0394" w:rsidRPr="005E0394" w14:paraId="782B44BF" w14:textId="77777777" w:rsidTr="0009266C">
        <w:trPr>
          <w:trHeight w:val="288"/>
        </w:trPr>
        <w:tc>
          <w:tcPr>
            <w:tcW w:w="1961" w:type="dxa"/>
            <w:tcBorders>
              <w:top w:val="nil"/>
              <w:left w:val="nil"/>
              <w:bottom w:val="single" w:sz="4" w:space="0" w:color="auto"/>
              <w:right w:val="nil"/>
            </w:tcBorders>
            <w:shd w:val="clear" w:color="auto" w:fill="auto"/>
            <w:noWrap/>
            <w:vAlign w:val="bottom"/>
            <w:hideMark/>
          </w:tcPr>
          <w:p w14:paraId="798FB100" w14:textId="77777777" w:rsidR="005E0394" w:rsidRPr="005E0394" w:rsidRDefault="005E0394" w:rsidP="005E0394">
            <w:pPr>
              <w:spacing w:line="240" w:lineRule="auto"/>
              <w:ind w:firstLine="0"/>
              <w:jc w:val="lef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 </w:t>
            </w:r>
          </w:p>
        </w:tc>
        <w:tc>
          <w:tcPr>
            <w:tcW w:w="1867" w:type="dxa"/>
            <w:tcBorders>
              <w:top w:val="nil"/>
              <w:left w:val="nil"/>
              <w:bottom w:val="single" w:sz="4" w:space="0" w:color="auto"/>
              <w:right w:val="nil"/>
            </w:tcBorders>
            <w:shd w:val="clear" w:color="auto" w:fill="auto"/>
            <w:noWrap/>
            <w:vAlign w:val="bottom"/>
            <w:hideMark/>
          </w:tcPr>
          <w:p w14:paraId="18863886" w14:textId="77777777" w:rsidR="005E0394" w:rsidRPr="005E0394" w:rsidRDefault="005E0394" w:rsidP="005E0394">
            <w:pPr>
              <w:spacing w:line="240" w:lineRule="auto"/>
              <w:ind w:firstLine="0"/>
              <w:jc w:val="left"/>
              <w:rPr>
                <w:rFonts w:ascii="Calibri" w:eastAsia="Times New Roman" w:hAnsi="Calibri" w:cs="Calibri"/>
                <w:b/>
                <w:color w:val="000000"/>
                <w:sz w:val="22"/>
                <w:szCs w:val="22"/>
                <w:lang w:val="en-US"/>
                <w14:ligatures w14:val="none"/>
              </w:rPr>
            </w:pPr>
            <w:r w:rsidRPr="005E0394">
              <w:rPr>
                <w:rFonts w:ascii="Calibri" w:eastAsia="Times New Roman" w:hAnsi="Calibri" w:cs="Calibri"/>
                <w:b/>
                <w:color w:val="000000"/>
                <w:sz w:val="22"/>
                <w:szCs w:val="22"/>
                <w:lang w:val="en-US"/>
                <w14:ligatures w14:val="none"/>
              </w:rPr>
              <w:t>RMSE</w:t>
            </w:r>
          </w:p>
        </w:tc>
        <w:tc>
          <w:tcPr>
            <w:tcW w:w="1701" w:type="dxa"/>
            <w:tcBorders>
              <w:top w:val="nil"/>
              <w:left w:val="nil"/>
              <w:bottom w:val="single" w:sz="4" w:space="0" w:color="auto"/>
              <w:right w:val="nil"/>
            </w:tcBorders>
            <w:vAlign w:val="bottom"/>
          </w:tcPr>
          <w:p w14:paraId="4622D85F" w14:textId="444DBA0E" w:rsidR="005E0394" w:rsidRPr="005E0394" w:rsidRDefault="005E0394" w:rsidP="005E0394">
            <w:pPr>
              <w:spacing w:line="240" w:lineRule="auto"/>
              <w:ind w:firstLine="0"/>
              <w:jc w:val="left"/>
              <w:rPr>
                <w:rFonts w:ascii="Calibri" w:eastAsia="Times New Roman" w:hAnsi="Calibri" w:cs="Calibri"/>
                <w:b/>
                <w:color w:val="000000"/>
                <w:sz w:val="22"/>
                <w:szCs w:val="22"/>
                <w:lang w:val="en-US"/>
                <w14:ligatures w14:val="none"/>
              </w:rPr>
            </w:pPr>
            <w:r w:rsidRPr="005E0394">
              <w:rPr>
                <w:rFonts w:ascii="Calibri" w:eastAsia="Times New Roman" w:hAnsi="Calibri" w:cs="Calibri"/>
                <w:b/>
                <w:color w:val="000000"/>
                <w:sz w:val="22"/>
                <w:szCs w:val="22"/>
                <w:lang w:val="en-US"/>
                <w14:ligatures w14:val="none"/>
              </w:rPr>
              <w:t>RMSE (smoothed)</w:t>
            </w:r>
          </w:p>
        </w:tc>
      </w:tr>
      <w:tr w:rsidR="005E0394" w:rsidRPr="005E0394" w14:paraId="4694F4E5" w14:textId="77777777" w:rsidTr="0009266C">
        <w:trPr>
          <w:trHeight w:val="288"/>
        </w:trPr>
        <w:tc>
          <w:tcPr>
            <w:tcW w:w="1961" w:type="dxa"/>
            <w:tcBorders>
              <w:top w:val="nil"/>
              <w:left w:val="nil"/>
              <w:bottom w:val="nil"/>
              <w:right w:val="nil"/>
            </w:tcBorders>
            <w:shd w:val="clear" w:color="auto" w:fill="auto"/>
            <w:noWrap/>
            <w:vAlign w:val="bottom"/>
            <w:hideMark/>
          </w:tcPr>
          <w:p w14:paraId="2EF94FB2" w14:textId="77777777" w:rsidR="005E0394" w:rsidRPr="005E0394" w:rsidRDefault="005E0394" w:rsidP="005E0394">
            <w:pPr>
              <w:spacing w:line="240" w:lineRule="auto"/>
              <w:ind w:firstLine="0"/>
              <w:jc w:val="lef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Obs.</w:t>
            </w:r>
          </w:p>
        </w:tc>
        <w:tc>
          <w:tcPr>
            <w:tcW w:w="1867" w:type="dxa"/>
            <w:tcBorders>
              <w:top w:val="nil"/>
              <w:left w:val="nil"/>
              <w:bottom w:val="nil"/>
              <w:right w:val="nil"/>
            </w:tcBorders>
            <w:shd w:val="clear" w:color="auto" w:fill="auto"/>
            <w:noWrap/>
            <w:vAlign w:val="bottom"/>
            <w:hideMark/>
          </w:tcPr>
          <w:p w14:paraId="2D732054" w14:textId="77777777" w:rsidR="005E0394" w:rsidRPr="005E0394" w:rsidRDefault="005E0394" w:rsidP="005E0394">
            <w:pPr>
              <w:spacing w:line="240" w:lineRule="auto"/>
              <w:ind w:firstLine="0"/>
              <w:jc w:val="righ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2127</w:t>
            </w:r>
          </w:p>
        </w:tc>
        <w:tc>
          <w:tcPr>
            <w:tcW w:w="1701" w:type="dxa"/>
            <w:tcBorders>
              <w:top w:val="nil"/>
              <w:left w:val="nil"/>
              <w:bottom w:val="nil"/>
              <w:right w:val="nil"/>
            </w:tcBorders>
            <w:vAlign w:val="bottom"/>
          </w:tcPr>
          <w:p w14:paraId="695CC325" w14:textId="74E789F1" w:rsidR="005E0394" w:rsidRPr="005E0394" w:rsidRDefault="005E0394" w:rsidP="005E0394">
            <w:pPr>
              <w:spacing w:line="240" w:lineRule="auto"/>
              <w:ind w:firstLine="0"/>
              <w:jc w:val="righ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2127</w:t>
            </w:r>
          </w:p>
        </w:tc>
      </w:tr>
      <w:tr w:rsidR="005E0394" w:rsidRPr="005E0394" w14:paraId="5B954218" w14:textId="77777777" w:rsidTr="0009266C">
        <w:trPr>
          <w:trHeight w:val="288"/>
        </w:trPr>
        <w:tc>
          <w:tcPr>
            <w:tcW w:w="1961" w:type="dxa"/>
            <w:tcBorders>
              <w:top w:val="nil"/>
              <w:left w:val="nil"/>
              <w:bottom w:val="nil"/>
              <w:right w:val="nil"/>
            </w:tcBorders>
            <w:shd w:val="clear" w:color="auto" w:fill="auto"/>
            <w:noWrap/>
            <w:vAlign w:val="bottom"/>
            <w:hideMark/>
          </w:tcPr>
          <w:p w14:paraId="5B83DEFD" w14:textId="77777777" w:rsidR="005E0394" w:rsidRPr="005E0394" w:rsidRDefault="005E0394" w:rsidP="005E0394">
            <w:pPr>
              <w:spacing w:line="240" w:lineRule="auto"/>
              <w:ind w:firstLine="0"/>
              <w:jc w:val="lef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Mean</w:t>
            </w:r>
          </w:p>
        </w:tc>
        <w:tc>
          <w:tcPr>
            <w:tcW w:w="1867" w:type="dxa"/>
            <w:tcBorders>
              <w:top w:val="nil"/>
              <w:left w:val="nil"/>
              <w:bottom w:val="nil"/>
              <w:right w:val="nil"/>
            </w:tcBorders>
            <w:shd w:val="clear" w:color="auto" w:fill="auto"/>
            <w:noWrap/>
            <w:vAlign w:val="bottom"/>
            <w:hideMark/>
          </w:tcPr>
          <w:p w14:paraId="6D0E7C07" w14:textId="77777777" w:rsidR="005E0394" w:rsidRPr="005E0394" w:rsidRDefault="005E0394" w:rsidP="005E0394">
            <w:pPr>
              <w:spacing w:line="240" w:lineRule="auto"/>
              <w:ind w:firstLine="0"/>
              <w:jc w:val="righ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693.84</w:t>
            </w:r>
          </w:p>
        </w:tc>
        <w:tc>
          <w:tcPr>
            <w:tcW w:w="1701" w:type="dxa"/>
            <w:tcBorders>
              <w:top w:val="nil"/>
              <w:left w:val="nil"/>
              <w:bottom w:val="nil"/>
              <w:right w:val="nil"/>
            </w:tcBorders>
            <w:vAlign w:val="bottom"/>
          </w:tcPr>
          <w:p w14:paraId="61C0C319" w14:textId="71A3E11A" w:rsidR="005E0394" w:rsidRPr="005E0394" w:rsidRDefault="005E0394" w:rsidP="005E0394">
            <w:pPr>
              <w:spacing w:line="240" w:lineRule="auto"/>
              <w:ind w:firstLine="0"/>
              <w:jc w:val="righ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367.42</w:t>
            </w:r>
          </w:p>
        </w:tc>
      </w:tr>
      <w:tr w:rsidR="005E0394" w:rsidRPr="005E0394" w14:paraId="55F0306C" w14:textId="77777777" w:rsidTr="0009266C">
        <w:trPr>
          <w:trHeight w:val="288"/>
        </w:trPr>
        <w:tc>
          <w:tcPr>
            <w:tcW w:w="1961" w:type="dxa"/>
            <w:tcBorders>
              <w:top w:val="nil"/>
              <w:left w:val="nil"/>
              <w:bottom w:val="nil"/>
              <w:right w:val="nil"/>
            </w:tcBorders>
            <w:shd w:val="clear" w:color="auto" w:fill="auto"/>
            <w:noWrap/>
            <w:vAlign w:val="bottom"/>
            <w:hideMark/>
          </w:tcPr>
          <w:p w14:paraId="08157D92" w14:textId="77777777" w:rsidR="005E0394" w:rsidRPr="005E0394" w:rsidRDefault="005E0394" w:rsidP="005E0394">
            <w:pPr>
              <w:spacing w:line="240" w:lineRule="auto"/>
              <w:ind w:firstLine="0"/>
              <w:jc w:val="lef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Std. Dev.</w:t>
            </w:r>
          </w:p>
        </w:tc>
        <w:tc>
          <w:tcPr>
            <w:tcW w:w="1867" w:type="dxa"/>
            <w:tcBorders>
              <w:top w:val="nil"/>
              <w:left w:val="nil"/>
              <w:bottom w:val="nil"/>
              <w:right w:val="nil"/>
            </w:tcBorders>
            <w:shd w:val="clear" w:color="auto" w:fill="auto"/>
            <w:noWrap/>
            <w:vAlign w:val="bottom"/>
            <w:hideMark/>
          </w:tcPr>
          <w:p w14:paraId="3B7EFE44" w14:textId="77777777" w:rsidR="005E0394" w:rsidRPr="005E0394" w:rsidRDefault="005E0394" w:rsidP="005E0394">
            <w:pPr>
              <w:spacing w:line="240" w:lineRule="auto"/>
              <w:ind w:firstLine="0"/>
              <w:jc w:val="righ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834.03</w:t>
            </w:r>
          </w:p>
        </w:tc>
        <w:tc>
          <w:tcPr>
            <w:tcW w:w="1701" w:type="dxa"/>
            <w:tcBorders>
              <w:top w:val="nil"/>
              <w:left w:val="nil"/>
              <w:bottom w:val="nil"/>
              <w:right w:val="nil"/>
            </w:tcBorders>
            <w:vAlign w:val="bottom"/>
          </w:tcPr>
          <w:p w14:paraId="76DAA297" w14:textId="36FF9AB5" w:rsidR="005E0394" w:rsidRPr="005E0394" w:rsidRDefault="005E0394" w:rsidP="005E0394">
            <w:pPr>
              <w:spacing w:line="240" w:lineRule="auto"/>
              <w:ind w:firstLine="0"/>
              <w:jc w:val="righ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466.2</w:t>
            </w:r>
          </w:p>
        </w:tc>
      </w:tr>
      <w:tr w:rsidR="005E0394" w:rsidRPr="005E0394" w14:paraId="5D9B6B8D" w14:textId="77777777" w:rsidTr="0009266C">
        <w:trPr>
          <w:trHeight w:val="288"/>
        </w:trPr>
        <w:tc>
          <w:tcPr>
            <w:tcW w:w="1961" w:type="dxa"/>
            <w:tcBorders>
              <w:top w:val="nil"/>
              <w:left w:val="nil"/>
              <w:bottom w:val="single" w:sz="4" w:space="0" w:color="auto"/>
              <w:right w:val="nil"/>
            </w:tcBorders>
            <w:shd w:val="clear" w:color="auto" w:fill="auto"/>
            <w:noWrap/>
            <w:vAlign w:val="bottom"/>
            <w:hideMark/>
          </w:tcPr>
          <w:p w14:paraId="7A7E7134" w14:textId="77777777" w:rsidR="005E0394" w:rsidRPr="005E0394" w:rsidRDefault="005E0394" w:rsidP="005E0394">
            <w:pPr>
              <w:spacing w:line="240" w:lineRule="auto"/>
              <w:ind w:firstLine="0"/>
              <w:jc w:val="lef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Median</w:t>
            </w:r>
          </w:p>
        </w:tc>
        <w:tc>
          <w:tcPr>
            <w:tcW w:w="1867" w:type="dxa"/>
            <w:tcBorders>
              <w:top w:val="nil"/>
              <w:left w:val="nil"/>
              <w:bottom w:val="single" w:sz="4" w:space="0" w:color="auto"/>
              <w:right w:val="nil"/>
            </w:tcBorders>
            <w:shd w:val="clear" w:color="auto" w:fill="auto"/>
            <w:noWrap/>
            <w:vAlign w:val="bottom"/>
            <w:hideMark/>
          </w:tcPr>
          <w:p w14:paraId="5FC9CD27" w14:textId="77777777" w:rsidR="005E0394" w:rsidRPr="005E0394" w:rsidRDefault="005E0394" w:rsidP="005E0394">
            <w:pPr>
              <w:spacing w:line="240" w:lineRule="auto"/>
              <w:ind w:firstLine="0"/>
              <w:jc w:val="righ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450.35</w:t>
            </w:r>
          </w:p>
        </w:tc>
        <w:tc>
          <w:tcPr>
            <w:tcW w:w="1701" w:type="dxa"/>
            <w:tcBorders>
              <w:top w:val="nil"/>
              <w:left w:val="nil"/>
              <w:bottom w:val="single" w:sz="4" w:space="0" w:color="auto"/>
              <w:right w:val="nil"/>
            </w:tcBorders>
            <w:vAlign w:val="bottom"/>
          </w:tcPr>
          <w:p w14:paraId="57A5DD2A" w14:textId="06DED9C4" w:rsidR="005E0394" w:rsidRPr="005E0394" w:rsidRDefault="005E0394" w:rsidP="005E0394">
            <w:pPr>
              <w:spacing w:line="240" w:lineRule="auto"/>
              <w:ind w:firstLine="0"/>
              <w:jc w:val="right"/>
              <w:rPr>
                <w:rFonts w:ascii="Calibri" w:eastAsia="Times New Roman" w:hAnsi="Calibri" w:cs="Calibri"/>
                <w:color w:val="000000"/>
                <w:sz w:val="22"/>
                <w:szCs w:val="22"/>
                <w:lang w:val="en-US"/>
                <w14:ligatures w14:val="none"/>
              </w:rPr>
            </w:pPr>
            <w:r w:rsidRPr="005E0394">
              <w:rPr>
                <w:rFonts w:ascii="Calibri" w:eastAsia="Times New Roman" w:hAnsi="Calibri" w:cs="Calibri"/>
                <w:color w:val="000000"/>
                <w:sz w:val="22"/>
                <w:szCs w:val="22"/>
                <w:lang w:val="en-US"/>
                <w14:ligatures w14:val="none"/>
              </w:rPr>
              <w:t>239.69</w:t>
            </w:r>
          </w:p>
        </w:tc>
      </w:tr>
    </w:tbl>
    <w:p w14:paraId="593BE0AD" w14:textId="32E257D2" w:rsidR="008A0ACA" w:rsidRDefault="008A0ACA" w:rsidP="005E0394">
      <w:pPr>
        <w:ind w:firstLine="0"/>
        <w:rPr>
          <w:lang w:val="en-AU" w:eastAsia="en-AU"/>
        </w:rPr>
      </w:pPr>
    </w:p>
    <w:p w14:paraId="62DF70F5" w14:textId="78A213B2" w:rsidR="007B32D6" w:rsidRDefault="007B32D6" w:rsidP="007B32D6">
      <w:pPr>
        <w:pStyle w:val="Caption"/>
        <w:keepNext/>
        <w:jc w:val="both"/>
      </w:pPr>
      <w:bookmarkStart w:id="99" w:name="_Ref506992979"/>
      <w:r>
        <w:t xml:space="preserve">Table </w:t>
      </w:r>
      <w:r>
        <w:fldChar w:fldCharType="begin"/>
      </w:r>
      <w:r>
        <w:instrText xml:space="preserve"> SEQ Table \* ARABIC </w:instrText>
      </w:r>
      <w:r>
        <w:fldChar w:fldCharType="separate"/>
      </w:r>
      <w:r w:rsidR="00171745">
        <w:rPr>
          <w:noProof/>
        </w:rPr>
        <w:t>2</w:t>
      </w:r>
      <w:r>
        <w:fldChar w:fldCharType="end"/>
      </w:r>
      <w:bookmarkEnd w:id="99"/>
      <w:r>
        <w:t xml:space="preserve"> Comparison of RMSEs using median and mean incomes for all SA2’s, 2010/11 to 2014/15</w:t>
      </w:r>
    </w:p>
    <w:tbl>
      <w:tblPr>
        <w:tblW w:w="5000" w:type="pct"/>
        <w:tblLook w:val="04A0" w:firstRow="1" w:lastRow="0" w:firstColumn="1" w:lastColumn="0" w:noHBand="0" w:noVBand="1"/>
        <w:tblCaption w:val="Comparison the RMSEs using median and mean incomes for all SA2s from 2010-11 to 2014-15"/>
        <w:tblDescription w:val="This is a table comparing the RMSEs using median and mean incomes for all SA2s from 2010-11 to 2014-15.  It can be seen that the RMSE using a median income is much lower than the RMSE using a mean income. Using a mean income, the average RMSE for all SA2’s was $926.21, whereas using a median it was $616.43. The variability around this mean was also much lower for median income rather than mean, with the standard deviation of the mean RMSE being $1,663.34 compared to $794.73 for median income. "/>
      </w:tblPr>
      <w:tblGrid>
        <w:gridCol w:w="2032"/>
        <w:gridCol w:w="1746"/>
        <w:gridCol w:w="1746"/>
        <w:gridCol w:w="1748"/>
        <w:gridCol w:w="1748"/>
      </w:tblGrid>
      <w:tr w:rsidR="007B32D6" w:rsidRPr="007F6B2E" w14:paraId="5026E134" w14:textId="77777777" w:rsidTr="00005043">
        <w:trPr>
          <w:trHeight w:val="288"/>
        </w:trPr>
        <w:tc>
          <w:tcPr>
            <w:tcW w:w="1126" w:type="pct"/>
            <w:tcBorders>
              <w:top w:val="nil"/>
              <w:left w:val="nil"/>
              <w:bottom w:val="single" w:sz="4" w:space="0" w:color="auto"/>
              <w:right w:val="nil"/>
            </w:tcBorders>
            <w:shd w:val="clear" w:color="auto" w:fill="auto"/>
            <w:noWrap/>
            <w:vAlign w:val="bottom"/>
          </w:tcPr>
          <w:p w14:paraId="30FD4737" w14:textId="77777777" w:rsidR="007B32D6" w:rsidRPr="007F6B2E" w:rsidRDefault="007B32D6" w:rsidP="00005043">
            <w:pPr>
              <w:spacing w:line="240" w:lineRule="auto"/>
              <w:ind w:firstLine="0"/>
              <w:jc w:val="left"/>
              <w:rPr>
                <w:rFonts w:ascii="Calibri" w:eastAsia="Times New Roman" w:hAnsi="Calibri" w:cs="Calibri"/>
                <w:color w:val="000000"/>
                <w:sz w:val="22"/>
                <w:szCs w:val="22"/>
                <w:lang w:val="en-US"/>
                <w14:ligatures w14:val="none"/>
              </w:rPr>
            </w:pPr>
          </w:p>
        </w:tc>
        <w:tc>
          <w:tcPr>
            <w:tcW w:w="1936" w:type="pct"/>
            <w:gridSpan w:val="2"/>
            <w:tcBorders>
              <w:top w:val="nil"/>
              <w:left w:val="nil"/>
              <w:bottom w:val="single" w:sz="4" w:space="0" w:color="auto"/>
              <w:right w:val="nil"/>
            </w:tcBorders>
            <w:shd w:val="clear" w:color="auto" w:fill="auto"/>
            <w:noWrap/>
            <w:vAlign w:val="bottom"/>
          </w:tcPr>
          <w:p w14:paraId="7FA1C525" w14:textId="77777777" w:rsidR="007B32D6" w:rsidRPr="007F6B2E" w:rsidRDefault="007B32D6" w:rsidP="00005043">
            <w:pPr>
              <w:spacing w:line="240" w:lineRule="auto"/>
              <w:ind w:firstLine="0"/>
              <w:jc w:val="center"/>
              <w:rPr>
                <w:rFonts w:ascii="Calibri" w:eastAsia="Times New Roman" w:hAnsi="Calibri" w:cs="Calibri"/>
                <w:b/>
                <w:bCs/>
                <w:color w:val="000000"/>
                <w:sz w:val="22"/>
                <w:szCs w:val="22"/>
                <w:lang w:val="en-US"/>
                <w14:ligatures w14:val="none"/>
              </w:rPr>
            </w:pPr>
            <w:r>
              <w:rPr>
                <w:rFonts w:ascii="Calibri" w:eastAsia="Times New Roman" w:hAnsi="Calibri" w:cs="Calibri"/>
                <w:b/>
                <w:bCs/>
                <w:color w:val="000000"/>
                <w:sz w:val="22"/>
                <w:szCs w:val="22"/>
                <w:lang w:val="en-US"/>
                <w14:ligatures w14:val="none"/>
              </w:rPr>
              <w:t>Median</w:t>
            </w:r>
          </w:p>
        </w:tc>
        <w:tc>
          <w:tcPr>
            <w:tcW w:w="1938" w:type="pct"/>
            <w:gridSpan w:val="2"/>
            <w:tcBorders>
              <w:top w:val="nil"/>
              <w:left w:val="nil"/>
              <w:bottom w:val="single" w:sz="4" w:space="0" w:color="auto"/>
              <w:right w:val="nil"/>
            </w:tcBorders>
            <w:shd w:val="clear" w:color="auto" w:fill="auto"/>
            <w:noWrap/>
            <w:vAlign w:val="bottom"/>
          </w:tcPr>
          <w:p w14:paraId="7C15172C" w14:textId="77777777" w:rsidR="007B32D6" w:rsidRPr="007F6B2E" w:rsidRDefault="007B32D6" w:rsidP="00005043">
            <w:pPr>
              <w:spacing w:line="240" w:lineRule="auto"/>
              <w:ind w:firstLine="0"/>
              <w:jc w:val="center"/>
              <w:rPr>
                <w:rFonts w:ascii="Calibri" w:eastAsia="Times New Roman" w:hAnsi="Calibri" w:cs="Calibri"/>
                <w:b/>
                <w:bCs/>
                <w:color w:val="000000"/>
                <w:sz w:val="22"/>
                <w:szCs w:val="22"/>
                <w:lang w:val="en-US"/>
                <w14:ligatures w14:val="none"/>
              </w:rPr>
            </w:pPr>
            <w:r>
              <w:rPr>
                <w:rFonts w:ascii="Calibri" w:eastAsia="Times New Roman" w:hAnsi="Calibri" w:cs="Calibri"/>
                <w:b/>
                <w:bCs/>
                <w:color w:val="000000"/>
                <w:sz w:val="22"/>
                <w:szCs w:val="22"/>
                <w:lang w:val="en-US"/>
                <w14:ligatures w14:val="none"/>
              </w:rPr>
              <w:t>Mean</w:t>
            </w:r>
          </w:p>
        </w:tc>
      </w:tr>
      <w:tr w:rsidR="007B32D6" w:rsidRPr="007F6B2E" w14:paraId="28B2862D" w14:textId="77777777" w:rsidTr="00005043">
        <w:trPr>
          <w:trHeight w:val="288"/>
        </w:trPr>
        <w:tc>
          <w:tcPr>
            <w:tcW w:w="1126" w:type="pct"/>
            <w:tcBorders>
              <w:top w:val="nil"/>
              <w:left w:val="nil"/>
              <w:bottom w:val="single" w:sz="4" w:space="0" w:color="auto"/>
              <w:right w:val="nil"/>
            </w:tcBorders>
            <w:shd w:val="clear" w:color="auto" w:fill="auto"/>
            <w:noWrap/>
            <w:vAlign w:val="bottom"/>
            <w:hideMark/>
          </w:tcPr>
          <w:p w14:paraId="7E9A6938" w14:textId="77777777" w:rsidR="007B32D6" w:rsidRPr="007F6B2E" w:rsidRDefault="007B32D6" w:rsidP="00005043">
            <w:pPr>
              <w:spacing w:line="240" w:lineRule="auto"/>
              <w:ind w:firstLine="0"/>
              <w:jc w:val="left"/>
              <w:rPr>
                <w:rFonts w:ascii="Calibri" w:eastAsia="Times New Roman" w:hAnsi="Calibri" w:cs="Calibri"/>
                <w:color w:val="000000"/>
                <w:sz w:val="22"/>
                <w:szCs w:val="22"/>
                <w:lang w:val="en-US"/>
                <w14:ligatures w14:val="none"/>
              </w:rPr>
            </w:pPr>
            <w:r w:rsidRPr="007F6B2E">
              <w:rPr>
                <w:rFonts w:ascii="Calibri" w:eastAsia="Times New Roman" w:hAnsi="Calibri" w:cs="Calibri"/>
                <w:color w:val="000000"/>
                <w:sz w:val="22"/>
                <w:szCs w:val="22"/>
                <w:lang w:val="en-US"/>
                <w14:ligatures w14:val="none"/>
              </w:rPr>
              <w:t> </w:t>
            </w:r>
          </w:p>
        </w:tc>
        <w:tc>
          <w:tcPr>
            <w:tcW w:w="968" w:type="pct"/>
            <w:tcBorders>
              <w:top w:val="nil"/>
              <w:left w:val="nil"/>
              <w:bottom w:val="single" w:sz="4" w:space="0" w:color="auto"/>
              <w:right w:val="nil"/>
            </w:tcBorders>
            <w:shd w:val="clear" w:color="auto" w:fill="auto"/>
            <w:noWrap/>
            <w:vAlign w:val="bottom"/>
            <w:hideMark/>
          </w:tcPr>
          <w:p w14:paraId="04C387AD" w14:textId="77777777" w:rsidR="007B32D6" w:rsidRPr="007F6B2E" w:rsidRDefault="007B32D6" w:rsidP="00005043">
            <w:pPr>
              <w:spacing w:line="240" w:lineRule="auto"/>
              <w:ind w:firstLine="0"/>
              <w:jc w:val="right"/>
              <w:rPr>
                <w:rFonts w:ascii="Calibri" w:eastAsia="Times New Roman" w:hAnsi="Calibri" w:cs="Calibri"/>
                <w:b/>
                <w:bCs/>
                <w:color w:val="000000"/>
                <w:sz w:val="22"/>
                <w:szCs w:val="22"/>
                <w:lang w:val="en-US"/>
                <w14:ligatures w14:val="none"/>
              </w:rPr>
            </w:pPr>
            <w:r w:rsidRPr="007F6B2E">
              <w:rPr>
                <w:rFonts w:ascii="Calibri" w:eastAsia="Times New Roman" w:hAnsi="Calibri" w:cs="Calibri"/>
                <w:b/>
                <w:bCs/>
                <w:color w:val="000000"/>
                <w:sz w:val="22"/>
                <w:szCs w:val="22"/>
                <w:lang w:val="en-US"/>
                <w14:ligatures w14:val="none"/>
              </w:rPr>
              <w:t>RMSE</w:t>
            </w:r>
          </w:p>
        </w:tc>
        <w:tc>
          <w:tcPr>
            <w:tcW w:w="968" w:type="pct"/>
            <w:tcBorders>
              <w:top w:val="nil"/>
              <w:left w:val="nil"/>
              <w:bottom w:val="single" w:sz="4" w:space="0" w:color="auto"/>
              <w:right w:val="nil"/>
            </w:tcBorders>
            <w:vAlign w:val="bottom"/>
          </w:tcPr>
          <w:p w14:paraId="5C38B4EA" w14:textId="77777777" w:rsidR="007B32D6" w:rsidRPr="007F6B2E" w:rsidRDefault="007B32D6" w:rsidP="00005043">
            <w:pPr>
              <w:spacing w:line="240" w:lineRule="auto"/>
              <w:ind w:firstLine="0"/>
              <w:jc w:val="right"/>
              <w:rPr>
                <w:rFonts w:ascii="Calibri" w:eastAsia="Times New Roman" w:hAnsi="Calibri" w:cs="Calibri"/>
                <w:b/>
                <w:bCs/>
                <w:color w:val="000000"/>
                <w:sz w:val="22"/>
                <w:szCs w:val="22"/>
                <w:lang w:val="en-US"/>
                <w14:ligatures w14:val="none"/>
              </w:rPr>
            </w:pPr>
            <w:r w:rsidRPr="007F6B2E">
              <w:rPr>
                <w:rFonts w:ascii="Calibri" w:eastAsia="Times New Roman" w:hAnsi="Calibri" w:cs="Calibri"/>
                <w:b/>
                <w:bCs/>
                <w:color w:val="000000"/>
                <w:sz w:val="22"/>
                <w:szCs w:val="22"/>
                <w:lang w:val="en-US"/>
                <w14:ligatures w14:val="none"/>
              </w:rPr>
              <w:t>RMSE</w:t>
            </w:r>
            <w:r>
              <w:rPr>
                <w:rFonts w:ascii="Calibri" w:eastAsia="Times New Roman" w:hAnsi="Calibri" w:cs="Calibri"/>
                <w:b/>
                <w:bCs/>
                <w:color w:val="000000"/>
                <w:sz w:val="22"/>
                <w:szCs w:val="22"/>
                <w:lang w:val="en-US"/>
                <w14:ligatures w14:val="none"/>
              </w:rPr>
              <w:t xml:space="preserve"> (smoothed)</w:t>
            </w:r>
          </w:p>
        </w:tc>
        <w:tc>
          <w:tcPr>
            <w:tcW w:w="969" w:type="pct"/>
            <w:tcBorders>
              <w:top w:val="nil"/>
              <w:left w:val="nil"/>
              <w:bottom w:val="single" w:sz="4" w:space="0" w:color="auto"/>
              <w:right w:val="nil"/>
            </w:tcBorders>
            <w:shd w:val="clear" w:color="auto" w:fill="auto"/>
            <w:noWrap/>
            <w:vAlign w:val="bottom"/>
            <w:hideMark/>
          </w:tcPr>
          <w:p w14:paraId="06815046" w14:textId="77777777" w:rsidR="007B32D6" w:rsidRPr="007F6B2E" w:rsidRDefault="007B32D6" w:rsidP="00005043">
            <w:pPr>
              <w:spacing w:line="240" w:lineRule="auto"/>
              <w:ind w:firstLine="0"/>
              <w:jc w:val="right"/>
              <w:rPr>
                <w:rFonts w:ascii="Calibri" w:eastAsia="Times New Roman" w:hAnsi="Calibri" w:cs="Calibri"/>
                <w:b/>
                <w:bCs/>
                <w:color w:val="000000"/>
                <w:sz w:val="22"/>
                <w:szCs w:val="22"/>
                <w:lang w:val="en-US"/>
                <w14:ligatures w14:val="none"/>
              </w:rPr>
            </w:pPr>
            <w:r w:rsidRPr="007F6B2E">
              <w:rPr>
                <w:rFonts w:ascii="Calibri" w:eastAsia="Times New Roman" w:hAnsi="Calibri" w:cs="Calibri"/>
                <w:b/>
                <w:bCs/>
                <w:color w:val="000000"/>
                <w:sz w:val="22"/>
                <w:szCs w:val="22"/>
                <w:lang w:val="en-US"/>
                <w14:ligatures w14:val="none"/>
              </w:rPr>
              <w:t>RMSE</w:t>
            </w:r>
          </w:p>
        </w:tc>
        <w:tc>
          <w:tcPr>
            <w:tcW w:w="969" w:type="pct"/>
            <w:tcBorders>
              <w:top w:val="nil"/>
              <w:left w:val="nil"/>
              <w:bottom w:val="single" w:sz="4" w:space="0" w:color="auto"/>
              <w:right w:val="nil"/>
            </w:tcBorders>
            <w:vAlign w:val="bottom"/>
          </w:tcPr>
          <w:p w14:paraId="29F14A0C" w14:textId="77777777" w:rsidR="007B32D6" w:rsidRPr="007F6B2E" w:rsidRDefault="007B32D6" w:rsidP="00005043">
            <w:pPr>
              <w:spacing w:line="240" w:lineRule="auto"/>
              <w:ind w:firstLine="0"/>
              <w:jc w:val="right"/>
              <w:rPr>
                <w:rFonts w:ascii="Calibri" w:eastAsia="Times New Roman" w:hAnsi="Calibri" w:cs="Calibri"/>
                <w:b/>
                <w:bCs/>
                <w:color w:val="000000"/>
                <w:sz w:val="22"/>
                <w:szCs w:val="22"/>
                <w:lang w:val="en-US"/>
                <w14:ligatures w14:val="none"/>
              </w:rPr>
            </w:pPr>
            <w:r w:rsidRPr="007F6B2E">
              <w:rPr>
                <w:rFonts w:ascii="Calibri" w:eastAsia="Times New Roman" w:hAnsi="Calibri" w:cs="Calibri"/>
                <w:b/>
                <w:bCs/>
                <w:color w:val="000000"/>
                <w:sz w:val="22"/>
                <w:szCs w:val="22"/>
                <w:lang w:val="en-US"/>
                <w14:ligatures w14:val="none"/>
              </w:rPr>
              <w:t>RMSE</w:t>
            </w:r>
            <w:r>
              <w:rPr>
                <w:rFonts w:ascii="Calibri" w:eastAsia="Times New Roman" w:hAnsi="Calibri" w:cs="Calibri"/>
                <w:b/>
                <w:bCs/>
                <w:color w:val="000000"/>
                <w:sz w:val="22"/>
                <w:szCs w:val="22"/>
                <w:lang w:val="en-US"/>
                <w14:ligatures w14:val="none"/>
              </w:rPr>
              <w:t xml:space="preserve"> (smoothed)</w:t>
            </w:r>
          </w:p>
        </w:tc>
      </w:tr>
      <w:tr w:rsidR="007B32D6" w:rsidRPr="007F6B2E" w14:paraId="1F3A810F" w14:textId="77777777" w:rsidTr="00005043">
        <w:trPr>
          <w:trHeight w:val="288"/>
        </w:trPr>
        <w:tc>
          <w:tcPr>
            <w:tcW w:w="1126" w:type="pct"/>
            <w:tcBorders>
              <w:top w:val="nil"/>
              <w:left w:val="nil"/>
              <w:bottom w:val="nil"/>
              <w:right w:val="nil"/>
            </w:tcBorders>
            <w:shd w:val="clear" w:color="auto" w:fill="auto"/>
            <w:noWrap/>
            <w:vAlign w:val="bottom"/>
            <w:hideMark/>
          </w:tcPr>
          <w:p w14:paraId="63D241B0" w14:textId="77777777" w:rsidR="007B32D6" w:rsidRPr="007F6B2E" w:rsidRDefault="007B32D6" w:rsidP="00005043">
            <w:pPr>
              <w:spacing w:line="240" w:lineRule="auto"/>
              <w:ind w:firstLine="0"/>
              <w:jc w:val="left"/>
              <w:rPr>
                <w:rFonts w:ascii="Calibri" w:eastAsia="Times New Roman" w:hAnsi="Calibri" w:cs="Calibri"/>
                <w:color w:val="000000"/>
                <w:sz w:val="22"/>
                <w:szCs w:val="22"/>
                <w:lang w:val="en-US"/>
                <w14:ligatures w14:val="none"/>
              </w:rPr>
            </w:pPr>
            <w:r w:rsidRPr="007F6B2E">
              <w:rPr>
                <w:rFonts w:ascii="Calibri" w:eastAsia="Times New Roman" w:hAnsi="Calibri" w:cs="Calibri"/>
                <w:color w:val="000000"/>
                <w:sz w:val="22"/>
                <w:szCs w:val="22"/>
                <w:lang w:val="en-US"/>
                <w14:ligatures w14:val="none"/>
              </w:rPr>
              <w:t>Obs.</w:t>
            </w:r>
          </w:p>
        </w:tc>
        <w:tc>
          <w:tcPr>
            <w:tcW w:w="968" w:type="pct"/>
            <w:tcBorders>
              <w:top w:val="nil"/>
              <w:left w:val="nil"/>
              <w:bottom w:val="nil"/>
              <w:right w:val="nil"/>
            </w:tcBorders>
            <w:shd w:val="clear" w:color="auto" w:fill="auto"/>
            <w:noWrap/>
            <w:vAlign w:val="bottom"/>
          </w:tcPr>
          <w:p w14:paraId="142EF8DF"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sidRPr="00D62F80">
              <w:rPr>
                <w:rFonts w:ascii="Calibri" w:eastAsia="Times New Roman" w:hAnsi="Calibri" w:cs="Calibri"/>
                <w:color w:val="000000"/>
                <w:sz w:val="22"/>
                <w:szCs w:val="22"/>
                <w:lang w:val="en-US"/>
                <w14:ligatures w14:val="none"/>
              </w:rPr>
              <w:t>2193</w:t>
            </w:r>
          </w:p>
        </w:tc>
        <w:tc>
          <w:tcPr>
            <w:tcW w:w="968" w:type="pct"/>
            <w:tcBorders>
              <w:top w:val="nil"/>
              <w:left w:val="nil"/>
              <w:bottom w:val="nil"/>
              <w:right w:val="nil"/>
            </w:tcBorders>
          </w:tcPr>
          <w:p w14:paraId="690E471F"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sidRPr="00D62F80">
              <w:rPr>
                <w:rFonts w:ascii="Calibri" w:eastAsia="Times New Roman" w:hAnsi="Calibri" w:cs="Calibri"/>
                <w:color w:val="000000"/>
                <w:sz w:val="22"/>
                <w:szCs w:val="22"/>
                <w:lang w:val="en-US"/>
                <w14:ligatures w14:val="none"/>
              </w:rPr>
              <w:t>2193</w:t>
            </w:r>
          </w:p>
        </w:tc>
        <w:tc>
          <w:tcPr>
            <w:tcW w:w="969" w:type="pct"/>
            <w:tcBorders>
              <w:top w:val="nil"/>
              <w:left w:val="nil"/>
              <w:bottom w:val="nil"/>
              <w:right w:val="nil"/>
            </w:tcBorders>
            <w:shd w:val="clear" w:color="auto" w:fill="auto"/>
            <w:noWrap/>
            <w:vAlign w:val="bottom"/>
          </w:tcPr>
          <w:p w14:paraId="63CB4E5F"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sidRPr="00BE546F">
              <w:rPr>
                <w:rFonts w:ascii="Calibri" w:eastAsia="Times New Roman" w:hAnsi="Calibri" w:cs="Calibri"/>
                <w:color w:val="000000"/>
                <w:sz w:val="22"/>
                <w:szCs w:val="22"/>
                <w:lang w:val="en-US"/>
                <w14:ligatures w14:val="none"/>
              </w:rPr>
              <w:t>2193</w:t>
            </w:r>
          </w:p>
        </w:tc>
        <w:tc>
          <w:tcPr>
            <w:tcW w:w="969" w:type="pct"/>
            <w:tcBorders>
              <w:top w:val="nil"/>
              <w:left w:val="nil"/>
              <w:bottom w:val="nil"/>
              <w:right w:val="nil"/>
            </w:tcBorders>
          </w:tcPr>
          <w:p w14:paraId="098A71C0"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sidRPr="00BE546F">
              <w:rPr>
                <w:rFonts w:ascii="Calibri" w:eastAsia="Times New Roman" w:hAnsi="Calibri" w:cs="Calibri"/>
                <w:color w:val="000000"/>
                <w:sz w:val="22"/>
                <w:szCs w:val="22"/>
                <w:lang w:val="en-US"/>
                <w14:ligatures w14:val="none"/>
              </w:rPr>
              <w:t>2193</w:t>
            </w:r>
          </w:p>
        </w:tc>
      </w:tr>
      <w:tr w:rsidR="007B32D6" w:rsidRPr="007F6B2E" w14:paraId="0D237941" w14:textId="77777777" w:rsidTr="00005043">
        <w:trPr>
          <w:trHeight w:val="288"/>
        </w:trPr>
        <w:tc>
          <w:tcPr>
            <w:tcW w:w="1126" w:type="pct"/>
            <w:tcBorders>
              <w:top w:val="nil"/>
              <w:left w:val="nil"/>
              <w:bottom w:val="nil"/>
              <w:right w:val="nil"/>
            </w:tcBorders>
            <w:shd w:val="clear" w:color="auto" w:fill="auto"/>
            <w:noWrap/>
            <w:vAlign w:val="bottom"/>
            <w:hideMark/>
          </w:tcPr>
          <w:p w14:paraId="2275D9AB" w14:textId="77777777" w:rsidR="007B32D6" w:rsidRPr="007F6B2E" w:rsidRDefault="007B32D6" w:rsidP="00005043">
            <w:pPr>
              <w:spacing w:line="240" w:lineRule="auto"/>
              <w:ind w:firstLine="0"/>
              <w:jc w:val="left"/>
              <w:rPr>
                <w:rFonts w:ascii="Calibri" w:eastAsia="Times New Roman" w:hAnsi="Calibri" w:cs="Calibri"/>
                <w:color w:val="000000"/>
                <w:sz w:val="22"/>
                <w:szCs w:val="22"/>
                <w:lang w:val="en-US"/>
                <w14:ligatures w14:val="none"/>
              </w:rPr>
            </w:pPr>
            <w:r w:rsidRPr="007F6B2E">
              <w:rPr>
                <w:rFonts w:ascii="Calibri" w:eastAsia="Times New Roman" w:hAnsi="Calibri" w:cs="Calibri"/>
                <w:color w:val="000000"/>
                <w:sz w:val="22"/>
                <w:szCs w:val="22"/>
                <w:lang w:val="en-US"/>
                <w14:ligatures w14:val="none"/>
              </w:rPr>
              <w:t>Mean</w:t>
            </w:r>
          </w:p>
        </w:tc>
        <w:tc>
          <w:tcPr>
            <w:tcW w:w="968" w:type="pct"/>
            <w:tcBorders>
              <w:top w:val="nil"/>
              <w:left w:val="nil"/>
              <w:bottom w:val="nil"/>
              <w:right w:val="nil"/>
            </w:tcBorders>
            <w:shd w:val="clear" w:color="auto" w:fill="auto"/>
            <w:noWrap/>
            <w:vAlign w:val="bottom"/>
          </w:tcPr>
          <w:p w14:paraId="1E2C37F6"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616.43</w:t>
            </w:r>
          </w:p>
        </w:tc>
        <w:tc>
          <w:tcPr>
            <w:tcW w:w="968" w:type="pct"/>
            <w:tcBorders>
              <w:top w:val="nil"/>
              <w:left w:val="nil"/>
              <w:bottom w:val="nil"/>
              <w:right w:val="nil"/>
            </w:tcBorders>
          </w:tcPr>
          <w:p w14:paraId="216B8CBF"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310.63</w:t>
            </w:r>
          </w:p>
        </w:tc>
        <w:tc>
          <w:tcPr>
            <w:tcW w:w="969" w:type="pct"/>
            <w:tcBorders>
              <w:top w:val="nil"/>
              <w:left w:val="nil"/>
              <w:bottom w:val="nil"/>
              <w:right w:val="nil"/>
            </w:tcBorders>
            <w:shd w:val="clear" w:color="auto" w:fill="auto"/>
            <w:noWrap/>
            <w:vAlign w:val="bottom"/>
          </w:tcPr>
          <w:p w14:paraId="36032D97"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926.21</w:t>
            </w:r>
          </w:p>
        </w:tc>
        <w:tc>
          <w:tcPr>
            <w:tcW w:w="969" w:type="pct"/>
            <w:tcBorders>
              <w:top w:val="nil"/>
              <w:left w:val="nil"/>
              <w:bottom w:val="nil"/>
              <w:right w:val="nil"/>
            </w:tcBorders>
          </w:tcPr>
          <w:p w14:paraId="32F8C828"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sidRPr="00BE546F">
              <w:rPr>
                <w:rFonts w:ascii="Calibri" w:eastAsia="Times New Roman" w:hAnsi="Calibri" w:cs="Calibri"/>
                <w:color w:val="000000"/>
                <w:sz w:val="22"/>
                <w:szCs w:val="22"/>
                <w:lang w:val="en-US"/>
                <w14:ligatures w14:val="none"/>
              </w:rPr>
              <w:t>464.86</w:t>
            </w:r>
          </w:p>
        </w:tc>
      </w:tr>
      <w:tr w:rsidR="007B32D6" w:rsidRPr="007F6B2E" w14:paraId="053F72DA" w14:textId="77777777" w:rsidTr="00005043">
        <w:trPr>
          <w:trHeight w:val="288"/>
        </w:trPr>
        <w:tc>
          <w:tcPr>
            <w:tcW w:w="1126" w:type="pct"/>
            <w:tcBorders>
              <w:top w:val="nil"/>
              <w:left w:val="nil"/>
              <w:bottom w:val="nil"/>
              <w:right w:val="nil"/>
            </w:tcBorders>
            <w:shd w:val="clear" w:color="auto" w:fill="auto"/>
            <w:noWrap/>
            <w:vAlign w:val="bottom"/>
            <w:hideMark/>
          </w:tcPr>
          <w:p w14:paraId="24EF7A79" w14:textId="77777777" w:rsidR="007B32D6" w:rsidRPr="007F6B2E" w:rsidRDefault="007B32D6" w:rsidP="00005043">
            <w:pPr>
              <w:spacing w:line="240" w:lineRule="auto"/>
              <w:ind w:firstLine="0"/>
              <w:jc w:val="left"/>
              <w:rPr>
                <w:rFonts w:ascii="Calibri" w:eastAsia="Times New Roman" w:hAnsi="Calibri" w:cs="Calibri"/>
                <w:color w:val="000000"/>
                <w:sz w:val="22"/>
                <w:szCs w:val="22"/>
                <w:lang w:val="en-US"/>
                <w14:ligatures w14:val="none"/>
              </w:rPr>
            </w:pPr>
            <w:r w:rsidRPr="007F6B2E">
              <w:rPr>
                <w:rFonts w:ascii="Calibri" w:eastAsia="Times New Roman" w:hAnsi="Calibri" w:cs="Calibri"/>
                <w:color w:val="000000"/>
                <w:sz w:val="22"/>
                <w:szCs w:val="22"/>
                <w:lang w:val="en-US"/>
                <w14:ligatures w14:val="none"/>
              </w:rPr>
              <w:t>Std. Dev.</w:t>
            </w:r>
          </w:p>
        </w:tc>
        <w:tc>
          <w:tcPr>
            <w:tcW w:w="968" w:type="pct"/>
            <w:tcBorders>
              <w:top w:val="nil"/>
              <w:left w:val="nil"/>
              <w:bottom w:val="nil"/>
              <w:right w:val="nil"/>
            </w:tcBorders>
            <w:shd w:val="clear" w:color="auto" w:fill="auto"/>
            <w:noWrap/>
            <w:vAlign w:val="bottom"/>
          </w:tcPr>
          <w:p w14:paraId="123A2EDB"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794.73</w:t>
            </w:r>
          </w:p>
        </w:tc>
        <w:tc>
          <w:tcPr>
            <w:tcW w:w="968" w:type="pct"/>
            <w:tcBorders>
              <w:top w:val="nil"/>
              <w:left w:val="nil"/>
              <w:bottom w:val="nil"/>
              <w:right w:val="nil"/>
            </w:tcBorders>
          </w:tcPr>
          <w:p w14:paraId="5D243231"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384.48</w:t>
            </w:r>
          </w:p>
        </w:tc>
        <w:tc>
          <w:tcPr>
            <w:tcW w:w="969" w:type="pct"/>
            <w:tcBorders>
              <w:top w:val="nil"/>
              <w:left w:val="nil"/>
              <w:bottom w:val="nil"/>
              <w:right w:val="nil"/>
            </w:tcBorders>
            <w:shd w:val="clear" w:color="auto" w:fill="auto"/>
            <w:noWrap/>
            <w:vAlign w:val="bottom"/>
          </w:tcPr>
          <w:p w14:paraId="50A66933"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1663.34</w:t>
            </w:r>
          </w:p>
        </w:tc>
        <w:tc>
          <w:tcPr>
            <w:tcW w:w="969" w:type="pct"/>
            <w:tcBorders>
              <w:top w:val="nil"/>
              <w:left w:val="nil"/>
              <w:bottom w:val="nil"/>
              <w:right w:val="nil"/>
            </w:tcBorders>
          </w:tcPr>
          <w:p w14:paraId="1B1EBCD8"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797.81</w:t>
            </w:r>
          </w:p>
        </w:tc>
      </w:tr>
      <w:tr w:rsidR="007B32D6" w:rsidRPr="007F6B2E" w14:paraId="75AF3FF8" w14:textId="77777777" w:rsidTr="00005043">
        <w:trPr>
          <w:trHeight w:val="288"/>
        </w:trPr>
        <w:tc>
          <w:tcPr>
            <w:tcW w:w="1126" w:type="pct"/>
            <w:tcBorders>
              <w:top w:val="nil"/>
              <w:left w:val="nil"/>
              <w:bottom w:val="nil"/>
              <w:right w:val="nil"/>
            </w:tcBorders>
            <w:shd w:val="clear" w:color="auto" w:fill="auto"/>
            <w:noWrap/>
            <w:vAlign w:val="bottom"/>
            <w:hideMark/>
          </w:tcPr>
          <w:p w14:paraId="6E25DA80" w14:textId="77777777" w:rsidR="007B32D6" w:rsidRPr="007F6B2E" w:rsidRDefault="007B32D6" w:rsidP="00005043">
            <w:pPr>
              <w:spacing w:line="240" w:lineRule="auto"/>
              <w:ind w:firstLine="0"/>
              <w:jc w:val="left"/>
              <w:rPr>
                <w:rFonts w:ascii="Calibri" w:eastAsia="Times New Roman" w:hAnsi="Calibri" w:cs="Calibri"/>
                <w:color w:val="000000"/>
                <w:sz w:val="22"/>
                <w:szCs w:val="22"/>
                <w:lang w:val="en-US"/>
                <w14:ligatures w14:val="none"/>
              </w:rPr>
            </w:pPr>
            <w:r w:rsidRPr="007F6B2E">
              <w:rPr>
                <w:rFonts w:ascii="Calibri" w:eastAsia="Times New Roman" w:hAnsi="Calibri" w:cs="Calibri"/>
                <w:color w:val="000000"/>
                <w:sz w:val="22"/>
                <w:szCs w:val="22"/>
                <w:lang w:val="en-US"/>
                <w14:ligatures w14:val="none"/>
              </w:rPr>
              <w:t>Median</w:t>
            </w:r>
          </w:p>
        </w:tc>
        <w:tc>
          <w:tcPr>
            <w:tcW w:w="968" w:type="pct"/>
            <w:tcBorders>
              <w:top w:val="nil"/>
              <w:left w:val="nil"/>
              <w:bottom w:val="nil"/>
              <w:right w:val="nil"/>
            </w:tcBorders>
            <w:shd w:val="clear" w:color="auto" w:fill="auto"/>
            <w:noWrap/>
            <w:vAlign w:val="bottom"/>
          </w:tcPr>
          <w:p w14:paraId="3D3C6161"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425.65</w:t>
            </w:r>
          </w:p>
        </w:tc>
        <w:tc>
          <w:tcPr>
            <w:tcW w:w="968" w:type="pct"/>
            <w:tcBorders>
              <w:top w:val="nil"/>
              <w:left w:val="nil"/>
              <w:bottom w:val="nil"/>
              <w:right w:val="nil"/>
            </w:tcBorders>
          </w:tcPr>
          <w:p w14:paraId="507089E6"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212.19</w:t>
            </w:r>
          </w:p>
        </w:tc>
        <w:tc>
          <w:tcPr>
            <w:tcW w:w="969" w:type="pct"/>
            <w:tcBorders>
              <w:top w:val="nil"/>
              <w:left w:val="nil"/>
              <w:bottom w:val="nil"/>
              <w:right w:val="nil"/>
            </w:tcBorders>
            <w:shd w:val="clear" w:color="auto" w:fill="auto"/>
            <w:noWrap/>
            <w:vAlign w:val="bottom"/>
          </w:tcPr>
          <w:p w14:paraId="08671739"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525.40</w:t>
            </w:r>
          </w:p>
        </w:tc>
        <w:tc>
          <w:tcPr>
            <w:tcW w:w="969" w:type="pct"/>
            <w:tcBorders>
              <w:top w:val="nil"/>
              <w:left w:val="nil"/>
              <w:bottom w:val="nil"/>
              <w:right w:val="nil"/>
            </w:tcBorders>
          </w:tcPr>
          <w:p w14:paraId="75F290F0" w14:textId="77777777" w:rsidR="007B32D6" w:rsidRPr="007F6B2E" w:rsidRDefault="007B32D6" w:rsidP="00005043">
            <w:pPr>
              <w:spacing w:line="240" w:lineRule="auto"/>
              <w:ind w:firstLine="0"/>
              <w:jc w:val="right"/>
              <w:rPr>
                <w:rFonts w:ascii="Calibri" w:eastAsia="Times New Roman" w:hAnsi="Calibri" w:cs="Calibri"/>
                <w:color w:val="000000"/>
                <w:sz w:val="22"/>
                <w:szCs w:val="22"/>
                <w:lang w:val="en-US"/>
                <w14:ligatures w14:val="none"/>
              </w:rPr>
            </w:pPr>
            <w:r>
              <w:rPr>
                <w:rFonts w:ascii="Calibri" w:eastAsia="Times New Roman" w:hAnsi="Calibri" w:cs="Calibri"/>
                <w:color w:val="000000"/>
                <w:sz w:val="22"/>
                <w:szCs w:val="22"/>
                <w:lang w:val="en-US"/>
                <w14:ligatures w14:val="none"/>
              </w:rPr>
              <w:t>263.91</w:t>
            </w:r>
          </w:p>
        </w:tc>
      </w:tr>
    </w:tbl>
    <w:p w14:paraId="339D97A5" w14:textId="50333028" w:rsidR="006B362A" w:rsidRDefault="008355A8">
      <w:pPr>
        <w:spacing w:line="240" w:lineRule="auto"/>
        <w:ind w:firstLine="0"/>
        <w:jc w:val="left"/>
        <w:rPr>
          <w:rFonts w:ascii="Lato" w:eastAsiaTheme="majorEastAsia" w:hAnsi="Lato" w:cstheme="majorBidi" w:hint="eastAsia"/>
          <w:bCs/>
          <w:caps/>
          <w:color w:val="59595B"/>
          <w:sz w:val="28"/>
          <w:szCs w:val="28"/>
          <w:lang w:val="en-AU" w:eastAsia="en-AU"/>
        </w:rPr>
      </w:pPr>
      <w:r>
        <w:rPr>
          <w:lang w:val="en-AU" w:eastAsia="en-AU"/>
        </w:rPr>
        <w:t xml:space="preserve"> </w:t>
      </w:r>
    </w:p>
    <w:p w14:paraId="25791E48" w14:textId="709F8AD2" w:rsidR="00962855" w:rsidRDefault="00103B65" w:rsidP="008355A8">
      <w:pPr>
        <w:pStyle w:val="Heading2"/>
        <w:rPr>
          <w:rFonts w:hint="eastAsia"/>
          <w:lang w:val="en-AU" w:eastAsia="en-AU"/>
        </w:rPr>
      </w:pPr>
      <w:bookmarkStart w:id="100" w:name="_Toc519077400"/>
      <w:r>
        <w:rPr>
          <w:lang w:val="en-AU" w:eastAsia="en-AU"/>
        </w:rPr>
        <w:t>Census Data Analysis</w:t>
      </w:r>
      <w:bookmarkEnd w:id="100"/>
    </w:p>
    <w:p w14:paraId="253468D3" w14:textId="77777777" w:rsidR="00087843" w:rsidRDefault="00087843" w:rsidP="00103B65">
      <w:pPr>
        <w:rPr>
          <w:lang w:val="en-AU" w:eastAsia="en-AU"/>
        </w:rPr>
      </w:pPr>
    </w:p>
    <w:p w14:paraId="479008E5" w14:textId="52485DA2" w:rsidR="0008489A" w:rsidRDefault="00103B65" w:rsidP="00103B65">
      <w:pPr>
        <w:rPr>
          <w:lang w:val="en-AU" w:eastAsia="en-AU"/>
        </w:rPr>
      </w:pPr>
      <w:r>
        <w:rPr>
          <w:lang w:val="en-AU" w:eastAsia="en-AU"/>
        </w:rPr>
        <w:t>The results from the analysis of the Census 2006, 2011 a</w:t>
      </w:r>
      <w:r w:rsidR="005D3914">
        <w:rPr>
          <w:lang w:val="en-AU" w:eastAsia="en-AU"/>
        </w:rPr>
        <w:t>n</w:t>
      </w:r>
      <w:r>
        <w:rPr>
          <w:lang w:val="en-AU" w:eastAsia="en-AU"/>
        </w:rPr>
        <w:t>d 2016 are shown in Appendix 2</w:t>
      </w:r>
      <w:r w:rsidR="00CE1F72">
        <w:rPr>
          <w:lang w:val="en-AU" w:eastAsia="en-AU"/>
        </w:rPr>
        <w:t xml:space="preserve"> (see the following link for all appendices)</w:t>
      </w:r>
      <w:r>
        <w:rPr>
          <w:lang w:val="en-AU" w:eastAsia="en-AU"/>
        </w:rPr>
        <w:t>.</w:t>
      </w:r>
      <w:r w:rsidR="00931230">
        <w:rPr>
          <w:lang w:val="en-AU" w:eastAsia="en-AU"/>
        </w:rPr>
        <w:t xml:space="preserve"> The results comparing family income and SES for each Census year </w:t>
      </w:r>
      <w:r w:rsidR="005D3914">
        <w:rPr>
          <w:lang w:val="en-AU" w:eastAsia="en-AU"/>
        </w:rPr>
        <w:t xml:space="preserve">(Tables </w:t>
      </w:r>
      <w:r w:rsidR="0073680B">
        <w:rPr>
          <w:lang w:val="en-AU" w:eastAsia="en-AU"/>
        </w:rPr>
        <w:t>3</w:t>
      </w:r>
      <w:r w:rsidR="005D3914">
        <w:rPr>
          <w:lang w:val="en-AU" w:eastAsia="en-AU"/>
        </w:rPr>
        <w:t xml:space="preserve"> – </w:t>
      </w:r>
      <w:r w:rsidR="0073680B">
        <w:rPr>
          <w:lang w:val="en-AU" w:eastAsia="en-AU"/>
        </w:rPr>
        <w:t>6</w:t>
      </w:r>
      <w:r w:rsidR="005D3914">
        <w:rPr>
          <w:lang w:val="en-AU" w:eastAsia="en-AU"/>
        </w:rPr>
        <w:t xml:space="preserve">) </w:t>
      </w:r>
      <w:r w:rsidR="00931230">
        <w:rPr>
          <w:lang w:val="en-AU" w:eastAsia="en-AU"/>
        </w:rPr>
        <w:t xml:space="preserve">show </w:t>
      </w:r>
      <w:r w:rsidR="007924F1">
        <w:rPr>
          <w:lang w:val="en-AU" w:eastAsia="en-AU"/>
        </w:rPr>
        <w:t xml:space="preserve">a strong diagonal, with some </w:t>
      </w:r>
      <w:r w:rsidR="00E81EC7">
        <w:rPr>
          <w:lang w:val="en-AU" w:eastAsia="en-AU"/>
        </w:rPr>
        <w:t>students in the quintile</w:t>
      </w:r>
      <w:r w:rsidR="007924F1">
        <w:rPr>
          <w:lang w:val="en-AU" w:eastAsia="en-AU"/>
        </w:rPr>
        <w:t xml:space="preserve"> </w:t>
      </w:r>
      <w:r w:rsidR="00E81EC7">
        <w:rPr>
          <w:lang w:val="en-AU" w:eastAsia="en-AU"/>
        </w:rPr>
        <w:t>one away from the main diagonal</w:t>
      </w:r>
      <w:r w:rsidR="007924F1">
        <w:rPr>
          <w:lang w:val="en-AU" w:eastAsia="en-AU"/>
        </w:rPr>
        <w:t xml:space="preserve">; but not </w:t>
      </w:r>
      <w:r w:rsidR="00E81EC7">
        <w:rPr>
          <w:lang w:val="en-AU" w:eastAsia="en-AU"/>
        </w:rPr>
        <w:t xml:space="preserve">many </w:t>
      </w:r>
      <w:r w:rsidR="007924F1">
        <w:rPr>
          <w:lang w:val="en-AU" w:eastAsia="en-AU"/>
        </w:rPr>
        <w:t>beyond that. As an example, looking at the first cell in</w:t>
      </w:r>
      <w:r w:rsidR="0073680B">
        <w:rPr>
          <w:lang w:val="en-AU" w:eastAsia="en-AU"/>
        </w:rPr>
        <w:t xml:space="preserve"> </w:t>
      </w:r>
      <w:r w:rsidR="0073680B">
        <w:rPr>
          <w:lang w:val="en-AU" w:eastAsia="en-AU"/>
        </w:rPr>
        <w:fldChar w:fldCharType="begin"/>
      </w:r>
      <w:r w:rsidR="0073680B">
        <w:rPr>
          <w:lang w:val="en-AU" w:eastAsia="en-AU"/>
        </w:rPr>
        <w:instrText xml:space="preserve"> REF _Ref507513897 \h </w:instrText>
      </w:r>
      <w:r w:rsidR="0073680B">
        <w:rPr>
          <w:lang w:val="en-AU" w:eastAsia="en-AU"/>
        </w:rPr>
      </w:r>
      <w:r w:rsidR="0073680B">
        <w:rPr>
          <w:lang w:val="en-AU" w:eastAsia="en-AU"/>
        </w:rPr>
        <w:fldChar w:fldCharType="separate"/>
      </w:r>
      <w:r w:rsidR="00171745">
        <w:t xml:space="preserve">Table </w:t>
      </w:r>
      <w:r w:rsidR="00171745">
        <w:rPr>
          <w:noProof/>
        </w:rPr>
        <w:t>7</w:t>
      </w:r>
      <w:r w:rsidR="0073680B">
        <w:rPr>
          <w:lang w:val="en-AU" w:eastAsia="en-AU"/>
        </w:rPr>
        <w:fldChar w:fldCharType="end"/>
      </w:r>
      <w:r w:rsidR="006B362A">
        <w:rPr>
          <w:lang w:val="en-AU" w:eastAsia="en-AU"/>
        </w:rPr>
        <w:t xml:space="preserve"> (reproduced below)</w:t>
      </w:r>
      <w:r w:rsidR="009F2F13">
        <w:rPr>
          <w:lang w:val="en-AU" w:eastAsia="en-AU"/>
        </w:rPr>
        <w:t xml:space="preserve">, </w:t>
      </w:r>
      <w:r w:rsidR="00931230">
        <w:rPr>
          <w:lang w:val="en-AU" w:eastAsia="en-AU"/>
        </w:rPr>
        <w:t xml:space="preserve">if family income only had been used rather than SES, then </w:t>
      </w:r>
      <w:r w:rsidR="00A92908">
        <w:rPr>
          <w:lang w:val="en-AU" w:eastAsia="en-AU"/>
        </w:rPr>
        <w:t>about 75</w:t>
      </w:r>
      <w:r w:rsidR="00931230">
        <w:rPr>
          <w:lang w:val="en-AU" w:eastAsia="en-AU"/>
        </w:rPr>
        <w:t xml:space="preserve">% of SA1’s would be in the same quintile </w:t>
      </w:r>
      <w:r w:rsidR="00E81EC7">
        <w:rPr>
          <w:lang w:val="en-AU" w:eastAsia="en-AU"/>
        </w:rPr>
        <w:t>for SES and family income</w:t>
      </w:r>
      <w:r w:rsidR="00931230">
        <w:rPr>
          <w:lang w:val="en-AU" w:eastAsia="en-AU"/>
        </w:rPr>
        <w:t xml:space="preserve">; </w:t>
      </w:r>
      <w:r w:rsidR="0073680B">
        <w:rPr>
          <w:lang w:val="en-AU" w:eastAsia="en-AU"/>
        </w:rPr>
        <w:t>21</w:t>
      </w:r>
      <w:r w:rsidR="00931230">
        <w:rPr>
          <w:lang w:val="en-AU" w:eastAsia="en-AU"/>
        </w:rPr>
        <w:t xml:space="preserve">% </w:t>
      </w:r>
      <w:r w:rsidR="0008489A">
        <w:rPr>
          <w:lang w:val="en-AU" w:eastAsia="en-AU"/>
        </w:rPr>
        <w:t xml:space="preserve">are currently in quintile 2 using SES but would be in quintile 1 using family income only, </w:t>
      </w:r>
      <w:r w:rsidR="00931230">
        <w:rPr>
          <w:lang w:val="en-AU" w:eastAsia="en-AU"/>
        </w:rPr>
        <w:t xml:space="preserve">meaning </w:t>
      </w:r>
      <w:r w:rsidR="0008489A">
        <w:rPr>
          <w:lang w:val="en-AU" w:eastAsia="en-AU"/>
        </w:rPr>
        <w:t>more</w:t>
      </w:r>
      <w:r w:rsidR="00931230">
        <w:rPr>
          <w:lang w:val="en-AU" w:eastAsia="en-AU"/>
        </w:rPr>
        <w:t xml:space="preserve"> funding; and 2</w:t>
      </w:r>
      <w:r w:rsidR="0073680B">
        <w:rPr>
          <w:lang w:val="en-AU" w:eastAsia="en-AU"/>
        </w:rPr>
        <w:t>2</w:t>
      </w:r>
      <w:r w:rsidR="00931230">
        <w:rPr>
          <w:lang w:val="en-AU" w:eastAsia="en-AU"/>
        </w:rPr>
        <w:t xml:space="preserve">% </w:t>
      </w:r>
      <w:r w:rsidR="0008489A">
        <w:rPr>
          <w:lang w:val="en-AU" w:eastAsia="en-AU"/>
        </w:rPr>
        <w:t xml:space="preserve">are currently in quintile 1 using SES, and would move to quintile 2 </w:t>
      </w:r>
      <w:r w:rsidR="00E81EC7">
        <w:rPr>
          <w:lang w:val="en-AU" w:eastAsia="en-AU"/>
        </w:rPr>
        <w:t>if</w:t>
      </w:r>
      <w:r w:rsidR="0008489A">
        <w:rPr>
          <w:lang w:val="en-AU" w:eastAsia="en-AU"/>
        </w:rPr>
        <w:t xml:space="preserve"> family income</w:t>
      </w:r>
      <w:r w:rsidR="00E81EC7">
        <w:rPr>
          <w:lang w:val="en-AU" w:eastAsia="en-AU"/>
        </w:rPr>
        <w:t xml:space="preserve"> only was used</w:t>
      </w:r>
      <w:r w:rsidR="0008489A">
        <w:rPr>
          <w:lang w:val="en-AU" w:eastAsia="en-AU"/>
        </w:rPr>
        <w:t>.</w:t>
      </w:r>
    </w:p>
    <w:p w14:paraId="2B39A46B" w14:textId="77777777" w:rsidR="006B362A" w:rsidRDefault="006B362A" w:rsidP="00103B65">
      <w:pPr>
        <w:rPr>
          <w:lang w:val="en-AU" w:eastAsia="en-AU"/>
        </w:rPr>
      </w:pPr>
    </w:p>
    <w:p w14:paraId="5F930269" w14:textId="709E2B5E" w:rsidR="006B362A" w:rsidRDefault="006B362A" w:rsidP="006B362A">
      <w:pPr>
        <w:pStyle w:val="Caption"/>
        <w:jc w:val="left"/>
      </w:pPr>
      <w:r>
        <w:t>Table 5 (reproduced from appendix): SES vs Income quintiles, 2016 showing percent and count of students</w:t>
      </w:r>
    </w:p>
    <w:tbl>
      <w:tblPr>
        <w:tblW w:w="5000" w:type="pct"/>
        <w:tblLook w:val="04A0" w:firstRow="1" w:lastRow="0" w:firstColumn="1" w:lastColumn="0" w:noHBand="0" w:noVBand="1"/>
        <w:tblCaption w:val="SES vs Income quintiles, 2016 showing percent and count of students"/>
        <w:tblDescription w:val="This is a table comapring SES vs Income quintiles, for 2016 showing percent and count of students. The results comparing family income and SES for 2016 show a strong diagonal, with some students in the quintile one away from the main diagonal; but not many beyond that."/>
      </w:tblPr>
      <w:tblGrid>
        <w:gridCol w:w="396"/>
        <w:gridCol w:w="289"/>
        <w:gridCol w:w="1099"/>
        <w:gridCol w:w="1469"/>
        <w:gridCol w:w="1469"/>
        <w:gridCol w:w="1469"/>
        <w:gridCol w:w="1469"/>
        <w:gridCol w:w="1360"/>
      </w:tblGrid>
      <w:tr w:rsidR="006B362A" w:rsidRPr="004C6AB0" w14:paraId="7F60326F" w14:textId="77777777" w:rsidTr="003F3F5A">
        <w:trPr>
          <w:trHeight w:val="300"/>
        </w:trPr>
        <w:tc>
          <w:tcPr>
            <w:tcW w:w="246" w:type="pct"/>
            <w:vMerge w:val="restart"/>
            <w:tcBorders>
              <w:top w:val="nil"/>
              <w:left w:val="nil"/>
              <w:right w:val="nil"/>
            </w:tcBorders>
            <w:textDirection w:val="btLr"/>
          </w:tcPr>
          <w:p w14:paraId="25D06DA8" w14:textId="77777777" w:rsidR="006B362A" w:rsidRPr="004C6AB0" w:rsidRDefault="006B362A" w:rsidP="003F3F5A">
            <w:pPr>
              <w:spacing w:line="240" w:lineRule="auto"/>
              <w:ind w:left="113" w:right="113" w:firstLine="0"/>
              <w:jc w:val="center"/>
              <w:rPr>
                <w:rFonts w:asciiTheme="majorHAnsi" w:eastAsia="Times New Roman" w:hAnsiTheme="majorHAnsi" w:cstheme="majorHAnsi"/>
                <w:color w:val="000000"/>
                <w:sz w:val="22"/>
                <w:szCs w:val="22"/>
                <w:lang w:val="en-US"/>
                <w14:ligatures w14:val="none"/>
              </w:rPr>
            </w:pPr>
            <w:r w:rsidRPr="004C6AB0">
              <w:rPr>
                <w:rFonts w:asciiTheme="majorHAnsi" w:eastAsia="Times New Roman" w:hAnsiTheme="majorHAnsi" w:cstheme="majorHAnsi"/>
                <w:color w:val="000000"/>
                <w:sz w:val="22"/>
                <w:szCs w:val="22"/>
                <w:lang w:val="en-US"/>
                <w14:ligatures w14:val="none"/>
              </w:rPr>
              <w:t>2016 SES Quintiles</w:t>
            </w:r>
          </w:p>
        </w:tc>
        <w:tc>
          <w:tcPr>
            <w:tcW w:w="4754" w:type="pct"/>
            <w:gridSpan w:val="7"/>
            <w:tcBorders>
              <w:top w:val="nil"/>
              <w:left w:val="nil"/>
              <w:bottom w:val="nil"/>
              <w:right w:val="nil"/>
            </w:tcBorders>
            <w:shd w:val="clear" w:color="auto" w:fill="auto"/>
            <w:noWrap/>
            <w:vAlign w:val="bottom"/>
          </w:tcPr>
          <w:p w14:paraId="480B9501" w14:textId="77777777" w:rsidR="006B362A" w:rsidRPr="004C6AB0" w:rsidRDefault="006B362A" w:rsidP="003F3F5A">
            <w:pPr>
              <w:spacing w:line="240" w:lineRule="auto"/>
              <w:ind w:firstLine="0"/>
              <w:jc w:val="center"/>
              <w:rPr>
                <w:rFonts w:asciiTheme="majorHAnsi" w:eastAsia="Times New Roman" w:hAnsiTheme="majorHAnsi" w:cstheme="majorHAnsi"/>
                <w:color w:val="000000"/>
                <w:sz w:val="22"/>
                <w:szCs w:val="22"/>
                <w:lang w:val="en-US"/>
                <w14:ligatures w14:val="none"/>
              </w:rPr>
            </w:pPr>
            <w:r w:rsidRPr="004C6AB0">
              <w:rPr>
                <w:rFonts w:asciiTheme="majorHAnsi" w:eastAsia="Times New Roman" w:hAnsiTheme="majorHAnsi" w:cstheme="majorHAnsi"/>
                <w:color w:val="000000"/>
                <w:sz w:val="22"/>
                <w:szCs w:val="22"/>
                <w:lang w:val="en-US"/>
                <w14:ligatures w14:val="none"/>
              </w:rPr>
              <w:t>2016 Family Income Quintiles</w:t>
            </w:r>
          </w:p>
        </w:tc>
      </w:tr>
      <w:tr w:rsidR="006B362A" w:rsidRPr="004C6AB0" w14:paraId="1380E028" w14:textId="77777777" w:rsidTr="003F3F5A">
        <w:trPr>
          <w:trHeight w:val="300"/>
        </w:trPr>
        <w:tc>
          <w:tcPr>
            <w:tcW w:w="246" w:type="pct"/>
            <w:vMerge/>
            <w:tcBorders>
              <w:left w:val="nil"/>
              <w:right w:val="nil"/>
            </w:tcBorders>
          </w:tcPr>
          <w:p w14:paraId="287BBBD2" w14:textId="77777777" w:rsidR="006B362A" w:rsidRPr="004C6AB0" w:rsidRDefault="006B362A" w:rsidP="003F3F5A">
            <w:pPr>
              <w:spacing w:line="240" w:lineRule="auto"/>
              <w:ind w:firstLine="0"/>
              <w:jc w:val="left"/>
              <w:rPr>
                <w:rFonts w:asciiTheme="majorHAnsi" w:eastAsia="Times New Roman" w:hAnsiTheme="majorHAnsi" w:cstheme="majorHAnsi"/>
                <w:lang w:val="en-US"/>
                <w14:ligatures w14:val="none"/>
              </w:rPr>
            </w:pPr>
          </w:p>
        </w:tc>
        <w:tc>
          <w:tcPr>
            <w:tcW w:w="171" w:type="pct"/>
            <w:tcBorders>
              <w:top w:val="nil"/>
              <w:left w:val="nil"/>
              <w:bottom w:val="nil"/>
              <w:right w:val="nil"/>
            </w:tcBorders>
            <w:shd w:val="clear" w:color="auto" w:fill="auto"/>
            <w:noWrap/>
            <w:vAlign w:val="bottom"/>
            <w:hideMark/>
          </w:tcPr>
          <w:p w14:paraId="2DE1258E" w14:textId="77777777" w:rsidR="006B362A" w:rsidRPr="004C6AB0" w:rsidRDefault="006B362A" w:rsidP="003F3F5A">
            <w:pPr>
              <w:spacing w:line="240" w:lineRule="auto"/>
              <w:ind w:firstLine="0"/>
              <w:jc w:val="left"/>
              <w:rPr>
                <w:rFonts w:asciiTheme="majorHAnsi" w:eastAsia="Times New Roman" w:hAnsiTheme="majorHAnsi" w:cstheme="majorHAnsi"/>
                <w:lang w:val="en-US"/>
                <w14:ligatures w14:val="none"/>
              </w:rPr>
            </w:pPr>
          </w:p>
        </w:tc>
        <w:tc>
          <w:tcPr>
            <w:tcW w:w="787" w:type="pct"/>
            <w:tcBorders>
              <w:top w:val="nil"/>
              <w:left w:val="nil"/>
              <w:bottom w:val="nil"/>
              <w:right w:val="nil"/>
            </w:tcBorders>
            <w:shd w:val="clear" w:color="auto" w:fill="auto"/>
            <w:vAlign w:val="bottom"/>
            <w:hideMark/>
          </w:tcPr>
          <w:p w14:paraId="316A9041" w14:textId="77777777" w:rsidR="006B362A" w:rsidRPr="004C6AB0" w:rsidRDefault="006B362A" w:rsidP="003F3F5A">
            <w:pPr>
              <w:spacing w:line="240" w:lineRule="auto"/>
              <w:ind w:firstLine="0"/>
              <w:jc w:val="right"/>
              <w:rPr>
                <w:rFonts w:asciiTheme="majorHAnsi" w:eastAsia="Times New Roman" w:hAnsiTheme="majorHAnsi" w:cstheme="majorHAnsi"/>
                <w:b/>
                <w:color w:val="000000"/>
                <w:sz w:val="22"/>
                <w:szCs w:val="22"/>
                <w:lang w:val="en-US"/>
                <w14:ligatures w14:val="none"/>
              </w:rPr>
            </w:pPr>
            <w:r w:rsidRPr="004C6AB0">
              <w:rPr>
                <w:rFonts w:asciiTheme="majorHAnsi" w:eastAsia="Times New Roman" w:hAnsiTheme="majorHAnsi" w:cstheme="majorHAnsi"/>
                <w:b/>
                <w:color w:val="000000"/>
                <w:sz w:val="22"/>
                <w:szCs w:val="22"/>
                <w:lang w:val="en-US"/>
                <w14:ligatures w14:val="none"/>
              </w:rPr>
              <w:t>1</w:t>
            </w:r>
          </w:p>
        </w:tc>
        <w:tc>
          <w:tcPr>
            <w:tcW w:w="787" w:type="pct"/>
            <w:tcBorders>
              <w:top w:val="nil"/>
              <w:left w:val="nil"/>
              <w:bottom w:val="nil"/>
              <w:right w:val="nil"/>
            </w:tcBorders>
            <w:shd w:val="clear" w:color="auto" w:fill="auto"/>
            <w:vAlign w:val="bottom"/>
            <w:hideMark/>
          </w:tcPr>
          <w:p w14:paraId="602CD505" w14:textId="77777777" w:rsidR="006B362A" w:rsidRPr="004C6AB0" w:rsidRDefault="006B362A" w:rsidP="003F3F5A">
            <w:pPr>
              <w:spacing w:line="240" w:lineRule="auto"/>
              <w:ind w:firstLine="0"/>
              <w:jc w:val="right"/>
              <w:rPr>
                <w:rFonts w:asciiTheme="majorHAnsi" w:eastAsia="Times New Roman" w:hAnsiTheme="majorHAnsi" w:cstheme="majorHAnsi"/>
                <w:b/>
                <w:color w:val="000000"/>
                <w:sz w:val="22"/>
                <w:szCs w:val="22"/>
                <w:lang w:val="en-US"/>
                <w14:ligatures w14:val="none"/>
              </w:rPr>
            </w:pPr>
            <w:r w:rsidRPr="004C6AB0">
              <w:rPr>
                <w:rFonts w:asciiTheme="majorHAnsi" w:eastAsia="Times New Roman" w:hAnsiTheme="majorHAnsi" w:cstheme="majorHAnsi"/>
                <w:b/>
                <w:color w:val="000000"/>
                <w:sz w:val="22"/>
                <w:szCs w:val="22"/>
                <w:lang w:val="en-US"/>
                <w14:ligatures w14:val="none"/>
              </w:rPr>
              <w:t>2</w:t>
            </w:r>
          </w:p>
        </w:tc>
        <w:tc>
          <w:tcPr>
            <w:tcW w:w="787" w:type="pct"/>
            <w:tcBorders>
              <w:top w:val="nil"/>
              <w:left w:val="nil"/>
              <w:bottom w:val="nil"/>
              <w:right w:val="nil"/>
            </w:tcBorders>
            <w:shd w:val="clear" w:color="auto" w:fill="auto"/>
            <w:vAlign w:val="bottom"/>
            <w:hideMark/>
          </w:tcPr>
          <w:p w14:paraId="32F4FEA1" w14:textId="77777777" w:rsidR="006B362A" w:rsidRPr="004C6AB0" w:rsidRDefault="006B362A" w:rsidP="003F3F5A">
            <w:pPr>
              <w:spacing w:line="240" w:lineRule="auto"/>
              <w:ind w:firstLine="0"/>
              <w:jc w:val="right"/>
              <w:rPr>
                <w:rFonts w:asciiTheme="majorHAnsi" w:eastAsia="Times New Roman" w:hAnsiTheme="majorHAnsi" w:cstheme="majorHAnsi"/>
                <w:b/>
                <w:color w:val="000000"/>
                <w:sz w:val="22"/>
                <w:szCs w:val="22"/>
                <w:lang w:val="en-US"/>
                <w14:ligatures w14:val="none"/>
              </w:rPr>
            </w:pPr>
            <w:r w:rsidRPr="004C6AB0">
              <w:rPr>
                <w:rFonts w:asciiTheme="majorHAnsi" w:eastAsia="Times New Roman" w:hAnsiTheme="majorHAnsi" w:cstheme="majorHAnsi"/>
                <w:b/>
                <w:color w:val="000000"/>
                <w:sz w:val="22"/>
                <w:szCs w:val="22"/>
                <w:lang w:val="en-US"/>
                <w14:ligatures w14:val="none"/>
              </w:rPr>
              <w:t>3</w:t>
            </w:r>
          </w:p>
        </w:tc>
        <w:tc>
          <w:tcPr>
            <w:tcW w:w="787" w:type="pct"/>
            <w:tcBorders>
              <w:top w:val="nil"/>
              <w:left w:val="nil"/>
              <w:bottom w:val="nil"/>
              <w:right w:val="nil"/>
            </w:tcBorders>
            <w:shd w:val="clear" w:color="auto" w:fill="auto"/>
            <w:vAlign w:val="bottom"/>
            <w:hideMark/>
          </w:tcPr>
          <w:p w14:paraId="7BD929D8" w14:textId="77777777" w:rsidR="006B362A" w:rsidRPr="004C6AB0" w:rsidRDefault="006B362A" w:rsidP="003F3F5A">
            <w:pPr>
              <w:spacing w:line="240" w:lineRule="auto"/>
              <w:ind w:firstLine="0"/>
              <w:jc w:val="right"/>
              <w:rPr>
                <w:rFonts w:asciiTheme="majorHAnsi" w:eastAsia="Times New Roman" w:hAnsiTheme="majorHAnsi" w:cstheme="majorHAnsi"/>
                <w:b/>
                <w:color w:val="000000"/>
                <w:sz w:val="22"/>
                <w:szCs w:val="22"/>
                <w:lang w:val="en-US"/>
                <w14:ligatures w14:val="none"/>
              </w:rPr>
            </w:pPr>
            <w:r w:rsidRPr="004C6AB0">
              <w:rPr>
                <w:rFonts w:asciiTheme="majorHAnsi" w:eastAsia="Times New Roman" w:hAnsiTheme="majorHAnsi" w:cstheme="majorHAnsi"/>
                <w:b/>
                <w:color w:val="000000"/>
                <w:sz w:val="22"/>
                <w:szCs w:val="22"/>
                <w:lang w:val="en-US"/>
                <w14:ligatures w14:val="none"/>
              </w:rPr>
              <w:t>4</w:t>
            </w:r>
          </w:p>
        </w:tc>
        <w:tc>
          <w:tcPr>
            <w:tcW w:w="732" w:type="pct"/>
            <w:tcBorders>
              <w:top w:val="nil"/>
              <w:left w:val="nil"/>
              <w:bottom w:val="nil"/>
              <w:right w:val="nil"/>
            </w:tcBorders>
            <w:shd w:val="clear" w:color="auto" w:fill="auto"/>
            <w:vAlign w:val="bottom"/>
            <w:hideMark/>
          </w:tcPr>
          <w:p w14:paraId="55274EFC" w14:textId="77777777" w:rsidR="006B362A" w:rsidRPr="004C6AB0" w:rsidRDefault="006B362A" w:rsidP="003F3F5A">
            <w:pPr>
              <w:spacing w:line="240" w:lineRule="auto"/>
              <w:ind w:firstLine="0"/>
              <w:jc w:val="right"/>
              <w:rPr>
                <w:rFonts w:asciiTheme="majorHAnsi" w:eastAsia="Times New Roman" w:hAnsiTheme="majorHAnsi" w:cstheme="majorHAnsi"/>
                <w:b/>
                <w:color w:val="000000"/>
                <w:sz w:val="22"/>
                <w:szCs w:val="22"/>
                <w:lang w:val="en-US"/>
                <w14:ligatures w14:val="none"/>
              </w:rPr>
            </w:pPr>
            <w:r w:rsidRPr="004C6AB0">
              <w:rPr>
                <w:rFonts w:asciiTheme="majorHAnsi" w:eastAsia="Times New Roman" w:hAnsiTheme="majorHAnsi" w:cstheme="majorHAnsi"/>
                <w:b/>
                <w:color w:val="000000"/>
                <w:sz w:val="22"/>
                <w:szCs w:val="22"/>
                <w:lang w:val="en-US"/>
                <w14:ligatures w14:val="none"/>
              </w:rPr>
              <w:t>5</w:t>
            </w:r>
          </w:p>
        </w:tc>
        <w:tc>
          <w:tcPr>
            <w:tcW w:w="704" w:type="pct"/>
            <w:tcBorders>
              <w:top w:val="nil"/>
              <w:left w:val="nil"/>
              <w:bottom w:val="nil"/>
              <w:right w:val="nil"/>
            </w:tcBorders>
            <w:shd w:val="clear" w:color="auto" w:fill="auto"/>
            <w:noWrap/>
            <w:vAlign w:val="bottom"/>
            <w:hideMark/>
          </w:tcPr>
          <w:p w14:paraId="600DFBC7" w14:textId="77777777" w:rsidR="006B362A" w:rsidRPr="004C6AB0" w:rsidRDefault="006B362A" w:rsidP="003F3F5A">
            <w:pPr>
              <w:spacing w:line="240" w:lineRule="auto"/>
              <w:ind w:firstLine="0"/>
              <w:jc w:val="right"/>
              <w:rPr>
                <w:rFonts w:asciiTheme="majorHAnsi" w:eastAsia="Times New Roman" w:hAnsiTheme="majorHAnsi" w:cstheme="majorHAnsi"/>
                <w:b/>
                <w:color w:val="000000"/>
                <w:sz w:val="22"/>
                <w:szCs w:val="22"/>
                <w:lang w:val="en-US"/>
                <w14:ligatures w14:val="none"/>
              </w:rPr>
            </w:pPr>
            <w:r w:rsidRPr="004C6AB0">
              <w:rPr>
                <w:rFonts w:asciiTheme="majorHAnsi" w:eastAsia="Times New Roman" w:hAnsiTheme="majorHAnsi" w:cstheme="majorHAnsi"/>
                <w:b/>
                <w:color w:val="000000"/>
                <w:sz w:val="22"/>
                <w:szCs w:val="22"/>
                <w:lang w:val="en-US"/>
                <w14:ligatures w14:val="none"/>
              </w:rPr>
              <w:t>Total</w:t>
            </w:r>
          </w:p>
        </w:tc>
      </w:tr>
      <w:tr w:rsidR="006B362A" w:rsidRPr="004C6AB0" w14:paraId="7BE696BC" w14:textId="77777777" w:rsidTr="003F3F5A">
        <w:trPr>
          <w:trHeight w:val="300"/>
        </w:trPr>
        <w:tc>
          <w:tcPr>
            <w:tcW w:w="246" w:type="pct"/>
            <w:vMerge/>
            <w:tcBorders>
              <w:left w:val="nil"/>
              <w:right w:val="nil"/>
            </w:tcBorders>
          </w:tcPr>
          <w:p w14:paraId="5224105C" w14:textId="77777777" w:rsidR="006B362A" w:rsidRPr="004C6AB0" w:rsidRDefault="006B362A" w:rsidP="003F3F5A">
            <w:pPr>
              <w:spacing w:line="240" w:lineRule="auto"/>
              <w:ind w:firstLine="0"/>
              <w:jc w:val="right"/>
              <w:rPr>
                <w:rFonts w:asciiTheme="majorHAnsi" w:eastAsia="Times New Roman" w:hAnsiTheme="majorHAnsi" w:cstheme="majorHAnsi"/>
                <w:color w:val="000000"/>
                <w:sz w:val="22"/>
                <w:szCs w:val="22"/>
                <w:lang w:val="en-US"/>
                <w14:ligatures w14:val="none"/>
              </w:rPr>
            </w:pPr>
          </w:p>
        </w:tc>
        <w:tc>
          <w:tcPr>
            <w:tcW w:w="171" w:type="pct"/>
            <w:tcBorders>
              <w:top w:val="nil"/>
              <w:left w:val="nil"/>
              <w:bottom w:val="nil"/>
              <w:right w:val="nil"/>
            </w:tcBorders>
            <w:shd w:val="clear" w:color="auto" w:fill="auto"/>
            <w:noWrap/>
            <w:vAlign w:val="bottom"/>
            <w:hideMark/>
          </w:tcPr>
          <w:p w14:paraId="4C946B3E" w14:textId="77777777" w:rsidR="006B362A" w:rsidRPr="004C6AB0" w:rsidRDefault="006B362A" w:rsidP="003F3F5A">
            <w:pPr>
              <w:spacing w:line="240" w:lineRule="auto"/>
              <w:ind w:firstLine="0"/>
              <w:jc w:val="center"/>
              <w:rPr>
                <w:rFonts w:asciiTheme="majorHAnsi" w:eastAsia="Times New Roman" w:hAnsiTheme="majorHAnsi" w:cstheme="majorHAnsi"/>
                <w:b/>
                <w:bCs/>
                <w:color w:val="000000"/>
                <w:sz w:val="22"/>
                <w:szCs w:val="22"/>
                <w:lang w:val="en-US"/>
                <w14:ligatures w14:val="none"/>
              </w:rPr>
            </w:pPr>
            <w:r w:rsidRPr="004C6AB0">
              <w:rPr>
                <w:rFonts w:asciiTheme="majorHAnsi" w:eastAsia="Times New Roman" w:hAnsiTheme="majorHAnsi" w:cstheme="majorHAnsi"/>
                <w:b/>
                <w:bCs/>
                <w:color w:val="000000"/>
                <w:sz w:val="22"/>
                <w:szCs w:val="22"/>
                <w:lang w:val="en-US"/>
                <w14:ligatures w14:val="none"/>
              </w:rPr>
              <w:t>1</w:t>
            </w:r>
          </w:p>
        </w:tc>
        <w:tc>
          <w:tcPr>
            <w:tcW w:w="787" w:type="pct"/>
            <w:tcBorders>
              <w:top w:val="nil"/>
              <w:left w:val="nil"/>
              <w:bottom w:val="nil"/>
              <w:right w:val="nil"/>
            </w:tcBorders>
            <w:shd w:val="clear" w:color="auto" w:fill="auto"/>
            <w:noWrap/>
            <w:vAlign w:val="bottom"/>
          </w:tcPr>
          <w:p w14:paraId="74E310D9" w14:textId="77777777" w:rsidR="006B362A" w:rsidRDefault="006B362A" w:rsidP="003F3F5A">
            <w:pPr>
              <w:spacing w:line="240" w:lineRule="auto"/>
              <w:ind w:firstLine="0"/>
              <w:jc w:val="right"/>
              <w:rPr>
                <w:rFonts w:ascii="Calibri" w:eastAsia="Times New Roman" w:hAnsi="Calibri" w:cs="Calibri"/>
                <w:color w:val="000000"/>
                <w:sz w:val="22"/>
                <w:szCs w:val="22"/>
                <w:lang w:val="en-US"/>
                <w14:ligatures w14:val="none"/>
              </w:rPr>
            </w:pPr>
            <w:r>
              <w:rPr>
                <w:rFonts w:ascii="Calibri" w:hAnsi="Calibri" w:cs="Calibri"/>
                <w:color w:val="000000"/>
                <w:sz w:val="22"/>
                <w:szCs w:val="22"/>
              </w:rPr>
              <w:t>74.58 (157962)</w:t>
            </w:r>
          </w:p>
        </w:tc>
        <w:tc>
          <w:tcPr>
            <w:tcW w:w="787" w:type="pct"/>
            <w:tcBorders>
              <w:top w:val="nil"/>
              <w:left w:val="nil"/>
              <w:bottom w:val="nil"/>
              <w:right w:val="nil"/>
            </w:tcBorders>
            <w:shd w:val="clear" w:color="auto" w:fill="auto"/>
            <w:noWrap/>
            <w:vAlign w:val="bottom"/>
          </w:tcPr>
          <w:p w14:paraId="460A412E"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22.17 (46961)</w:t>
            </w:r>
          </w:p>
        </w:tc>
        <w:tc>
          <w:tcPr>
            <w:tcW w:w="787" w:type="pct"/>
            <w:tcBorders>
              <w:top w:val="nil"/>
              <w:left w:val="nil"/>
              <w:bottom w:val="nil"/>
              <w:right w:val="nil"/>
            </w:tcBorders>
            <w:shd w:val="clear" w:color="auto" w:fill="auto"/>
            <w:noWrap/>
            <w:vAlign w:val="bottom"/>
          </w:tcPr>
          <w:p w14:paraId="12734E5E"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2.98 (6320)</w:t>
            </w:r>
          </w:p>
        </w:tc>
        <w:tc>
          <w:tcPr>
            <w:tcW w:w="787" w:type="pct"/>
            <w:tcBorders>
              <w:top w:val="nil"/>
              <w:left w:val="nil"/>
              <w:bottom w:val="nil"/>
              <w:right w:val="nil"/>
            </w:tcBorders>
            <w:shd w:val="clear" w:color="auto" w:fill="auto"/>
            <w:noWrap/>
            <w:vAlign w:val="bottom"/>
          </w:tcPr>
          <w:p w14:paraId="6C9218A7"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0.26 (543)</w:t>
            </w:r>
          </w:p>
        </w:tc>
        <w:tc>
          <w:tcPr>
            <w:tcW w:w="732" w:type="pct"/>
            <w:tcBorders>
              <w:top w:val="nil"/>
              <w:left w:val="nil"/>
              <w:bottom w:val="nil"/>
              <w:right w:val="nil"/>
            </w:tcBorders>
            <w:shd w:val="clear" w:color="auto" w:fill="auto"/>
            <w:noWrap/>
            <w:vAlign w:val="bottom"/>
          </w:tcPr>
          <w:p w14:paraId="3BC8BAD3"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0.01 (23)</w:t>
            </w:r>
          </w:p>
        </w:tc>
        <w:tc>
          <w:tcPr>
            <w:tcW w:w="704" w:type="pct"/>
            <w:tcBorders>
              <w:top w:val="nil"/>
              <w:left w:val="nil"/>
              <w:bottom w:val="nil"/>
              <w:right w:val="nil"/>
            </w:tcBorders>
            <w:shd w:val="clear" w:color="auto" w:fill="auto"/>
            <w:noWrap/>
            <w:vAlign w:val="bottom"/>
          </w:tcPr>
          <w:p w14:paraId="1EB409BF"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100 (211809)</w:t>
            </w:r>
          </w:p>
        </w:tc>
      </w:tr>
      <w:tr w:rsidR="006B362A" w:rsidRPr="004C6AB0" w14:paraId="6A55251E" w14:textId="77777777" w:rsidTr="003F3F5A">
        <w:trPr>
          <w:trHeight w:val="300"/>
        </w:trPr>
        <w:tc>
          <w:tcPr>
            <w:tcW w:w="246" w:type="pct"/>
            <w:vMerge/>
            <w:tcBorders>
              <w:left w:val="nil"/>
              <w:right w:val="nil"/>
            </w:tcBorders>
          </w:tcPr>
          <w:p w14:paraId="5831ACE5" w14:textId="77777777" w:rsidR="006B362A" w:rsidRPr="004C6AB0" w:rsidRDefault="006B362A" w:rsidP="003F3F5A">
            <w:pPr>
              <w:spacing w:line="240" w:lineRule="auto"/>
              <w:ind w:firstLine="0"/>
              <w:jc w:val="right"/>
              <w:rPr>
                <w:rFonts w:asciiTheme="majorHAnsi" w:eastAsia="Times New Roman" w:hAnsiTheme="majorHAnsi" w:cstheme="majorHAnsi"/>
                <w:color w:val="000000"/>
                <w:sz w:val="22"/>
                <w:szCs w:val="22"/>
                <w:lang w:val="en-US"/>
                <w14:ligatures w14:val="none"/>
              </w:rPr>
            </w:pPr>
          </w:p>
        </w:tc>
        <w:tc>
          <w:tcPr>
            <w:tcW w:w="171" w:type="pct"/>
            <w:tcBorders>
              <w:top w:val="nil"/>
              <w:left w:val="nil"/>
              <w:bottom w:val="nil"/>
              <w:right w:val="nil"/>
            </w:tcBorders>
            <w:shd w:val="clear" w:color="auto" w:fill="auto"/>
            <w:noWrap/>
            <w:vAlign w:val="bottom"/>
            <w:hideMark/>
          </w:tcPr>
          <w:p w14:paraId="04C2BE1D" w14:textId="77777777" w:rsidR="006B362A" w:rsidRPr="004C6AB0" w:rsidRDefault="006B362A" w:rsidP="003F3F5A">
            <w:pPr>
              <w:spacing w:line="240" w:lineRule="auto"/>
              <w:ind w:firstLine="0"/>
              <w:jc w:val="center"/>
              <w:rPr>
                <w:rFonts w:asciiTheme="majorHAnsi" w:eastAsia="Times New Roman" w:hAnsiTheme="majorHAnsi" w:cstheme="majorHAnsi"/>
                <w:b/>
                <w:bCs/>
                <w:color w:val="000000"/>
                <w:sz w:val="22"/>
                <w:szCs w:val="22"/>
                <w:lang w:val="en-US"/>
                <w14:ligatures w14:val="none"/>
              </w:rPr>
            </w:pPr>
            <w:r w:rsidRPr="004C6AB0">
              <w:rPr>
                <w:rFonts w:asciiTheme="majorHAnsi" w:eastAsia="Times New Roman" w:hAnsiTheme="majorHAnsi" w:cstheme="majorHAnsi"/>
                <w:b/>
                <w:bCs/>
                <w:color w:val="000000"/>
                <w:sz w:val="22"/>
                <w:szCs w:val="22"/>
                <w:lang w:val="en-US"/>
                <w14:ligatures w14:val="none"/>
              </w:rPr>
              <w:t>2</w:t>
            </w:r>
          </w:p>
        </w:tc>
        <w:tc>
          <w:tcPr>
            <w:tcW w:w="787" w:type="pct"/>
            <w:tcBorders>
              <w:top w:val="nil"/>
              <w:left w:val="nil"/>
              <w:bottom w:val="nil"/>
              <w:right w:val="nil"/>
            </w:tcBorders>
            <w:shd w:val="clear" w:color="auto" w:fill="auto"/>
            <w:noWrap/>
            <w:vAlign w:val="bottom"/>
          </w:tcPr>
          <w:p w14:paraId="3E0407BF" w14:textId="77777777" w:rsidR="006B362A" w:rsidRDefault="006B362A" w:rsidP="003F3F5A">
            <w:pPr>
              <w:spacing w:line="240" w:lineRule="auto"/>
              <w:ind w:firstLine="0"/>
              <w:jc w:val="right"/>
              <w:rPr>
                <w:rFonts w:ascii="Calibri" w:eastAsia="Times New Roman" w:hAnsi="Calibri" w:cs="Calibri"/>
                <w:color w:val="000000"/>
                <w:sz w:val="22"/>
                <w:szCs w:val="22"/>
                <w:lang w:val="en-US"/>
                <w14:ligatures w14:val="none"/>
              </w:rPr>
            </w:pPr>
            <w:r>
              <w:rPr>
                <w:rFonts w:ascii="Calibri" w:hAnsi="Calibri" w:cs="Calibri"/>
                <w:color w:val="000000"/>
                <w:sz w:val="22"/>
                <w:szCs w:val="22"/>
              </w:rPr>
              <w:t>21.48 (45475)</w:t>
            </w:r>
          </w:p>
        </w:tc>
        <w:tc>
          <w:tcPr>
            <w:tcW w:w="787" w:type="pct"/>
            <w:tcBorders>
              <w:top w:val="nil"/>
              <w:left w:val="nil"/>
              <w:bottom w:val="nil"/>
              <w:right w:val="nil"/>
            </w:tcBorders>
            <w:shd w:val="clear" w:color="auto" w:fill="auto"/>
            <w:noWrap/>
            <w:vAlign w:val="bottom"/>
          </w:tcPr>
          <w:p w14:paraId="3BAA007B"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49.28 (104346)</w:t>
            </w:r>
          </w:p>
        </w:tc>
        <w:tc>
          <w:tcPr>
            <w:tcW w:w="787" w:type="pct"/>
            <w:tcBorders>
              <w:top w:val="nil"/>
              <w:left w:val="nil"/>
              <w:bottom w:val="nil"/>
              <w:right w:val="nil"/>
            </w:tcBorders>
            <w:shd w:val="clear" w:color="auto" w:fill="auto"/>
            <w:noWrap/>
            <w:vAlign w:val="bottom"/>
          </w:tcPr>
          <w:p w14:paraId="03E13D36"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25.14 (53241)</w:t>
            </w:r>
          </w:p>
        </w:tc>
        <w:tc>
          <w:tcPr>
            <w:tcW w:w="787" w:type="pct"/>
            <w:tcBorders>
              <w:top w:val="nil"/>
              <w:left w:val="nil"/>
              <w:bottom w:val="nil"/>
              <w:right w:val="nil"/>
            </w:tcBorders>
            <w:shd w:val="clear" w:color="auto" w:fill="auto"/>
            <w:noWrap/>
            <w:vAlign w:val="bottom"/>
          </w:tcPr>
          <w:p w14:paraId="72F601E0"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3.89 (8230)</w:t>
            </w:r>
          </w:p>
        </w:tc>
        <w:tc>
          <w:tcPr>
            <w:tcW w:w="732" w:type="pct"/>
            <w:tcBorders>
              <w:top w:val="nil"/>
              <w:left w:val="nil"/>
              <w:bottom w:val="nil"/>
              <w:right w:val="nil"/>
            </w:tcBorders>
            <w:shd w:val="clear" w:color="auto" w:fill="auto"/>
            <w:noWrap/>
            <w:vAlign w:val="bottom"/>
          </w:tcPr>
          <w:p w14:paraId="62B2F698"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0.21 (453)</w:t>
            </w:r>
          </w:p>
        </w:tc>
        <w:tc>
          <w:tcPr>
            <w:tcW w:w="704" w:type="pct"/>
            <w:tcBorders>
              <w:top w:val="nil"/>
              <w:left w:val="nil"/>
              <w:bottom w:val="nil"/>
              <w:right w:val="nil"/>
            </w:tcBorders>
            <w:shd w:val="clear" w:color="auto" w:fill="auto"/>
            <w:noWrap/>
            <w:vAlign w:val="bottom"/>
          </w:tcPr>
          <w:p w14:paraId="06AB07C1"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100 (211745)</w:t>
            </w:r>
          </w:p>
        </w:tc>
      </w:tr>
      <w:tr w:rsidR="006B362A" w:rsidRPr="004C6AB0" w14:paraId="5C63C6AD" w14:textId="77777777" w:rsidTr="003F3F5A">
        <w:trPr>
          <w:trHeight w:val="300"/>
        </w:trPr>
        <w:tc>
          <w:tcPr>
            <w:tcW w:w="246" w:type="pct"/>
            <w:vMerge/>
            <w:tcBorders>
              <w:left w:val="nil"/>
              <w:right w:val="nil"/>
            </w:tcBorders>
          </w:tcPr>
          <w:p w14:paraId="5F7DDDF7" w14:textId="77777777" w:rsidR="006B362A" w:rsidRPr="004C6AB0" w:rsidRDefault="006B362A" w:rsidP="003F3F5A">
            <w:pPr>
              <w:spacing w:line="240" w:lineRule="auto"/>
              <w:ind w:firstLine="0"/>
              <w:jc w:val="right"/>
              <w:rPr>
                <w:rFonts w:asciiTheme="majorHAnsi" w:eastAsia="Times New Roman" w:hAnsiTheme="majorHAnsi" w:cstheme="majorHAnsi"/>
                <w:color w:val="000000"/>
                <w:sz w:val="22"/>
                <w:szCs w:val="22"/>
                <w:lang w:val="en-US"/>
                <w14:ligatures w14:val="none"/>
              </w:rPr>
            </w:pPr>
          </w:p>
        </w:tc>
        <w:tc>
          <w:tcPr>
            <w:tcW w:w="171" w:type="pct"/>
            <w:tcBorders>
              <w:top w:val="nil"/>
              <w:left w:val="nil"/>
              <w:bottom w:val="nil"/>
              <w:right w:val="nil"/>
            </w:tcBorders>
            <w:shd w:val="clear" w:color="auto" w:fill="auto"/>
            <w:noWrap/>
            <w:vAlign w:val="bottom"/>
            <w:hideMark/>
          </w:tcPr>
          <w:p w14:paraId="7AB94669" w14:textId="77777777" w:rsidR="006B362A" w:rsidRPr="004C6AB0" w:rsidRDefault="006B362A" w:rsidP="003F3F5A">
            <w:pPr>
              <w:spacing w:line="240" w:lineRule="auto"/>
              <w:ind w:firstLine="0"/>
              <w:jc w:val="center"/>
              <w:rPr>
                <w:rFonts w:asciiTheme="majorHAnsi" w:eastAsia="Times New Roman" w:hAnsiTheme="majorHAnsi" w:cstheme="majorHAnsi"/>
                <w:b/>
                <w:bCs/>
                <w:color w:val="000000"/>
                <w:sz w:val="22"/>
                <w:szCs w:val="22"/>
                <w:lang w:val="en-US"/>
                <w14:ligatures w14:val="none"/>
              </w:rPr>
            </w:pPr>
            <w:r w:rsidRPr="004C6AB0">
              <w:rPr>
                <w:rFonts w:asciiTheme="majorHAnsi" w:eastAsia="Times New Roman" w:hAnsiTheme="majorHAnsi" w:cstheme="majorHAnsi"/>
                <w:b/>
                <w:bCs/>
                <w:color w:val="000000"/>
                <w:sz w:val="22"/>
                <w:szCs w:val="22"/>
                <w:lang w:val="en-US"/>
                <w14:ligatures w14:val="none"/>
              </w:rPr>
              <w:t>3</w:t>
            </w:r>
          </w:p>
        </w:tc>
        <w:tc>
          <w:tcPr>
            <w:tcW w:w="787" w:type="pct"/>
            <w:tcBorders>
              <w:top w:val="nil"/>
              <w:left w:val="nil"/>
              <w:bottom w:val="nil"/>
              <w:right w:val="nil"/>
            </w:tcBorders>
            <w:shd w:val="clear" w:color="auto" w:fill="auto"/>
            <w:noWrap/>
            <w:vAlign w:val="bottom"/>
          </w:tcPr>
          <w:p w14:paraId="30CF29C0" w14:textId="77777777" w:rsidR="006B362A" w:rsidRDefault="006B362A" w:rsidP="003F3F5A">
            <w:pPr>
              <w:spacing w:line="240" w:lineRule="auto"/>
              <w:ind w:firstLine="0"/>
              <w:jc w:val="right"/>
              <w:rPr>
                <w:rFonts w:ascii="Calibri" w:hAnsi="Calibri" w:cs="Calibri"/>
                <w:color w:val="000000"/>
                <w:sz w:val="22"/>
                <w:szCs w:val="22"/>
              </w:rPr>
            </w:pPr>
            <w:r>
              <w:rPr>
                <w:rFonts w:ascii="Calibri" w:hAnsi="Calibri" w:cs="Calibri"/>
                <w:color w:val="000000"/>
                <w:sz w:val="22"/>
                <w:szCs w:val="22"/>
              </w:rPr>
              <w:t xml:space="preserve">4.01 </w:t>
            </w:r>
          </w:p>
          <w:p w14:paraId="16816B1E" w14:textId="77777777" w:rsidR="006B362A" w:rsidRDefault="006B362A" w:rsidP="003F3F5A">
            <w:pPr>
              <w:spacing w:line="240" w:lineRule="auto"/>
              <w:ind w:firstLine="0"/>
              <w:jc w:val="right"/>
              <w:rPr>
                <w:rFonts w:ascii="Calibri" w:eastAsia="Times New Roman" w:hAnsi="Calibri" w:cs="Calibri"/>
                <w:color w:val="000000"/>
                <w:sz w:val="22"/>
                <w:szCs w:val="22"/>
                <w:lang w:val="en-US"/>
                <w14:ligatures w14:val="none"/>
              </w:rPr>
            </w:pPr>
            <w:r>
              <w:rPr>
                <w:rFonts w:ascii="Calibri" w:hAnsi="Calibri" w:cs="Calibri"/>
                <w:color w:val="000000"/>
                <w:sz w:val="22"/>
                <w:szCs w:val="22"/>
              </w:rPr>
              <w:t>(8504)</w:t>
            </w:r>
          </w:p>
        </w:tc>
        <w:tc>
          <w:tcPr>
            <w:tcW w:w="787" w:type="pct"/>
            <w:tcBorders>
              <w:top w:val="nil"/>
              <w:left w:val="nil"/>
              <w:bottom w:val="nil"/>
              <w:right w:val="nil"/>
            </w:tcBorders>
            <w:shd w:val="clear" w:color="auto" w:fill="auto"/>
            <w:noWrap/>
            <w:vAlign w:val="bottom"/>
          </w:tcPr>
          <w:p w14:paraId="7DF7127F"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23.6 (49995)</w:t>
            </w:r>
          </w:p>
        </w:tc>
        <w:tc>
          <w:tcPr>
            <w:tcW w:w="787" w:type="pct"/>
            <w:tcBorders>
              <w:top w:val="nil"/>
              <w:left w:val="nil"/>
              <w:bottom w:val="nil"/>
              <w:right w:val="nil"/>
            </w:tcBorders>
            <w:shd w:val="clear" w:color="auto" w:fill="auto"/>
            <w:noWrap/>
            <w:vAlign w:val="bottom"/>
          </w:tcPr>
          <w:p w14:paraId="0A8D7F9C"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47.45 (100531)</w:t>
            </w:r>
          </w:p>
        </w:tc>
        <w:tc>
          <w:tcPr>
            <w:tcW w:w="787" w:type="pct"/>
            <w:tcBorders>
              <w:top w:val="nil"/>
              <w:left w:val="nil"/>
              <w:bottom w:val="nil"/>
              <w:right w:val="nil"/>
            </w:tcBorders>
            <w:shd w:val="clear" w:color="auto" w:fill="auto"/>
            <w:noWrap/>
            <w:vAlign w:val="bottom"/>
          </w:tcPr>
          <w:p w14:paraId="716545AE"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23.54 (49872)</w:t>
            </w:r>
          </w:p>
        </w:tc>
        <w:tc>
          <w:tcPr>
            <w:tcW w:w="732" w:type="pct"/>
            <w:tcBorders>
              <w:top w:val="nil"/>
              <w:left w:val="nil"/>
              <w:bottom w:val="nil"/>
              <w:right w:val="nil"/>
            </w:tcBorders>
            <w:shd w:val="clear" w:color="auto" w:fill="auto"/>
            <w:noWrap/>
            <w:vAlign w:val="bottom"/>
          </w:tcPr>
          <w:p w14:paraId="552F2563"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1.4 (2959)</w:t>
            </w:r>
          </w:p>
        </w:tc>
        <w:tc>
          <w:tcPr>
            <w:tcW w:w="704" w:type="pct"/>
            <w:tcBorders>
              <w:top w:val="nil"/>
              <w:left w:val="nil"/>
              <w:bottom w:val="nil"/>
              <w:right w:val="nil"/>
            </w:tcBorders>
            <w:shd w:val="clear" w:color="auto" w:fill="auto"/>
            <w:noWrap/>
            <w:vAlign w:val="bottom"/>
          </w:tcPr>
          <w:p w14:paraId="0CBA2680"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100 (211861)</w:t>
            </w:r>
          </w:p>
        </w:tc>
      </w:tr>
      <w:tr w:rsidR="006B362A" w:rsidRPr="004C6AB0" w14:paraId="03DA6EE8" w14:textId="77777777" w:rsidTr="003F3F5A">
        <w:trPr>
          <w:trHeight w:val="300"/>
        </w:trPr>
        <w:tc>
          <w:tcPr>
            <w:tcW w:w="246" w:type="pct"/>
            <w:vMerge/>
            <w:tcBorders>
              <w:left w:val="nil"/>
              <w:right w:val="nil"/>
            </w:tcBorders>
          </w:tcPr>
          <w:p w14:paraId="7AC9D44E" w14:textId="77777777" w:rsidR="006B362A" w:rsidRPr="004C6AB0" w:rsidRDefault="006B362A" w:rsidP="003F3F5A">
            <w:pPr>
              <w:spacing w:line="240" w:lineRule="auto"/>
              <w:ind w:firstLine="0"/>
              <w:jc w:val="right"/>
              <w:rPr>
                <w:rFonts w:asciiTheme="majorHAnsi" w:eastAsia="Times New Roman" w:hAnsiTheme="majorHAnsi" w:cstheme="majorHAnsi"/>
                <w:color w:val="000000"/>
                <w:sz w:val="22"/>
                <w:szCs w:val="22"/>
                <w:lang w:val="en-US"/>
                <w14:ligatures w14:val="none"/>
              </w:rPr>
            </w:pPr>
          </w:p>
        </w:tc>
        <w:tc>
          <w:tcPr>
            <w:tcW w:w="171" w:type="pct"/>
            <w:tcBorders>
              <w:top w:val="nil"/>
              <w:left w:val="nil"/>
              <w:bottom w:val="nil"/>
              <w:right w:val="nil"/>
            </w:tcBorders>
            <w:shd w:val="clear" w:color="auto" w:fill="auto"/>
            <w:noWrap/>
            <w:vAlign w:val="bottom"/>
            <w:hideMark/>
          </w:tcPr>
          <w:p w14:paraId="2BE29F09" w14:textId="77777777" w:rsidR="006B362A" w:rsidRPr="004C6AB0" w:rsidRDefault="006B362A" w:rsidP="003F3F5A">
            <w:pPr>
              <w:spacing w:line="240" w:lineRule="auto"/>
              <w:ind w:firstLine="0"/>
              <w:jc w:val="center"/>
              <w:rPr>
                <w:rFonts w:asciiTheme="majorHAnsi" w:eastAsia="Times New Roman" w:hAnsiTheme="majorHAnsi" w:cstheme="majorHAnsi"/>
                <w:b/>
                <w:bCs/>
                <w:color w:val="000000"/>
                <w:sz w:val="22"/>
                <w:szCs w:val="22"/>
                <w:lang w:val="en-US"/>
                <w14:ligatures w14:val="none"/>
              </w:rPr>
            </w:pPr>
            <w:r w:rsidRPr="004C6AB0">
              <w:rPr>
                <w:rFonts w:asciiTheme="majorHAnsi" w:eastAsia="Times New Roman" w:hAnsiTheme="majorHAnsi" w:cstheme="majorHAnsi"/>
                <w:b/>
                <w:bCs/>
                <w:color w:val="000000"/>
                <w:sz w:val="22"/>
                <w:szCs w:val="22"/>
                <w:lang w:val="en-US"/>
                <w14:ligatures w14:val="none"/>
              </w:rPr>
              <w:t>4</w:t>
            </w:r>
          </w:p>
        </w:tc>
        <w:tc>
          <w:tcPr>
            <w:tcW w:w="787" w:type="pct"/>
            <w:tcBorders>
              <w:top w:val="nil"/>
              <w:left w:val="nil"/>
              <w:bottom w:val="nil"/>
              <w:right w:val="nil"/>
            </w:tcBorders>
            <w:shd w:val="clear" w:color="auto" w:fill="auto"/>
            <w:noWrap/>
            <w:vAlign w:val="bottom"/>
          </w:tcPr>
          <w:p w14:paraId="2FFBE8EC" w14:textId="77777777" w:rsidR="006B362A" w:rsidRDefault="006B362A" w:rsidP="003F3F5A">
            <w:pPr>
              <w:spacing w:line="240" w:lineRule="auto"/>
              <w:ind w:firstLine="0"/>
              <w:jc w:val="right"/>
              <w:rPr>
                <w:rFonts w:ascii="Calibri" w:hAnsi="Calibri" w:cs="Calibri"/>
                <w:color w:val="000000"/>
                <w:sz w:val="22"/>
                <w:szCs w:val="22"/>
              </w:rPr>
            </w:pPr>
            <w:r>
              <w:rPr>
                <w:rFonts w:ascii="Calibri" w:hAnsi="Calibri" w:cs="Calibri"/>
                <w:color w:val="000000"/>
                <w:sz w:val="22"/>
                <w:szCs w:val="22"/>
              </w:rPr>
              <w:t xml:space="preserve">0.46 </w:t>
            </w:r>
          </w:p>
          <w:p w14:paraId="6E23789A" w14:textId="77777777" w:rsidR="006B362A" w:rsidRDefault="006B362A" w:rsidP="003F3F5A">
            <w:pPr>
              <w:spacing w:line="240" w:lineRule="auto"/>
              <w:ind w:firstLine="0"/>
              <w:jc w:val="right"/>
              <w:rPr>
                <w:rFonts w:ascii="Calibri" w:eastAsia="Times New Roman" w:hAnsi="Calibri" w:cs="Calibri"/>
                <w:color w:val="000000"/>
                <w:sz w:val="22"/>
                <w:szCs w:val="22"/>
                <w:lang w:val="en-US"/>
                <w14:ligatures w14:val="none"/>
              </w:rPr>
            </w:pPr>
            <w:r>
              <w:rPr>
                <w:rFonts w:ascii="Calibri" w:hAnsi="Calibri" w:cs="Calibri"/>
                <w:color w:val="000000"/>
                <w:sz w:val="22"/>
                <w:szCs w:val="22"/>
              </w:rPr>
              <w:t>(970)</w:t>
            </w:r>
          </w:p>
        </w:tc>
        <w:tc>
          <w:tcPr>
            <w:tcW w:w="787" w:type="pct"/>
            <w:tcBorders>
              <w:top w:val="nil"/>
              <w:left w:val="nil"/>
              <w:bottom w:val="nil"/>
              <w:right w:val="nil"/>
            </w:tcBorders>
            <w:shd w:val="clear" w:color="auto" w:fill="auto"/>
            <w:noWrap/>
            <w:vAlign w:val="bottom"/>
          </w:tcPr>
          <w:p w14:paraId="61D6A81A"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4.3 (9110)</w:t>
            </w:r>
          </w:p>
        </w:tc>
        <w:tc>
          <w:tcPr>
            <w:tcW w:w="787" w:type="pct"/>
            <w:tcBorders>
              <w:top w:val="nil"/>
              <w:left w:val="nil"/>
              <w:bottom w:val="nil"/>
              <w:right w:val="nil"/>
            </w:tcBorders>
            <w:shd w:val="clear" w:color="auto" w:fill="auto"/>
            <w:noWrap/>
            <w:vAlign w:val="bottom"/>
          </w:tcPr>
          <w:p w14:paraId="02FBC68A"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22.76 (48193)</w:t>
            </w:r>
          </w:p>
        </w:tc>
        <w:tc>
          <w:tcPr>
            <w:tcW w:w="787" w:type="pct"/>
            <w:tcBorders>
              <w:top w:val="nil"/>
              <w:left w:val="nil"/>
              <w:bottom w:val="nil"/>
              <w:right w:val="nil"/>
            </w:tcBorders>
            <w:shd w:val="clear" w:color="auto" w:fill="auto"/>
            <w:noWrap/>
            <w:vAlign w:val="bottom"/>
          </w:tcPr>
          <w:p w14:paraId="0FFC4E7D"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55.71 (117961)</w:t>
            </w:r>
          </w:p>
        </w:tc>
        <w:tc>
          <w:tcPr>
            <w:tcW w:w="732" w:type="pct"/>
            <w:tcBorders>
              <w:top w:val="nil"/>
              <w:left w:val="nil"/>
              <w:bottom w:val="nil"/>
              <w:right w:val="nil"/>
            </w:tcBorders>
            <w:shd w:val="clear" w:color="auto" w:fill="auto"/>
            <w:noWrap/>
            <w:vAlign w:val="bottom"/>
          </w:tcPr>
          <w:p w14:paraId="5D5BC749"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16.77 (35504)</w:t>
            </w:r>
          </w:p>
        </w:tc>
        <w:tc>
          <w:tcPr>
            <w:tcW w:w="704" w:type="pct"/>
            <w:tcBorders>
              <w:top w:val="nil"/>
              <w:left w:val="nil"/>
              <w:bottom w:val="nil"/>
              <w:right w:val="nil"/>
            </w:tcBorders>
            <w:shd w:val="clear" w:color="auto" w:fill="auto"/>
            <w:noWrap/>
            <w:vAlign w:val="bottom"/>
          </w:tcPr>
          <w:p w14:paraId="24F91D01"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100 (211738)</w:t>
            </w:r>
          </w:p>
        </w:tc>
      </w:tr>
      <w:tr w:rsidR="006B362A" w:rsidRPr="004C6AB0" w14:paraId="5B1A3DDB" w14:textId="77777777" w:rsidTr="003F3F5A">
        <w:trPr>
          <w:trHeight w:val="300"/>
        </w:trPr>
        <w:tc>
          <w:tcPr>
            <w:tcW w:w="246" w:type="pct"/>
            <w:vMerge/>
            <w:tcBorders>
              <w:left w:val="nil"/>
              <w:bottom w:val="nil"/>
              <w:right w:val="nil"/>
            </w:tcBorders>
          </w:tcPr>
          <w:p w14:paraId="6DDD6EF4" w14:textId="77777777" w:rsidR="006B362A" w:rsidRPr="004C6AB0" w:rsidRDefault="006B362A" w:rsidP="003F3F5A">
            <w:pPr>
              <w:spacing w:line="240" w:lineRule="auto"/>
              <w:ind w:firstLine="0"/>
              <w:jc w:val="right"/>
              <w:rPr>
                <w:rFonts w:asciiTheme="majorHAnsi" w:eastAsia="Times New Roman" w:hAnsiTheme="majorHAnsi" w:cstheme="majorHAnsi"/>
                <w:color w:val="000000"/>
                <w:sz w:val="22"/>
                <w:szCs w:val="22"/>
                <w:lang w:val="en-US"/>
                <w14:ligatures w14:val="none"/>
              </w:rPr>
            </w:pPr>
          </w:p>
        </w:tc>
        <w:tc>
          <w:tcPr>
            <w:tcW w:w="171" w:type="pct"/>
            <w:tcBorders>
              <w:top w:val="nil"/>
              <w:left w:val="nil"/>
              <w:bottom w:val="nil"/>
              <w:right w:val="nil"/>
            </w:tcBorders>
            <w:shd w:val="clear" w:color="auto" w:fill="auto"/>
            <w:noWrap/>
            <w:vAlign w:val="bottom"/>
            <w:hideMark/>
          </w:tcPr>
          <w:p w14:paraId="62F67B14" w14:textId="77777777" w:rsidR="006B362A" w:rsidRPr="004C6AB0" w:rsidRDefault="006B362A" w:rsidP="003F3F5A">
            <w:pPr>
              <w:spacing w:line="240" w:lineRule="auto"/>
              <w:ind w:firstLine="0"/>
              <w:jc w:val="center"/>
              <w:rPr>
                <w:rFonts w:asciiTheme="majorHAnsi" w:eastAsia="Times New Roman" w:hAnsiTheme="majorHAnsi" w:cstheme="majorHAnsi"/>
                <w:b/>
                <w:bCs/>
                <w:color w:val="000000"/>
                <w:sz w:val="22"/>
                <w:szCs w:val="22"/>
                <w:lang w:val="en-US"/>
                <w14:ligatures w14:val="none"/>
              </w:rPr>
            </w:pPr>
            <w:r w:rsidRPr="004C6AB0">
              <w:rPr>
                <w:rFonts w:asciiTheme="majorHAnsi" w:eastAsia="Times New Roman" w:hAnsiTheme="majorHAnsi" w:cstheme="majorHAnsi"/>
                <w:b/>
                <w:bCs/>
                <w:color w:val="000000"/>
                <w:sz w:val="22"/>
                <w:szCs w:val="22"/>
                <w:lang w:val="en-US"/>
                <w14:ligatures w14:val="none"/>
              </w:rPr>
              <w:t>5</w:t>
            </w:r>
          </w:p>
        </w:tc>
        <w:tc>
          <w:tcPr>
            <w:tcW w:w="787" w:type="pct"/>
            <w:tcBorders>
              <w:top w:val="nil"/>
              <w:left w:val="nil"/>
              <w:bottom w:val="nil"/>
              <w:right w:val="nil"/>
            </w:tcBorders>
            <w:shd w:val="clear" w:color="auto" w:fill="auto"/>
            <w:noWrap/>
            <w:vAlign w:val="bottom"/>
          </w:tcPr>
          <w:p w14:paraId="24DC9299" w14:textId="77777777" w:rsidR="006B362A" w:rsidRDefault="006B362A" w:rsidP="003F3F5A">
            <w:pPr>
              <w:spacing w:line="240" w:lineRule="auto"/>
              <w:ind w:firstLine="0"/>
              <w:jc w:val="right"/>
              <w:rPr>
                <w:rFonts w:ascii="Calibri" w:hAnsi="Calibri" w:cs="Calibri"/>
                <w:color w:val="000000"/>
                <w:sz w:val="22"/>
                <w:szCs w:val="22"/>
              </w:rPr>
            </w:pPr>
            <w:r>
              <w:rPr>
                <w:rFonts w:ascii="Calibri" w:hAnsi="Calibri" w:cs="Calibri"/>
                <w:color w:val="000000"/>
                <w:sz w:val="22"/>
                <w:szCs w:val="22"/>
              </w:rPr>
              <w:t xml:space="preserve">0.01 </w:t>
            </w:r>
          </w:p>
          <w:p w14:paraId="3CF0B360" w14:textId="77777777" w:rsidR="006B362A" w:rsidRDefault="006B362A" w:rsidP="003F3F5A">
            <w:pPr>
              <w:spacing w:line="240" w:lineRule="auto"/>
              <w:ind w:firstLine="0"/>
              <w:jc w:val="right"/>
              <w:rPr>
                <w:rFonts w:ascii="Calibri" w:eastAsia="Times New Roman" w:hAnsi="Calibri" w:cs="Calibri"/>
                <w:color w:val="000000"/>
                <w:sz w:val="22"/>
                <w:szCs w:val="22"/>
                <w:lang w:val="en-US"/>
                <w14:ligatures w14:val="none"/>
              </w:rPr>
            </w:pPr>
            <w:r>
              <w:rPr>
                <w:rFonts w:ascii="Calibri" w:hAnsi="Calibri" w:cs="Calibri"/>
                <w:color w:val="000000"/>
                <w:sz w:val="22"/>
                <w:szCs w:val="22"/>
              </w:rPr>
              <w:t>(24)</w:t>
            </w:r>
          </w:p>
        </w:tc>
        <w:tc>
          <w:tcPr>
            <w:tcW w:w="787" w:type="pct"/>
            <w:tcBorders>
              <w:top w:val="nil"/>
              <w:left w:val="nil"/>
              <w:bottom w:val="nil"/>
              <w:right w:val="nil"/>
            </w:tcBorders>
            <w:shd w:val="clear" w:color="auto" w:fill="auto"/>
            <w:noWrap/>
            <w:vAlign w:val="bottom"/>
          </w:tcPr>
          <w:p w14:paraId="791E41C3"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0.17 (358)</w:t>
            </w:r>
          </w:p>
        </w:tc>
        <w:tc>
          <w:tcPr>
            <w:tcW w:w="787" w:type="pct"/>
            <w:tcBorders>
              <w:top w:val="nil"/>
              <w:left w:val="nil"/>
              <w:bottom w:val="nil"/>
              <w:right w:val="nil"/>
            </w:tcBorders>
            <w:shd w:val="clear" w:color="auto" w:fill="auto"/>
            <w:noWrap/>
            <w:vAlign w:val="bottom"/>
          </w:tcPr>
          <w:p w14:paraId="18CDD884"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1.58 (3336)</w:t>
            </w:r>
          </w:p>
        </w:tc>
        <w:tc>
          <w:tcPr>
            <w:tcW w:w="787" w:type="pct"/>
            <w:tcBorders>
              <w:top w:val="nil"/>
              <w:left w:val="nil"/>
              <w:bottom w:val="nil"/>
              <w:right w:val="nil"/>
            </w:tcBorders>
            <w:shd w:val="clear" w:color="auto" w:fill="auto"/>
            <w:noWrap/>
            <w:vAlign w:val="bottom"/>
          </w:tcPr>
          <w:p w14:paraId="2BF81167"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16.78 (35529)</w:t>
            </w:r>
          </w:p>
        </w:tc>
        <w:tc>
          <w:tcPr>
            <w:tcW w:w="732" w:type="pct"/>
            <w:tcBorders>
              <w:top w:val="nil"/>
              <w:left w:val="nil"/>
              <w:bottom w:val="nil"/>
              <w:right w:val="nil"/>
            </w:tcBorders>
            <w:shd w:val="clear" w:color="auto" w:fill="auto"/>
            <w:noWrap/>
            <w:vAlign w:val="bottom"/>
          </w:tcPr>
          <w:p w14:paraId="66C060E6"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81.46 (172476)</w:t>
            </w:r>
          </w:p>
        </w:tc>
        <w:tc>
          <w:tcPr>
            <w:tcW w:w="704" w:type="pct"/>
            <w:tcBorders>
              <w:top w:val="nil"/>
              <w:left w:val="nil"/>
              <w:bottom w:val="nil"/>
              <w:right w:val="nil"/>
            </w:tcBorders>
            <w:shd w:val="clear" w:color="auto" w:fill="auto"/>
            <w:noWrap/>
            <w:vAlign w:val="bottom"/>
          </w:tcPr>
          <w:p w14:paraId="7D525881" w14:textId="77777777" w:rsidR="006B362A" w:rsidRDefault="006B362A" w:rsidP="003F3F5A">
            <w:pPr>
              <w:spacing w:line="240" w:lineRule="auto"/>
              <w:jc w:val="right"/>
              <w:rPr>
                <w:rFonts w:ascii="Calibri" w:hAnsi="Calibri" w:cs="Calibri"/>
                <w:color w:val="000000"/>
                <w:sz w:val="22"/>
                <w:szCs w:val="22"/>
              </w:rPr>
            </w:pPr>
            <w:r>
              <w:rPr>
                <w:rFonts w:ascii="Calibri" w:hAnsi="Calibri" w:cs="Calibri"/>
                <w:color w:val="000000"/>
                <w:sz w:val="22"/>
                <w:szCs w:val="22"/>
              </w:rPr>
              <w:t>100 (211723)</w:t>
            </w:r>
          </w:p>
        </w:tc>
      </w:tr>
    </w:tbl>
    <w:p w14:paraId="3B9B77EA" w14:textId="1476CAEC" w:rsidR="006B362A" w:rsidRPr="00EA1DC1" w:rsidRDefault="00EA1DC1" w:rsidP="00EA1DC1">
      <w:pPr>
        <w:pStyle w:val="Footnote"/>
        <w:rPr>
          <w:sz w:val="16"/>
          <w:szCs w:val="16"/>
          <w:lang w:val="en-AU" w:eastAsia="en-AU"/>
        </w:rPr>
      </w:pPr>
      <w:r w:rsidRPr="00EA1DC1">
        <w:rPr>
          <w:sz w:val="16"/>
          <w:szCs w:val="16"/>
          <w:lang w:val="en-AU" w:eastAsia="en-AU"/>
        </w:rPr>
        <w:t>Note: Totals are not the same in each quintile because an area based analysis means inexact cut-offs for the quintiles.</w:t>
      </w:r>
    </w:p>
    <w:p w14:paraId="2C537EE7" w14:textId="77777777" w:rsidR="00EA1DC1" w:rsidRDefault="00EA1DC1" w:rsidP="00103B65">
      <w:pPr>
        <w:rPr>
          <w:lang w:val="en-AU" w:eastAsia="en-AU"/>
        </w:rPr>
      </w:pPr>
    </w:p>
    <w:p w14:paraId="3621D968" w14:textId="0A9A7F25" w:rsidR="0008489A" w:rsidRDefault="0008489A" w:rsidP="00103B65">
      <w:pPr>
        <w:rPr>
          <w:lang w:val="en-AU" w:eastAsia="en-AU"/>
        </w:rPr>
      </w:pPr>
      <w:r>
        <w:rPr>
          <w:lang w:val="en-AU" w:eastAsia="en-AU"/>
        </w:rPr>
        <w:t>Generally, there is more movement outside the extreme quintiles (1 and 5), so in</w:t>
      </w:r>
      <w:r w:rsidR="0073680B">
        <w:rPr>
          <w:lang w:val="en-AU" w:eastAsia="en-AU"/>
        </w:rPr>
        <w:t xml:space="preserve"> </w:t>
      </w:r>
      <w:r w:rsidR="0073680B">
        <w:rPr>
          <w:lang w:val="en-AU" w:eastAsia="en-AU"/>
        </w:rPr>
        <w:fldChar w:fldCharType="begin"/>
      </w:r>
      <w:r w:rsidR="0073680B">
        <w:rPr>
          <w:lang w:val="en-AU" w:eastAsia="en-AU"/>
        </w:rPr>
        <w:instrText xml:space="preserve"> REF _Ref507513897 \h </w:instrText>
      </w:r>
      <w:r w:rsidR="0073680B">
        <w:rPr>
          <w:lang w:val="en-AU" w:eastAsia="en-AU"/>
        </w:rPr>
      </w:r>
      <w:r w:rsidR="0073680B">
        <w:rPr>
          <w:lang w:val="en-AU" w:eastAsia="en-AU"/>
        </w:rPr>
        <w:fldChar w:fldCharType="separate"/>
      </w:r>
      <w:r w:rsidR="00171745">
        <w:t xml:space="preserve">Table </w:t>
      </w:r>
      <w:r w:rsidR="00171745">
        <w:rPr>
          <w:noProof/>
        </w:rPr>
        <w:t>7</w:t>
      </w:r>
      <w:r w:rsidR="0073680B">
        <w:rPr>
          <w:lang w:val="en-AU" w:eastAsia="en-AU"/>
        </w:rPr>
        <w:fldChar w:fldCharType="end"/>
      </w:r>
      <w:r>
        <w:rPr>
          <w:lang w:val="en-AU" w:eastAsia="en-AU"/>
        </w:rPr>
        <w:t xml:space="preserve">, the </w:t>
      </w:r>
      <w:r w:rsidR="00EA1DC1">
        <w:rPr>
          <w:lang w:val="en-AU" w:eastAsia="en-AU"/>
        </w:rPr>
        <w:t xml:space="preserve">1-1 figure is 74.58% while the </w:t>
      </w:r>
      <w:r>
        <w:rPr>
          <w:lang w:val="en-AU" w:eastAsia="en-AU"/>
        </w:rPr>
        <w:t xml:space="preserve">2-2 figure is </w:t>
      </w:r>
      <w:r w:rsidR="00EA1DC1">
        <w:rPr>
          <w:lang w:val="en-AU" w:eastAsia="en-AU"/>
        </w:rPr>
        <w:t>49.28</w:t>
      </w:r>
      <w:r>
        <w:rPr>
          <w:lang w:val="en-AU" w:eastAsia="en-AU"/>
        </w:rPr>
        <w:t xml:space="preserve">%, with another </w:t>
      </w:r>
      <w:r w:rsidR="00EA1DC1">
        <w:rPr>
          <w:lang w:val="en-AU" w:eastAsia="en-AU"/>
        </w:rPr>
        <w:t xml:space="preserve">(22.17 + 23.6) = </w:t>
      </w:r>
      <w:r>
        <w:rPr>
          <w:lang w:val="en-AU" w:eastAsia="en-AU"/>
        </w:rPr>
        <w:t>4</w:t>
      </w:r>
      <w:r w:rsidR="00EA1DC1">
        <w:rPr>
          <w:lang w:val="en-AU" w:eastAsia="en-AU"/>
        </w:rPr>
        <w:t>5.77</w:t>
      </w:r>
      <w:r>
        <w:rPr>
          <w:lang w:val="en-AU" w:eastAsia="en-AU"/>
        </w:rPr>
        <w:t xml:space="preserve">% moving one quintile away, and the other </w:t>
      </w:r>
      <w:r w:rsidR="00EA1DC1">
        <w:rPr>
          <w:lang w:val="en-AU" w:eastAsia="en-AU"/>
        </w:rPr>
        <w:t>(</w:t>
      </w:r>
      <w:r w:rsidR="0073680B">
        <w:rPr>
          <w:lang w:val="en-AU" w:eastAsia="en-AU"/>
        </w:rPr>
        <w:t>4</w:t>
      </w:r>
      <w:r w:rsidR="00EA1DC1">
        <w:rPr>
          <w:lang w:val="en-AU" w:eastAsia="en-AU"/>
        </w:rPr>
        <w:t>.3 + 0.17)</w:t>
      </w:r>
      <w:r w:rsidR="00BD1C66">
        <w:rPr>
          <w:lang w:val="en-AU" w:eastAsia="en-AU"/>
        </w:rPr>
        <w:t xml:space="preserve"> = 4.47%</w:t>
      </w:r>
      <w:r>
        <w:rPr>
          <w:lang w:val="en-AU" w:eastAsia="en-AU"/>
        </w:rPr>
        <w:t xml:space="preserve"> moving more than 1 quintile.</w:t>
      </w:r>
      <w:r w:rsidR="00931230">
        <w:rPr>
          <w:lang w:val="en-AU" w:eastAsia="en-AU"/>
        </w:rPr>
        <w:t xml:space="preserve"> </w:t>
      </w:r>
      <w:r>
        <w:rPr>
          <w:lang w:val="en-AU" w:eastAsia="en-AU"/>
        </w:rPr>
        <w:t>This is because there is only one direction to move for quintiles 1 and 5, whereas quintiles 2 – 4 have two directions to move.</w:t>
      </w:r>
    </w:p>
    <w:p w14:paraId="43CB945C" w14:textId="77777777" w:rsidR="005D3914" w:rsidRDefault="0008489A" w:rsidP="00103B65">
      <w:pPr>
        <w:rPr>
          <w:lang w:val="en-AU" w:eastAsia="en-AU"/>
        </w:rPr>
      </w:pPr>
      <w:r>
        <w:rPr>
          <w:lang w:val="en-AU" w:eastAsia="en-AU"/>
        </w:rPr>
        <w:t xml:space="preserve">In all years, the number of areas moving by more than 1 quintile is less than 10%; the proportion moving more than 2 quintiles is </w:t>
      </w:r>
      <w:r w:rsidR="005D3914">
        <w:rPr>
          <w:lang w:val="en-AU" w:eastAsia="en-AU"/>
        </w:rPr>
        <w:t>1 – 2%; and the proportion moving more than 3 quintiles (which can only be done from quintiles 1 and 5) is rounded to 0%.</w:t>
      </w:r>
    </w:p>
    <w:p w14:paraId="67AB3D90" w14:textId="1861FBCC" w:rsidR="006E02AA" w:rsidRDefault="005D3914" w:rsidP="00103B65">
      <w:pPr>
        <w:rPr>
          <w:lang w:val="en-AU" w:eastAsia="en-AU"/>
        </w:rPr>
      </w:pPr>
      <w:r>
        <w:rPr>
          <w:lang w:val="en-AU" w:eastAsia="en-AU"/>
        </w:rPr>
        <w:t xml:space="preserve">We also looked at the change over time (2006 – 2011 and 2011 – 2016) of family income and SES indexes. </w:t>
      </w:r>
      <w:r w:rsidR="00BA7ED1">
        <w:rPr>
          <w:lang w:val="en-AU" w:eastAsia="en-AU"/>
        </w:rPr>
        <w:t xml:space="preserve">The results are shown in Tables </w:t>
      </w:r>
      <w:r w:rsidR="0073680B">
        <w:rPr>
          <w:lang w:val="en-AU" w:eastAsia="en-AU"/>
        </w:rPr>
        <w:t>3 – 9 of Appendix 2</w:t>
      </w:r>
      <w:r w:rsidR="0057692C">
        <w:rPr>
          <w:lang w:val="en-AU" w:eastAsia="en-AU"/>
        </w:rPr>
        <w:t xml:space="preserve"> (available </w:t>
      </w:r>
      <w:hyperlink r:id="rId45" w:history="1">
        <w:r w:rsidR="0057692C" w:rsidRPr="009C3774">
          <w:rPr>
            <w:rStyle w:val="Hyperlink"/>
          </w:rPr>
          <w:t>here</w:t>
        </w:r>
      </w:hyperlink>
      <w:r w:rsidR="0057692C">
        <w:t>)</w:t>
      </w:r>
      <w:r w:rsidR="00BA7ED1">
        <w:rPr>
          <w:lang w:val="en-AU" w:eastAsia="en-AU"/>
        </w:rPr>
        <w:t xml:space="preserve">. </w:t>
      </w:r>
      <w:r>
        <w:rPr>
          <w:lang w:val="en-AU" w:eastAsia="en-AU"/>
        </w:rPr>
        <w:t xml:space="preserve">Looking at </w:t>
      </w:r>
      <w:r w:rsidR="00BA7ED1">
        <w:rPr>
          <w:lang w:val="en-AU" w:eastAsia="en-AU"/>
        </w:rPr>
        <w:fldChar w:fldCharType="begin"/>
      </w:r>
      <w:r w:rsidR="00BA7ED1">
        <w:rPr>
          <w:lang w:val="en-AU" w:eastAsia="en-AU"/>
        </w:rPr>
        <w:instrText xml:space="preserve"> REF _Ref505595860 \h </w:instrText>
      </w:r>
      <w:r w:rsidR="00BA7ED1">
        <w:rPr>
          <w:lang w:val="en-AU" w:eastAsia="en-AU"/>
        </w:rPr>
      </w:r>
      <w:r w:rsidR="00BA7ED1">
        <w:rPr>
          <w:lang w:val="en-AU" w:eastAsia="en-AU"/>
        </w:rPr>
        <w:fldChar w:fldCharType="separate"/>
      </w:r>
      <w:r w:rsidR="00171745">
        <w:t xml:space="preserve">Table </w:t>
      </w:r>
      <w:r w:rsidR="00171745">
        <w:rPr>
          <w:noProof/>
        </w:rPr>
        <w:t>8</w:t>
      </w:r>
      <w:r w:rsidR="00BA7ED1">
        <w:rPr>
          <w:lang w:val="en-AU" w:eastAsia="en-AU"/>
        </w:rPr>
        <w:fldChar w:fldCharType="end"/>
      </w:r>
      <w:r w:rsidR="00BA7ED1">
        <w:rPr>
          <w:lang w:val="en-AU" w:eastAsia="en-AU"/>
        </w:rPr>
        <w:t>, which shows family income in 2006 and 2011, it can be seen that 6</w:t>
      </w:r>
      <w:r w:rsidR="00A92908">
        <w:rPr>
          <w:lang w:val="en-AU" w:eastAsia="en-AU"/>
        </w:rPr>
        <w:t>9</w:t>
      </w:r>
      <w:r w:rsidR="00BA7ED1">
        <w:rPr>
          <w:lang w:val="en-AU" w:eastAsia="en-AU"/>
        </w:rPr>
        <w:t>% of SA1’s that were in quintile 1 in 2006 stayed in quintile 1 in 2011; 2</w:t>
      </w:r>
      <w:r w:rsidR="009262E2">
        <w:rPr>
          <w:lang w:val="en-AU" w:eastAsia="en-AU"/>
        </w:rPr>
        <w:t>4</w:t>
      </w:r>
      <w:r w:rsidR="00BA7ED1">
        <w:rPr>
          <w:lang w:val="en-AU" w:eastAsia="en-AU"/>
        </w:rPr>
        <w:t xml:space="preserve">% of SA1’s moved from quintile 2 in 2006 to quintile 1 in 2011; </w:t>
      </w:r>
      <w:r w:rsidR="006E02AA">
        <w:rPr>
          <w:lang w:val="en-AU" w:eastAsia="en-AU"/>
        </w:rPr>
        <w:t>and 2</w:t>
      </w:r>
      <w:r w:rsidR="009262E2">
        <w:rPr>
          <w:lang w:val="en-AU" w:eastAsia="en-AU"/>
        </w:rPr>
        <w:t>4</w:t>
      </w:r>
      <w:r w:rsidR="006E02AA">
        <w:rPr>
          <w:lang w:val="en-AU" w:eastAsia="en-AU"/>
        </w:rPr>
        <w:t>% moved from quintile 1 in 2006 to quintile 2 in 2011. In all cases, less than 10% moved more than 1 quintile of income.</w:t>
      </w:r>
    </w:p>
    <w:p w14:paraId="714A5EF2" w14:textId="47128BA8" w:rsidR="00103B65" w:rsidRDefault="006E02AA" w:rsidP="00103B65">
      <w:pPr>
        <w:rPr>
          <w:lang w:val="en-AU" w:eastAsia="en-AU"/>
        </w:rPr>
      </w:pPr>
      <w:r>
        <w:rPr>
          <w:lang w:val="en-AU" w:eastAsia="en-AU"/>
        </w:rPr>
        <w:t xml:space="preserve">Looking at SES, this was much more stable over time, with </w:t>
      </w:r>
      <w:r w:rsidR="009262E2">
        <w:rPr>
          <w:lang w:val="en-AU" w:eastAsia="en-AU"/>
        </w:rPr>
        <w:t xml:space="preserve">less than </w:t>
      </w:r>
      <w:r>
        <w:rPr>
          <w:lang w:val="en-AU" w:eastAsia="en-AU"/>
        </w:rPr>
        <w:t xml:space="preserve">1% of SA1’s moving more than 1 quintile over the 5 years from 2011 to 2016; and </w:t>
      </w:r>
      <w:r w:rsidR="009262E2">
        <w:rPr>
          <w:lang w:val="en-AU" w:eastAsia="en-AU"/>
        </w:rPr>
        <w:t>about 1%</w:t>
      </w:r>
      <w:r>
        <w:rPr>
          <w:lang w:val="en-AU" w:eastAsia="en-AU"/>
        </w:rPr>
        <w:t xml:space="preserve"> from 2006 – 2011. </w:t>
      </w:r>
      <w:r w:rsidR="00931230">
        <w:rPr>
          <w:lang w:val="en-AU" w:eastAsia="en-AU"/>
        </w:rPr>
        <w:t xml:space="preserve"> </w:t>
      </w:r>
    </w:p>
    <w:p w14:paraId="1A384031" w14:textId="37AC9931" w:rsidR="00103B65" w:rsidRDefault="006E02AA" w:rsidP="00103B65">
      <w:pPr>
        <w:rPr>
          <w:lang w:val="en-AU" w:eastAsia="en-AU"/>
        </w:rPr>
      </w:pPr>
      <w:r>
        <w:rPr>
          <w:lang w:val="en-AU" w:eastAsia="en-AU"/>
        </w:rPr>
        <w:t>What this analysis has shown is that at the SA1 level, there is more variability in income at the SA1 level than using SES. This is not surprising, as the education and occupation in the SES index is fairly constant over time, so would average out any variability in income. Using family income only, from 2006 to 2011, 6</w:t>
      </w:r>
      <w:r w:rsidR="009262E2">
        <w:rPr>
          <w:lang w:val="en-AU" w:eastAsia="en-AU"/>
        </w:rPr>
        <w:t>9</w:t>
      </w:r>
      <w:r>
        <w:rPr>
          <w:lang w:val="en-AU" w:eastAsia="en-AU"/>
        </w:rPr>
        <w:t xml:space="preserve">% of SA1’s in the first quintile of family income </w:t>
      </w:r>
      <w:r w:rsidR="00FB23D6">
        <w:rPr>
          <w:lang w:val="en-AU" w:eastAsia="en-AU"/>
        </w:rPr>
        <w:t xml:space="preserve">in 2006 </w:t>
      </w:r>
      <w:r>
        <w:rPr>
          <w:lang w:val="en-AU" w:eastAsia="en-AU"/>
        </w:rPr>
        <w:t>would be in the same quintil</w:t>
      </w:r>
      <w:r w:rsidR="009262E2">
        <w:rPr>
          <w:lang w:val="en-AU" w:eastAsia="en-AU"/>
        </w:rPr>
        <w:t>e in 2011; whereas using SES, 79</w:t>
      </w:r>
      <w:r>
        <w:rPr>
          <w:lang w:val="en-AU" w:eastAsia="en-AU"/>
        </w:rPr>
        <w:t xml:space="preserve">% </w:t>
      </w:r>
      <w:r w:rsidR="00FB23D6">
        <w:rPr>
          <w:lang w:val="en-AU" w:eastAsia="en-AU"/>
        </w:rPr>
        <w:t>would be</w:t>
      </w:r>
      <w:r>
        <w:rPr>
          <w:lang w:val="en-AU" w:eastAsia="en-AU"/>
        </w:rPr>
        <w:t>.</w:t>
      </w:r>
      <w:r w:rsidR="00FB23D6">
        <w:rPr>
          <w:lang w:val="en-AU" w:eastAsia="en-AU"/>
        </w:rPr>
        <w:t xml:space="preserve"> However, most of the movement is one quintile away.</w:t>
      </w:r>
    </w:p>
    <w:p w14:paraId="02F9DE3D" w14:textId="5B80EE77" w:rsidR="009262E2" w:rsidRDefault="00FB23D6" w:rsidP="00103B65">
      <w:pPr>
        <w:rPr>
          <w:lang w:val="en-AU" w:eastAsia="en-AU"/>
        </w:rPr>
      </w:pPr>
      <w:r>
        <w:rPr>
          <w:lang w:val="en-AU" w:eastAsia="en-AU"/>
        </w:rPr>
        <w:t xml:space="preserve">Looking at the comparison between family income and SES within each year, there would be changes, and for about </w:t>
      </w:r>
      <w:r w:rsidR="009262E2">
        <w:rPr>
          <w:lang w:val="en-AU" w:eastAsia="en-AU"/>
        </w:rPr>
        <w:t>5</w:t>
      </w:r>
      <w:r>
        <w:rPr>
          <w:lang w:val="en-AU" w:eastAsia="en-AU"/>
        </w:rPr>
        <w:t>% of areas, the changes are beyond 1 quintile.</w:t>
      </w:r>
    </w:p>
    <w:p w14:paraId="3E685ED2" w14:textId="0F646905" w:rsidR="00EE6487" w:rsidRDefault="00EE6487" w:rsidP="00EE6487">
      <w:pPr>
        <w:rPr>
          <w:lang w:val="en-AU" w:eastAsia="en-AU"/>
        </w:rPr>
      </w:pPr>
      <w:r>
        <w:rPr>
          <w:lang w:val="en-AU" w:eastAsia="en-AU"/>
        </w:rPr>
        <w:t>Looking at the maps of changes, it can be seen that areas with high levels of change in family income (</w:t>
      </w:r>
      <w:r w:rsidR="00F43789" w:rsidRPr="00050B6E">
        <w:rPr>
          <w:lang w:val="en-AU" w:eastAsia="en-AU"/>
        </w:rPr>
        <w:t xml:space="preserve">see Figure 41 </w:t>
      </w:r>
      <w:hyperlink r:id="rId46" w:history="1">
        <w:r w:rsidR="0057692C" w:rsidRPr="009C3774">
          <w:rPr>
            <w:rStyle w:val="Hyperlink"/>
          </w:rPr>
          <w:t>here</w:t>
        </w:r>
      </w:hyperlink>
      <w:r>
        <w:rPr>
          <w:lang w:val="en-AU" w:eastAsia="en-AU"/>
        </w:rPr>
        <w:t>) are in low population areas of regional and remote Queensland. Variability in SES (</w:t>
      </w:r>
      <w:r w:rsidR="00DA48C2" w:rsidRPr="00050B6E">
        <w:rPr>
          <w:lang w:val="en-AU" w:eastAsia="en-AU"/>
        </w:rPr>
        <w:t xml:space="preserve">see Figure 42 </w:t>
      </w:r>
      <w:hyperlink r:id="rId47" w:history="1">
        <w:r w:rsidR="0057692C" w:rsidRPr="009C3774">
          <w:rPr>
            <w:rStyle w:val="Hyperlink"/>
          </w:rPr>
          <w:t>here</w:t>
        </w:r>
      </w:hyperlink>
      <w:r>
        <w:rPr>
          <w:lang w:val="en-AU" w:eastAsia="en-AU"/>
        </w:rPr>
        <w:t>) is not as great, but again, remote areas experience grater change, due to low populations.</w:t>
      </w:r>
    </w:p>
    <w:p w14:paraId="326B10C5" w14:textId="610D44A7" w:rsidR="009262E2" w:rsidRDefault="00394DCF" w:rsidP="00103B65">
      <w:pPr>
        <w:rPr>
          <w:lang w:val="en-AU" w:eastAsia="en-AU"/>
        </w:rPr>
      </w:pPr>
      <w:r>
        <w:rPr>
          <w:lang w:val="en-AU" w:eastAsia="en-AU"/>
        </w:rPr>
        <w:t xml:space="preserve">The scatterplots of changes </w:t>
      </w:r>
      <w:r w:rsidR="0073680B">
        <w:rPr>
          <w:lang w:val="en-AU" w:eastAsia="en-AU"/>
        </w:rPr>
        <w:t>in Appendix 4 confirmed</w:t>
      </w:r>
      <w:r>
        <w:rPr>
          <w:lang w:val="en-AU" w:eastAsia="en-AU"/>
        </w:rPr>
        <w:t xml:space="preserve"> </w:t>
      </w:r>
      <w:r w:rsidR="0073680B">
        <w:rPr>
          <w:lang w:val="en-AU" w:eastAsia="en-AU"/>
        </w:rPr>
        <w:t xml:space="preserve">the results from the quintile tables, which was that SES was more stable over time than income only (family or household). </w:t>
      </w:r>
      <w:r w:rsidR="00290EBF">
        <w:rPr>
          <w:lang w:val="en-AU" w:eastAsia="en-AU"/>
        </w:rPr>
        <w:t xml:space="preserve">While the scatter plots are difficult to interpret, the graphs of the distribution of change in index scores </w:t>
      </w:r>
      <w:r w:rsidR="00290EBF">
        <w:rPr>
          <w:lang w:val="en-AU" w:eastAsia="en-AU"/>
        </w:rPr>
        <w:fldChar w:fldCharType="begin"/>
      </w:r>
      <w:r w:rsidR="00290EBF">
        <w:rPr>
          <w:lang w:val="en-AU" w:eastAsia="en-AU"/>
        </w:rPr>
        <w:instrText xml:space="preserve"> REF _Ref506992854 \h </w:instrText>
      </w:r>
      <w:r w:rsidR="00290EBF">
        <w:rPr>
          <w:lang w:val="en-AU" w:eastAsia="en-AU"/>
        </w:rPr>
      </w:r>
      <w:r w:rsidR="00290EBF">
        <w:rPr>
          <w:lang w:val="en-AU" w:eastAsia="en-AU"/>
        </w:rPr>
        <w:fldChar w:fldCharType="separate"/>
      </w:r>
      <w:r w:rsidR="00171745">
        <w:t xml:space="preserve">Figure </w:t>
      </w:r>
      <w:r w:rsidR="00171745">
        <w:rPr>
          <w:noProof/>
        </w:rPr>
        <w:t>78</w:t>
      </w:r>
      <w:r w:rsidR="00290EBF">
        <w:rPr>
          <w:lang w:val="en-AU" w:eastAsia="en-AU"/>
        </w:rPr>
        <w:fldChar w:fldCharType="end"/>
      </w:r>
      <w:r w:rsidR="00290EBF">
        <w:rPr>
          <w:lang w:val="en-AU" w:eastAsia="en-AU"/>
        </w:rPr>
        <w:t xml:space="preserve"> and </w:t>
      </w:r>
      <w:r w:rsidR="00290EBF">
        <w:rPr>
          <w:lang w:val="en-AU" w:eastAsia="en-AU"/>
        </w:rPr>
        <w:fldChar w:fldCharType="begin"/>
      </w:r>
      <w:r w:rsidR="00290EBF">
        <w:rPr>
          <w:lang w:val="en-AU" w:eastAsia="en-AU"/>
        </w:rPr>
        <w:instrText xml:space="preserve"> REF _Ref506992862 \h </w:instrText>
      </w:r>
      <w:r w:rsidR="00290EBF">
        <w:rPr>
          <w:lang w:val="en-AU" w:eastAsia="en-AU"/>
        </w:rPr>
      </w:r>
      <w:r w:rsidR="00290EBF">
        <w:rPr>
          <w:lang w:val="en-AU" w:eastAsia="en-AU"/>
        </w:rPr>
        <w:fldChar w:fldCharType="separate"/>
      </w:r>
      <w:r w:rsidR="00171745">
        <w:t xml:space="preserve">Figure </w:t>
      </w:r>
      <w:r w:rsidR="00171745">
        <w:rPr>
          <w:noProof/>
        </w:rPr>
        <w:t>79</w:t>
      </w:r>
      <w:r w:rsidR="00290EBF">
        <w:rPr>
          <w:lang w:val="en-AU" w:eastAsia="en-AU"/>
        </w:rPr>
        <w:fldChar w:fldCharType="end"/>
      </w:r>
      <w:r w:rsidR="001E403F">
        <w:rPr>
          <w:lang w:val="en-AU" w:eastAsia="en-AU"/>
        </w:rPr>
        <w:t xml:space="preserve"> </w:t>
      </w:r>
      <w:r w:rsidR="00076B91">
        <w:rPr>
          <w:lang w:val="en-AU" w:eastAsia="en-AU"/>
        </w:rPr>
        <w:t xml:space="preserve">(available </w:t>
      </w:r>
      <w:hyperlink r:id="rId48" w:history="1">
        <w:r w:rsidR="00076B91" w:rsidRPr="009C3774">
          <w:rPr>
            <w:rStyle w:val="Hyperlink"/>
          </w:rPr>
          <w:t>here</w:t>
        </w:r>
      </w:hyperlink>
      <w:r w:rsidR="00290EBF">
        <w:rPr>
          <w:lang w:val="en-AU" w:eastAsia="en-AU"/>
        </w:rPr>
        <w:t xml:space="preserve">) show </w:t>
      </w:r>
      <w:r>
        <w:rPr>
          <w:lang w:val="en-AU" w:eastAsia="en-AU"/>
        </w:rPr>
        <w:t xml:space="preserve">that </w:t>
      </w:r>
      <w:r w:rsidR="00290EBF">
        <w:rPr>
          <w:lang w:val="en-AU" w:eastAsia="en-AU"/>
        </w:rPr>
        <w:t>SES has a lower change in values than the income, education or occupation indexes. The second lowest was the Education index, then Household Income, Occupation and finally Family Income.</w:t>
      </w:r>
      <w:r w:rsidR="00FB23D6">
        <w:rPr>
          <w:lang w:val="en-AU" w:eastAsia="en-AU"/>
        </w:rPr>
        <w:t xml:space="preserve"> </w:t>
      </w:r>
    </w:p>
    <w:p w14:paraId="31B6CCEC" w14:textId="77777777" w:rsidR="00354511" w:rsidRDefault="00354511" w:rsidP="009262E2">
      <w:pPr>
        <w:pStyle w:val="Heading2"/>
        <w:rPr>
          <w:rFonts w:hint="eastAsia"/>
          <w:lang w:val="en-AU" w:eastAsia="en-AU"/>
        </w:rPr>
      </w:pPr>
    </w:p>
    <w:p w14:paraId="06A8F308" w14:textId="376ED38E" w:rsidR="009262E2" w:rsidRDefault="009262E2" w:rsidP="009262E2">
      <w:pPr>
        <w:pStyle w:val="Heading2"/>
        <w:rPr>
          <w:rFonts w:hint="eastAsia"/>
          <w:lang w:val="en-AU" w:eastAsia="en-AU"/>
        </w:rPr>
      </w:pPr>
      <w:bookmarkStart w:id="101" w:name="_Toc519077401"/>
      <w:r>
        <w:rPr>
          <w:lang w:val="en-AU" w:eastAsia="en-AU"/>
        </w:rPr>
        <w:t>Case Study Analysis</w:t>
      </w:r>
      <w:bookmarkEnd w:id="101"/>
    </w:p>
    <w:p w14:paraId="5DFF5444" w14:textId="77777777" w:rsidR="009262E2" w:rsidRDefault="009262E2" w:rsidP="009262E2">
      <w:pPr>
        <w:rPr>
          <w:lang w:val="en-AU" w:eastAsia="en-AU"/>
        </w:rPr>
      </w:pPr>
    </w:p>
    <w:p w14:paraId="269796AF" w14:textId="5D52C9BF" w:rsidR="009262E2" w:rsidRDefault="009262E2" w:rsidP="009262E2">
      <w:pPr>
        <w:rPr>
          <w:lang w:val="en-AU" w:eastAsia="en-AU"/>
        </w:rPr>
      </w:pPr>
      <w:r>
        <w:rPr>
          <w:lang w:val="en-AU" w:eastAsia="en-AU"/>
        </w:rPr>
        <w:t>This analysis chose a number of areas, and looked at the variability for these areas. The specific graphs for these areas are shown in Appendix 9</w:t>
      </w:r>
      <w:r w:rsidR="001E403F">
        <w:rPr>
          <w:lang w:val="en-AU" w:eastAsia="en-AU"/>
        </w:rPr>
        <w:t xml:space="preserve"> (</w:t>
      </w:r>
      <w:r w:rsidR="001E403F" w:rsidRPr="00050B6E">
        <w:rPr>
          <w:lang w:val="en-AU" w:eastAsia="en-AU"/>
        </w:rPr>
        <w:t xml:space="preserve">Appendix 9, </w:t>
      </w:r>
      <w:r w:rsidR="00076B91">
        <w:rPr>
          <w:lang w:val="en-AU" w:eastAsia="en-AU"/>
        </w:rPr>
        <w:t xml:space="preserve">is available </w:t>
      </w:r>
      <w:hyperlink r:id="rId49" w:history="1">
        <w:r w:rsidR="00076B91" w:rsidRPr="009C3774">
          <w:rPr>
            <w:rStyle w:val="Hyperlink"/>
          </w:rPr>
          <w:t>here</w:t>
        </w:r>
      </w:hyperlink>
      <w:r w:rsidR="001E403F">
        <w:rPr>
          <w:lang w:val="en-AU" w:eastAsia="en-AU"/>
        </w:rPr>
        <w:t>)</w:t>
      </w:r>
      <w:r>
        <w:rPr>
          <w:lang w:val="en-AU" w:eastAsia="en-AU"/>
        </w:rPr>
        <w:t>.</w:t>
      </w:r>
      <w:r w:rsidR="00AA486E">
        <w:rPr>
          <w:lang w:val="en-AU" w:eastAsia="en-AU"/>
        </w:rPr>
        <w:t xml:space="preserve"> It can be seen that the income for Emeral</w:t>
      </w:r>
      <w:r w:rsidR="00F7172A">
        <w:rPr>
          <w:lang w:val="en-AU" w:eastAsia="en-AU"/>
        </w:rPr>
        <w:t>d</w:t>
      </w:r>
      <w:r w:rsidR="00AA486E">
        <w:rPr>
          <w:lang w:val="en-AU" w:eastAsia="en-AU"/>
        </w:rPr>
        <w:t xml:space="preserve"> was stable for 2005/05 to 2010/11; but there was a lot more instability in the second period of PIT data. The number of earners in Emerald was increasing from 2005/06 to 2010/11, but then decreasing from 2010/11 to 2014/15 (remembering that the definition of income earners changed between these two periods, so the second period has a much higher number).</w:t>
      </w:r>
    </w:p>
    <w:p w14:paraId="72941F4C" w14:textId="66D59E9F" w:rsidR="00EF0B68" w:rsidRDefault="00EF0B68" w:rsidP="009262E2">
      <w:pPr>
        <w:rPr>
          <w:lang w:val="en-AU" w:eastAsia="en-AU"/>
        </w:rPr>
      </w:pPr>
      <w:r>
        <w:rPr>
          <w:lang w:val="en-AU" w:eastAsia="en-AU"/>
        </w:rPr>
        <w:t>In Nhulunbuy, the population of earners was unstable in the 2005/06 to 2010/11 period; but on a decrease in the 2010/11 to 2014/15 period (again, the changed definition affected this population). The incomes over this period also showed instability.</w:t>
      </w:r>
    </w:p>
    <w:p w14:paraId="2C332463" w14:textId="065F29D4" w:rsidR="00C0392D" w:rsidRDefault="00C0392D" w:rsidP="009262E2">
      <w:pPr>
        <w:rPr>
          <w:lang w:val="en-AU" w:eastAsia="en-AU"/>
        </w:rPr>
      </w:pPr>
      <w:r>
        <w:rPr>
          <w:lang w:val="en-AU" w:eastAsia="en-AU"/>
        </w:rPr>
        <w:t>In Redfern</w:t>
      </w:r>
      <w:r w:rsidR="00BD1C66">
        <w:rPr>
          <w:lang w:val="en-AU" w:eastAsia="en-AU"/>
        </w:rPr>
        <w:t>-Chippendale</w:t>
      </w:r>
      <w:r>
        <w:rPr>
          <w:lang w:val="en-AU" w:eastAsia="en-AU"/>
        </w:rPr>
        <w:t>, an inner Sydney suburb subject to gentrification, the number of earners was growing but stable (except 2007/08), however income was very unstable for the first period; and then seemed to be stagnant in the first four years of the second period, before increasing more than 30% in one year, from $56,000 to $74,000</w:t>
      </w:r>
      <w:r w:rsidR="00BB28DF">
        <w:rPr>
          <w:lang w:val="en-AU" w:eastAsia="en-AU"/>
        </w:rPr>
        <w:t>, suggesting a significant change in this year</w:t>
      </w:r>
      <w:r>
        <w:rPr>
          <w:lang w:val="en-AU" w:eastAsia="en-AU"/>
        </w:rPr>
        <w:t>.</w:t>
      </w:r>
      <w:r w:rsidR="00BB28DF">
        <w:rPr>
          <w:lang w:val="en-AU" w:eastAsia="en-AU"/>
        </w:rPr>
        <w:t xml:space="preserve"> Crace (a new area in the ACT) showed a similar pattern, with a very constant income growth in the first 5 year period while it was still being built, but then instability in the second 5 year period. The final income point in 2014/15 is lower than other years, but the scale on the Y axis means this is only a $1,000 difference from 2013/14.</w:t>
      </w:r>
    </w:p>
    <w:p w14:paraId="5371E369" w14:textId="6567D5E8" w:rsidR="00904959" w:rsidRPr="00EF1587" w:rsidRDefault="00BB28DF" w:rsidP="00D64D38">
      <w:pPr>
        <w:rPr>
          <w:lang w:val="en-AU" w:eastAsia="en-AU"/>
        </w:rPr>
      </w:pPr>
      <w:r>
        <w:rPr>
          <w:lang w:val="en-AU" w:eastAsia="en-AU"/>
        </w:rPr>
        <w:t>The final case study was looking at Esperance in WA, and rather than looking at income instability for this, we looked at mean; smoothed mean; median; and smoothed median incomes. The results for this case study have already been shown in the executive summary.</w:t>
      </w:r>
    </w:p>
    <w:p w14:paraId="1FE8B5BA" w14:textId="1D49ACF9" w:rsidR="007B2CF9" w:rsidRDefault="007B2CF9" w:rsidP="007B2CF9">
      <w:pPr>
        <w:pStyle w:val="Headingnumbered"/>
        <w:rPr>
          <w:lang w:val="en-AU" w:eastAsia="en-AU"/>
        </w:rPr>
      </w:pPr>
      <w:bookmarkStart w:id="102" w:name="_Toc519077402"/>
      <w:r>
        <w:rPr>
          <w:lang w:val="en-AU" w:eastAsia="en-AU"/>
        </w:rPr>
        <w:t>Conclusions</w:t>
      </w:r>
      <w:bookmarkEnd w:id="102"/>
    </w:p>
    <w:p w14:paraId="2FEE3CC8" w14:textId="37011FAD" w:rsidR="0003340D" w:rsidRDefault="00676725" w:rsidP="00D34F14">
      <w:pPr>
        <w:rPr>
          <w:rFonts w:ascii="Arial" w:eastAsia="Times New Roman" w:hAnsi="Arial" w:cs="Arial"/>
          <w:color w:val="333333"/>
          <w:lang w:val="en-AU" w:eastAsia="en-AU"/>
          <w14:ligatures w14:val="none"/>
        </w:rPr>
      </w:pPr>
      <w:r>
        <w:rPr>
          <w:rFonts w:ascii="Arial" w:eastAsia="Times New Roman" w:hAnsi="Arial" w:cs="Arial"/>
          <w:color w:val="333333"/>
          <w:lang w:val="en-AU" w:eastAsia="en-AU"/>
          <w14:ligatures w14:val="none"/>
        </w:rPr>
        <w:t xml:space="preserve">This analysis has found that the main reason for instability in incomes is low population, with secondary external influences </w:t>
      </w:r>
      <w:r w:rsidR="008A0ACA">
        <w:rPr>
          <w:rFonts w:ascii="Arial" w:eastAsia="Times New Roman" w:hAnsi="Arial" w:cs="Arial"/>
          <w:color w:val="333333"/>
          <w:lang w:val="en-AU" w:eastAsia="en-AU"/>
          <w14:ligatures w14:val="none"/>
        </w:rPr>
        <w:t xml:space="preserve">possibly </w:t>
      </w:r>
      <w:r>
        <w:rPr>
          <w:rFonts w:ascii="Arial" w:eastAsia="Times New Roman" w:hAnsi="Arial" w:cs="Arial"/>
          <w:color w:val="333333"/>
          <w:lang w:val="en-AU" w:eastAsia="en-AU"/>
          <w14:ligatures w14:val="none"/>
        </w:rPr>
        <w:t xml:space="preserve">including drought in regional areas; changes </w:t>
      </w:r>
      <w:r w:rsidR="008A0ACA">
        <w:rPr>
          <w:rFonts w:ascii="Arial" w:eastAsia="Times New Roman" w:hAnsi="Arial" w:cs="Arial"/>
          <w:color w:val="333333"/>
          <w:lang w:val="en-AU" w:eastAsia="en-AU"/>
          <w14:ligatures w14:val="none"/>
        </w:rPr>
        <w:t xml:space="preserve">in incomes </w:t>
      </w:r>
      <w:r>
        <w:rPr>
          <w:rFonts w:ascii="Arial" w:eastAsia="Times New Roman" w:hAnsi="Arial" w:cs="Arial"/>
          <w:color w:val="333333"/>
          <w:lang w:val="en-AU" w:eastAsia="en-AU"/>
          <w14:ligatures w14:val="none"/>
        </w:rPr>
        <w:t>due to mining and farming; urban renewal in a few areas in cities; and new suburbs</w:t>
      </w:r>
      <w:r w:rsidR="008A0ACA">
        <w:rPr>
          <w:rFonts w:ascii="Arial" w:eastAsia="Times New Roman" w:hAnsi="Arial" w:cs="Arial"/>
          <w:color w:val="333333"/>
          <w:lang w:val="en-AU" w:eastAsia="en-AU"/>
          <w14:ligatures w14:val="none"/>
        </w:rPr>
        <w:t xml:space="preserve"> in cities</w:t>
      </w:r>
      <w:r>
        <w:rPr>
          <w:rFonts w:ascii="Arial" w:eastAsia="Times New Roman" w:hAnsi="Arial" w:cs="Arial"/>
          <w:color w:val="333333"/>
          <w:lang w:val="en-AU" w:eastAsia="en-AU"/>
          <w14:ligatures w14:val="none"/>
        </w:rPr>
        <w:t>. One area in the ACT (Acton) saw rapid income change due to demographic change as student accom</w:t>
      </w:r>
      <w:r w:rsidR="00F7172A">
        <w:rPr>
          <w:rFonts w:ascii="Arial" w:eastAsia="Times New Roman" w:hAnsi="Arial" w:cs="Arial"/>
          <w:color w:val="333333"/>
          <w:lang w:val="en-AU" w:eastAsia="en-AU"/>
          <w14:ligatures w14:val="none"/>
        </w:rPr>
        <w:t>m</w:t>
      </w:r>
      <w:r>
        <w:rPr>
          <w:rFonts w:ascii="Arial" w:eastAsia="Times New Roman" w:hAnsi="Arial" w:cs="Arial"/>
          <w:color w:val="333333"/>
          <w:lang w:val="en-AU" w:eastAsia="en-AU"/>
          <w14:ligatures w14:val="none"/>
        </w:rPr>
        <w:t xml:space="preserve">odation for the ANU was built. However, </w:t>
      </w:r>
      <w:r w:rsidR="00611792">
        <w:rPr>
          <w:rFonts w:ascii="Arial" w:eastAsia="Times New Roman" w:hAnsi="Arial" w:cs="Arial"/>
          <w:color w:val="333333"/>
          <w:lang w:val="en-AU" w:eastAsia="en-AU"/>
          <w14:ligatures w14:val="none"/>
        </w:rPr>
        <w:t xml:space="preserve">it can be seen from the graphs that </w:t>
      </w:r>
      <w:r>
        <w:rPr>
          <w:rFonts w:ascii="Arial" w:eastAsia="Times New Roman" w:hAnsi="Arial" w:cs="Arial"/>
          <w:color w:val="333333"/>
          <w:lang w:val="en-AU" w:eastAsia="en-AU"/>
          <w14:ligatures w14:val="none"/>
        </w:rPr>
        <w:t xml:space="preserve">most SA2’s across Australia showed very stable incomes. </w:t>
      </w:r>
      <w:r w:rsidR="00611792">
        <w:rPr>
          <w:rFonts w:ascii="Arial" w:eastAsia="Times New Roman" w:hAnsi="Arial" w:cs="Arial"/>
          <w:color w:val="333333"/>
          <w:lang w:val="en-AU" w:eastAsia="en-AU"/>
          <w14:ligatures w14:val="none"/>
        </w:rPr>
        <w:t>Using a more objective analysis</w:t>
      </w:r>
      <w:r w:rsidR="00C104A8">
        <w:rPr>
          <w:rFonts w:ascii="Arial" w:eastAsia="Times New Roman" w:hAnsi="Arial" w:cs="Arial"/>
          <w:color w:val="333333"/>
          <w:lang w:val="en-AU" w:eastAsia="en-AU"/>
          <w14:ligatures w14:val="none"/>
        </w:rPr>
        <w:t>, t</w:t>
      </w:r>
      <w:r w:rsidR="00255D88">
        <w:rPr>
          <w:rFonts w:ascii="Arial" w:hAnsi="Arial" w:cs="Arial"/>
        </w:rPr>
        <w:t xml:space="preserve">he number of SA2’s which had income changes within the 95% range of national income change was close to 90% in each time period looked at. In the first time period, </w:t>
      </w:r>
      <w:r w:rsidR="00BD1C66">
        <w:rPr>
          <w:rFonts w:ascii="Arial" w:hAnsi="Arial" w:cs="Arial"/>
        </w:rPr>
        <w:t>12</w:t>
      </w:r>
      <w:r w:rsidR="00255D88">
        <w:rPr>
          <w:rFonts w:ascii="Arial" w:hAnsi="Arial" w:cs="Arial"/>
        </w:rPr>
        <w:t>% of SA2’s had income change outside the 95% national change; and in the second time period, 1</w:t>
      </w:r>
      <w:r w:rsidR="00BD1C66">
        <w:rPr>
          <w:rFonts w:ascii="Arial" w:hAnsi="Arial" w:cs="Arial"/>
        </w:rPr>
        <w:t>0</w:t>
      </w:r>
      <w:r w:rsidR="00255D88">
        <w:rPr>
          <w:rFonts w:ascii="Arial" w:hAnsi="Arial" w:cs="Arial"/>
        </w:rPr>
        <w:t>% had changes outside the 95% national change.</w:t>
      </w:r>
      <w:r w:rsidR="00611792">
        <w:rPr>
          <w:rFonts w:ascii="Arial" w:eastAsia="Times New Roman" w:hAnsi="Arial" w:cs="Arial"/>
          <w:color w:val="333333"/>
          <w:lang w:val="en-AU" w:eastAsia="en-AU"/>
          <w14:ligatures w14:val="none"/>
        </w:rPr>
        <w:t xml:space="preserve"> </w:t>
      </w:r>
      <w:r w:rsidR="00C075D3">
        <w:rPr>
          <w:rFonts w:ascii="Arial" w:eastAsia="Times New Roman" w:hAnsi="Arial" w:cs="Arial"/>
          <w:color w:val="333333"/>
          <w:lang w:val="en-AU" w:eastAsia="en-AU"/>
          <w14:ligatures w14:val="none"/>
        </w:rPr>
        <w:t>The areas that did fall outside the 95% range tended to have lower populations, with a mean of 2,510 compared to 4,792 for areas that did not in 2005/06 – 2010/11, and 2,820 compared to 5,936 in 2010/11 to 2014/15.</w:t>
      </w:r>
    </w:p>
    <w:p w14:paraId="0117198D" w14:textId="221F8FD7" w:rsidR="0003340D" w:rsidRDefault="00BD1C66" w:rsidP="00D34F14">
      <w:pPr>
        <w:rPr>
          <w:rFonts w:ascii="Arial" w:eastAsia="Times New Roman" w:hAnsi="Arial" w:cs="Arial"/>
          <w:color w:val="333333"/>
          <w:lang w:val="en-AU" w:eastAsia="en-AU"/>
          <w14:ligatures w14:val="none"/>
        </w:rPr>
      </w:pPr>
      <w:r>
        <w:rPr>
          <w:rFonts w:ascii="Arial" w:eastAsia="Times New Roman" w:hAnsi="Arial" w:cs="Arial"/>
          <w:color w:val="333333"/>
          <w:lang w:val="en-AU" w:eastAsia="en-AU"/>
          <w14:ligatures w14:val="none"/>
        </w:rPr>
        <w:t>Using a</w:t>
      </w:r>
      <w:r w:rsidR="0003340D">
        <w:rPr>
          <w:rFonts w:ascii="Arial" w:eastAsia="Times New Roman" w:hAnsi="Arial" w:cs="Arial"/>
          <w:color w:val="333333"/>
          <w:lang w:val="en-AU" w:eastAsia="en-AU"/>
          <w14:ligatures w14:val="none"/>
        </w:rPr>
        <w:t xml:space="preserve"> R</w:t>
      </w:r>
      <w:r>
        <w:rPr>
          <w:rFonts w:ascii="Arial" w:eastAsia="Times New Roman" w:hAnsi="Arial" w:cs="Arial"/>
          <w:color w:val="333333"/>
          <w:lang w:val="en-AU" w:eastAsia="en-AU"/>
          <w14:ligatures w14:val="none"/>
        </w:rPr>
        <w:t xml:space="preserve">oot </w:t>
      </w:r>
      <w:r w:rsidR="0003340D">
        <w:rPr>
          <w:rFonts w:ascii="Arial" w:eastAsia="Times New Roman" w:hAnsi="Arial" w:cs="Arial"/>
          <w:color w:val="333333"/>
          <w:lang w:val="en-AU" w:eastAsia="en-AU"/>
          <w14:ligatures w14:val="none"/>
        </w:rPr>
        <w:t>M</w:t>
      </w:r>
      <w:r>
        <w:rPr>
          <w:rFonts w:ascii="Arial" w:eastAsia="Times New Roman" w:hAnsi="Arial" w:cs="Arial"/>
          <w:color w:val="333333"/>
          <w:lang w:val="en-AU" w:eastAsia="en-AU"/>
          <w14:ligatures w14:val="none"/>
        </w:rPr>
        <w:t xml:space="preserve">ean </w:t>
      </w:r>
      <w:r w:rsidR="0003340D">
        <w:rPr>
          <w:rFonts w:ascii="Arial" w:eastAsia="Times New Roman" w:hAnsi="Arial" w:cs="Arial"/>
          <w:color w:val="333333"/>
          <w:lang w:val="en-AU" w:eastAsia="en-AU"/>
          <w14:ligatures w14:val="none"/>
        </w:rPr>
        <w:t>S</w:t>
      </w:r>
      <w:r>
        <w:rPr>
          <w:rFonts w:ascii="Arial" w:eastAsia="Times New Roman" w:hAnsi="Arial" w:cs="Arial"/>
          <w:color w:val="333333"/>
          <w:lang w:val="en-AU" w:eastAsia="en-AU"/>
          <w14:ligatures w14:val="none"/>
        </w:rPr>
        <w:t xml:space="preserve">quared </w:t>
      </w:r>
      <w:r w:rsidR="0003340D">
        <w:rPr>
          <w:rFonts w:ascii="Arial" w:eastAsia="Times New Roman" w:hAnsi="Arial" w:cs="Arial"/>
          <w:color w:val="333333"/>
          <w:lang w:val="en-AU" w:eastAsia="en-AU"/>
          <w14:ligatures w14:val="none"/>
        </w:rPr>
        <w:t>E</w:t>
      </w:r>
      <w:r>
        <w:rPr>
          <w:rFonts w:ascii="Arial" w:eastAsia="Times New Roman" w:hAnsi="Arial" w:cs="Arial"/>
          <w:color w:val="333333"/>
          <w:lang w:val="en-AU" w:eastAsia="en-AU"/>
          <w14:ligatures w14:val="none"/>
        </w:rPr>
        <w:t>rror</w:t>
      </w:r>
      <w:r w:rsidR="0003340D">
        <w:rPr>
          <w:rFonts w:ascii="Arial" w:eastAsia="Times New Roman" w:hAnsi="Arial" w:cs="Arial"/>
          <w:color w:val="333333"/>
          <w:lang w:val="en-AU" w:eastAsia="en-AU"/>
          <w14:ligatures w14:val="none"/>
        </w:rPr>
        <w:t xml:space="preserve"> provides a summary statistic on the variability of each area. </w:t>
      </w:r>
      <w:r w:rsidR="008A0ACA">
        <w:rPr>
          <w:rFonts w:ascii="Arial" w:eastAsia="Times New Roman" w:hAnsi="Arial" w:cs="Arial"/>
          <w:color w:val="333333"/>
          <w:lang w:val="en-AU" w:eastAsia="en-AU"/>
          <w14:ligatures w14:val="none"/>
        </w:rPr>
        <w:t>In both periods looked at, the RMSE for nea</w:t>
      </w:r>
      <w:r w:rsidR="0003340D">
        <w:rPr>
          <w:rFonts w:ascii="Arial" w:eastAsia="Times New Roman" w:hAnsi="Arial" w:cs="Arial"/>
          <w:color w:val="333333"/>
          <w:lang w:val="en-AU" w:eastAsia="en-AU"/>
          <w14:ligatures w14:val="none"/>
        </w:rPr>
        <w:t>r</w:t>
      </w:r>
      <w:r w:rsidR="008A0ACA">
        <w:rPr>
          <w:rFonts w:ascii="Arial" w:eastAsia="Times New Roman" w:hAnsi="Arial" w:cs="Arial"/>
          <w:color w:val="333333"/>
          <w:lang w:val="en-AU" w:eastAsia="en-AU"/>
          <w14:ligatures w14:val="none"/>
        </w:rPr>
        <w:t xml:space="preserve">ly 85% of areas was less than </w:t>
      </w:r>
      <w:r w:rsidR="0003340D">
        <w:rPr>
          <w:rFonts w:ascii="Arial" w:eastAsia="Times New Roman" w:hAnsi="Arial" w:cs="Arial"/>
          <w:color w:val="333333"/>
          <w:lang w:val="en-AU" w:eastAsia="en-AU"/>
          <w14:ligatures w14:val="none"/>
        </w:rPr>
        <w:t>$1,000 per year, or around 2 – 2.5</w:t>
      </w:r>
      <w:r w:rsidR="008A0ACA">
        <w:rPr>
          <w:rFonts w:ascii="Arial" w:eastAsia="Times New Roman" w:hAnsi="Arial" w:cs="Arial"/>
          <w:color w:val="333333"/>
          <w:lang w:val="en-AU" w:eastAsia="en-AU"/>
          <w14:ligatures w14:val="none"/>
        </w:rPr>
        <w:t>% of the average income of the area.</w:t>
      </w:r>
      <w:r w:rsidR="0003340D">
        <w:rPr>
          <w:rFonts w:ascii="Arial" w:eastAsia="Times New Roman" w:hAnsi="Arial" w:cs="Arial"/>
          <w:color w:val="333333"/>
          <w:lang w:val="en-AU" w:eastAsia="en-AU"/>
          <w14:ligatures w14:val="none"/>
        </w:rPr>
        <w:t xml:space="preserve"> So most areas in Australia have relatively stable incomes.</w:t>
      </w:r>
      <w:r w:rsidR="00A31FC0">
        <w:rPr>
          <w:rFonts w:ascii="Arial" w:eastAsia="Times New Roman" w:hAnsi="Arial" w:cs="Arial"/>
          <w:color w:val="333333"/>
          <w:lang w:val="en-AU" w:eastAsia="en-AU"/>
          <w14:ligatures w14:val="none"/>
        </w:rPr>
        <w:t xml:space="preserve"> </w:t>
      </w:r>
      <w:r w:rsidR="0003340D">
        <w:rPr>
          <w:rFonts w:ascii="Arial" w:eastAsia="Times New Roman" w:hAnsi="Arial" w:cs="Arial"/>
          <w:color w:val="333333"/>
          <w:lang w:val="en-AU" w:eastAsia="en-AU"/>
          <w14:ligatures w14:val="none"/>
        </w:rPr>
        <w:t>Of the 15% of SA2s that had an RMSE of more than $1</w:t>
      </w:r>
      <w:r>
        <w:rPr>
          <w:rFonts w:ascii="Arial" w:eastAsia="Times New Roman" w:hAnsi="Arial" w:cs="Arial"/>
          <w:color w:val="333333"/>
          <w:lang w:val="en-AU" w:eastAsia="en-AU"/>
          <w14:ligatures w14:val="none"/>
        </w:rPr>
        <w:t>,</w:t>
      </w:r>
      <w:r w:rsidR="0003340D">
        <w:rPr>
          <w:rFonts w:ascii="Arial" w:eastAsia="Times New Roman" w:hAnsi="Arial" w:cs="Arial"/>
          <w:color w:val="333333"/>
          <w:lang w:val="en-AU" w:eastAsia="en-AU"/>
          <w14:ligatures w14:val="none"/>
        </w:rPr>
        <w:t>000</w:t>
      </w:r>
      <w:r w:rsidR="00A31FC0">
        <w:rPr>
          <w:rFonts w:ascii="Arial" w:eastAsia="Times New Roman" w:hAnsi="Arial" w:cs="Arial"/>
          <w:color w:val="333333"/>
          <w:lang w:val="en-AU" w:eastAsia="en-AU"/>
          <w14:ligatures w14:val="none"/>
        </w:rPr>
        <w:t xml:space="preserve"> (2% of income)</w:t>
      </w:r>
      <w:r w:rsidR="0003340D">
        <w:rPr>
          <w:rFonts w:ascii="Arial" w:eastAsia="Times New Roman" w:hAnsi="Arial" w:cs="Arial"/>
          <w:color w:val="333333"/>
          <w:lang w:val="en-AU" w:eastAsia="en-AU"/>
          <w14:ligatures w14:val="none"/>
        </w:rPr>
        <w:t xml:space="preserve">, </w:t>
      </w:r>
      <w:r w:rsidR="00C075D3">
        <w:rPr>
          <w:rFonts w:ascii="Arial" w:eastAsia="Times New Roman" w:hAnsi="Arial" w:cs="Arial"/>
          <w:color w:val="333333"/>
          <w:lang w:val="en-AU" w:eastAsia="en-AU"/>
          <w14:ligatures w14:val="none"/>
        </w:rPr>
        <w:t>18</w:t>
      </w:r>
      <w:r w:rsidR="0003340D">
        <w:rPr>
          <w:rFonts w:ascii="Arial" w:eastAsia="Times New Roman" w:hAnsi="Arial" w:cs="Arial"/>
          <w:color w:val="333333"/>
          <w:lang w:val="en-AU" w:eastAsia="en-AU"/>
          <w14:ligatures w14:val="none"/>
        </w:rPr>
        <w:t>% of these had a population of less than 1</w:t>
      </w:r>
      <w:r>
        <w:rPr>
          <w:rFonts w:ascii="Arial" w:eastAsia="Times New Roman" w:hAnsi="Arial" w:cs="Arial"/>
          <w:color w:val="333333"/>
          <w:lang w:val="en-AU" w:eastAsia="en-AU"/>
          <w14:ligatures w14:val="none"/>
        </w:rPr>
        <w:t>,</w:t>
      </w:r>
      <w:r w:rsidR="0003340D">
        <w:rPr>
          <w:rFonts w:ascii="Arial" w:eastAsia="Times New Roman" w:hAnsi="Arial" w:cs="Arial"/>
          <w:color w:val="333333"/>
          <w:lang w:val="en-AU" w:eastAsia="en-AU"/>
          <w14:ligatures w14:val="none"/>
        </w:rPr>
        <w:t>000 people</w:t>
      </w:r>
      <w:r w:rsidR="00C075D3" w:rsidRPr="00C075D3">
        <w:rPr>
          <w:rFonts w:ascii="Arial" w:eastAsia="Times New Roman" w:hAnsi="Arial" w:cs="Arial"/>
          <w:color w:val="333333"/>
          <w:lang w:val="en-AU" w:eastAsia="en-AU"/>
          <w14:ligatures w14:val="none"/>
        </w:rPr>
        <w:t xml:space="preserve"> </w:t>
      </w:r>
      <w:r w:rsidR="00C075D3">
        <w:rPr>
          <w:rFonts w:ascii="Arial" w:eastAsia="Times New Roman" w:hAnsi="Arial" w:cs="Arial"/>
          <w:color w:val="333333"/>
          <w:lang w:val="en-AU" w:eastAsia="en-AU"/>
          <w14:ligatures w14:val="none"/>
        </w:rPr>
        <w:t>in 2005/06 to 2010/11, and 15% in 2010/11 to 2014/15.</w:t>
      </w:r>
    </w:p>
    <w:p w14:paraId="7159ECFF" w14:textId="5612B5EB" w:rsidR="004A36C3" w:rsidRDefault="00FB23D6" w:rsidP="00D34F14">
      <w:pPr>
        <w:rPr>
          <w:rFonts w:ascii="Arial" w:eastAsia="Times New Roman" w:hAnsi="Arial" w:cs="Arial"/>
          <w:color w:val="333333"/>
          <w:lang w:val="en-AU" w:eastAsia="en-AU"/>
          <w14:ligatures w14:val="none"/>
        </w:rPr>
      </w:pPr>
      <w:r>
        <w:rPr>
          <w:rFonts w:ascii="Arial" w:eastAsia="Times New Roman" w:hAnsi="Arial" w:cs="Arial"/>
          <w:color w:val="333333"/>
          <w:lang w:val="en-AU" w:eastAsia="en-AU"/>
          <w14:ligatures w14:val="none"/>
        </w:rPr>
        <w:t xml:space="preserve">Using Census data at the SA1 level, and using the SES and family income data from the Department, we found that there was </w:t>
      </w:r>
      <w:r w:rsidR="004A36C3">
        <w:rPr>
          <w:rFonts w:ascii="Arial" w:eastAsia="Times New Roman" w:hAnsi="Arial" w:cs="Arial"/>
          <w:color w:val="333333"/>
          <w:lang w:val="en-AU" w:eastAsia="en-AU"/>
          <w14:ligatures w14:val="none"/>
        </w:rPr>
        <w:t>more</w:t>
      </w:r>
      <w:r>
        <w:rPr>
          <w:rFonts w:ascii="Arial" w:eastAsia="Times New Roman" w:hAnsi="Arial" w:cs="Arial"/>
          <w:color w:val="333333"/>
          <w:lang w:val="en-AU" w:eastAsia="en-AU"/>
          <w14:ligatures w14:val="none"/>
        </w:rPr>
        <w:t xml:space="preserve"> variability in </w:t>
      </w:r>
      <w:r w:rsidR="00BD1C66">
        <w:rPr>
          <w:rFonts w:ascii="Arial" w:eastAsia="Times New Roman" w:hAnsi="Arial" w:cs="Arial"/>
          <w:color w:val="333333"/>
          <w:lang w:val="en-AU" w:eastAsia="en-AU"/>
          <w14:ligatures w14:val="none"/>
        </w:rPr>
        <w:t xml:space="preserve">family </w:t>
      </w:r>
      <w:r>
        <w:rPr>
          <w:rFonts w:ascii="Arial" w:eastAsia="Times New Roman" w:hAnsi="Arial" w:cs="Arial"/>
          <w:color w:val="333333"/>
          <w:lang w:val="en-AU" w:eastAsia="en-AU"/>
          <w14:ligatures w14:val="none"/>
        </w:rPr>
        <w:t xml:space="preserve">income over time compared to SES. </w:t>
      </w:r>
      <w:r w:rsidR="004A36C3">
        <w:rPr>
          <w:rFonts w:ascii="Arial" w:eastAsia="Times New Roman" w:hAnsi="Arial" w:cs="Arial"/>
          <w:color w:val="333333"/>
          <w:lang w:val="en-AU" w:eastAsia="en-AU"/>
          <w14:ligatures w14:val="none"/>
        </w:rPr>
        <w:t xml:space="preserve">The proportion of SA1’s moving more than 1 quintile in income between Census’s was </w:t>
      </w:r>
      <w:r w:rsidR="00EF0B68">
        <w:rPr>
          <w:rFonts w:ascii="Arial" w:eastAsia="Times New Roman" w:hAnsi="Arial" w:cs="Arial"/>
          <w:color w:val="333333"/>
          <w:lang w:val="en-AU" w:eastAsia="en-AU"/>
          <w14:ligatures w14:val="none"/>
        </w:rPr>
        <w:t>about 5 - 8</w:t>
      </w:r>
      <w:r w:rsidR="004A36C3">
        <w:rPr>
          <w:rFonts w:ascii="Arial" w:eastAsia="Times New Roman" w:hAnsi="Arial" w:cs="Arial"/>
          <w:color w:val="333333"/>
          <w:lang w:val="en-AU" w:eastAsia="en-AU"/>
          <w14:ligatures w14:val="none"/>
        </w:rPr>
        <w:t>% each year, whereas for SES it was</w:t>
      </w:r>
      <w:r w:rsidR="008F3066">
        <w:rPr>
          <w:rFonts w:ascii="Arial" w:eastAsia="Times New Roman" w:hAnsi="Arial" w:cs="Arial"/>
          <w:color w:val="333333"/>
          <w:lang w:val="en-AU" w:eastAsia="en-AU"/>
          <w14:ligatures w14:val="none"/>
        </w:rPr>
        <w:t xml:space="preserve"> 1 – 3%.</w:t>
      </w:r>
      <w:r w:rsidR="004A36C3">
        <w:rPr>
          <w:rFonts w:ascii="Arial" w:eastAsia="Times New Roman" w:hAnsi="Arial" w:cs="Arial"/>
          <w:color w:val="333333"/>
          <w:lang w:val="en-AU" w:eastAsia="en-AU"/>
          <w14:ligatures w14:val="none"/>
        </w:rPr>
        <w:t xml:space="preserve"> </w:t>
      </w:r>
      <w:r>
        <w:rPr>
          <w:rFonts w:ascii="Arial" w:eastAsia="Times New Roman" w:hAnsi="Arial" w:cs="Arial"/>
          <w:color w:val="333333"/>
          <w:lang w:val="en-AU" w:eastAsia="en-AU"/>
          <w14:ligatures w14:val="none"/>
        </w:rPr>
        <w:t>This is not surprising given the SES measure has education and occupation</w:t>
      </w:r>
      <w:r w:rsidR="004A36C3">
        <w:rPr>
          <w:rFonts w:ascii="Arial" w:eastAsia="Times New Roman" w:hAnsi="Arial" w:cs="Arial"/>
          <w:color w:val="333333"/>
          <w:lang w:val="en-AU" w:eastAsia="en-AU"/>
          <w14:ligatures w14:val="none"/>
        </w:rPr>
        <w:t xml:space="preserve"> which averages out any variability in incomes</w:t>
      </w:r>
      <w:r>
        <w:rPr>
          <w:rFonts w:ascii="Arial" w:eastAsia="Times New Roman" w:hAnsi="Arial" w:cs="Arial"/>
          <w:color w:val="333333"/>
          <w:lang w:val="en-AU" w:eastAsia="en-AU"/>
          <w14:ligatures w14:val="none"/>
        </w:rPr>
        <w:t>.</w:t>
      </w:r>
    </w:p>
    <w:p w14:paraId="2BEE5130" w14:textId="77777777" w:rsidR="00394DCF" w:rsidRDefault="004A36C3" w:rsidP="00D34F14">
      <w:pPr>
        <w:rPr>
          <w:rFonts w:ascii="Arial" w:eastAsia="Times New Roman" w:hAnsi="Arial" w:cs="Arial"/>
          <w:color w:val="333333"/>
          <w:lang w:val="en-AU" w:eastAsia="en-AU"/>
          <w14:ligatures w14:val="none"/>
        </w:rPr>
      </w:pPr>
      <w:r>
        <w:rPr>
          <w:rFonts w:ascii="Arial" w:eastAsia="Times New Roman" w:hAnsi="Arial" w:cs="Arial"/>
          <w:color w:val="333333"/>
          <w:lang w:val="en-AU" w:eastAsia="en-AU"/>
          <w14:ligatures w14:val="none"/>
        </w:rPr>
        <w:t>Looking at if an income measure had been used for each Census year rather than SES, t</w:t>
      </w:r>
      <w:r w:rsidR="00FB23D6">
        <w:rPr>
          <w:rFonts w:ascii="Arial" w:eastAsia="Times New Roman" w:hAnsi="Arial" w:cs="Arial"/>
          <w:color w:val="333333"/>
          <w:lang w:val="en-AU" w:eastAsia="en-AU"/>
          <w14:ligatures w14:val="none"/>
        </w:rPr>
        <w:t xml:space="preserve">he amount of variability showed that </w:t>
      </w:r>
      <w:r w:rsidR="008F3066">
        <w:rPr>
          <w:rFonts w:ascii="Arial" w:eastAsia="Times New Roman" w:hAnsi="Arial" w:cs="Arial"/>
          <w:color w:val="333333"/>
          <w:lang w:val="en-AU" w:eastAsia="en-AU"/>
          <w14:ligatures w14:val="none"/>
        </w:rPr>
        <w:t>5</w:t>
      </w:r>
      <w:r>
        <w:rPr>
          <w:rFonts w:ascii="Arial" w:eastAsia="Times New Roman" w:hAnsi="Arial" w:cs="Arial"/>
          <w:color w:val="333333"/>
          <w:lang w:val="en-AU" w:eastAsia="en-AU"/>
          <w14:ligatures w14:val="none"/>
        </w:rPr>
        <w:t xml:space="preserve"> – </w:t>
      </w:r>
      <w:r w:rsidR="00394DCF">
        <w:rPr>
          <w:rFonts w:ascii="Arial" w:eastAsia="Times New Roman" w:hAnsi="Arial" w:cs="Arial"/>
          <w:color w:val="333333"/>
          <w:lang w:val="en-AU" w:eastAsia="en-AU"/>
          <w14:ligatures w14:val="none"/>
        </w:rPr>
        <w:t>6</w:t>
      </w:r>
      <w:r>
        <w:rPr>
          <w:rFonts w:ascii="Arial" w:eastAsia="Times New Roman" w:hAnsi="Arial" w:cs="Arial"/>
          <w:color w:val="333333"/>
          <w:lang w:val="en-AU" w:eastAsia="en-AU"/>
          <w14:ligatures w14:val="none"/>
        </w:rPr>
        <w:t xml:space="preserve">% of SA1’s would change more than 1 quintile </w:t>
      </w:r>
      <w:r w:rsidR="008F3066">
        <w:rPr>
          <w:rFonts w:ascii="Arial" w:eastAsia="Times New Roman" w:hAnsi="Arial" w:cs="Arial"/>
          <w:color w:val="333333"/>
          <w:lang w:val="en-AU" w:eastAsia="en-AU"/>
          <w14:ligatures w14:val="none"/>
        </w:rPr>
        <w:t xml:space="preserve">each Census year </w:t>
      </w:r>
      <w:r>
        <w:rPr>
          <w:rFonts w:ascii="Arial" w:eastAsia="Times New Roman" w:hAnsi="Arial" w:cs="Arial"/>
          <w:color w:val="333333"/>
          <w:lang w:val="en-AU" w:eastAsia="en-AU"/>
          <w14:ligatures w14:val="none"/>
        </w:rPr>
        <w:t>if family income were used</w:t>
      </w:r>
      <w:r w:rsidR="008F3066">
        <w:rPr>
          <w:rFonts w:ascii="Arial" w:eastAsia="Times New Roman" w:hAnsi="Arial" w:cs="Arial"/>
          <w:color w:val="333333"/>
          <w:lang w:val="en-AU" w:eastAsia="en-AU"/>
          <w14:ligatures w14:val="none"/>
        </w:rPr>
        <w:t xml:space="preserve"> instead of SES</w:t>
      </w:r>
      <w:r>
        <w:rPr>
          <w:rFonts w:ascii="Arial" w:eastAsia="Times New Roman" w:hAnsi="Arial" w:cs="Arial"/>
          <w:color w:val="333333"/>
          <w:lang w:val="en-AU" w:eastAsia="en-AU"/>
          <w14:ligatures w14:val="none"/>
        </w:rPr>
        <w:t>.</w:t>
      </w:r>
    </w:p>
    <w:p w14:paraId="44BB1A99" w14:textId="175EB104" w:rsidR="000279C3" w:rsidRDefault="00394DCF" w:rsidP="000279C3">
      <w:pPr>
        <w:rPr>
          <w:rFonts w:ascii="Arial" w:eastAsia="Times New Roman" w:hAnsi="Arial" w:cs="Arial"/>
          <w:color w:val="333333"/>
          <w:lang w:val="en-AU" w:eastAsia="en-AU"/>
          <w14:ligatures w14:val="none"/>
        </w:rPr>
      </w:pPr>
      <w:r>
        <w:rPr>
          <w:rFonts w:ascii="Arial" w:eastAsia="Times New Roman" w:hAnsi="Arial" w:cs="Arial"/>
          <w:color w:val="333333"/>
          <w:lang w:val="en-AU" w:eastAsia="en-AU"/>
          <w14:ligatures w14:val="none"/>
        </w:rPr>
        <w:t xml:space="preserve">In conclusion, we have found that </w:t>
      </w:r>
      <w:r w:rsidR="000279C3">
        <w:rPr>
          <w:rFonts w:ascii="Arial" w:eastAsia="Times New Roman" w:hAnsi="Arial" w:cs="Arial"/>
          <w:color w:val="333333"/>
          <w:lang w:val="en-AU" w:eastAsia="en-AU"/>
          <w14:ligatures w14:val="none"/>
        </w:rPr>
        <w:t>generally income is stable across time, particularly if median incomes are used. T</w:t>
      </w:r>
      <w:r>
        <w:rPr>
          <w:rFonts w:ascii="Arial" w:eastAsia="Times New Roman" w:hAnsi="Arial" w:cs="Arial"/>
          <w:color w:val="333333"/>
          <w:lang w:val="en-AU" w:eastAsia="en-AU"/>
          <w14:ligatures w14:val="none"/>
        </w:rPr>
        <w:t xml:space="preserve">here is some instability in incomes across small areas, but most of it is due to low population areas; </w:t>
      </w:r>
      <w:r w:rsidR="000279C3">
        <w:rPr>
          <w:rFonts w:ascii="Arial" w:eastAsia="Times New Roman" w:hAnsi="Arial" w:cs="Arial"/>
          <w:color w:val="333333"/>
          <w:lang w:val="en-AU" w:eastAsia="en-AU"/>
          <w14:ligatures w14:val="none"/>
        </w:rPr>
        <w:t>or economic and demographic change in an area, so</w:t>
      </w:r>
      <w:r>
        <w:rPr>
          <w:rFonts w:ascii="Arial" w:eastAsia="Times New Roman" w:hAnsi="Arial" w:cs="Arial"/>
          <w:color w:val="333333"/>
          <w:lang w:val="en-AU" w:eastAsia="en-AU"/>
          <w14:ligatures w14:val="none"/>
        </w:rPr>
        <w:t xml:space="preserve"> it can be explained. If there is any instability, the impact of it can be reduced using a median, and using a moving average. </w:t>
      </w:r>
      <w:r w:rsidR="000279C3">
        <w:rPr>
          <w:rFonts w:ascii="Arial" w:eastAsia="Times New Roman" w:hAnsi="Arial" w:cs="Arial"/>
          <w:color w:val="333333"/>
          <w:lang w:val="en-AU" w:eastAsia="en-AU"/>
          <w14:ligatures w14:val="none"/>
        </w:rPr>
        <w:t>An example was an odd mean income for Scone in 2013/14. Using a median income removed this odd value, suggesting it was due to an extreme income which does not have as much effect on a median as it does on a mean.</w:t>
      </w:r>
    </w:p>
    <w:p w14:paraId="07301136" w14:textId="0A26A04B" w:rsidR="00FB23D6" w:rsidRDefault="000279C3" w:rsidP="00D34F14">
      <w:pPr>
        <w:rPr>
          <w:rFonts w:ascii="Arial" w:eastAsia="Times New Roman" w:hAnsi="Arial" w:cs="Arial"/>
          <w:color w:val="333333"/>
          <w:lang w:val="en-AU" w:eastAsia="en-AU"/>
          <w14:ligatures w14:val="none"/>
        </w:rPr>
      </w:pPr>
      <w:r>
        <w:rPr>
          <w:rFonts w:ascii="Arial" w:eastAsia="Times New Roman" w:hAnsi="Arial" w:cs="Arial"/>
          <w:color w:val="333333"/>
          <w:lang w:val="en-AU" w:eastAsia="en-AU"/>
          <w14:ligatures w14:val="none"/>
        </w:rPr>
        <w:t>Using a smoothed median income, a</w:t>
      </w:r>
      <w:r w:rsidR="00394DCF">
        <w:rPr>
          <w:rFonts w:ascii="Arial" w:eastAsia="Times New Roman" w:hAnsi="Arial" w:cs="Arial"/>
          <w:color w:val="333333"/>
          <w:lang w:val="en-AU" w:eastAsia="en-AU"/>
          <w14:ligatures w14:val="none"/>
        </w:rPr>
        <w:t xml:space="preserve">ny variability </w:t>
      </w:r>
      <w:r>
        <w:rPr>
          <w:rFonts w:ascii="Arial" w:eastAsia="Times New Roman" w:hAnsi="Arial" w:cs="Arial"/>
          <w:color w:val="333333"/>
          <w:lang w:val="en-AU" w:eastAsia="en-AU"/>
          <w14:ligatures w14:val="none"/>
        </w:rPr>
        <w:t xml:space="preserve">in income </w:t>
      </w:r>
      <w:r w:rsidR="00394DCF">
        <w:rPr>
          <w:rFonts w:ascii="Arial" w:eastAsia="Times New Roman" w:hAnsi="Arial" w:cs="Arial"/>
          <w:color w:val="333333"/>
          <w:lang w:val="en-AU" w:eastAsia="en-AU"/>
          <w14:ligatures w14:val="none"/>
        </w:rPr>
        <w:t>that is left happens slowly over time, and can usually be attributed to external events, like localised economic</w:t>
      </w:r>
      <w:r w:rsidR="004A36C3">
        <w:rPr>
          <w:rFonts w:ascii="Arial" w:eastAsia="Times New Roman" w:hAnsi="Arial" w:cs="Arial"/>
          <w:color w:val="333333"/>
          <w:lang w:val="en-AU" w:eastAsia="en-AU"/>
          <w14:ligatures w14:val="none"/>
        </w:rPr>
        <w:t xml:space="preserve"> </w:t>
      </w:r>
      <w:r w:rsidR="00394DCF">
        <w:rPr>
          <w:rFonts w:ascii="Arial" w:eastAsia="Times New Roman" w:hAnsi="Arial" w:cs="Arial"/>
          <w:color w:val="333333"/>
          <w:lang w:val="en-AU" w:eastAsia="en-AU"/>
          <w14:ligatures w14:val="none"/>
        </w:rPr>
        <w:t>booms or busts, or local demographic change.</w:t>
      </w:r>
      <w:r>
        <w:rPr>
          <w:rFonts w:ascii="Arial" w:eastAsia="Times New Roman" w:hAnsi="Arial" w:cs="Arial"/>
          <w:color w:val="333333"/>
          <w:lang w:val="en-AU" w:eastAsia="en-AU"/>
          <w14:ligatures w14:val="none"/>
        </w:rPr>
        <w:t xml:space="preserve"> This means there is no need to use non-income variables to stabilise </w:t>
      </w:r>
      <w:r w:rsidR="007C52FB">
        <w:rPr>
          <w:rFonts w:ascii="Arial" w:eastAsia="Times New Roman" w:hAnsi="Arial" w:cs="Arial"/>
          <w:color w:val="333333"/>
          <w:lang w:val="en-AU" w:eastAsia="en-AU"/>
          <w14:ligatures w14:val="none"/>
        </w:rPr>
        <w:t xml:space="preserve">income dimensions of a </w:t>
      </w:r>
      <w:r>
        <w:rPr>
          <w:rFonts w:ascii="Arial" w:eastAsia="Times New Roman" w:hAnsi="Arial" w:cs="Arial"/>
          <w:color w:val="333333"/>
          <w:lang w:val="en-AU" w:eastAsia="en-AU"/>
          <w14:ligatures w14:val="none"/>
        </w:rPr>
        <w:t>measure of capacity to contribute.</w:t>
      </w:r>
    </w:p>
    <w:p w14:paraId="18C8BE1A" w14:textId="07F7595F" w:rsidR="00394DCF" w:rsidRDefault="00394DCF" w:rsidP="00D34F14">
      <w:pPr>
        <w:rPr>
          <w:rFonts w:ascii="Arial" w:eastAsia="Times New Roman" w:hAnsi="Arial" w:cs="Arial"/>
          <w:color w:val="333333"/>
          <w:lang w:val="en-AU" w:eastAsia="en-AU"/>
          <w14:ligatures w14:val="none"/>
        </w:rPr>
      </w:pPr>
    </w:p>
    <w:p w14:paraId="589B2C10" w14:textId="01C705D1" w:rsidR="00676725" w:rsidRPr="00126EFC" w:rsidRDefault="00087843" w:rsidP="0050599E">
      <w:pPr>
        <w:spacing w:line="240" w:lineRule="auto"/>
        <w:ind w:firstLine="0"/>
        <w:jc w:val="left"/>
        <w:rPr>
          <w:rFonts w:ascii="Arial" w:eastAsia="Times New Roman" w:hAnsi="Arial" w:cs="Arial"/>
          <w:color w:val="333333"/>
          <w:lang w:val="en-AU" w:eastAsia="en-AU"/>
          <w14:ligatures w14:val="none"/>
        </w:rPr>
      </w:pPr>
      <w:r>
        <w:rPr>
          <w:rFonts w:ascii="Arial" w:eastAsia="Times New Roman" w:hAnsi="Arial" w:cs="Arial"/>
          <w:color w:val="333333"/>
          <w:lang w:val="en-AU" w:eastAsia="en-AU"/>
          <w14:ligatures w14:val="none"/>
        </w:rPr>
        <w:br w:type="page"/>
      </w:r>
    </w:p>
    <w:p w14:paraId="2AF165A9" w14:textId="7039B769" w:rsidR="00D93280" w:rsidRDefault="00D93280" w:rsidP="007E4F2C">
      <w:pPr>
        <w:pStyle w:val="Heading1"/>
        <w:rPr>
          <w:rFonts w:cs="Arial"/>
        </w:rPr>
      </w:pPr>
      <w:bookmarkStart w:id="103" w:name="_Toc519077403"/>
      <w:r w:rsidRPr="00126EFC">
        <w:rPr>
          <w:rFonts w:cs="Arial"/>
        </w:rPr>
        <w:t>References</w:t>
      </w:r>
      <w:bookmarkEnd w:id="103"/>
    </w:p>
    <w:p w14:paraId="56003A01" w14:textId="52B6531B" w:rsidR="00F56229" w:rsidRPr="00F56229" w:rsidRDefault="003618AC" w:rsidP="00D26672">
      <w:pPr>
        <w:widowControl w:val="0"/>
        <w:autoSpaceDE w:val="0"/>
        <w:autoSpaceDN w:val="0"/>
        <w:adjustRightInd w:val="0"/>
        <w:ind w:left="480" w:hanging="480"/>
        <w:jc w:val="left"/>
        <w:rPr>
          <w:rFonts w:cs="Times New Roman"/>
          <w:noProof/>
        </w:rPr>
      </w:pPr>
      <w:r>
        <w:fldChar w:fldCharType="begin" w:fldLock="1"/>
      </w:r>
      <w:r>
        <w:instrText xml:space="preserve">ADDIN Mendeley Bibliography CSL_BIBLIOGRAPHY </w:instrText>
      </w:r>
      <w:r>
        <w:fldChar w:fldCharType="separate"/>
      </w:r>
      <w:r w:rsidR="00F56229" w:rsidRPr="00F56229">
        <w:rPr>
          <w:rFonts w:cs="Times New Roman"/>
          <w:noProof/>
        </w:rPr>
        <w:t xml:space="preserve">Tanton, R., Vidyattama, Y., &amp; Mohanty, I. (2015). Disadvantage in the australian capital territory. </w:t>
      </w:r>
      <w:r w:rsidR="00F56229" w:rsidRPr="00F56229">
        <w:rPr>
          <w:rFonts w:cs="Times New Roman"/>
          <w:i/>
          <w:iCs/>
          <w:noProof/>
        </w:rPr>
        <w:t>Policy Studies</w:t>
      </w:r>
      <w:r w:rsidR="00F56229" w:rsidRPr="00F56229">
        <w:rPr>
          <w:rFonts w:cs="Times New Roman"/>
          <w:noProof/>
        </w:rPr>
        <w:t xml:space="preserve">, </w:t>
      </w:r>
      <w:r w:rsidR="00F56229" w:rsidRPr="00F56229">
        <w:rPr>
          <w:rFonts w:cs="Times New Roman"/>
          <w:i/>
          <w:iCs/>
          <w:noProof/>
        </w:rPr>
        <w:t>36</w:t>
      </w:r>
      <w:r w:rsidR="00F56229" w:rsidRPr="00F56229">
        <w:rPr>
          <w:rFonts w:cs="Times New Roman"/>
          <w:noProof/>
        </w:rPr>
        <w:t>(1). https://doi.org/10.1080/01442872.2014.981062</w:t>
      </w:r>
    </w:p>
    <w:p w14:paraId="61BE0AEF" w14:textId="77777777" w:rsidR="00F56229" w:rsidRPr="00F56229" w:rsidRDefault="00F56229" w:rsidP="00F56229">
      <w:pPr>
        <w:widowControl w:val="0"/>
        <w:autoSpaceDE w:val="0"/>
        <w:autoSpaceDN w:val="0"/>
        <w:adjustRightInd w:val="0"/>
        <w:ind w:left="480" w:hanging="480"/>
        <w:rPr>
          <w:noProof/>
        </w:rPr>
      </w:pPr>
      <w:r w:rsidRPr="00F56229">
        <w:rPr>
          <w:rFonts w:cs="Times New Roman"/>
          <w:noProof/>
        </w:rPr>
        <w:t xml:space="preserve">Vidyattama, Y., Pearson, L. J., Tanton, R., &amp; Mohanty, I. (2017). Assessing adaptive capacity during the drought period in the Murray–Darling Basin. </w:t>
      </w:r>
      <w:r w:rsidRPr="00F56229">
        <w:rPr>
          <w:rFonts w:cs="Times New Roman"/>
          <w:i/>
          <w:iCs/>
          <w:noProof/>
        </w:rPr>
        <w:t>Asia-Pacific Journal of Regional Science</w:t>
      </w:r>
      <w:r w:rsidRPr="00F56229">
        <w:rPr>
          <w:rFonts w:cs="Times New Roman"/>
          <w:noProof/>
        </w:rPr>
        <w:t>. https://doi.org/10.1007/s41685-017-0039-z</w:t>
      </w:r>
    </w:p>
    <w:p w14:paraId="713E268F" w14:textId="444E99D1" w:rsidR="003618AC" w:rsidRPr="003618AC" w:rsidRDefault="003618AC" w:rsidP="003618AC">
      <w:r>
        <w:fldChar w:fldCharType="end"/>
      </w:r>
    </w:p>
    <w:p w14:paraId="21F0DAAB" w14:textId="726CACBC" w:rsidR="00AA6E56" w:rsidRDefault="00AA6E56">
      <w:pPr>
        <w:spacing w:line="240" w:lineRule="auto"/>
        <w:ind w:firstLine="0"/>
        <w:jc w:val="left"/>
        <w:rPr>
          <w:rFonts w:ascii="Arial" w:eastAsia="Times New Roman" w:hAnsi="Arial" w:cs="Times New Roman"/>
          <w:b/>
          <w:bCs/>
          <w:caps/>
          <w:noProof/>
          <w:color w:val="5BCBF5"/>
          <w:sz w:val="36"/>
          <w:szCs w:val="32"/>
        </w:rPr>
      </w:pPr>
    </w:p>
    <w:sectPr w:rsidR="00AA6E56" w:rsidSect="00BF552E">
      <w:headerReference w:type="first" r:id="rId50"/>
      <w:pgSz w:w="11900" w:h="16840"/>
      <w:pgMar w:top="1814" w:right="1440" w:bottom="1440" w:left="1440" w:header="340"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690C2" w14:textId="77777777" w:rsidR="006859F3" w:rsidRDefault="006859F3" w:rsidP="007E4F2C">
      <w:r>
        <w:separator/>
      </w:r>
    </w:p>
  </w:endnote>
  <w:endnote w:type="continuationSeparator" w:id="0">
    <w:p w14:paraId="6B3063C1" w14:textId="77777777" w:rsidR="006859F3" w:rsidRDefault="006859F3" w:rsidP="007E4F2C">
      <w:r>
        <w:continuationSeparator/>
      </w:r>
    </w:p>
  </w:endnote>
  <w:endnote w:type="continuationNotice" w:id="1">
    <w:p w14:paraId="7028BAEA" w14:textId="77777777" w:rsidR="006859F3" w:rsidRDefault="006859F3" w:rsidP="007E4F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altName w:val="Arial"/>
    <w:charset w:val="00"/>
    <w:family w:val="swiss"/>
    <w:pitch w:val="variable"/>
    <w:sig w:usb0="00000001"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embedRegular r:id="rId1" w:fontKey="{A7DADF31-0352-4706-95D0-61E4FD071BDE}"/>
    <w:embedBold r:id="rId2" w:fontKey="{DEAFBAC0-3CF0-45D9-8321-DE09931C8EF7}"/>
    <w:embedItalic r:id="rId3" w:fontKey="{3989FA73-14AE-4D87-B8ED-07FDEEF3CA3F}"/>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embedItalic r:id="rId4" w:subsetted="1" w:fontKey="{EE9EA235-6F23-4183-A696-3429E75834B9}"/>
    <w:embedBoldItalic r:id="rId5" w:subsetted="1" w:fontKey="{3CA889EB-A49E-4084-AF97-3E9D578D234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A8264" w14:textId="77777777" w:rsidR="006859F3" w:rsidRDefault="006859F3" w:rsidP="007E4F2C">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111</w:t>
    </w:r>
    <w:r>
      <w:rPr>
        <w:rStyle w:val="PageNumber"/>
      </w:rPr>
      <w:fldChar w:fldCharType="end"/>
    </w:r>
  </w:p>
  <w:p w14:paraId="13F8FF16" w14:textId="77777777" w:rsidR="006859F3" w:rsidRDefault="006859F3" w:rsidP="007E4F2C">
    <w:pPr>
      <w:pStyle w:val="Footer"/>
      <w:rPr>
        <w:rStyle w:val="PageNumber"/>
      </w:rPr>
    </w:pPr>
  </w:p>
  <w:p w14:paraId="525EB0C7" w14:textId="77777777" w:rsidR="006859F3" w:rsidRDefault="006859F3" w:rsidP="007E4F2C">
    <w:pPr>
      <w:pStyle w:val="Footer"/>
    </w:pPr>
  </w:p>
  <w:p w14:paraId="15B0AE91" w14:textId="77777777" w:rsidR="006859F3" w:rsidRDefault="006859F3" w:rsidP="007E4F2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462823"/>
      <w:docPartObj>
        <w:docPartGallery w:val="Page Numbers (Bottom of Page)"/>
        <w:docPartUnique/>
      </w:docPartObj>
    </w:sdtPr>
    <w:sdtEndPr>
      <w:rPr>
        <w:noProof/>
      </w:rPr>
    </w:sdtEndPr>
    <w:sdtContent>
      <w:p w14:paraId="2FF5EA25" w14:textId="5A9FA1D2" w:rsidR="006859F3" w:rsidRDefault="006859F3" w:rsidP="005C3DB3">
        <w:pPr>
          <w:pStyle w:val="Footer"/>
          <w:jc w:val="center"/>
        </w:pPr>
        <w:r>
          <w:fldChar w:fldCharType="begin"/>
        </w:r>
        <w:r w:rsidRPr="008067E6">
          <w:instrText xml:space="preserve"> PAGE   \* MERGEFORMAT </w:instrText>
        </w:r>
        <w:r>
          <w:fldChar w:fldCharType="separate"/>
        </w:r>
        <w:r w:rsidR="002519A9">
          <w:rPr>
            <w:noProof/>
          </w:rPr>
          <w:t>17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57F1" w14:textId="77777777" w:rsidR="006859F3" w:rsidRDefault="006859F3" w:rsidP="007E4F2C">
    <w:pPr>
      <w:pStyle w:val="Footer"/>
    </w:pPr>
    <w:r>
      <w:rPr>
        <w:noProof/>
        <w:lang w:val="en-AU" w:eastAsia="en-AU"/>
      </w:rPr>
      <w:drawing>
        <wp:anchor distT="0" distB="0" distL="114300" distR="114300" simplePos="0" relativeHeight="251658240" behindDoc="1" locked="0" layoutInCell="1" allowOverlap="1" wp14:anchorId="1A1F7438" wp14:editId="5248BBB9">
          <wp:simplePos x="0" y="0"/>
          <wp:positionH relativeFrom="column">
            <wp:posOffset>-180340</wp:posOffset>
          </wp:positionH>
          <wp:positionV relativeFrom="paragraph">
            <wp:posOffset>0</wp:posOffset>
          </wp:positionV>
          <wp:extent cx="1821600" cy="320400"/>
          <wp:effectExtent l="0" t="0" r="7620" b="3810"/>
          <wp:wrapNone/>
          <wp:docPr id="281" name="Picture 281" title="University of Canberra web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url.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821600" cy="320400"/>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6681A81E" w14:textId="77777777" w:rsidR="006859F3" w:rsidRDefault="006859F3" w:rsidP="007E4F2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0064683"/>
      <w:docPartObj>
        <w:docPartGallery w:val="Page Numbers (Bottom of Page)"/>
        <w:docPartUnique/>
      </w:docPartObj>
    </w:sdtPr>
    <w:sdtEndPr>
      <w:rPr>
        <w:noProof/>
      </w:rPr>
    </w:sdtEndPr>
    <w:sdtContent>
      <w:p w14:paraId="20E140CE" w14:textId="2267F4DC" w:rsidR="006859F3" w:rsidRDefault="006859F3">
        <w:pPr>
          <w:pStyle w:val="Footer"/>
          <w:jc w:val="center"/>
        </w:pPr>
        <w:r>
          <w:fldChar w:fldCharType="begin"/>
        </w:r>
        <w:r>
          <w:instrText xml:space="preserve"> PAGE   \* MERGEFORMAT </w:instrText>
        </w:r>
        <w:r>
          <w:fldChar w:fldCharType="separate"/>
        </w:r>
        <w:r w:rsidR="002519A9">
          <w:rPr>
            <w:noProof/>
          </w:rPr>
          <w:t>i</w:t>
        </w:r>
        <w:r>
          <w:rPr>
            <w:noProof/>
          </w:rPr>
          <w:fldChar w:fldCharType="end"/>
        </w:r>
      </w:p>
    </w:sdtContent>
  </w:sdt>
  <w:p w14:paraId="7C7FEF4E" w14:textId="77777777" w:rsidR="006859F3" w:rsidRDefault="006859F3" w:rsidP="007E4F2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120425"/>
      <w:docPartObj>
        <w:docPartGallery w:val="Page Numbers (Bottom of Page)"/>
        <w:docPartUnique/>
      </w:docPartObj>
    </w:sdtPr>
    <w:sdtEndPr>
      <w:rPr>
        <w:noProof/>
      </w:rPr>
    </w:sdtEndPr>
    <w:sdtContent>
      <w:p w14:paraId="49BEE534" w14:textId="239BF522" w:rsidR="006859F3" w:rsidRDefault="006859F3">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3B6BCA1E" w14:textId="77777777" w:rsidR="006859F3" w:rsidRDefault="006859F3" w:rsidP="007E4F2C"/>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089637"/>
      <w:docPartObj>
        <w:docPartGallery w:val="Page Numbers (Bottom of Page)"/>
        <w:docPartUnique/>
      </w:docPartObj>
    </w:sdtPr>
    <w:sdtEndPr>
      <w:rPr>
        <w:noProof/>
      </w:rPr>
    </w:sdtEndPr>
    <w:sdtContent>
      <w:p w14:paraId="620C07F1" w14:textId="27637768" w:rsidR="006859F3" w:rsidRDefault="006859F3" w:rsidP="005C3DB3">
        <w:pPr>
          <w:pStyle w:val="Footer"/>
          <w:jc w:val="center"/>
        </w:pPr>
        <w:r>
          <w:fldChar w:fldCharType="begin"/>
        </w:r>
        <w:r>
          <w:instrText xml:space="preserve"> PAGE   \* MERGEFORMAT </w:instrText>
        </w:r>
        <w:r>
          <w:fldChar w:fldCharType="separate"/>
        </w:r>
        <w:r w:rsidR="002519A9">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0510D" w14:textId="77777777" w:rsidR="006859F3" w:rsidRDefault="006859F3" w:rsidP="00CA090A">
      <w:pPr>
        <w:ind w:firstLine="0"/>
      </w:pPr>
      <w:r>
        <w:separator/>
      </w:r>
    </w:p>
  </w:footnote>
  <w:footnote w:type="continuationSeparator" w:id="0">
    <w:p w14:paraId="0CE85A36" w14:textId="77777777" w:rsidR="006859F3" w:rsidRDefault="006859F3" w:rsidP="00FA4915">
      <w:pPr>
        <w:ind w:firstLine="0"/>
      </w:pPr>
      <w:r>
        <w:separator/>
      </w:r>
    </w:p>
  </w:footnote>
  <w:footnote w:type="continuationNotice" w:id="1">
    <w:p w14:paraId="5C9ABCA1" w14:textId="77777777" w:rsidR="006859F3" w:rsidRDefault="006859F3" w:rsidP="007E4F2C"/>
  </w:footnote>
  <w:footnote w:id="2">
    <w:p w14:paraId="76C9A530" w14:textId="51C2E19B" w:rsidR="006859F3" w:rsidRPr="007A40A7" w:rsidRDefault="006859F3">
      <w:pPr>
        <w:pStyle w:val="FootnoteText"/>
        <w:rPr>
          <w:lang w:val="en-AU"/>
        </w:rPr>
      </w:pPr>
      <w:r>
        <w:rPr>
          <w:rStyle w:val="FootnoteReference"/>
        </w:rPr>
        <w:footnoteRef/>
      </w:r>
      <w:r>
        <w:t xml:space="preserve"> </w:t>
      </w:r>
      <w:r>
        <w:rPr>
          <w:lang w:val="en-AU"/>
        </w:rPr>
        <w:t>Note that this is not the same as assessing the difference as statistically significant – we haven’t done tests of significance, we have merely looked at whether a value is inside or outside where 95% of the national values are.</w:t>
      </w:r>
    </w:p>
  </w:footnote>
  <w:footnote w:id="3">
    <w:p w14:paraId="4E18B1F5" w14:textId="0D9BDE1F" w:rsidR="006859F3" w:rsidRPr="00EA7820" w:rsidRDefault="006859F3">
      <w:pPr>
        <w:pStyle w:val="FootnoteText"/>
        <w:rPr>
          <w:lang w:val="en-AU"/>
        </w:rPr>
      </w:pPr>
      <w:r>
        <w:rPr>
          <w:rStyle w:val="FootnoteReference"/>
        </w:rPr>
        <w:footnoteRef/>
      </w:r>
      <w:r>
        <w:t xml:space="preserve"> </w:t>
      </w:r>
      <w:r>
        <w:rPr>
          <w:lang w:val="en-AU"/>
        </w:rPr>
        <w:t xml:space="preserve">In 2005-10, </w:t>
      </w:r>
      <w:r>
        <w:t xml:space="preserve">Non-lodgers were included in the data; and the geographic boundaries were updated to ASGS 2016 - </w:t>
      </w:r>
      <w:hyperlink r:id="rId1" w:history="1">
        <w:r>
          <w:rPr>
            <w:rStyle w:val="Hyperlink"/>
            <w:lang w:val="en-AU"/>
          </w:rPr>
          <w:t>http://www.abs.gov.au/AUSSTATS/abs@.nsf/Lookup/6524.0.55.002Explanatory%20Notes12011-2015?OpenDocument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93463" w14:textId="29DE127E" w:rsidR="006859F3" w:rsidRDefault="006859F3" w:rsidP="0038397D">
    <w:pPr>
      <w:pStyle w:val="Heading1"/>
    </w:pPr>
    <w:r>
      <w:t xml:space="preserve"> </w:t>
    </w:r>
  </w:p>
  <w:p w14:paraId="439B64AD" w14:textId="77777777" w:rsidR="006859F3" w:rsidRDefault="006859F3">
    <w:r w:rsidRPr="00B86D30">
      <w:rPr>
        <w:noProof/>
        <w:lang w:val="en-AU" w:eastAsia="en-AU"/>
      </w:rPr>
      <w:drawing>
        <wp:anchor distT="0" distB="0" distL="114300" distR="114300" simplePos="0" relativeHeight="251654144" behindDoc="1" locked="0" layoutInCell="1" allowOverlap="1" wp14:anchorId="4A71A351" wp14:editId="5ABF370D">
          <wp:simplePos x="0" y="0"/>
          <wp:positionH relativeFrom="margin">
            <wp:posOffset>302260</wp:posOffset>
          </wp:positionH>
          <wp:positionV relativeFrom="paragraph">
            <wp:posOffset>-97155</wp:posOffset>
          </wp:positionV>
          <wp:extent cx="7484110" cy="106045"/>
          <wp:effectExtent l="0" t="0" r="2540" b="8255"/>
          <wp:wrapThrough wrapText="bothSides">
            <wp:wrapPolygon edited="0">
              <wp:start x="0" y="0"/>
              <wp:lineTo x="0" y="19401"/>
              <wp:lineTo x="21552" y="19401"/>
              <wp:lineTo x="21552" y="0"/>
              <wp:lineTo x="0" y="0"/>
            </wp:wrapPolygon>
          </wp:wrapThrough>
          <wp:docPr id="277" name="Picture 277" descr="Alt=&quot;&quot;" title="Alt=&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484110" cy="106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5C376" w14:textId="20F29962" w:rsidR="006859F3" w:rsidRPr="00FA2F18" w:rsidRDefault="006859F3" w:rsidP="007E4F2C">
    <w:pPr>
      <w:pStyle w:val="Heading1WHITE"/>
    </w:pPr>
    <w:r w:rsidRPr="001A63A8">
      <w:rPr>
        <w:lang w:val="en-AU" w:eastAsia="en-AU"/>
      </w:rPr>
      <w:drawing>
        <wp:anchor distT="0" distB="0" distL="114300" distR="114300" simplePos="0" relativeHeight="251664384" behindDoc="0" locked="0" layoutInCell="1" allowOverlap="1" wp14:anchorId="1F9097A2" wp14:editId="6EF9EF2A">
          <wp:simplePos x="0" y="0"/>
          <wp:positionH relativeFrom="column">
            <wp:posOffset>4754245</wp:posOffset>
          </wp:positionH>
          <wp:positionV relativeFrom="paragraph">
            <wp:posOffset>-99060</wp:posOffset>
          </wp:positionV>
          <wp:extent cx="1571625" cy="557530"/>
          <wp:effectExtent l="0" t="0" r="9525" b="0"/>
          <wp:wrapSquare wrapText="bothSides"/>
          <wp:docPr id="278" name="Picture 278" descr="University of Canberra, Institute for Governance and Policy Analysis"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_REVERSED.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1625" cy="55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AU" w:eastAsia="en-AU"/>
      </w:rPr>
      <w:drawing>
        <wp:anchor distT="0" distB="0" distL="114300" distR="114300" simplePos="0" relativeHeight="251668480" behindDoc="0" locked="0" layoutInCell="1" allowOverlap="1" wp14:anchorId="29EA180C" wp14:editId="42CE0310">
          <wp:simplePos x="0" y="0"/>
          <wp:positionH relativeFrom="column">
            <wp:posOffset>4754245</wp:posOffset>
          </wp:positionH>
          <wp:positionV relativeFrom="paragraph">
            <wp:posOffset>577688</wp:posOffset>
          </wp:positionV>
          <wp:extent cx="1611630" cy="509905"/>
          <wp:effectExtent l="0" t="0" r="0" b="4445"/>
          <wp:wrapNone/>
          <wp:docPr id="279" name="Picture 279" descr="NATSEM at the University of Canberra"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natsem.png"/>
                  <pic:cNvPicPr/>
                </pic:nvPicPr>
                <pic:blipFill rotWithShape="1">
                  <a:blip r:embed="rId2">
                    <a:extLst>
                      <a:ext uri="{28A0092B-C50C-407E-A947-70E740481C1C}">
                        <a14:useLocalDpi xmlns:a14="http://schemas.microsoft.com/office/drawing/2010/main" val="0"/>
                      </a:ext>
                    </a:extLst>
                  </a:blip>
                  <a:srcRect r="16028"/>
                  <a:stretch/>
                </pic:blipFill>
                <pic:spPr bwMode="auto">
                  <a:xfrm>
                    <a:off x="0" y="0"/>
                    <a:ext cx="1611630" cy="509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63A8">
      <w:rPr>
        <w:lang w:val="en-AU" w:eastAsia="en-AU"/>
      </w:rPr>
      <w:drawing>
        <wp:anchor distT="0" distB="0" distL="114300" distR="114300" simplePos="0" relativeHeight="251650048" behindDoc="1" locked="0" layoutInCell="1" allowOverlap="1" wp14:anchorId="3BC7134B" wp14:editId="2F208332">
          <wp:simplePos x="0" y="0"/>
          <wp:positionH relativeFrom="column">
            <wp:posOffset>-547370</wp:posOffset>
          </wp:positionH>
          <wp:positionV relativeFrom="paragraph">
            <wp:posOffset>-1263015</wp:posOffset>
          </wp:positionV>
          <wp:extent cx="7574280" cy="3606800"/>
          <wp:effectExtent l="0" t="0" r="7620" b="0"/>
          <wp:wrapNone/>
          <wp:docPr id="280" name="Picture 280" descr="Alt=&quot;&quot;" title="Alt=&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header.png"/>
                  <pic:cNvPicPr/>
                </pic:nvPicPr>
                <pic:blipFill>
                  <a:blip r:embed="rId3">
                    <a:extLst>
                      <a:ext uri="{28A0092B-C50C-407E-A947-70E740481C1C}">
                        <a14:useLocalDpi xmlns:a14="http://schemas.microsoft.com/office/drawing/2010/main" val="0"/>
                      </a:ext>
                    </a:extLst>
                  </a:blip>
                  <a:stretch>
                    <a:fillRect/>
                  </a:stretch>
                </pic:blipFill>
                <pic:spPr bwMode="auto">
                  <a:xfrm>
                    <a:off x="0" y="0"/>
                    <a:ext cx="7574280" cy="3606800"/>
                  </a:xfrm>
                  <a:prstGeom prst="rect">
                    <a:avLst/>
                  </a:prstGeom>
                  <a:solidFill>
                    <a:schemeClr val="accent2"/>
                  </a:solidFill>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44888D90" w14:textId="77777777" w:rsidR="006859F3" w:rsidRDefault="006859F3" w:rsidP="007E4F2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445AF" w14:textId="06A3F1CA" w:rsidR="006859F3" w:rsidRPr="00E51FE6" w:rsidRDefault="006859F3" w:rsidP="007E4F2C">
    <w:pPr>
      <w:pStyle w:val="Heading1"/>
    </w:pPr>
    <w:r>
      <w:rPr>
        <w:lang w:val="en-AU" w:eastAsia="en-AU"/>
      </w:rPr>
      <mc:AlternateContent>
        <mc:Choice Requires="wps">
          <w:drawing>
            <wp:anchor distT="0" distB="0" distL="114300" distR="114300" simplePos="0" relativeHeight="251678720" behindDoc="0" locked="0" layoutInCell="1" allowOverlap="1" wp14:anchorId="547A154D" wp14:editId="36D4018C">
              <wp:simplePos x="0" y="0"/>
              <wp:positionH relativeFrom="column">
                <wp:posOffset>-540385</wp:posOffset>
              </wp:positionH>
              <wp:positionV relativeFrom="paragraph">
                <wp:posOffset>-450215</wp:posOffset>
              </wp:positionV>
              <wp:extent cx="5329555" cy="887730"/>
              <wp:effectExtent l="2540" t="0" r="1905" b="635"/>
              <wp:wrapNone/>
              <wp:docPr id="7" name="WordArt 4" descr="Alt=&quot;&quot;" title="Alt=&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9555" cy="88773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BA3D4A" id="_x0000_t202" coordsize="21600,21600" o:spt="202" path="m,l,21600r21600,l21600,xe">
              <v:stroke joinstyle="miter"/>
              <v:path gradientshapeok="t" o:connecttype="rect"/>
            </v:shapetype>
            <v:shape id="WordArt 4" o:spid="_x0000_s1026" type="#_x0000_t202" alt="Title: Alt=&quot;&quot; - Description: Alt=&quot;&quot;" style="position:absolute;margin-left:-42.55pt;margin-top:-35.45pt;width:419.65pt;height:69.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" filled="f" stroked="f">
              <o:lock v:ext="edit" text="t" shapetype="t"/>
            </v:shape>
          </w:pict>
        </mc:Fallback>
      </mc:AlternateContent>
    </w:r>
    <w:r w:rsidRPr="00E51FE6">
      <w:rPr>
        <w:lang w:val="en-AU" w:eastAsia="en-AU"/>
      </w:rPr>
      <w:drawing>
        <wp:anchor distT="0" distB="0" distL="114300" distR="114300" simplePos="0" relativeHeight="251655168" behindDoc="1" locked="0" layoutInCell="1" allowOverlap="1" wp14:anchorId="5ED44813" wp14:editId="65CB3A43">
          <wp:simplePos x="0" y="0"/>
          <wp:positionH relativeFrom="column">
            <wp:posOffset>-525145</wp:posOffset>
          </wp:positionH>
          <wp:positionV relativeFrom="paragraph">
            <wp:posOffset>213360</wp:posOffset>
          </wp:positionV>
          <wp:extent cx="7529195" cy="106680"/>
          <wp:effectExtent l="0" t="0" r="0" b="7620"/>
          <wp:wrapNone/>
          <wp:docPr id="241" name="Picture 241" descr="Alt=&quot;&quot;" title="Alt=&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9195" cy="106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alias w:val="Title"/>
        <w:tag w:val=""/>
        <w:id w:val="-824114423"/>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p>
  <w:p w14:paraId="52B70759" w14:textId="42B86790" w:rsidR="006859F3" w:rsidRDefault="006859F3" w:rsidP="005C3D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7D173" w14:textId="77777777" w:rsidR="006859F3" w:rsidRPr="00E51FE6" w:rsidRDefault="002519A9" w:rsidP="007E4F2C">
    <w:pPr>
      <w:pStyle w:val="Heading1"/>
    </w:pPr>
    <w:sdt>
      <w:sdtPr>
        <w:alias w:val="Title"/>
        <w:tag w:val=""/>
        <w:id w:val="929230004"/>
        <w:showingPlcHdr/>
        <w:dataBinding w:prefixMappings="xmlns:ns0='http://purl.org/dc/elements/1.1/' xmlns:ns1='http://schemas.openxmlformats.org/package/2006/metadata/core-properties' " w:xpath="/ns1:coreProperties[1]/ns0:title[1]" w:storeItemID="{6C3C8BC8-F283-45AE-878A-BAB7291924A1}"/>
        <w:text/>
      </w:sdtPr>
      <w:sdtEndPr/>
      <w:sdtContent>
        <w:r w:rsidR="006859F3">
          <w:t xml:space="preserve">     </w:t>
        </w:r>
      </w:sdtContent>
    </w:sdt>
  </w:p>
  <w:p w14:paraId="354AF581" w14:textId="77777777" w:rsidR="006859F3" w:rsidRPr="005B3215" w:rsidRDefault="006859F3" w:rsidP="007E4F2C">
    <w:pPr>
      <w:pStyle w:val="Header"/>
    </w:pPr>
    <w:r w:rsidRPr="00E51FE6">
      <w:rPr>
        <w:noProof/>
        <w:lang w:val="en-AU" w:eastAsia="en-AU"/>
      </w:rPr>
      <w:drawing>
        <wp:anchor distT="0" distB="0" distL="114300" distR="114300" simplePos="0" relativeHeight="251656704" behindDoc="1" locked="0" layoutInCell="1" allowOverlap="1" wp14:anchorId="2C50E359" wp14:editId="10AA1007">
          <wp:simplePos x="0" y="0"/>
          <wp:positionH relativeFrom="column">
            <wp:posOffset>-525145</wp:posOffset>
          </wp:positionH>
          <wp:positionV relativeFrom="paragraph">
            <wp:posOffset>619125</wp:posOffset>
          </wp:positionV>
          <wp:extent cx="7529220" cy="107314"/>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9220" cy="1073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B92FB5" w14:textId="77777777" w:rsidR="006859F3" w:rsidRDefault="006859F3" w:rsidP="007E4F2C"/>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D4EA4" w14:textId="0DDCB466" w:rsidR="006859F3" w:rsidRPr="00B86D30" w:rsidRDefault="006859F3" w:rsidP="00B86D30">
    <w:pPr>
      <w:pStyle w:val="Heading1RISE"/>
    </w:pPr>
    <w:r>
      <w:fldChar w:fldCharType="begin"/>
    </w:r>
    <w:r>
      <w:instrText xml:space="preserve"> STYLEREF "Heading 1" \* MERGEFORMAT </w:instrText>
    </w:r>
    <w:r>
      <w:fldChar w:fldCharType="end"/>
    </w:r>
    <w:r w:rsidRPr="00B86D30">
      <w:t xml:space="preserve"> </w:t>
    </w:r>
  </w:p>
  <w:p w14:paraId="2C2EF0D3" w14:textId="77777777" w:rsidR="006859F3" w:rsidRPr="00F3362B" w:rsidRDefault="006859F3" w:rsidP="00B86D30">
    <w:pPr>
      <w:pStyle w:val="Heading1RISE"/>
    </w:pPr>
    <w:r w:rsidRPr="00F3362B">
      <w:rPr>
        <w:lang w:val="en-AU" w:eastAsia="en-AU"/>
      </w:rPr>
      <w:drawing>
        <wp:anchor distT="0" distB="0" distL="114300" distR="114300" simplePos="0" relativeHeight="251658752" behindDoc="1" locked="0" layoutInCell="1" allowOverlap="1" wp14:anchorId="366E590E" wp14:editId="6735909E">
          <wp:simplePos x="0" y="0"/>
          <wp:positionH relativeFrom="column">
            <wp:posOffset>-538480</wp:posOffset>
          </wp:positionH>
          <wp:positionV relativeFrom="paragraph">
            <wp:posOffset>438150</wp:posOffset>
          </wp:positionV>
          <wp:extent cx="7557280" cy="545464"/>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7280" cy="545464"/>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F3362B">
      <w:t xml:space="preserve"> </w:t>
    </w:r>
  </w:p>
  <w:p w14:paraId="1FD9A340" w14:textId="77777777" w:rsidR="006859F3" w:rsidRDefault="006859F3" w:rsidP="007E4F2C"/>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D9817" w14:textId="25E43CA0" w:rsidR="006859F3" w:rsidRPr="00B86D30" w:rsidRDefault="006859F3" w:rsidP="00B86D30">
    <w:pPr>
      <w:pStyle w:val="Heading1RISE"/>
    </w:pPr>
    <w:r>
      <w:rPr>
        <w:lang w:val="en-AU" w:eastAsia="en-AU"/>
      </w:rPr>
      <mc:AlternateContent>
        <mc:Choice Requires="wps">
          <w:drawing>
            <wp:anchor distT="0" distB="0" distL="114300" distR="114300" simplePos="0" relativeHeight="251697152" behindDoc="0" locked="0" layoutInCell="1" allowOverlap="1" wp14:anchorId="4DE1C0B8" wp14:editId="7ADBECA2">
              <wp:simplePos x="0" y="0"/>
              <wp:positionH relativeFrom="column">
                <wp:posOffset>-540385</wp:posOffset>
              </wp:positionH>
              <wp:positionV relativeFrom="paragraph">
                <wp:posOffset>-450215</wp:posOffset>
              </wp:positionV>
              <wp:extent cx="5329555" cy="887730"/>
              <wp:effectExtent l="2540" t="0" r="1905" b="635"/>
              <wp:wrapNone/>
              <wp:docPr id="6" name="WordArt 13" descr="Alt=&quot;&quot;" title="Alt=&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9555" cy="88773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CF9CE6" id="_x0000_t202" coordsize="21600,21600" o:spt="202" path="m,l,21600r21600,l21600,xe">
              <v:stroke joinstyle="miter"/>
              <v:path gradientshapeok="t" o:connecttype="rect"/>
            </v:shapetype>
            <v:shape id="WordArt 13" o:spid="_x0000_s1026" type="#_x0000_t202" alt="Title: Alt=&quot;&quot; - Description: Alt=&quot;&quot;" style="position:absolute;margin-left:-42.55pt;margin-top:-35.45pt;width:419.65pt;height:6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" filled="f" stroked="f">
              <o:lock v:ext="edit" text="t" shapetype="t"/>
            </v:shape>
          </w:pict>
        </mc:Fallback>
      </mc:AlternateContent>
    </w:r>
    <w:r>
      <w:fldChar w:fldCharType="begin"/>
    </w:r>
    <w:r>
      <w:instrText xml:space="preserve"> STYLEREF "Heading 1" \* MERGEFORMAT </w:instrText>
    </w:r>
    <w:r>
      <w:fldChar w:fldCharType="end"/>
    </w:r>
    <w:r w:rsidRPr="00B86D30">
      <w:t xml:space="preserve"> </w:t>
    </w:r>
  </w:p>
  <w:p w14:paraId="6E10A1F1" w14:textId="77777777" w:rsidR="006859F3" w:rsidRPr="00F3362B" w:rsidRDefault="006859F3" w:rsidP="00B86D30">
    <w:pPr>
      <w:pStyle w:val="Heading1RISE"/>
    </w:pPr>
    <w:r w:rsidRPr="00F3362B">
      <w:rPr>
        <w:lang w:val="en-AU" w:eastAsia="en-AU"/>
      </w:rPr>
      <w:drawing>
        <wp:anchor distT="0" distB="0" distL="114300" distR="114300" simplePos="0" relativeHeight="251659776" behindDoc="1" locked="0" layoutInCell="1" allowOverlap="1" wp14:anchorId="40D23891" wp14:editId="653B0BEB">
          <wp:simplePos x="0" y="0"/>
          <wp:positionH relativeFrom="column">
            <wp:posOffset>-538480</wp:posOffset>
          </wp:positionH>
          <wp:positionV relativeFrom="paragraph">
            <wp:posOffset>438150</wp:posOffset>
          </wp:positionV>
          <wp:extent cx="7557280" cy="545464"/>
          <wp:effectExtent l="0" t="0" r="0" b="7620"/>
          <wp:wrapNone/>
          <wp:docPr id="30" name="Picture 30" descr="Alt=&quot;&quot;" title="Alt=&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7280" cy="545464"/>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F3362B">
      <w:t xml:space="preserve"> </w:t>
    </w:r>
  </w:p>
  <w:p w14:paraId="0F218780" w14:textId="77777777" w:rsidR="006859F3" w:rsidRDefault="006859F3" w:rsidP="007E4F2C"/>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FD41" w14:textId="7FA73BDF" w:rsidR="006859F3" w:rsidRPr="000F5C86" w:rsidRDefault="006859F3" w:rsidP="00B86D30">
    <w:pPr>
      <w:pStyle w:val="Heading1RISE"/>
      <w:rPr>
        <w:sz w:val="36"/>
        <w:szCs w:val="36"/>
      </w:rPr>
    </w:pPr>
    <w:r w:rsidRPr="000F5C86">
      <w:rPr>
        <w:sz w:val="36"/>
        <w:szCs w:val="36"/>
      </w:rPr>
      <w:t>EXECUTIVE SUMMARY</w:t>
    </w:r>
  </w:p>
  <w:p w14:paraId="08BF590B" w14:textId="77777777" w:rsidR="006859F3" w:rsidRPr="00F3362B" w:rsidRDefault="006859F3" w:rsidP="00B86D30">
    <w:pPr>
      <w:pStyle w:val="Heading1RISE"/>
    </w:pPr>
    <w:r w:rsidRPr="00F3362B">
      <w:rPr>
        <w:lang w:val="en-AU" w:eastAsia="en-AU"/>
      </w:rPr>
      <w:drawing>
        <wp:anchor distT="0" distB="0" distL="114300" distR="114300" simplePos="0" relativeHeight="251653632" behindDoc="1" locked="0" layoutInCell="1" allowOverlap="1" wp14:anchorId="77A425EB" wp14:editId="3C2B77E3">
          <wp:simplePos x="0" y="0"/>
          <wp:positionH relativeFrom="column">
            <wp:posOffset>-538480</wp:posOffset>
          </wp:positionH>
          <wp:positionV relativeFrom="paragraph">
            <wp:posOffset>438150</wp:posOffset>
          </wp:positionV>
          <wp:extent cx="7557280" cy="545464"/>
          <wp:effectExtent l="0" t="0" r="0" b="7620"/>
          <wp:wrapNone/>
          <wp:docPr id="318" name="Picture 318" descr="Alt=&quot;&quot;" title="Alt=&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7280" cy="545464"/>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F3362B">
      <w:t xml:space="preserve"> </w:t>
    </w:r>
  </w:p>
  <w:p w14:paraId="2FC7B7D7" w14:textId="77777777" w:rsidR="006859F3" w:rsidRDefault="006859F3" w:rsidP="007E4F2C"/>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37565" w14:textId="3C002F5A" w:rsidR="006859F3" w:rsidRPr="003202AA" w:rsidRDefault="006859F3" w:rsidP="003202AA">
    <w:pPr>
      <w:pStyle w:val="NoSpacing"/>
    </w:pPr>
    <w:r w:rsidRPr="00B86D30">
      <w:rPr>
        <w:noProof/>
        <w:lang w:val="en-AU" w:eastAsia="en-AU"/>
      </w:rPr>
      <w:drawing>
        <wp:anchor distT="0" distB="0" distL="114300" distR="114300" simplePos="0" relativeHeight="251670528" behindDoc="1" locked="0" layoutInCell="1" allowOverlap="1" wp14:anchorId="357B6DF2" wp14:editId="6E257585">
          <wp:simplePos x="0" y="0"/>
          <wp:positionH relativeFrom="margin">
            <wp:posOffset>-854075</wp:posOffset>
          </wp:positionH>
          <wp:positionV relativeFrom="paragraph">
            <wp:posOffset>289247</wp:posOffset>
          </wp:positionV>
          <wp:extent cx="7484110" cy="106045"/>
          <wp:effectExtent l="0" t="0" r="2540" b="8255"/>
          <wp:wrapThrough wrapText="bothSides">
            <wp:wrapPolygon edited="0">
              <wp:start x="0" y="0"/>
              <wp:lineTo x="0" y="19401"/>
              <wp:lineTo x="21552" y="19401"/>
              <wp:lineTo x="21552" y="0"/>
              <wp:lineTo x="0" y="0"/>
            </wp:wrapPolygon>
          </wp:wrapThrough>
          <wp:docPr id="225" name="Picture 225" title="Alt=&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E0040_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484110" cy="106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A6F0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12415"/>
    <w:multiLevelType w:val="hybridMultilevel"/>
    <w:tmpl w:val="C7BE36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2872A9"/>
    <w:multiLevelType w:val="multilevel"/>
    <w:tmpl w:val="0302CBA8"/>
    <w:lvl w:ilvl="0">
      <w:start w:val="3"/>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B35283A"/>
    <w:multiLevelType w:val="hybridMultilevel"/>
    <w:tmpl w:val="0B840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6028D4"/>
    <w:multiLevelType w:val="multilevel"/>
    <w:tmpl w:val="F4F8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2171E"/>
    <w:multiLevelType w:val="hybridMultilevel"/>
    <w:tmpl w:val="42DA3A7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87A33E5"/>
    <w:multiLevelType w:val="hybridMultilevel"/>
    <w:tmpl w:val="07825E92"/>
    <w:lvl w:ilvl="0" w:tplc="39D40D08">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19534986"/>
    <w:multiLevelType w:val="hybridMultilevel"/>
    <w:tmpl w:val="A150F176"/>
    <w:lvl w:ilvl="0" w:tplc="D774189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7C5946"/>
    <w:multiLevelType w:val="multilevel"/>
    <w:tmpl w:val="46F0C3C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25933461"/>
    <w:multiLevelType w:val="hybridMultilevel"/>
    <w:tmpl w:val="4A90F0FC"/>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2ADB544A"/>
    <w:multiLevelType w:val="hybridMultilevel"/>
    <w:tmpl w:val="9EB87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1039E3"/>
    <w:multiLevelType w:val="hybridMultilevel"/>
    <w:tmpl w:val="EDFEE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78162F"/>
    <w:multiLevelType w:val="hybridMultilevel"/>
    <w:tmpl w:val="66764F4E"/>
    <w:lvl w:ilvl="0" w:tplc="EFCC21F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480029"/>
    <w:multiLevelType w:val="hybridMultilevel"/>
    <w:tmpl w:val="BACCA114"/>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3EC542EC"/>
    <w:multiLevelType w:val="hybridMultilevel"/>
    <w:tmpl w:val="75A4BA4C"/>
    <w:lvl w:ilvl="0" w:tplc="0D086E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F4F720D"/>
    <w:multiLevelType w:val="hybridMultilevel"/>
    <w:tmpl w:val="EB20DCCC"/>
    <w:lvl w:ilvl="0" w:tplc="FA24F410">
      <w:start w:val="1"/>
      <w:numFmt w:val="bullet"/>
      <w:pStyle w:val="BulletList"/>
      <w:lvlText w:val=""/>
      <w:lvlJc w:val="left"/>
      <w:pPr>
        <w:ind w:left="567" w:hanging="28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A73495"/>
    <w:multiLevelType w:val="hybridMultilevel"/>
    <w:tmpl w:val="BB4AB590"/>
    <w:lvl w:ilvl="0" w:tplc="B3B011A8">
      <w:numFmt w:val="bullet"/>
      <w:lvlText w:val="-"/>
      <w:lvlJc w:val="left"/>
      <w:pPr>
        <w:ind w:left="927" w:hanging="360"/>
      </w:pPr>
      <w:rPr>
        <w:rFonts w:ascii="Lato Light" w:eastAsiaTheme="minorEastAsia" w:hAnsi="Lato Light" w:cstheme="minorBidi"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7" w15:restartNumberingAfterBreak="0">
    <w:nsid w:val="42713326"/>
    <w:multiLevelType w:val="hybridMultilevel"/>
    <w:tmpl w:val="D5FCB2C0"/>
    <w:lvl w:ilvl="0" w:tplc="BB96DAF8">
      <w:numFmt w:val="bullet"/>
      <w:lvlText w:val="-"/>
      <w:lvlJc w:val="left"/>
      <w:pPr>
        <w:ind w:left="720" w:hanging="360"/>
      </w:pPr>
      <w:rPr>
        <w:rFonts w:ascii="Lato Light" w:eastAsiaTheme="minorEastAsia" w:hAnsi="La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140DD6"/>
    <w:multiLevelType w:val="hybridMultilevel"/>
    <w:tmpl w:val="D5944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D22214"/>
    <w:multiLevelType w:val="multilevel"/>
    <w:tmpl w:val="0C86C6CE"/>
    <w:lvl w:ilvl="0">
      <w:start w:val="1"/>
      <w:numFmt w:val="decimal"/>
      <w:pStyle w:val="Headingnumbered"/>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15:restartNumberingAfterBreak="0">
    <w:nsid w:val="47C10ABD"/>
    <w:multiLevelType w:val="hybridMultilevel"/>
    <w:tmpl w:val="1A0487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D429A4"/>
    <w:multiLevelType w:val="hybridMultilevel"/>
    <w:tmpl w:val="DE306D6A"/>
    <w:lvl w:ilvl="0" w:tplc="DEC01974">
      <w:numFmt w:val="bullet"/>
      <w:lvlText w:val="-"/>
      <w:lvlJc w:val="left"/>
      <w:pPr>
        <w:ind w:left="927" w:hanging="360"/>
      </w:pPr>
      <w:rPr>
        <w:rFonts w:ascii="Lato Light" w:eastAsiaTheme="minorEastAsia" w:hAnsi="Lato Light" w:cstheme="minorBidi"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2" w15:restartNumberingAfterBreak="0">
    <w:nsid w:val="500C18AA"/>
    <w:multiLevelType w:val="hybridMultilevel"/>
    <w:tmpl w:val="866E937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59D74E1C"/>
    <w:multiLevelType w:val="hybridMultilevel"/>
    <w:tmpl w:val="69042A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6B3049"/>
    <w:multiLevelType w:val="hybridMultilevel"/>
    <w:tmpl w:val="47AC25E2"/>
    <w:lvl w:ilvl="0" w:tplc="E4948A54">
      <w:numFmt w:val="bullet"/>
      <w:lvlText w:val="-"/>
      <w:lvlJc w:val="left"/>
      <w:pPr>
        <w:ind w:left="927" w:hanging="360"/>
      </w:pPr>
      <w:rPr>
        <w:rFonts w:ascii="Lato Light" w:eastAsiaTheme="minorEastAsia" w:hAnsi="Lato Light" w:cstheme="minorBidi"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5" w15:restartNumberingAfterBreak="0">
    <w:nsid w:val="6A3376A1"/>
    <w:multiLevelType w:val="hybridMultilevel"/>
    <w:tmpl w:val="94E0F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691420"/>
    <w:multiLevelType w:val="hybridMultilevel"/>
    <w:tmpl w:val="A1BC5942"/>
    <w:lvl w:ilvl="0" w:tplc="DBEA5872">
      <w:numFmt w:val="bullet"/>
      <w:lvlText w:val=""/>
      <w:lvlJc w:val="left"/>
      <w:pPr>
        <w:ind w:left="927" w:hanging="360"/>
      </w:pPr>
      <w:rPr>
        <w:rFonts w:ascii="Symbol" w:eastAsiaTheme="minorEastAsia" w:hAnsi="Symbol" w:cstheme="minorBidi"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num w:numId="1">
    <w:abstractNumId w:val="12"/>
  </w:num>
  <w:num w:numId="2">
    <w:abstractNumId w:val="15"/>
  </w:num>
  <w:num w:numId="3">
    <w:abstractNumId w:val="9"/>
  </w:num>
  <w:num w:numId="4">
    <w:abstractNumId w:val="21"/>
  </w:num>
  <w:num w:numId="5">
    <w:abstractNumId w:val="13"/>
  </w:num>
  <w:num w:numId="6">
    <w:abstractNumId w:val="1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0"/>
  </w:num>
  <w:num w:numId="10">
    <w:abstractNumId w:val="1"/>
  </w:num>
  <w:num w:numId="11">
    <w:abstractNumId w:val="12"/>
  </w:num>
  <w:num w:numId="12">
    <w:abstractNumId w:val="16"/>
  </w:num>
  <w:num w:numId="13">
    <w:abstractNumId w:val="22"/>
  </w:num>
  <w:num w:numId="14">
    <w:abstractNumId w:val="5"/>
  </w:num>
  <w:num w:numId="15">
    <w:abstractNumId w:val="7"/>
  </w:num>
  <w:num w:numId="16">
    <w:abstractNumId w:val="19"/>
  </w:num>
  <w:num w:numId="17">
    <w:abstractNumId w:val="2"/>
  </w:num>
  <w:num w:numId="18">
    <w:abstractNumId w:val="8"/>
  </w:num>
  <w:num w:numId="19">
    <w:abstractNumId w:val="24"/>
  </w:num>
  <w:num w:numId="20">
    <w:abstractNumId w:val="6"/>
  </w:num>
  <w:num w:numId="21">
    <w:abstractNumId w:val="11"/>
  </w:num>
  <w:num w:numId="22">
    <w:abstractNumId w:val="25"/>
  </w:num>
  <w:num w:numId="23">
    <w:abstractNumId w:val="3"/>
  </w:num>
  <w:num w:numId="24">
    <w:abstractNumId w:val="18"/>
  </w:num>
  <w:num w:numId="25">
    <w:abstractNumId w:val="10"/>
  </w:num>
  <w:num w:numId="26">
    <w:abstractNumId w:val="17"/>
  </w:num>
  <w:num w:numId="27">
    <w:abstractNumId w:val="26"/>
  </w:num>
  <w:num w:numId="28">
    <w:abstractNumId w:val="0"/>
  </w:num>
  <w:num w:numId="29">
    <w:abstractNumId w:val="4"/>
  </w:num>
  <w:num w:numId="3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formsDesign/>
  <w:defaultTabStop w:val="720"/>
  <w:characterSpacingControl w:val="compressPunctuation"/>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FDB"/>
    <w:rsid w:val="00000485"/>
    <w:rsid w:val="000004E2"/>
    <w:rsid w:val="000007E8"/>
    <w:rsid w:val="00000AE6"/>
    <w:rsid w:val="00002B79"/>
    <w:rsid w:val="00002BFB"/>
    <w:rsid w:val="000031BF"/>
    <w:rsid w:val="000040C2"/>
    <w:rsid w:val="00004737"/>
    <w:rsid w:val="00005043"/>
    <w:rsid w:val="00005174"/>
    <w:rsid w:val="000053F7"/>
    <w:rsid w:val="00005507"/>
    <w:rsid w:val="00005C33"/>
    <w:rsid w:val="00006D15"/>
    <w:rsid w:val="00010297"/>
    <w:rsid w:val="00010529"/>
    <w:rsid w:val="00010B64"/>
    <w:rsid w:val="0001113C"/>
    <w:rsid w:val="000130B6"/>
    <w:rsid w:val="00013158"/>
    <w:rsid w:val="0001450B"/>
    <w:rsid w:val="00014850"/>
    <w:rsid w:val="00015497"/>
    <w:rsid w:val="000155A3"/>
    <w:rsid w:val="00016798"/>
    <w:rsid w:val="000169DE"/>
    <w:rsid w:val="0001740A"/>
    <w:rsid w:val="0001787D"/>
    <w:rsid w:val="00017BBB"/>
    <w:rsid w:val="00017CDC"/>
    <w:rsid w:val="000203C7"/>
    <w:rsid w:val="0002067B"/>
    <w:rsid w:val="000209D9"/>
    <w:rsid w:val="0002114E"/>
    <w:rsid w:val="0002137A"/>
    <w:rsid w:val="00021574"/>
    <w:rsid w:val="000217B2"/>
    <w:rsid w:val="00021DF4"/>
    <w:rsid w:val="000227B9"/>
    <w:rsid w:val="00022D70"/>
    <w:rsid w:val="000279C3"/>
    <w:rsid w:val="00027F72"/>
    <w:rsid w:val="00031D32"/>
    <w:rsid w:val="0003250E"/>
    <w:rsid w:val="000326F5"/>
    <w:rsid w:val="00032E34"/>
    <w:rsid w:val="00032F42"/>
    <w:rsid w:val="0003340D"/>
    <w:rsid w:val="00034CF2"/>
    <w:rsid w:val="000361B2"/>
    <w:rsid w:val="00037155"/>
    <w:rsid w:val="000373B2"/>
    <w:rsid w:val="000374FC"/>
    <w:rsid w:val="00040593"/>
    <w:rsid w:val="00041370"/>
    <w:rsid w:val="00041381"/>
    <w:rsid w:val="00041F1B"/>
    <w:rsid w:val="000420EF"/>
    <w:rsid w:val="00042E53"/>
    <w:rsid w:val="0004359E"/>
    <w:rsid w:val="00043903"/>
    <w:rsid w:val="000441D5"/>
    <w:rsid w:val="00045D86"/>
    <w:rsid w:val="0004613A"/>
    <w:rsid w:val="000461EF"/>
    <w:rsid w:val="00046680"/>
    <w:rsid w:val="00046A2C"/>
    <w:rsid w:val="00046E45"/>
    <w:rsid w:val="00047B62"/>
    <w:rsid w:val="0005068B"/>
    <w:rsid w:val="00050B6E"/>
    <w:rsid w:val="00050E80"/>
    <w:rsid w:val="00050F92"/>
    <w:rsid w:val="0005157A"/>
    <w:rsid w:val="00052637"/>
    <w:rsid w:val="0005323F"/>
    <w:rsid w:val="0005451F"/>
    <w:rsid w:val="00055081"/>
    <w:rsid w:val="000554EB"/>
    <w:rsid w:val="00055910"/>
    <w:rsid w:val="00055BC9"/>
    <w:rsid w:val="00057200"/>
    <w:rsid w:val="0005721E"/>
    <w:rsid w:val="0006090A"/>
    <w:rsid w:val="000613AE"/>
    <w:rsid w:val="00062D2C"/>
    <w:rsid w:val="00064E6E"/>
    <w:rsid w:val="00065044"/>
    <w:rsid w:val="00066D27"/>
    <w:rsid w:val="00066EDA"/>
    <w:rsid w:val="00067AFF"/>
    <w:rsid w:val="00067FDD"/>
    <w:rsid w:val="0007024E"/>
    <w:rsid w:val="00070529"/>
    <w:rsid w:val="00071509"/>
    <w:rsid w:val="000716C0"/>
    <w:rsid w:val="000732E4"/>
    <w:rsid w:val="000739B5"/>
    <w:rsid w:val="000746AE"/>
    <w:rsid w:val="00075008"/>
    <w:rsid w:val="0007552C"/>
    <w:rsid w:val="00075C17"/>
    <w:rsid w:val="00075FF5"/>
    <w:rsid w:val="000768AC"/>
    <w:rsid w:val="00076B91"/>
    <w:rsid w:val="000771AF"/>
    <w:rsid w:val="0007785A"/>
    <w:rsid w:val="00077A78"/>
    <w:rsid w:val="00080633"/>
    <w:rsid w:val="00080D9F"/>
    <w:rsid w:val="000813B3"/>
    <w:rsid w:val="00082E4D"/>
    <w:rsid w:val="000839C1"/>
    <w:rsid w:val="000843CD"/>
    <w:rsid w:val="00084643"/>
    <w:rsid w:val="0008489A"/>
    <w:rsid w:val="00085D67"/>
    <w:rsid w:val="00086343"/>
    <w:rsid w:val="00086596"/>
    <w:rsid w:val="00086F92"/>
    <w:rsid w:val="000870F8"/>
    <w:rsid w:val="000872FB"/>
    <w:rsid w:val="00087843"/>
    <w:rsid w:val="0009117A"/>
    <w:rsid w:val="00091561"/>
    <w:rsid w:val="0009266C"/>
    <w:rsid w:val="000936F5"/>
    <w:rsid w:val="00094C73"/>
    <w:rsid w:val="0009550A"/>
    <w:rsid w:val="000966FB"/>
    <w:rsid w:val="0009677C"/>
    <w:rsid w:val="00097157"/>
    <w:rsid w:val="0009747C"/>
    <w:rsid w:val="00097899"/>
    <w:rsid w:val="000A0A24"/>
    <w:rsid w:val="000A0D0E"/>
    <w:rsid w:val="000A134B"/>
    <w:rsid w:val="000A236D"/>
    <w:rsid w:val="000A4A9D"/>
    <w:rsid w:val="000A696A"/>
    <w:rsid w:val="000A74C5"/>
    <w:rsid w:val="000A7A26"/>
    <w:rsid w:val="000B005B"/>
    <w:rsid w:val="000B04A6"/>
    <w:rsid w:val="000B0B03"/>
    <w:rsid w:val="000B2245"/>
    <w:rsid w:val="000B3A25"/>
    <w:rsid w:val="000B3D0B"/>
    <w:rsid w:val="000B46E2"/>
    <w:rsid w:val="000B4711"/>
    <w:rsid w:val="000B48F3"/>
    <w:rsid w:val="000B51DD"/>
    <w:rsid w:val="000B5519"/>
    <w:rsid w:val="000B60BC"/>
    <w:rsid w:val="000B6423"/>
    <w:rsid w:val="000B7C8C"/>
    <w:rsid w:val="000C09C3"/>
    <w:rsid w:val="000C102F"/>
    <w:rsid w:val="000C124B"/>
    <w:rsid w:val="000C1E4A"/>
    <w:rsid w:val="000C218D"/>
    <w:rsid w:val="000C2964"/>
    <w:rsid w:val="000C2CFF"/>
    <w:rsid w:val="000C2FFA"/>
    <w:rsid w:val="000C3365"/>
    <w:rsid w:val="000C343E"/>
    <w:rsid w:val="000C35AF"/>
    <w:rsid w:val="000C5154"/>
    <w:rsid w:val="000C5506"/>
    <w:rsid w:val="000C577D"/>
    <w:rsid w:val="000C59D4"/>
    <w:rsid w:val="000C6E27"/>
    <w:rsid w:val="000C7453"/>
    <w:rsid w:val="000C7A02"/>
    <w:rsid w:val="000D09C3"/>
    <w:rsid w:val="000D0E07"/>
    <w:rsid w:val="000D15D3"/>
    <w:rsid w:val="000D2E83"/>
    <w:rsid w:val="000D2F76"/>
    <w:rsid w:val="000D438E"/>
    <w:rsid w:val="000D44C3"/>
    <w:rsid w:val="000D484E"/>
    <w:rsid w:val="000D4A10"/>
    <w:rsid w:val="000D4CE8"/>
    <w:rsid w:val="000D4E30"/>
    <w:rsid w:val="000D56E4"/>
    <w:rsid w:val="000D5D66"/>
    <w:rsid w:val="000D639A"/>
    <w:rsid w:val="000D656E"/>
    <w:rsid w:val="000D7020"/>
    <w:rsid w:val="000D709F"/>
    <w:rsid w:val="000D73AC"/>
    <w:rsid w:val="000D768F"/>
    <w:rsid w:val="000D79AE"/>
    <w:rsid w:val="000E0871"/>
    <w:rsid w:val="000E2445"/>
    <w:rsid w:val="000E2F12"/>
    <w:rsid w:val="000E2FD9"/>
    <w:rsid w:val="000E3D7C"/>
    <w:rsid w:val="000E44ED"/>
    <w:rsid w:val="000E4510"/>
    <w:rsid w:val="000E4CC8"/>
    <w:rsid w:val="000E60C9"/>
    <w:rsid w:val="000E6115"/>
    <w:rsid w:val="000E6B92"/>
    <w:rsid w:val="000E6C6B"/>
    <w:rsid w:val="000E70C8"/>
    <w:rsid w:val="000E7159"/>
    <w:rsid w:val="000F14DA"/>
    <w:rsid w:val="000F252B"/>
    <w:rsid w:val="000F2ADD"/>
    <w:rsid w:val="000F2DE0"/>
    <w:rsid w:val="000F3C40"/>
    <w:rsid w:val="000F3DD7"/>
    <w:rsid w:val="000F4149"/>
    <w:rsid w:val="000F4565"/>
    <w:rsid w:val="000F477B"/>
    <w:rsid w:val="000F4D43"/>
    <w:rsid w:val="000F53BA"/>
    <w:rsid w:val="000F5B45"/>
    <w:rsid w:val="000F5C86"/>
    <w:rsid w:val="000F652F"/>
    <w:rsid w:val="000F666B"/>
    <w:rsid w:val="000F6A34"/>
    <w:rsid w:val="000F71E1"/>
    <w:rsid w:val="000F7409"/>
    <w:rsid w:val="000F7541"/>
    <w:rsid w:val="000F7BB3"/>
    <w:rsid w:val="001000E4"/>
    <w:rsid w:val="00101FF5"/>
    <w:rsid w:val="00102F4B"/>
    <w:rsid w:val="001031EC"/>
    <w:rsid w:val="00103356"/>
    <w:rsid w:val="001037CD"/>
    <w:rsid w:val="00103963"/>
    <w:rsid w:val="00103AB9"/>
    <w:rsid w:val="00103B65"/>
    <w:rsid w:val="00104B1A"/>
    <w:rsid w:val="00104C3F"/>
    <w:rsid w:val="00104CB8"/>
    <w:rsid w:val="00105628"/>
    <w:rsid w:val="001069D0"/>
    <w:rsid w:val="0010753C"/>
    <w:rsid w:val="00112725"/>
    <w:rsid w:val="00113194"/>
    <w:rsid w:val="00113AC3"/>
    <w:rsid w:val="001141A3"/>
    <w:rsid w:val="00115188"/>
    <w:rsid w:val="00116C89"/>
    <w:rsid w:val="00117001"/>
    <w:rsid w:val="001171D7"/>
    <w:rsid w:val="001174E8"/>
    <w:rsid w:val="00120606"/>
    <w:rsid w:val="001209D0"/>
    <w:rsid w:val="00120D53"/>
    <w:rsid w:val="00123473"/>
    <w:rsid w:val="001250F1"/>
    <w:rsid w:val="001256C4"/>
    <w:rsid w:val="001261E1"/>
    <w:rsid w:val="001261FA"/>
    <w:rsid w:val="001267E7"/>
    <w:rsid w:val="00126EFC"/>
    <w:rsid w:val="00127069"/>
    <w:rsid w:val="00130818"/>
    <w:rsid w:val="00130C7E"/>
    <w:rsid w:val="001311D7"/>
    <w:rsid w:val="001319F5"/>
    <w:rsid w:val="00133747"/>
    <w:rsid w:val="00135E00"/>
    <w:rsid w:val="0013620F"/>
    <w:rsid w:val="00136604"/>
    <w:rsid w:val="0014125A"/>
    <w:rsid w:val="001420E7"/>
    <w:rsid w:val="001422A9"/>
    <w:rsid w:val="00145917"/>
    <w:rsid w:val="001464F8"/>
    <w:rsid w:val="00147C3F"/>
    <w:rsid w:val="001504CA"/>
    <w:rsid w:val="001506F4"/>
    <w:rsid w:val="00153CA8"/>
    <w:rsid w:val="00153EC3"/>
    <w:rsid w:val="001546C1"/>
    <w:rsid w:val="00155699"/>
    <w:rsid w:val="00155F2B"/>
    <w:rsid w:val="00156077"/>
    <w:rsid w:val="00157927"/>
    <w:rsid w:val="00157A2F"/>
    <w:rsid w:val="00161816"/>
    <w:rsid w:val="00161B76"/>
    <w:rsid w:val="00163305"/>
    <w:rsid w:val="00163CBD"/>
    <w:rsid w:val="00163F28"/>
    <w:rsid w:val="00164FEC"/>
    <w:rsid w:val="00165356"/>
    <w:rsid w:val="00166577"/>
    <w:rsid w:val="0016664B"/>
    <w:rsid w:val="001673A9"/>
    <w:rsid w:val="001676C1"/>
    <w:rsid w:val="00167BA0"/>
    <w:rsid w:val="00171745"/>
    <w:rsid w:val="00171856"/>
    <w:rsid w:val="00171EB0"/>
    <w:rsid w:val="001724B2"/>
    <w:rsid w:val="001725AB"/>
    <w:rsid w:val="0017396B"/>
    <w:rsid w:val="001744F7"/>
    <w:rsid w:val="0017559E"/>
    <w:rsid w:val="00177F93"/>
    <w:rsid w:val="00180203"/>
    <w:rsid w:val="001802C8"/>
    <w:rsid w:val="00180763"/>
    <w:rsid w:val="0018120A"/>
    <w:rsid w:val="001829C1"/>
    <w:rsid w:val="00182C60"/>
    <w:rsid w:val="0018482A"/>
    <w:rsid w:val="001848EE"/>
    <w:rsid w:val="00184B0C"/>
    <w:rsid w:val="00184BCC"/>
    <w:rsid w:val="00184DFB"/>
    <w:rsid w:val="00185031"/>
    <w:rsid w:val="00185927"/>
    <w:rsid w:val="00185C53"/>
    <w:rsid w:val="00185E3F"/>
    <w:rsid w:val="00186DC5"/>
    <w:rsid w:val="001878C0"/>
    <w:rsid w:val="00187DB2"/>
    <w:rsid w:val="001909A0"/>
    <w:rsid w:val="001918A7"/>
    <w:rsid w:val="00192EA7"/>
    <w:rsid w:val="001934AB"/>
    <w:rsid w:val="00193700"/>
    <w:rsid w:val="00194F62"/>
    <w:rsid w:val="00194F7F"/>
    <w:rsid w:val="00195B20"/>
    <w:rsid w:val="00195C65"/>
    <w:rsid w:val="00195F3B"/>
    <w:rsid w:val="001968DF"/>
    <w:rsid w:val="0019754C"/>
    <w:rsid w:val="00197EBA"/>
    <w:rsid w:val="001A03C3"/>
    <w:rsid w:val="001A1FAA"/>
    <w:rsid w:val="001A2A56"/>
    <w:rsid w:val="001A343F"/>
    <w:rsid w:val="001A3447"/>
    <w:rsid w:val="001A3951"/>
    <w:rsid w:val="001A4CDA"/>
    <w:rsid w:val="001A4FBD"/>
    <w:rsid w:val="001A53BE"/>
    <w:rsid w:val="001A5854"/>
    <w:rsid w:val="001A58F4"/>
    <w:rsid w:val="001A6246"/>
    <w:rsid w:val="001A63A8"/>
    <w:rsid w:val="001A6C7D"/>
    <w:rsid w:val="001A6D7B"/>
    <w:rsid w:val="001A6E7B"/>
    <w:rsid w:val="001A7184"/>
    <w:rsid w:val="001A7BEB"/>
    <w:rsid w:val="001A7FA4"/>
    <w:rsid w:val="001B0205"/>
    <w:rsid w:val="001B0DFB"/>
    <w:rsid w:val="001B2169"/>
    <w:rsid w:val="001B23B6"/>
    <w:rsid w:val="001B2882"/>
    <w:rsid w:val="001B300B"/>
    <w:rsid w:val="001B33CD"/>
    <w:rsid w:val="001B3A2E"/>
    <w:rsid w:val="001B3FC2"/>
    <w:rsid w:val="001B40B7"/>
    <w:rsid w:val="001B536E"/>
    <w:rsid w:val="001B6E6A"/>
    <w:rsid w:val="001B7747"/>
    <w:rsid w:val="001C0DD2"/>
    <w:rsid w:val="001C213E"/>
    <w:rsid w:val="001C2FEC"/>
    <w:rsid w:val="001C497A"/>
    <w:rsid w:val="001C4A57"/>
    <w:rsid w:val="001C4ACE"/>
    <w:rsid w:val="001C52EF"/>
    <w:rsid w:val="001C5AC8"/>
    <w:rsid w:val="001C5D71"/>
    <w:rsid w:val="001C66E3"/>
    <w:rsid w:val="001D0177"/>
    <w:rsid w:val="001D09BE"/>
    <w:rsid w:val="001D375C"/>
    <w:rsid w:val="001D5008"/>
    <w:rsid w:val="001D5FDB"/>
    <w:rsid w:val="001D7466"/>
    <w:rsid w:val="001E0180"/>
    <w:rsid w:val="001E0DDB"/>
    <w:rsid w:val="001E3F5F"/>
    <w:rsid w:val="001E403F"/>
    <w:rsid w:val="001E4C03"/>
    <w:rsid w:val="001E4C2C"/>
    <w:rsid w:val="001E4EE0"/>
    <w:rsid w:val="001E5B1C"/>
    <w:rsid w:val="001E5B8B"/>
    <w:rsid w:val="001E6648"/>
    <w:rsid w:val="001E66F6"/>
    <w:rsid w:val="001E6926"/>
    <w:rsid w:val="001E69C3"/>
    <w:rsid w:val="001E6EC7"/>
    <w:rsid w:val="001E790F"/>
    <w:rsid w:val="001E7BC6"/>
    <w:rsid w:val="001F02E9"/>
    <w:rsid w:val="001F0307"/>
    <w:rsid w:val="001F0CC1"/>
    <w:rsid w:val="001F1061"/>
    <w:rsid w:val="001F2437"/>
    <w:rsid w:val="001F2544"/>
    <w:rsid w:val="001F2CF1"/>
    <w:rsid w:val="001F41E2"/>
    <w:rsid w:val="001F5017"/>
    <w:rsid w:val="001F5B26"/>
    <w:rsid w:val="001F5DA8"/>
    <w:rsid w:val="001F600C"/>
    <w:rsid w:val="001F61D3"/>
    <w:rsid w:val="001F6859"/>
    <w:rsid w:val="001F7AA7"/>
    <w:rsid w:val="001F7D91"/>
    <w:rsid w:val="00200455"/>
    <w:rsid w:val="002007B7"/>
    <w:rsid w:val="00201542"/>
    <w:rsid w:val="002018D5"/>
    <w:rsid w:val="00201CF7"/>
    <w:rsid w:val="00203C07"/>
    <w:rsid w:val="00203F1F"/>
    <w:rsid w:val="002060D8"/>
    <w:rsid w:val="00206422"/>
    <w:rsid w:val="002066E0"/>
    <w:rsid w:val="002066FE"/>
    <w:rsid w:val="002071BE"/>
    <w:rsid w:val="0020779B"/>
    <w:rsid w:val="00210211"/>
    <w:rsid w:val="0021054B"/>
    <w:rsid w:val="0021060B"/>
    <w:rsid w:val="00210A1F"/>
    <w:rsid w:val="00210EFD"/>
    <w:rsid w:val="0021266F"/>
    <w:rsid w:val="002129A9"/>
    <w:rsid w:val="00215253"/>
    <w:rsid w:val="00215641"/>
    <w:rsid w:val="00216CAC"/>
    <w:rsid w:val="00220B97"/>
    <w:rsid w:val="00220C3C"/>
    <w:rsid w:val="002217EA"/>
    <w:rsid w:val="00221903"/>
    <w:rsid w:val="002219A0"/>
    <w:rsid w:val="00221CE4"/>
    <w:rsid w:val="00221EC0"/>
    <w:rsid w:val="00221FBA"/>
    <w:rsid w:val="002225CD"/>
    <w:rsid w:val="002231E3"/>
    <w:rsid w:val="0022346A"/>
    <w:rsid w:val="00224621"/>
    <w:rsid w:val="002257F7"/>
    <w:rsid w:val="00225F7C"/>
    <w:rsid w:val="002264C2"/>
    <w:rsid w:val="00226609"/>
    <w:rsid w:val="0022672D"/>
    <w:rsid w:val="0022783F"/>
    <w:rsid w:val="00227E42"/>
    <w:rsid w:val="00230F10"/>
    <w:rsid w:val="00231EED"/>
    <w:rsid w:val="0023331B"/>
    <w:rsid w:val="00233A8A"/>
    <w:rsid w:val="0023410F"/>
    <w:rsid w:val="002350E0"/>
    <w:rsid w:val="0023592D"/>
    <w:rsid w:val="002378D4"/>
    <w:rsid w:val="0023797D"/>
    <w:rsid w:val="00241318"/>
    <w:rsid w:val="002418D2"/>
    <w:rsid w:val="00241A0C"/>
    <w:rsid w:val="00241B8F"/>
    <w:rsid w:val="00241F3F"/>
    <w:rsid w:val="002423AF"/>
    <w:rsid w:val="00242F35"/>
    <w:rsid w:val="00243085"/>
    <w:rsid w:val="00243A27"/>
    <w:rsid w:val="002442AA"/>
    <w:rsid w:val="00244478"/>
    <w:rsid w:val="0024483F"/>
    <w:rsid w:val="0024530D"/>
    <w:rsid w:val="00245872"/>
    <w:rsid w:val="002466B8"/>
    <w:rsid w:val="002467AE"/>
    <w:rsid w:val="002473F2"/>
    <w:rsid w:val="0025078F"/>
    <w:rsid w:val="0025081E"/>
    <w:rsid w:val="00250E06"/>
    <w:rsid w:val="00251181"/>
    <w:rsid w:val="00251863"/>
    <w:rsid w:val="002519A9"/>
    <w:rsid w:val="00251DA0"/>
    <w:rsid w:val="0025312A"/>
    <w:rsid w:val="002534F9"/>
    <w:rsid w:val="00254310"/>
    <w:rsid w:val="00255D88"/>
    <w:rsid w:val="00255E6E"/>
    <w:rsid w:val="00256FC0"/>
    <w:rsid w:val="00257AAD"/>
    <w:rsid w:val="00257D34"/>
    <w:rsid w:val="00260438"/>
    <w:rsid w:val="00260ADA"/>
    <w:rsid w:val="00260BD0"/>
    <w:rsid w:val="00260EA3"/>
    <w:rsid w:val="00263EBF"/>
    <w:rsid w:val="00264567"/>
    <w:rsid w:val="00264587"/>
    <w:rsid w:val="00264690"/>
    <w:rsid w:val="002648C2"/>
    <w:rsid w:val="00264A6E"/>
    <w:rsid w:val="0026501E"/>
    <w:rsid w:val="00266550"/>
    <w:rsid w:val="0026680E"/>
    <w:rsid w:val="0026695D"/>
    <w:rsid w:val="002675B0"/>
    <w:rsid w:val="00267F98"/>
    <w:rsid w:val="00270429"/>
    <w:rsid w:val="00270712"/>
    <w:rsid w:val="0027099D"/>
    <w:rsid w:val="00272641"/>
    <w:rsid w:val="002735B1"/>
    <w:rsid w:val="00274E80"/>
    <w:rsid w:val="00275D43"/>
    <w:rsid w:val="002761D8"/>
    <w:rsid w:val="00276803"/>
    <w:rsid w:val="00276A55"/>
    <w:rsid w:val="00277229"/>
    <w:rsid w:val="0027734C"/>
    <w:rsid w:val="00277914"/>
    <w:rsid w:val="00277CE5"/>
    <w:rsid w:val="002809BC"/>
    <w:rsid w:val="0028148C"/>
    <w:rsid w:val="00282EDF"/>
    <w:rsid w:val="0028375C"/>
    <w:rsid w:val="00285A5A"/>
    <w:rsid w:val="00285F46"/>
    <w:rsid w:val="002907DD"/>
    <w:rsid w:val="00290EBF"/>
    <w:rsid w:val="002923AC"/>
    <w:rsid w:val="00292D1D"/>
    <w:rsid w:val="00292FCB"/>
    <w:rsid w:val="00293414"/>
    <w:rsid w:val="0029419B"/>
    <w:rsid w:val="00294804"/>
    <w:rsid w:val="002949C6"/>
    <w:rsid w:val="00294B9F"/>
    <w:rsid w:val="00294C7B"/>
    <w:rsid w:val="002954CC"/>
    <w:rsid w:val="002965AA"/>
    <w:rsid w:val="002965CF"/>
    <w:rsid w:val="00296D8D"/>
    <w:rsid w:val="00297385"/>
    <w:rsid w:val="00297507"/>
    <w:rsid w:val="002977F8"/>
    <w:rsid w:val="002A1781"/>
    <w:rsid w:val="002A1EBC"/>
    <w:rsid w:val="002A294D"/>
    <w:rsid w:val="002A2DCD"/>
    <w:rsid w:val="002A4CD5"/>
    <w:rsid w:val="002A4E2B"/>
    <w:rsid w:val="002A5A7C"/>
    <w:rsid w:val="002A5BB2"/>
    <w:rsid w:val="002A7581"/>
    <w:rsid w:val="002A782E"/>
    <w:rsid w:val="002B07F5"/>
    <w:rsid w:val="002B16DC"/>
    <w:rsid w:val="002B1CAB"/>
    <w:rsid w:val="002B2391"/>
    <w:rsid w:val="002B24C4"/>
    <w:rsid w:val="002B2E1C"/>
    <w:rsid w:val="002B4A99"/>
    <w:rsid w:val="002B553D"/>
    <w:rsid w:val="002B56DE"/>
    <w:rsid w:val="002B6193"/>
    <w:rsid w:val="002B66A3"/>
    <w:rsid w:val="002B6E0E"/>
    <w:rsid w:val="002B71B8"/>
    <w:rsid w:val="002B72DD"/>
    <w:rsid w:val="002C019B"/>
    <w:rsid w:val="002C1164"/>
    <w:rsid w:val="002C1AB6"/>
    <w:rsid w:val="002C2F5A"/>
    <w:rsid w:val="002C302A"/>
    <w:rsid w:val="002C3F62"/>
    <w:rsid w:val="002C5198"/>
    <w:rsid w:val="002C595C"/>
    <w:rsid w:val="002C6213"/>
    <w:rsid w:val="002C63DE"/>
    <w:rsid w:val="002C72FD"/>
    <w:rsid w:val="002C753A"/>
    <w:rsid w:val="002C7554"/>
    <w:rsid w:val="002C7C8E"/>
    <w:rsid w:val="002C7E44"/>
    <w:rsid w:val="002D020E"/>
    <w:rsid w:val="002D04BC"/>
    <w:rsid w:val="002D0F72"/>
    <w:rsid w:val="002D1F8F"/>
    <w:rsid w:val="002D2B86"/>
    <w:rsid w:val="002D45DC"/>
    <w:rsid w:val="002D4878"/>
    <w:rsid w:val="002D4D44"/>
    <w:rsid w:val="002D59F2"/>
    <w:rsid w:val="002D5E2D"/>
    <w:rsid w:val="002D6494"/>
    <w:rsid w:val="002D66AA"/>
    <w:rsid w:val="002D6E9D"/>
    <w:rsid w:val="002D7015"/>
    <w:rsid w:val="002D7A70"/>
    <w:rsid w:val="002D7F09"/>
    <w:rsid w:val="002E0016"/>
    <w:rsid w:val="002E0E2F"/>
    <w:rsid w:val="002E226C"/>
    <w:rsid w:val="002E3AFA"/>
    <w:rsid w:val="002E3B36"/>
    <w:rsid w:val="002E3F22"/>
    <w:rsid w:val="002E469A"/>
    <w:rsid w:val="002E47A3"/>
    <w:rsid w:val="002E6454"/>
    <w:rsid w:val="002E65E4"/>
    <w:rsid w:val="002E690C"/>
    <w:rsid w:val="002E7F18"/>
    <w:rsid w:val="002F016A"/>
    <w:rsid w:val="002F0FBE"/>
    <w:rsid w:val="002F10ED"/>
    <w:rsid w:val="002F1769"/>
    <w:rsid w:val="002F1956"/>
    <w:rsid w:val="002F1C26"/>
    <w:rsid w:val="002F29A3"/>
    <w:rsid w:val="002F2BC1"/>
    <w:rsid w:val="002F319B"/>
    <w:rsid w:val="002F3E44"/>
    <w:rsid w:val="002F3F29"/>
    <w:rsid w:val="002F4356"/>
    <w:rsid w:val="002F52BD"/>
    <w:rsid w:val="002F5EAF"/>
    <w:rsid w:val="002F668B"/>
    <w:rsid w:val="002F6A5A"/>
    <w:rsid w:val="002F6AB2"/>
    <w:rsid w:val="002F72ED"/>
    <w:rsid w:val="002F7DCB"/>
    <w:rsid w:val="003004EF"/>
    <w:rsid w:val="00300502"/>
    <w:rsid w:val="00300624"/>
    <w:rsid w:val="00300E38"/>
    <w:rsid w:val="0030350E"/>
    <w:rsid w:val="00303B82"/>
    <w:rsid w:val="00303EAD"/>
    <w:rsid w:val="00304484"/>
    <w:rsid w:val="0030460A"/>
    <w:rsid w:val="003049F3"/>
    <w:rsid w:val="0030535D"/>
    <w:rsid w:val="00305656"/>
    <w:rsid w:val="003063C9"/>
    <w:rsid w:val="00306611"/>
    <w:rsid w:val="00306D68"/>
    <w:rsid w:val="00310BE6"/>
    <w:rsid w:val="003115A3"/>
    <w:rsid w:val="0031164A"/>
    <w:rsid w:val="00311AE0"/>
    <w:rsid w:val="00311E97"/>
    <w:rsid w:val="00312940"/>
    <w:rsid w:val="00312AB9"/>
    <w:rsid w:val="003133F9"/>
    <w:rsid w:val="00314389"/>
    <w:rsid w:val="0031457E"/>
    <w:rsid w:val="003145A4"/>
    <w:rsid w:val="00314786"/>
    <w:rsid w:val="00315594"/>
    <w:rsid w:val="00315E64"/>
    <w:rsid w:val="00316415"/>
    <w:rsid w:val="00316678"/>
    <w:rsid w:val="00316D7E"/>
    <w:rsid w:val="00317BF0"/>
    <w:rsid w:val="003201E8"/>
    <w:rsid w:val="003202AA"/>
    <w:rsid w:val="00320636"/>
    <w:rsid w:val="003206F7"/>
    <w:rsid w:val="0032074A"/>
    <w:rsid w:val="00320B2D"/>
    <w:rsid w:val="00320DC2"/>
    <w:rsid w:val="003214F1"/>
    <w:rsid w:val="003227EC"/>
    <w:rsid w:val="00322DCD"/>
    <w:rsid w:val="00324901"/>
    <w:rsid w:val="00324C7F"/>
    <w:rsid w:val="00324D9F"/>
    <w:rsid w:val="00324EC1"/>
    <w:rsid w:val="0032521A"/>
    <w:rsid w:val="00325874"/>
    <w:rsid w:val="00325DFC"/>
    <w:rsid w:val="0032618A"/>
    <w:rsid w:val="00326FF9"/>
    <w:rsid w:val="003306C7"/>
    <w:rsid w:val="00330BB3"/>
    <w:rsid w:val="00331807"/>
    <w:rsid w:val="00331841"/>
    <w:rsid w:val="003325DB"/>
    <w:rsid w:val="00332A72"/>
    <w:rsid w:val="00332D42"/>
    <w:rsid w:val="00333734"/>
    <w:rsid w:val="00333CCD"/>
    <w:rsid w:val="00333DAB"/>
    <w:rsid w:val="00334176"/>
    <w:rsid w:val="003350CD"/>
    <w:rsid w:val="00335572"/>
    <w:rsid w:val="003358D4"/>
    <w:rsid w:val="003360E8"/>
    <w:rsid w:val="00336629"/>
    <w:rsid w:val="00336E2C"/>
    <w:rsid w:val="00340A74"/>
    <w:rsid w:val="00340CF6"/>
    <w:rsid w:val="00340FB0"/>
    <w:rsid w:val="00341EF1"/>
    <w:rsid w:val="00341F8A"/>
    <w:rsid w:val="003424E0"/>
    <w:rsid w:val="0034251F"/>
    <w:rsid w:val="0034309A"/>
    <w:rsid w:val="003466C7"/>
    <w:rsid w:val="00346F71"/>
    <w:rsid w:val="00352F1F"/>
    <w:rsid w:val="00354511"/>
    <w:rsid w:val="00354690"/>
    <w:rsid w:val="00355399"/>
    <w:rsid w:val="00356E42"/>
    <w:rsid w:val="00357EBE"/>
    <w:rsid w:val="00360AC1"/>
    <w:rsid w:val="00360FDA"/>
    <w:rsid w:val="00361193"/>
    <w:rsid w:val="00361484"/>
    <w:rsid w:val="003618AC"/>
    <w:rsid w:val="003618FB"/>
    <w:rsid w:val="00361EC1"/>
    <w:rsid w:val="00362D6B"/>
    <w:rsid w:val="00363B1A"/>
    <w:rsid w:val="00363E9E"/>
    <w:rsid w:val="00365746"/>
    <w:rsid w:val="003658A9"/>
    <w:rsid w:val="0036596D"/>
    <w:rsid w:val="00366042"/>
    <w:rsid w:val="003663A4"/>
    <w:rsid w:val="00366865"/>
    <w:rsid w:val="00366C26"/>
    <w:rsid w:val="00367234"/>
    <w:rsid w:val="00367C7C"/>
    <w:rsid w:val="00367DEC"/>
    <w:rsid w:val="00370579"/>
    <w:rsid w:val="00370772"/>
    <w:rsid w:val="00370A7D"/>
    <w:rsid w:val="00371A1E"/>
    <w:rsid w:val="00371AEE"/>
    <w:rsid w:val="00371E45"/>
    <w:rsid w:val="003726DB"/>
    <w:rsid w:val="00372923"/>
    <w:rsid w:val="003732C4"/>
    <w:rsid w:val="0037348F"/>
    <w:rsid w:val="00373D64"/>
    <w:rsid w:val="0037406C"/>
    <w:rsid w:val="0037417D"/>
    <w:rsid w:val="003741F9"/>
    <w:rsid w:val="003744D8"/>
    <w:rsid w:val="0037468A"/>
    <w:rsid w:val="00374E0F"/>
    <w:rsid w:val="00375D45"/>
    <w:rsid w:val="00375F85"/>
    <w:rsid w:val="00376020"/>
    <w:rsid w:val="0037632A"/>
    <w:rsid w:val="00376535"/>
    <w:rsid w:val="00376871"/>
    <w:rsid w:val="003768A5"/>
    <w:rsid w:val="00377A5E"/>
    <w:rsid w:val="00377D17"/>
    <w:rsid w:val="0038009A"/>
    <w:rsid w:val="003803B1"/>
    <w:rsid w:val="003805D8"/>
    <w:rsid w:val="00382250"/>
    <w:rsid w:val="00382330"/>
    <w:rsid w:val="00382448"/>
    <w:rsid w:val="003829DD"/>
    <w:rsid w:val="00382C95"/>
    <w:rsid w:val="00383591"/>
    <w:rsid w:val="0038397D"/>
    <w:rsid w:val="00383A38"/>
    <w:rsid w:val="00383D21"/>
    <w:rsid w:val="00384158"/>
    <w:rsid w:val="003844A2"/>
    <w:rsid w:val="003844B3"/>
    <w:rsid w:val="00385CEC"/>
    <w:rsid w:val="00386488"/>
    <w:rsid w:val="0038738E"/>
    <w:rsid w:val="00387F83"/>
    <w:rsid w:val="0039018C"/>
    <w:rsid w:val="00391C9C"/>
    <w:rsid w:val="00391E35"/>
    <w:rsid w:val="00392468"/>
    <w:rsid w:val="00392823"/>
    <w:rsid w:val="0039316E"/>
    <w:rsid w:val="00393575"/>
    <w:rsid w:val="00393F26"/>
    <w:rsid w:val="0039456E"/>
    <w:rsid w:val="00394DCF"/>
    <w:rsid w:val="003959E7"/>
    <w:rsid w:val="00396725"/>
    <w:rsid w:val="00396761"/>
    <w:rsid w:val="003972E3"/>
    <w:rsid w:val="003A0965"/>
    <w:rsid w:val="003A188C"/>
    <w:rsid w:val="003A18D2"/>
    <w:rsid w:val="003A196B"/>
    <w:rsid w:val="003A291F"/>
    <w:rsid w:val="003A4577"/>
    <w:rsid w:val="003A4775"/>
    <w:rsid w:val="003A5CDF"/>
    <w:rsid w:val="003A6CAD"/>
    <w:rsid w:val="003A722B"/>
    <w:rsid w:val="003A74A1"/>
    <w:rsid w:val="003B0FF8"/>
    <w:rsid w:val="003B1699"/>
    <w:rsid w:val="003B1E5B"/>
    <w:rsid w:val="003B213A"/>
    <w:rsid w:val="003B41BB"/>
    <w:rsid w:val="003B4683"/>
    <w:rsid w:val="003B4990"/>
    <w:rsid w:val="003B4AC5"/>
    <w:rsid w:val="003B5EE6"/>
    <w:rsid w:val="003B643A"/>
    <w:rsid w:val="003B661B"/>
    <w:rsid w:val="003B6711"/>
    <w:rsid w:val="003B673E"/>
    <w:rsid w:val="003B6F9D"/>
    <w:rsid w:val="003B746B"/>
    <w:rsid w:val="003C00F2"/>
    <w:rsid w:val="003C1352"/>
    <w:rsid w:val="003C1BF2"/>
    <w:rsid w:val="003C1F49"/>
    <w:rsid w:val="003C25E8"/>
    <w:rsid w:val="003C2698"/>
    <w:rsid w:val="003C2CD6"/>
    <w:rsid w:val="003C32B5"/>
    <w:rsid w:val="003C437F"/>
    <w:rsid w:val="003C44E0"/>
    <w:rsid w:val="003C4943"/>
    <w:rsid w:val="003C5120"/>
    <w:rsid w:val="003C5C80"/>
    <w:rsid w:val="003C68D9"/>
    <w:rsid w:val="003C6A30"/>
    <w:rsid w:val="003C6A58"/>
    <w:rsid w:val="003C731B"/>
    <w:rsid w:val="003D05ED"/>
    <w:rsid w:val="003D0969"/>
    <w:rsid w:val="003D0BF0"/>
    <w:rsid w:val="003D0E73"/>
    <w:rsid w:val="003D1E01"/>
    <w:rsid w:val="003D2145"/>
    <w:rsid w:val="003D22C6"/>
    <w:rsid w:val="003D24B1"/>
    <w:rsid w:val="003D36BE"/>
    <w:rsid w:val="003D3E76"/>
    <w:rsid w:val="003D40E5"/>
    <w:rsid w:val="003D4290"/>
    <w:rsid w:val="003D5513"/>
    <w:rsid w:val="003D6A77"/>
    <w:rsid w:val="003D6CE7"/>
    <w:rsid w:val="003D71C2"/>
    <w:rsid w:val="003D7C9D"/>
    <w:rsid w:val="003E112E"/>
    <w:rsid w:val="003E1262"/>
    <w:rsid w:val="003E14A0"/>
    <w:rsid w:val="003E168E"/>
    <w:rsid w:val="003E1DF2"/>
    <w:rsid w:val="003E2ED9"/>
    <w:rsid w:val="003E37BC"/>
    <w:rsid w:val="003E37F4"/>
    <w:rsid w:val="003E3D4C"/>
    <w:rsid w:val="003E3E18"/>
    <w:rsid w:val="003E43B4"/>
    <w:rsid w:val="003E5719"/>
    <w:rsid w:val="003E60CB"/>
    <w:rsid w:val="003E625A"/>
    <w:rsid w:val="003E69B5"/>
    <w:rsid w:val="003E7F59"/>
    <w:rsid w:val="003F0995"/>
    <w:rsid w:val="003F1503"/>
    <w:rsid w:val="003F1B02"/>
    <w:rsid w:val="003F2545"/>
    <w:rsid w:val="003F25BC"/>
    <w:rsid w:val="003F2BFF"/>
    <w:rsid w:val="003F33EC"/>
    <w:rsid w:val="003F344A"/>
    <w:rsid w:val="003F3F5A"/>
    <w:rsid w:val="003F3FBE"/>
    <w:rsid w:val="003F452C"/>
    <w:rsid w:val="003F4923"/>
    <w:rsid w:val="003F4C88"/>
    <w:rsid w:val="003F4D97"/>
    <w:rsid w:val="003F53C7"/>
    <w:rsid w:val="003F5EC2"/>
    <w:rsid w:val="003F639D"/>
    <w:rsid w:val="003F6CF6"/>
    <w:rsid w:val="003F780B"/>
    <w:rsid w:val="00400082"/>
    <w:rsid w:val="00400B8C"/>
    <w:rsid w:val="00400F78"/>
    <w:rsid w:val="00401C20"/>
    <w:rsid w:val="004020A3"/>
    <w:rsid w:val="004021C3"/>
    <w:rsid w:val="00402433"/>
    <w:rsid w:val="0040285D"/>
    <w:rsid w:val="0040321F"/>
    <w:rsid w:val="00403A8B"/>
    <w:rsid w:val="00403AA8"/>
    <w:rsid w:val="00405CA5"/>
    <w:rsid w:val="00405F09"/>
    <w:rsid w:val="00406767"/>
    <w:rsid w:val="00407389"/>
    <w:rsid w:val="00407AE9"/>
    <w:rsid w:val="004102E3"/>
    <w:rsid w:val="00410535"/>
    <w:rsid w:val="00410CEB"/>
    <w:rsid w:val="00411474"/>
    <w:rsid w:val="00412C02"/>
    <w:rsid w:val="00412DB4"/>
    <w:rsid w:val="00413857"/>
    <w:rsid w:val="00413E06"/>
    <w:rsid w:val="00413E2B"/>
    <w:rsid w:val="00414090"/>
    <w:rsid w:val="00414D8C"/>
    <w:rsid w:val="004153D6"/>
    <w:rsid w:val="00415892"/>
    <w:rsid w:val="0041657A"/>
    <w:rsid w:val="00416794"/>
    <w:rsid w:val="00416C7F"/>
    <w:rsid w:val="00416E37"/>
    <w:rsid w:val="00417568"/>
    <w:rsid w:val="004179A4"/>
    <w:rsid w:val="00417A54"/>
    <w:rsid w:val="004237F8"/>
    <w:rsid w:val="00423C5F"/>
    <w:rsid w:val="00424500"/>
    <w:rsid w:val="004245B8"/>
    <w:rsid w:val="00424FC6"/>
    <w:rsid w:val="004256DA"/>
    <w:rsid w:val="00425CC5"/>
    <w:rsid w:val="004303C4"/>
    <w:rsid w:val="004303D8"/>
    <w:rsid w:val="004308D7"/>
    <w:rsid w:val="00430A40"/>
    <w:rsid w:val="00430A52"/>
    <w:rsid w:val="00431919"/>
    <w:rsid w:val="00432944"/>
    <w:rsid w:val="00433066"/>
    <w:rsid w:val="00433511"/>
    <w:rsid w:val="0043458C"/>
    <w:rsid w:val="00434B15"/>
    <w:rsid w:val="004353E3"/>
    <w:rsid w:val="004353EF"/>
    <w:rsid w:val="004356A3"/>
    <w:rsid w:val="00435FAC"/>
    <w:rsid w:val="00436E6F"/>
    <w:rsid w:val="004377E2"/>
    <w:rsid w:val="0043795E"/>
    <w:rsid w:val="004404A1"/>
    <w:rsid w:val="004412ED"/>
    <w:rsid w:val="00441B48"/>
    <w:rsid w:val="00441D68"/>
    <w:rsid w:val="00442144"/>
    <w:rsid w:val="00442BA8"/>
    <w:rsid w:val="00442BB3"/>
    <w:rsid w:val="0044335D"/>
    <w:rsid w:val="00443CA7"/>
    <w:rsid w:val="00443DFD"/>
    <w:rsid w:val="004447B0"/>
    <w:rsid w:val="0044622C"/>
    <w:rsid w:val="004469A0"/>
    <w:rsid w:val="00447379"/>
    <w:rsid w:val="00447B89"/>
    <w:rsid w:val="00447EE3"/>
    <w:rsid w:val="00452300"/>
    <w:rsid w:val="00452368"/>
    <w:rsid w:val="00453A9D"/>
    <w:rsid w:val="00453B44"/>
    <w:rsid w:val="004547F8"/>
    <w:rsid w:val="0045533D"/>
    <w:rsid w:val="00455D39"/>
    <w:rsid w:val="00455FB9"/>
    <w:rsid w:val="0045678E"/>
    <w:rsid w:val="00456CF7"/>
    <w:rsid w:val="00457C69"/>
    <w:rsid w:val="00460229"/>
    <w:rsid w:val="0046025E"/>
    <w:rsid w:val="00462C30"/>
    <w:rsid w:val="00462D71"/>
    <w:rsid w:val="00462DE9"/>
    <w:rsid w:val="004636B9"/>
    <w:rsid w:val="00463B8C"/>
    <w:rsid w:val="00463D68"/>
    <w:rsid w:val="00464C92"/>
    <w:rsid w:val="00465C2F"/>
    <w:rsid w:val="00466854"/>
    <w:rsid w:val="0046718D"/>
    <w:rsid w:val="00467BD9"/>
    <w:rsid w:val="00467F28"/>
    <w:rsid w:val="00470100"/>
    <w:rsid w:val="0047167E"/>
    <w:rsid w:val="004717C4"/>
    <w:rsid w:val="00471C8E"/>
    <w:rsid w:val="00472140"/>
    <w:rsid w:val="004729DA"/>
    <w:rsid w:val="004745D8"/>
    <w:rsid w:val="00474944"/>
    <w:rsid w:val="00475383"/>
    <w:rsid w:val="00475D6D"/>
    <w:rsid w:val="00475FA9"/>
    <w:rsid w:val="00477165"/>
    <w:rsid w:val="004771DB"/>
    <w:rsid w:val="00477EC8"/>
    <w:rsid w:val="0048079C"/>
    <w:rsid w:val="00481518"/>
    <w:rsid w:val="0048283E"/>
    <w:rsid w:val="00482BB7"/>
    <w:rsid w:val="00482E0B"/>
    <w:rsid w:val="00482FF2"/>
    <w:rsid w:val="004836FB"/>
    <w:rsid w:val="00485627"/>
    <w:rsid w:val="00485FDF"/>
    <w:rsid w:val="00486822"/>
    <w:rsid w:val="0048753B"/>
    <w:rsid w:val="00487A5A"/>
    <w:rsid w:val="00487D75"/>
    <w:rsid w:val="00490934"/>
    <w:rsid w:val="00490A6F"/>
    <w:rsid w:val="004916E4"/>
    <w:rsid w:val="004922D7"/>
    <w:rsid w:val="004939F3"/>
    <w:rsid w:val="00493DF6"/>
    <w:rsid w:val="004943DF"/>
    <w:rsid w:val="0049451F"/>
    <w:rsid w:val="00494527"/>
    <w:rsid w:val="00494552"/>
    <w:rsid w:val="00494C65"/>
    <w:rsid w:val="004960A1"/>
    <w:rsid w:val="004973F6"/>
    <w:rsid w:val="004A071E"/>
    <w:rsid w:val="004A08BA"/>
    <w:rsid w:val="004A0E51"/>
    <w:rsid w:val="004A1189"/>
    <w:rsid w:val="004A17E7"/>
    <w:rsid w:val="004A36C3"/>
    <w:rsid w:val="004A394D"/>
    <w:rsid w:val="004A3977"/>
    <w:rsid w:val="004A3E90"/>
    <w:rsid w:val="004A57E6"/>
    <w:rsid w:val="004A6333"/>
    <w:rsid w:val="004A6CEB"/>
    <w:rsid w:val="004A7F02"/>
    <w:rsid w:val="004B058B"/>
    <w:rsid w:val="004B0D00"/>
    <w:rsid w:val="004B15FD"/>
    <w:rsid w:val="004B25FA"/>
    <w:rsid w:val="004B2946"/>
    <w:rsid w:val="004B460D"/>
    <w:rsid w:val="004B66FA"/>
    <w:rsid w:val="004B6935"/>
    <w:rsid w:val="004B7C76"/>
    <w:rsid w:val="004C0101"/>
    <w:rsid w:val="004C0161"/>
    <w:rsid w:val="004C0186"/>
    <w:rsid w:val="004C0F09"/>
    <w:rsid w:val="004C2136"/>
    <w:rsid w:val="004C224F"/>
    <w:rsid w:val="004C228C"/>
    <w:rsid w:val="004C2BCD"/>
    <w:rsid w:val="004C3970"/>
    <w:rsid w:val="004C406C"/>
    <w:rsid w:val="004C43C4"/>
    <w:rsid w:val="004C4CFA"/>
    <w:rsid w:val="004C4EDF"/>
    <w:rsid w:val="004C4FD6"/>
    <w:rsid w:val="004C5152"/>
    <w:rsid w:val="004C52F1"/>
    <w:rsid w:val="004C5590"/>
    <w:rsid w:val="004C563F"/>
    <w:rsid w:val="004C59B3"/>
    <w:rsid w:val="004C6682"/>
    <w:rsid w:val="004C6AB0"/>
    <w:rsid w:val="004C6E05"/>
    <w:rsid w:val="004C70DD"/>
    <w:rsid w:val="004C7F65"/>
    <w:rsid w:val="004D0011"/>
    <w:rsid w:val="004D00BE"/>
    <w:rsid w:val="004D0426"/>
    <w:rsid w:val="004D070A"/>
    <w:rsid w:val="004D0DD1"/>
    <w:rsid w:val="004D0FE3"/>
    <w:rsid w:val="004D15B6"/>
    <w:rsid w:val="004D1720"/>
    <w:rsid w:val="004D2084"/>
    <w:rsid w:val="004D35B7"/>
    <w:rsid w:val="004D3FA4"/>
    <w:rsid w:val="004D5A1D"/>
    <w:rsid w:val="004D5C5C"/>
    <w:rsid w:val="004D6193"/>
    <w:rsid w:val="004D63E0"/>
    <w:rsid w:val="004E1269"/>
    <w:rsid w:val="004E2339"/>
    <w:rsid w:val="004E26E3"/>
    <w:rsid w:val="004E2990"/>
    <w:rsid w:val="004E2CB1"/>
    <w:rsid w:val="004E30A6"/>
    <w:rsid w:val="004E3A83"/>
    <w:rsid w:val="004E5B63"/>
    <w:rsid w:val="004E61D1"/>
    <w:rsid w:val="004E7CE9"/>
    <w:rsid w:val="004E7EDC"/>
    <w:rsid w:val="004F0076"/>
    <w:rsid w:val="004F06A4"/>
    <w:rsid w:val="004F119D"/>
    <w:rsid w:val="004F13C9"/>
    <w:rsid w:val="004F17E9"/>
    <w:rsid w:val="004F1C4A"/>
    <w:rsid w:val="004F23E3"/>
    <w:rsid w:val="004F322E"/>
    <w:rsid w:val="004F3B13"/>
    <w:rsid w:val="004F487D"/>
    <w:rsid w:val="004F5688"/>
    <w:rsid w:val="004F5711"/>
    <w:rsid w:val="004F69B1"/>
    <w:rsid w:val="004F6EB2"/>
    <w:rsid w:val="004F7A12"/>
    <w:rsid w:val="005000C3"/>
    <w:rsid w:val="005002E6"/>
    <w:rsid w:val="00500A09"/>
    <w:rsid w:val="005012E8"/>
    <w:rsid w:val="0050152C"/>
    <w:rsid w:val="00502AAA"/>
    <w:rsid w:val="005031E4"/>
    <w:rsid w:val="0050361A"/>
    <w:rsid w:val="0050575D"/>
    <w:rsid w:val="0050599E"/>
    <w:rsid w:val="0050617C"/>
    <w:rsid w:val="005068C7"/>
    <w:rsid w:val="00506BA0"/>
    <w:rsid w:val="0050724C"/>
    <w:rsid w:val="005101D1"/>
    <w:rsid w:val="00510E06"/>
    <w:rsid w:val="0051143D"/>
    <w:rsid w:val="005119DD"/>
    <w:rsid w:val="00512422"/>
    <w:rsid w:val="005128FE"/>
    <w:rsid w:val="0051378C"/>
    <w:rsid w:val="00513FA6"/>
    <w:rsid w:val="00514BAA"/>
    <w:rsid w:val="00515C22"/>
    <w:rsid w:val="005164FC"/>
    <w:rsid w:val="00516588"/>
    <w:rsid w:val="00516A63"/>
    <w:rsid w:val="00516E9A"/>
    <w:rsid w:val="00517076"/>
    <w:rsid w:val="005172AF"/>
    <w:rsid w:val="00517484"/>
    <w:rsid w:val="00517488"/>
    <w:rsid w:val="00517629"/>
    <w:rsid w:val="0051762F"/>
    <w:rsid w:val="00517A85"/>
    <w:rsid w:val="00521239"/>
    <w:rsid w:val="0052151E"/>
    <w:rsid w:val="00522186"/>
    <w:rsid w:val="005229F5"/>
    <w:rsid w:val="005238E7"/>
    <w:rsid w:val="005245D7"/>
    <w:rsid w:val="00525A1F"/>
    <w:rsid w:val="00526425"/>
    <w:rsid w:val="00526FD6"/>
    <w:rsid w:val="00527356"/>
    <w:rsid w:val="00527FCA"/>
    <w:rsid w:val="00530689"/>
    <w:rsid w:val="005307A4"/>
    <w:rsid w:val="00532289"/>
    <w:rsid w:val="00532294"/>
    <w:rsid w:val="00532646"/>
    <w:rsid w:val="0053273F"/>
    <w:rsid w:val="005328AF"/>
    <w:rsid w:val="00534EBF"/>
    <w:rsid w:val="005354EC"/>
    <w:rsid w:val="00535BC1"/>
    <w:rsid w:val="00535BE7"/>
    <w:rsid w:val="00535C91"/>
    <w:rsid w:val="00536203"/>
    <w:rsid w:val="005366EA"/>
    <w:rsid w:val="005379FC"/>
    <w:rsid w:val="00540394"/>
    <w:rsid w:val="00540D22"/>
    <w:rsid w:val="005411A6"/>
    <w:rsid w:val="00541428"/>
    <w:rsid w:val="00541883"/>
    <w:rsid w:val="00541AC3"/>
    <w:rsid w:val="00541C4E"/>
    <w:rsid w:val="0054222E"/>
    <w:rsid w:val="00542A14"/>
    <w:rsid w:val="00544622"/>
    <w:rsid w:val="00544B49"/>
    <w:rsid w:val="0054511A"/>
    <w:rsid w:val="005453AA"/>
    <w:rsid w:val="00545799"/>
    <w:rsid w:val="00547108"/>
    <w:rsid w:val="00547CAC"/>
    <w:rsid w:val="00547E2E"/>
    <w:rsid w:val="005508DE"/>
    <w:rsid w:val="005518E2"/>
    <w:rsid w:val="005520F0"/>
    <w:rsid w:val="00552C65"/>
    <w:rsid w:val="005534BB"/>
    <w:rsid w:val="00553DCE"/>
    <w:rsid w:val="0055415D"/>
    <w:rsid w:val="005542E8"/>
    <w:rsid w:val="005545FE"/>
    <w:rsid w:val="00554ED5"/>
    <w:rsid w:val="00555F4A"/>
    <w:rsid w:val="00556658"/>
    <w:rsid w:val="00556868"/>
    <w:rsid w:val="005603C1"/>
    <w:rsid w:val="00560E2C"/>
    <w:rsid w:val="00561B5B"/>
    <w:rsid w:val="00561D20"/>
    <w:rsid w:val="00563072"/>
    <w:rsid w:val="005630E3"/>
    <w:rsid w:val="00564525"/>
    <w:rsid w:val="00564952"/>
    <w:rsid w:val="005658C2"/>
    <w:rsid w:val="00565C72"/>
    <w:rsid w:val="00566459"/>
    <w:rsid w:val="005670FE"/>
    <w:rsid w:val="005672AE"/>
    <w:rsid w:val="005703B1"/>
    <w:rsid w:val="005721AD"/>
    <w:rsid w:val="0057283A"/>
    <w:rsid w:val="005729E5"/>
    <w:rsid w:val="0057336E"/>
    <w:rsid w:val="00575535"/>
    <w:rsid w:val="00575BD9"/>
    <w:rsid w:val="005762C0"/>
    <w:rsid w:val="005762F7"/>
    <w:rsid w:val="0057692C"/>
    <w:rsid w:val="00577057"/>
    <w:rsid w:val="0057714E"/>
    <w:rsid w:val="0057782C"/>
    <w:rsid w:val="005818BB"/>
    <w:rsid w:val="00582386"/>
    <w:rsid w:val="00584794"/>
    <w:rsid w:val="005849CE"/>
    <w:rsid w:val="0058531F"/>
    <w:rsid w:val="0058536F"/>
    <w:rsid w:val="00585768"/>
    <w:rsid w:val="00585867"/>
    <w:rsid w:val="00585ADB"/>
    <w:rsid w:val="00585CF6"/>
    <w:rsid w:val="00586283"/>
    <w:rsid w:val="005869F3"/>
    <w:rsid w:val="00587A99"/>
    <w:rsid w:val="0059161B"/>
    <w:rsid w:val="005916AF"/>
    <w:rsid w:val="00591DB4"/>
    <w:rsid w:val="0059239B"/>
    <w:rsid w:val="00592495"/>
    <w:rsid w:val="00592A36"/>
    <w:rsid w:val="00592C71"/>
    <w:rsid w:val="00593880"/>
    <w:rsid w:val="0059449C"/>
    <w:rsid w:val="00594640"/>
    <w:rsid w:val="00594925"/>
    <w:rsid w:val="00594C4F"/>
    <w:rsid w:val="00595434"/>
    <w:rsid w:val="00595FFE"/>
    <w:rsid w:val="005974F0"/>
    <w:rsid w:val="005978F2"/>
    <w:rsid w:val="005A05AB"/>
    <w:rsid w:val="005A09DD"/>
    <w:rsid w:val="005A149E"/>
    <w:rsid w:val="005A1E10"/>
    <w:rsid w:val="005A1F9C"/>
    <w:rsid w:val="005A250D"/>
    <w:rsid w:val="005A28E2"/>
    <w:rsid w:val="005A36E1"/>
    <w:rsid w:val="005A3F42"/>
    <w:rsid w:val="005A4267"/>
    <w:rsid w:val="005A51E3"/>
    <w:rsid w:val="005A5B04"/>
    <w:rsid w:val="005A60EF"/>
    <w:rsid w:val="005A6D67"/>
    <w:rsid w:val="005A752F"/>
    <w:rsid w:val="005A7B70"/>
    <w:rsid w:val="005A7C2B"/>
    <w:rsid w:val="005B0ECF"/>
    <w:rsid w:val="005B18AD"/>
    <w:rsid w:val="005B18D0"/>
    <w:rsid w:val="005B1AD2"/>
    <w:rsid w:val="005B210C"/>
    <w:rsid w:val="005B223E"/>
    <w:rsid w:val="005B2F9D"/>
    <w:rsid w:val="005B3215"/>
    <w:rsid w:val="005B3DAA"/>
    <w:rsid w:val="005B42FB"/>
    <w:rsid w:val="005B4CE7"/>
    <w:rsid w:val="005B5225"/>
    <w:rsid w:val="005B5413"/>
    <w:rsid w:val="005B5E4C"/>
    <w:rsid w:val="005B66F2"/>
    <w:rsid w:val="005B67A7"/>
    <w:rsid w:val="005B759D"/>
    <w:rsid w:val="005B75A0"/>
    <w:rsid w:val="005C08DA"/>
    <w:rsid w:val="005C2B1E"/>
    <w:rsid w:val="005C316D"/>
    <w:rsid w:val="005C32C9"/>
    <w:rsid w:val="005C3DB3"/>
    <w:rsid w:val="005C41BC"/>
    <w:rsid w:val="005C6A76"/>
    <w:rsid w:val="005C7084"/>
    <w:rsid w:val="005C72E5"/>
    <w:rsid w:val="005C7D1A"/>
    <w:rsid w:val="005D2C22"/>
    <w:rsid w:val="005D37B0"/>
    <w:rsid w:val="005D3914"/>
    <w:rsid w:val="005D39A0"/>
    <w:rsid w:val="005D3A09"/>
    <w:rsid w:val="005D4C78"/>
    <w:rsid w:val="005D53A0"/>
    <w:rsid w:val="005D5ACA"/>
    <w:rsid w:val="005D64B8"/>
    <w:rsid w:val="005D6913"/>
    <w:rsid w:val="005E0394"/>
    <w:rsid w:val="005E04E1"/>
    <w:rsid w:val="005E0803"/>
    <w:rsid w:val="005E0A4E"/>
    <w:rsid w:val="005E0C80"/>
    <w:rsid w:val="005E1118"/>
    <w:rsid w:val="005E1147"/>
    <w:rsid w:val="005E184A"/>
    <w:rsid w:val="005E1BAD"/>
    <w:rsid w:val="005E1BFE"/>
    <w:rsid w:val="005E2BDF"/>
    <w:rsid w:val="005E33B2"/>
    <w:rsid w:val="005E3D22"/>
    <w:rsid w:val="005E3E41"/>
    <w:rsid w:val="005E4E02"/>
    <w:rsid w:val="005E512E"/>
    <w:rsid w:val="005E70AE"/>
    <w:rsid w:val="005F1945"/>
    <w:rsid w:val="005F3278"/>
    <w:rsid w:val="005F3A0D"/>
    <w:rsid w:val="005F3BF9"/>
    <w:rsid w:val="005F41DB"/>
    <w:rsid w:val="005F5813"/>
    <w:rsid w:val="005F5ED6"/>
    <w:rsid w:val="005F64B2"/>
    <w:rsid w:val="005F6536"/>
    <w:rsid w:val="005F777F"/>
    <w:rsid w:val="005F77E7"/>
    <w:rsid w:val="00600502"/>
    <w:rsid w:val="00601A25"/>
    <w:rsid w:val="00602A78"/>
    <w:rsid w:val="00604AF6"/>
    <w:rsid w:val="00604F3E"/>
    <w:rsid w:val="006052F5"/>
    <w:rsid w:val="006054FA"/>
    <w:rsid w:val="00605F21"/>
    <w:rsid w:val="0060684F"/>
    <w:rsid w:val="00607216"/>
    <w:rsid w:val="00607488"/>
    <w:rsid w:val="00610B27"/>
    <w:rsid w:val="00610B7F"/>
    <w:rsid w:val="00610D9D"/>
    <w:rsid w:val="00611027"/>
    <w:rsid w:val="00611792"/>
    <w:rsid w:val="00615142"/>
    <w:rsid w:val="00615AFF"/>
    <w:rsid w:val="00616326"/>
    <w:rsid w:val="0061669C"/>
    <w:rsid w:val="00617013"/>
    <w:rsid w:val="0062111B"/>
    <w:rsid w:val="006219B9"/>
    <w:rsid w:val="006221F4"/>
    <w:rsid w:val="00622EE7"/>
    <w:rsid w:val="00623B71"/>
    <w:rsid w:val="00623DC5"/>
    <w:rsid w:val="0062455F"/>
    <w:rsid w:val="00625679"/>
    <w:rsid w:val="006257D6"/>
    <w:rsid w:val="00625B49"/>
    <w:rsid w:val="00625FCB"/>
    <w:rsid w:val="00626174"/>
    <w:rsid w:val="00626338"/>
    <w:rsid w:val="00627410"/>
    <w:rsid w:val="006274DF"/>
    <w:rsid w:val="00627F7E"/>
    <w:rsid w:val="0063274B"/>
    <w:rsid w:val="00632A67"/>
    <w:rsid w:val="006337B8"/>
    <w:rsid w:val="00633CD2"/>
    <w:rsid w:val="00633CEF"/>
    <w:rsid w:val="00633FA2"/>
    <w:rsid w:val="00634A24"/>
    <w:rsid w:val="00635BEF"/>
    <w:rsid w:val="00635E15"/>
    <w:rsid w:val="006369C8"/>
    <w:rsid w:val="006404CE"/>
    <w:rsid w:val="0064075C"/>
    <w:rsid w:val="00640DA7"/>
    <w:rsid w:val="006421B8"/>
    <w:rsid w:val="0064238B"/>
    <w:rsid w:val="006428D9"/>
    <w:rsid w:val="006433FE"/>
    <w:rsid w:val="00644273"/>
    <w:rsid w:val="006447B6"/>
    <w:rsid w:val="006459F7"/>
    <w:rsid w:val="00647121"/>
    <w:rsid w:val="0065001E"/>
    <w:rsid w:val="006508BC"/>
    <w:rsid w:val="00650A4F"/>
    <w:rsid w:val="00650B38"/>
    <w:rsid w:val="006512BB"/>
    <w:rsid w:val="006514A4"/>
    <w:rsid w:val="006525EF"/>
    <w:rsid w:val="00653563"/>
    <w:rsid w:val="006553E6"/>
    <w:rsid w:val="006566EA"/>
    <w:rsid w:val="00656B4C"/>
    <w:rsid w:val="00656D50"/>
    <w:rsid w:val="00657381"/>
    <w:rsid w:val="00657C02"/>
    <w:rsid w:val="006609D2"/>
    <w:rsid w:val="006629DC"/>
    <w:rsid w:val="00662C7B"/>
    <w:rsid w:val="0066338D"/>
    <w:rsid w:val="00663853"/>
    <w:rsid w:val="006648DE"/>
    <w:rsid w:val="006651B7"/>
    <w:rsid w:val="00665D4B"/>
    <w:rsid w:val="00666045"/>
    <w:rsid w:val="0066696E"/>
    <w:rsid w:val="00667E1A"/>
    <w:rsid w:val="00670002"/>
    <w:rsid w:val="006701E7"/>
    <w:rsid w:val="00670B8B"/>
    <w:rsid w:val="006712FC"/>
    <w:rsid w:val="006715F8"/>
    <w:rsid w:val="006716AE"/>
    <w:rsid w:val="006751CF"/>
    <w:rsid w:val="00675838"/>
    <w:rsid w:val="00675CB8"/>
    <w:rsid w:val="00675D18"/>
    <w:rsid w:val="00676483"/>
    <w:rsid w:val="006764B3"/>
    <w:rsid w:val="00676725"/>
    <w:rsid w:val="00677B0F"/>
    <w:rsid w:val="0068020E"/>
    <w:rsid w:val="006805A7"/>
    <w:rsid w:val="006806A7"/>
    <w:rsid w:val="006810B2"/>
    <w:rsid w:val="00681A00"/>
    <w:rsid w:val="006824C0"/>
    <w:rsid w:val="00682804"/>
    <w:rsid w:val="006828FF"/>
    <w:rsid w:val="00683D1A"/>
    <w:rsid w:val="00684BA3"/>
    <w:rsid w:val="00684E9F"/>
    <w:rsid w:val="006859F3"/>
    <w:rsid w:val="00691327"/>
    <w:rsid w:val="00691A9A"/>
    <w:rsid w:val="00691D32"/>
    <w:rsid w:val="00692794"/>
    <w:rsid w:val="006930B0"/>
    <w:rsid w:val="0069333C"/>
    <w:rsid w:val="00694C4B"/>
    <w:rsid w:val="00695057"/>
    <w:rsid w:val="00696E8E"/>
    <w:rsid w:val="006A129C"/>
    <w:rsid w:val="006A165C"/>
    <w:rsid w:val="006A1B62"/>
    <w:rsid w:val="006A2A73"/>
    <w:rsid w:val="006A387E"/>
    <w:rsid w:val="006A56D9"/>
    <w:rsid w:val="006A5823"/>
    <w:rsid w:val="006A58A7"/>
    <w:rsid w:val="006A5D70"/>
    <w:rsid w:val="006A6435"/>
    <w:rsid w:val="006B019E"/>
    <w:rsid w:val="006B1479"/>
    <w:rsid w:val="006B1A61"/>
    <w:rsid w:val="006B1CFE"/>
    <w:rsid w:val="006B27FE"/>
    <w:rsid w:val="006B2B24"/>
    <w:rsid w:val="006B2F0B"/>
    <w:rsid w:val="006B362A"/>
    <w:rsid w:val="006B388A"/>
    <w:rsid w:val="006B3C8B"/>
    <w:rsid w:val="006B3D90"/>
    <w:rsid w:val="006B410A"/>
    <w:rsid w:val="006B6080"/>
    <w:rsid w:val="006B6106"/>
    <w:rsid w:val="006B63DA"/>
    <w:rsid w:val="006B6D43"/>
    <w:rsid w:val="006B6F1C"/>
    <w:rsid w:val="006B76D6"/>
    <w:rsid w:val="006B7A03"/>
    <w:rsid w:val="006B7EC9"/>
    <w:rsid w:val="006C09F6"/>
    <w:rsid w:val="006C1FE1"/>
    <w:rsid w:val="006C2A55"/>
    <w:rsid w:val="006C331B"/>
    <w:rsid w:val="006C3550"/>
    <w:rsid w:val="006C3599"/>
    <w:rsid w:val="006C3965"/>
    <w:rsid w:val="006C3B3A"/>
    <w:rsid w:val="006C5180"/>
    <w:rsid w:val="006C57C7"/>
    <w:rsid w:val="006C605D"/>
    <w:rsid w:val="006C6254"/>
    <w:rsid w:val="006C632D"/>
    <w:rsid w:val="006C6840"/>
    <w:rsid w:val="006D095C"/>
    <w:rsid w:val="006D10E6"/>
    <w:rsid w:val="006D1487"/>
    <w:rsid w:val="006D27E6"/>
    <w:rsid w:val="006D28CE"/>
    <w:rsid w:val="006D2CE3"/>
    <w:rsid w:val="006D2D93"/>
    <w:rsid w:val="006D3C19"/>
    <w:rsid w:val="006D565A"/>
    <w:rsid w:val="006D5F16"/>
    <w:rsid w:val="006D60A3"/>
    <w:rsid w:val="006D640C"/>
    <w:rsid w:val="006D66B5"/>
    <w:rsid w:val="006D6921"/>
    <w:rsid w:val="006D6A08"/>
    <w:rsid w:val="006D6D0A"/>
    <w:rsid w:val="006D7096"/>
    <w:rsid w:val="006D715F"/>
    <w:rsid w:val="006D7C28"/>
    <w:rsid w:val="006E02AA"/>
    <w:rsid w:val="006E0B21"/>
    <w:rsid w:val="006E24BE"/>
    <w:rsid w:val="006E2727"/>
    <w:rsid w:val="006E291F"/>
    <w:rsid w:val="006E2E3D"/>
    <w:rsid w:val="006E314A"/>
    <w:rsid w:val="006E55AE"/>
    <w:rsid w:val="006E61B0"/>
    <w:rsid w:val="006E62CA"/>
    <w:rsid w:val="006E6738"/>
    <w:rsid w:val="006E7206"/>
    <w:rsid w:val="006E76F4"/>
    <w:rsid w:val="006F004D"/>
    <w:rsid w:val="006F0778"/>
    <w:rsid w:val="006F0ACD"/>
    <w:rsid w:val="006F1454"/>
    <w:rsid w:val="006F1656"/>
    <w:rsid w:val="006F1892"/>
    <w:rsid w:val="006F24A4"/>
    <w:rsid w:val="006F3FA3"/>
    <w:rsid w:val="006F4380"/>
    <w:rsid w:val="006F4666"/>
    <w:rsid w:val="006F475C"/>
    <w:rsid w:val="006F4823"/>
    <w:rsid w:val="006F566D"/>
    <w:rsid w:val="006F6193"/>
    <w:rsid w:val="006F6A0C"/>
    <w:rsid w:val="006F7631"/>
    <w:rsid w:val="006F7E91"/>
    <w:rsid w:val="0070268D"/>
    <w:rsid w:val="00702D5B"/>
    <w:rsid w:val="00702DBB"/>
    <w:rsid w:val="00703AE3"/>
    <w:rsid w:val="007058A5"/>
    <w:rsid w:val="00705EA1"/>
    <w:rsid w:val="00706391"/>
    <w:rsid w:val="00706614"/>
    <w:rsid w:val="00706831"/>
    <w:rsid w:val="007071ED"/>
    <w:rsid w:val="007074FA"/>
    <w:rsid w:val="007079E4"/>
    <w:rsid w:val="00710591"/>
    <w:rsid w:val="00711019"/>
    <w:rsid w:val="00711649"/>
    <w:rsid w:val="00712E3C"/>
    <w:rsid w:val="0071398D"/>
    <w:rsid w:val="00713FAF"/>
    <w:rsid w:val="00714848"/>
    <w:rsid w:val="00715D10"/>
    <w:rsid w:val="00716027"/>
    <w:rsid w:val="00716BA6"/>
    <w:rsid w:val="00716F88"/>
    <w:rsid w:val="00717120"/>
    <w:rsid w:val="0072020F"/>
    <w:rsid w:val="007204AB"/>
    <w:rsid w:val="0072062D"/>
    <w:rsid w:val="00721230"/>
    <w:rsid w:val="00721428"/>
    <w:rsid w:val="00722321"/>
    <w:rsid w:val="00722694"/>
    <w:rsid w:val="00722C64"/>
    <w:rsid w:val="00723620"/>
    <w:rsid w:val="0072415E"/>
    <w:rsid w:val="0072504D"/>
    <w:rsid w:val="00725A8B"/>
    <w:rsid w:val="00725AD6"/>
    <w:rsid w:val="007261AF"/>
    <w:rsid w:val="00727169"/>
    <w:rsid w:val="00730276"/>
    <w:rsid w:val="007305CF"/>
    <w:rsid w:val="007309E0"/>
    <w:rsid w:val="00731142"/>
    <w:rsid w:val="0073116B"/>
    <w:rsid w:val="0073178D"/>
    <w:rsid w:val="0073211B"/>
    <w:rsid w:val="0073278C"/>
    <w:rsid w:val="00732818"/>
    <w:rsid w:val="00732E58"/>
    <w:rsid w:val="0073309B"/>
    <w:rsid w:val="00733742"/>
    <w:rsid w:val="00733B52"/>
    <w:rsid w:val="00733BBF"/>
    <w:rsid w:val="007341AB"/>
    <w:rsid w:val="00735DE2"/>
    <w:rsid w:val="0073680B"/>
    <w:rsid w:val="0073767C"/>
    <w:rsid w:val="007378F1"/>
    <w:rsid w:val="007406C6"/>
    <w:rsid w:val="007407AF"/>
    <w:rsid w:val="007410D8"/>
    <w:rsid w:val="00741324"/>
    <w:rsid w:val="007413D4"/>
    <w:rsid w:val="0074157A"/>
    <w:rsid w:val="007429F3"/>
    <w:rsid w:val="0074311C"/>
    <w:rsid w:val="00743998"/>
    <w:rsid w:val="00744CBF"/>
    <w:rsid w:val="00745D97"/>
    <w:rsid w:val="0074645E"/>
    <w:rsid w:val="00746499"/>
    <w:rsid w:val="0074657E"/>
    <w:rsid w:val="00747892"/>
    <w:rsid w:val="007508BC"/>
    <w:rsid w:val="0075090A"/>
    <w:rsid w:val="00751C0C"/>
    <w:rsid w:val="00753219"/>
    <w:rsid w:val="0075482A"/>
    <w:rsid w:val="00756000"/>
    <w:rsid w:val="007571E1"/>
    <w:rsid w:val="00757343"/>
    <w:rsid w:val="00757595"/>
    <w:rsid w:val="00757626"/>
    <w:rsid w:val="00760204"/>
    <w:rsid w:val="00760B41"/>
    <w:rsid w:val="007610AE"/>
    <w:rsid w:val="00761CC6"/>
    <w:rsid w:val="00762723"/>
    <w:rsid w:val="00762BD3"/>
    <w:rsid w:val="00762E11"/>
    <w:rsid w:val="0076315A"/>
    <w:rsid w:val="00763EFC"/>
    <w:rsid w:val="007642B5"/>
    <w:rsid w:val="0076431E"/>
    <w:rsid w:val="00764A66"/>
    <w:rsid w:val="00766021"/>
    <w:rsid w:val="00767036"/>
    <w:rsid w:val="00767847"/>
    <w:rsid w:val="007679A4"/>
    <w:rsid w:val="0077033C"/>
    <w:rsid w:val="007724F8"/>
    <w:rsid w:val="00772A8B"/>
    <w:rsid w:val="00772C20"/>
    <w:rsid w:val="007737F6"/>
    <w:rsid w:val="00773DAA"/>
    <w:rsid w:val="007746EB"/>
    <w:rsid w:val="007749A8"/>
    <w:rsid w:val="00775BFF"/>
    <w:rsid w:val="007774B3"/>
    <w:rsid w:val="00777FAF"/>
    <w:rsid w:val="0078114D"/>
    <w:rsid w:val="00781A0A"/>
    <w:rsid w:val="00782016"/>
    <w:rsid w:val="00782442"/>
    <w:rsid w:val="00782595"/>
    <w:rsid w:val="00783003"/>
    <w:rsid w:val="007833D5"/>
    <w:rsid w:val="007834E7"/>
    <w:rsid w:val="00784ED3"/>
    <w:rsid w:val="00785A9B"/>
    <w:rsid w:val="00785D80"/>
    <w:rsid w:val="007862EF"/>
    <w:rsid w:val="00786D3C"/>
    <w:rsid w:val="00786DD1"/>
    <w:rsid w:val="00787712"/>
    <w:rsid w:val="00787792"/>
    <w:rsid w:val="00787C47"/>
    <w:rsid w:val="00790210"/>
    <w:rsid w:val="00791DB9"/>
    <w:rsid w:val="00791E30"/>
    <w:rsid w:val="0079211A"/>
    <w:rsid w:val="007924F1"/>
    <w:rsid w:val="00792929"/>
    <w:rsid w:val="00792E91"/>
    <w:rsid w:val="00793FA0"/>
    <w:rsid w:val="00794081"/>
    <w:rsid w:val="00794812"/>
    <w:rsid w:val="00794B80"/>
    <w:rsid w:val="007975D6"/>
    <w:rsid w:val="00797B0E"/>
    <w:rsid w:val="007A044F"/>
    <w:rsid w:val="007A0C72"/>
    <w:rsid w:val="007A1E59"/>
    <w:rsid w:val="007A2587"/>
    <w:rsid w:val="007A2CBA"/>
    <w:rsid w:val="007A40A7"/>
    <w:rsid w:val="007A4664"/>
    <w:rsid w:val="007A55E4"/>
    <w:rsid w:val="007A57DD"/>
    <w:rsid w:val="007A6046"/>
    <w:rsid w:val="007A61F9"/>
    <w:rsid w:val="007A7187"/>
    <w:rsid w:val="007A7E58"/>
    <w:rsid w:val="007B0254"/>
    <w:rsid w:val="007B06F9"/>
    <w:rsid w:val="007B0823"/>
    <w:rsid w:val="007B0BC7"/>
    <w:rsid w:val="007B0F36"/>
    <w:rsid w:val="007B2CF9"/>
    <w:rsid w:val="007B32D6"/>
    <w:rsid w:val="007B32FD"/>
    <w:rsid w:val="007B3D04"/>
    <w:rsid w:val="007B4EBF"/>
    <w:rsid w:val="007B5531"/>
    <w:rsid w:val="007B6094"/>
    <w:rsid w:val="007B6430"/>
    <w:rsid w:val="007B6A42"/>
    <w:rsid w:val="007B78DE"/>
    <w:rsid w:val="007C06A1"/>
    <w:rsid w:val="007C0817"/>
    <w:rsid w:val="007C1A6E"/>
    <w:rsid w:val="007C2AEE"/>
    <w:rsid w:val="007C2DFC"/>
    <w:rsid w:val="007C333B"/>
    <w:rsid w:val="007C39CB"/>
    <w:rsid w:val="007C3D66"/>
    <w:rsid w:val="007C4EFE"/>
    <w:rsid w:val="007C52AF"/>
    <w:rsid w:val="007C52FB"/>
    <w:rsid w:val="007C5F5F"/>
    <w:rsid w:val="007D01F4"/>
    <w:rsid w:val="007D06ED"/>
    <w:rsid w:val="007D07E7"/>
    <w:rsid w:val="007D109F"/>
    <w:rsid w:val="007D1C41"/>
    <w:rsid w:val="007D2274"/>
    <w:rsid w:val="007D3126"/>
    <w:rsid w:val="007D33F6"/>
    <w:rsid w:val="007D413E"/>
    <w:rsid w:val="007D4734"/>
    <w:rsid w:val="007D529B"/>
    <w:rsid w:val="007D6862"/>
    <w:rsid w:val="007D6B5F"/>
    <w:rsid w:val="007E0EAF"/>
    <w:rsid w:val="007E33DC"/>
    <w:rsid w:val="007E4A34"/>
    <w:rsid w:val="007E4C38"/>
    <w:rsid w:val="007E4DA6"/>
    <w:rsid w:val="007E4F2C"/>
    <w:rsid w:val="007E6143"/>
    <w:rsid w:val="007E6155"/>
    <w:rsid w:val="007E67A0"/>
    <w:rsid w:val="007E67CC"/>
    <w:rsid w:val="007F0067"/>
    <w:rsid w:val="007F0335"/>
    <w:rsid w:val="007F0445"/>
    <w:rsid w:val="007F0B84"/>
    <w:rsid w:val="007F0E4B"/>
    <w:rsid w:val="007F1130"/>
    <w:rsid w:val="007F190E"/>
    <w:rsid w:val="007F1BBF"/>
    <w:rsid w:val="007F1FE4"/>
    <w:rsid w:val="007F2A2B"/>
    <w:rsid w:val="007F2A7A"/>
    <w:rsid w:val="007F6B2E"/>
    <w:rsid w:val="007F6E5F"/>
    <w:rsid w:val="007F7FB5"/>
    <w:rsid w:val="00800734"/>
    <w:rsid w:val="00801889"/>
    <w:rsid w:val="00801F98"/>
    <w:rsid w:val="0080261D"/>
    <w:rsid w:val="00802A58"/>
    <w:rsid w:val="0080486C"/>
    <w:rsid w:val="00804B35"/>
    <w:rsid w:val="00804C63"/>
    <w:rsid w:val="008053D4"/>
    <w:rsid w:val="00805F94"/>
    <w:rsid w:val="008062A2"/>
    <w:rsid w:val="0080637D"/>
    <w:rsid w:val="008063EF"/>
    <w:rsid w:val="008067E6"/>
    <w:rsid w:val="00806F71"/>
    <w:rsid w:val="00807810"/>
    <w:rsid w:val="0080799F"/>
    <w:rsid w:val="00807A15"/>
    <w:rsid w:val="00807B65"/>
    <w:rsid w:val="00807D35"/>
    <w:rsid w:val="00810946"/>
    <w:rsid w:val="00810A0F"/>
    <w:rsid w:val="0081141B"/>
    <w:rsid w:val="00812401"/>
    <w:rsid w:val="008127ED"/>
    <w:rsid w:val="008133AD"/>
    <w:rsid w:val="008142DA"/>
    <w:rsid w:val="00815B91"/>
    <w:rsid w:val="00815D42"/>
    <w:rsid w:val="00816B62"/>
    <w:rsid w:val="00817398"/>
    <w:rsid w:val="0081739C"/>
    <w:rsid w:val="00817446"/>
    <w:rsid w:val="008178C4"/>
    <w:rsid w:val="008179C6"/>
    <w:rsid w:val="008203B3"/>
    <w:rsid w:val="00821E2B"/>
    <w:rsid w:val="008223DD"/>
    <w:rsid w:val="008227CD"/>
    <w:rsid w:val="00822B62"/>
    <w:rsid w:val="00822F91"/>
    <w:rsid w:val="00824BA0"/>
    <w:rsid w:val="00824CB3"/>
    <w:rsid w:val="00824D99"/>
    <w:rsid w:val="00825AF8"/>
    <w:rsid w:val="00826118"/>
    <w:rsid w:val="00826166"/>
    <w:rsid w:val="0082643C"/>
    <w:rsid w:val="00826AFE"/>
    <w:rsid w:val="008272F1"/>
    <w:rsid w:val="00827B3E"/>
    <w:rsid w:val="00827FF9"/>
    <w:rsid w:val="008303D1"/>
    <w:rsid w:val="008307BD"/>
    <w:rsid w:val="00831AFD"/>
    <w:rsid w:val="0083210A"/>
    <w:rsid w:val="008321F5"/>
    <w:rsid w:val="00832374"/>
    <w:rsid w:val="00832E25"/>
    <w:rsid w:val="008333C7"/>
    <w:rsid w:val="008338C7"/>
    <w:rsid w:val="00833D7E"/>
    <w:rsid w:val="008345FB"/>
    <w:rsid w:val="00834CD6"/>
    <w:rsid w:val="00834FB7"/>
    <w:rsid w:val="008355A8"/>
    <w:rsid w:val="008364D7"/>
    <w:rsid w:val="008365C5"/>
    <w:rsid w:val="008378E5"/>
    <w:rsid w:val="00837CE7"/>
    <w:rsid w:val="008400C1"/>
    <w:rsid w:val="0084047B"/>
    <w:rsid w:val="0084115E"/>
    <w:rsid w:val="00841571"/>
    <w:rsid w:val="0084186C"/>
    <w:rsid w:val="00841A93"/>
    <w:rsid w:val="00841C10"/>
    <w:rsid w:val="00843A49"/>
    <w:rsid w:val="008443CF"/>
    <w:rsid w:val="00846ECB"/>
    <w:rsid w:val="0084727B"/>
    <w:rsid w:val="00850E46"/>
    <w:rsid w:val="0085168B"/>
    <w:rsid w:val="00852469"/>
    <w:rsid w:val="00853605"/>
    <w:rsid w:val="008537EE"/>
    <w:rsid w:val="00853A7F"/>
    <w:rsid w:val="0085440B"/>
    <w:rsid w:val="00854B29"/>
    <w:rsid w:val="00854BEA"/>
    <w:rsid w:val="00854DF8"/>
    <w:rsid w:val="00855625"/>
    <w:rsid w:val="00855D04"/>
    <w:rsid w:val="0085611E"/>
    <w:rsid w:val="00856323"/>
    <w:rsid w:val="008564CF"/>
    <w:rsid w:val="00856C15"/>
    <w:rsid w:val="008574F2"/>
    <w:rsid w:val="00857521"/>
    <w:rsid w:val="00857625"/>
    <w:rsid w:val="00860879"/>
    <w:rsid w:val="00860E7A"/>
    <w:rsid w:val="008615DE"/>
    <w:rsid w:val="00862BA6"/>
    <w:rsid w:val="00862E13"/>
    <w:rsid w:val="00863AD4"/>
    <w:rsid w:val="00863E7B"/>
    <w:rsid w:val="00864496"/>
    <w:rsid w:val="008646DE"/>
    <w:rsid w:val="00865D27"/>
    <w:rsid w:val="00866215"/>
    <w:rsid w:val="00866515"/>
    <w:rsid w:val="0086659B"/>
    <w:rsid w:val="00866696"/>
    <w:rsid w:val="0086691C"/>
    <w:rsid w:val="00867217"/>
    <w:rsid w:val="008677BA"/>
    <w:rsid w:val="00867837"/>
    <w:rsid w:val="00870940"/>
    <w:rsid w:val="0087099D"/>
    <w:rsid w:val="0087165C"/>
    <w:rsid w:val="00871D5C"/>
    <w:rsid w:val="00871F23"/>
    <w:rsid w:val="00872410"/>
    <w:rsid w:val="00872844"/>
    <w:rsid w:val="00874084"/>
    <w:rsid w:val="008753E0"/>
    <w:rsid w:val="00875D43"/>
    <w:rsid w:val="008761EF"/>
    <w:rsid w:val="00876542"/>
    <w:rsid w:val="00876990"/>
    <w:rsid w:val="00876E90"/>
    <w:rsid w:val="00877FD7"/>
    <w:rsid w:val="008804A2"/>
    <w:rsid w:val="00880935"/>
    <w:rsid w:val="008810C7"/>
    <w:rsid w:val="00881655"/>
    <w:rsid w:val="00881AB7"/>
    <w:rsid w:val="00882F78"/>
    <w:rsid w:val="00883C44"/>
    <w:rsid w:val="00883CFC"/>
    <w:rsid w:val="00884DE1"/>
    <w:rsid w:val="00885024"/>
    <w:rsid w:val="0088544D"/>
    <w:rsid w:val="00885549"/>
    <w:rsid w:val="008855EF"/>
    <w:rsid w:val="008861EC"/>
    <w:rsid w:val="008869D8"/>
    <w:rsid w:val="00890381"/>
    <w:rsid w:val="00890AEC"/>
    <w:rsid w:val="00891066"/>
    <w:rsid w:val="00891841"/>
    <w:rsid w:val="0089236B"/>
    <w:rsid w:val="008925B2"/>
    <w:rsid w:val="008928FC"/>
    <w:rsid w:val="00893B56"/>
    <w:rsid w:val="00893CFE"/>
    <w:rsid w:val="0089452C"/>
    <w:rsid w:val="00894605"/>
    <w:rsid w:val="0089551B"/>
    <w:rsid w:val="00895590"/>
    <w:rsid w:val="008957FB"/>
    <w:rsid w:val="0089583E"/>
    <w:rsid w:val="00895E13"/>
    <w:rsid w:val="0089726C"/>
    <w:rsid w:val="008977FD"/>
    <w:rsid w:val="008A0ACA"/>
    <w:rsid w:val="008A2392"/>
    <w:rsid w:val="008A2F78"/>
    <w:rsid w:val="008A3060"/>
    <w:rsid w:val="008A3062"/>
    <w:rsid w:val="008A434D"/>
    <w:rsid w:val="008A4759"/>
    <w:rsid w:val="008A4875"/>
    <w:rsid w:val="008A4E2D"/>
    <w:rsid w:val="008A6F5F"/>
    <w:rsid w:val="008A7057"/>
    <w:rsid w:val="008A72FC"/>
    <w:rsid w:val="008A7619"/>
    <w:rsid w:val="008A7DD1"/>
    <w:rsid w:val="008B1236"/>
    <w:rsid w:val="008B1A53"/>
    <w:rsid w:val="008B1B1F"/>
    <w:rsid w:val="008B24E7"/>
    <w:rsid w:val="008B2E0F"/>
    <w:rsid w:val="008B3146"/>
    <w:rsid w:val="008B3A4D"/>
    <w:rsid w:val="008B444E"/>
    <w:rsid w:val="008B45F9"/>
    <w:rsid w:val="008B504D"/>
    <w:rsid w:val="008B5C6C"/>
    <w:rsid w:val="008B6006"/>
    <w:rsid w:val="008B776D"/>
    <w:rsid w:val="008B79D5"/>
    <w:rsid w:val="008C32A2"/>
    <w:rsid w:val="008C4990"/>
    <w:rsid w:val="008C4EE4"/>
    <w:rsid w:val="008C4F4C"/>
    <w:rsid w:val="008C50FB"/>
    <w:rsid w:val="008C5230"/>
    <w:rsid w:val="008C5532"/>
    <w:rsid w:val="008C6045"/>
    <w:rsid w:val="008C635F"/>
    <w:rsid w:val="008C699F"/>
    <w:rsid w:val="008C7DA4"/>
    <w:rsid w:val="008D0B53"/>
    <w:rsid w:val="008D0DDB"/>
    <w:rsid w:val="008D102C"/>
    <w:rsid w:val="008D1212"/>
    <w:rsid w:val="008D16AA"/>
    <w:rsid w:val="008D2184"/>
    <w:rsid w:val="008D22F1"/>
    <w:rsid w:val="008D2472"/>
    <w:rsid w:val="008D51B4"/>
    <w:rsid w:val="008D66BF"/>
    <w:rsid w:val="008D6BDF"/>
    <w:rsid w:val="008D71F1"/>
    <w:rsid w:val="008D78D6"/>
    <w:rsid w:val="008D7BB3"/>
    <w:rsid w:val="008D7C74"/>
    <w:rsid w:val="008E0DCF"/>
    <w:rsid w:val="008E23DF"/>
    <w:rsid w:val="008E25B2"/>
    <w:rsid w:val="008E25E5"/>
    <w:rsid w:val="008E3344"/>
    <w:rsid w:val="008E4DBD"/>
    <w:rsid w:val="008E55D5"/>
    <w:rsid w:val="008E6AF7"/>
    <w:rsid w:val="008E6F2A"/>
    <w:rsid w:val="008E702D"/>
    <w:rsid w:val="008E75AA"/>
    <w:rsid w:val="008E7815"/>
    <w:rsid w:val="008E7C91"/>
    <w:rsid w:val="008F26EC"/>
    <w:rsid w:val="008F3066"/>
    <w:rsid w:val="008F3383"/>
    <w:rsid w:val="008F3CA2"/>
    <w:rsid w:val="008F495E"/>
    <w:rsid w:val="008F5554"/>
    <w:rsid w:val="008F559D"/>
    <w:rsid w:val="008F5CA8"/>
    <w:rsid w:val="008F6384"/>
    <w:rsid w:val="0090041C"/>
    <w:rsid w:val="0090140B"/>
    <w:rsid w:val="009019AC"/>
    <w:rsid w:val="00903B10"/>
    <w:rsid w:val="009040DA"/>
    <w:rsid w:val="009041C3"/>
    <w:rsid w:val="0090447E"/>
    <w:rsid w:val="00904959"/>
    <w:rsid w:val="00904ADE"/>
    <w:rsid w:val="00904EA3"/>
    <w:rsid w:val="00904F32"/>
    <w:rsid w:val="00905A74"/>
    <w:rsid w:val="009069DE"/>
    <w:rsid w:val="00907928"/>
    <w:rsid w:val="00910066"/>
    <w:rsid w:val="0091049C"/>
    <w:rsid w:val="00910B72"/>
    <w:rsid w:val="00910F6A"/>
    <w:rsid w:val="0091128B"/>
    <w:rsid w:val="009115A9"/>
    <w:rsid w:val="00911DF2"/>
    <w:rsid w:val="00912BC8"/>
    <w:rsid w:val="00912C72"/>
    <w:rsid w:val="009132EE"/>
    <w:rsid w:val="00913AAF"/>
    <w:rsid w:val="00914263"/>
    <w:rsid w:val="00914459"/>
    <w:rsid w:val="009147B9"/>
    <w:rsid w:val="00914BFB"/>
    <w:rsid w:val="00916389"/>
    <w:rsid w:val="009167EB"/>
    <w:rsid w:val="00916E67"/>
    <w:rsid w:val="00916F1E"/>
    <w:rsid w:val="00916FE2"/>
    <w:rsid w:val="00917AEC"/>
    <w:rsid w:val="00920AF8"/>
    <w:rsid w:val="0092260A"/>
    <w:rsid w:val="009237BD"/>
    <w:rsid w:val="009238B7"/>
    <w:rsid w:val="00924DCE"/>
    <w:rsid w:val="00925301"/>
    <w:rsid w:val="00925A1F"/>
    <w:rsid w:val="00925BDB"/>
    <w:rsid w:val="00925EC3"/>
    <w:rsid w:val="009260AC"/>
    <w:rsid w:val="009262E2"/>
    <w:rsid w:val="00927023"/>
    <w:rsid w:val="009270C1"/>
    <w:rsid w:val="009273DE"/>
    <w:rsid w:val="00930FD3"/>
    <w:rsid w:val="00931230"/>
    <w:rsid w:val="00931435"/>
    <w:rsid w:val="009318E0"/>
    <w:rsid w:val="00931A38"/>
    <w:rsid w:val="00932AD1"/>
    <w:rsid w:val="00933294"/>
    <w:rsid w:val="0093379E"/>
    <w:rsid w:val="009338CA"/>
    <w:rsid w:val="00934002"/>
    <w:rsid w:val="009341EF"/>
    <w:rsid w:val="00934749"/>
    <w:rsid w:val="0093561F"/>
    <w:rsid w:val="0093592E"/>
    <w:rsid w:val="00936032"/>
    <w:rsid w:val="009370F5"/>
    <w:rsid w:val="0094078D"/>
    <w:rsid w:val="00940ADF"/>
    <w:rsid w:val="00941FCD"/>
    <w:rsid w:val="0094202B"/>
    <w:rsid w:val="00942A6E"/>
    <w:rsid w:val="00942D2D"/>
    <w:rsid w:val="00943541"/>
    <w:rsid w:val="00943C66"/>
    <w:rsid w:val="009447FA"/>
    <w:rsid w:val="00945437"/>
    <w:rsid w:val="00946C1A"/>
    <w:rsid w:val="009476C1"/>
    <w:rsid w:val="00947964"/>
    <w:rsid w:val="00947FA8"/>
    <w:rsid w:val="009501BD"/>
    <w:rsid w:val="009504F9"/>
    <w:rsid w:val="009515A5"/>
    <w:rsid w:val="00951748"/>
    <w:rsid w:val="0095244D"/>
    <w:rsid w:val="00952C6B"/>
    <w:rsid w:val="00952FD9"/>
    <w:rsid w:val="00953335"/>
    <w:rsid w:val="00953A7D"/>
    <w:rsid w:val="00954E75"/>
    <w:rsid w:val="0095590A"/>
    <w:rsid w:val="00955C17"/>
    <w:rsid w:val="0095603B"/>
    <w:rsid w:val="0095680E"/>
    <w:rsid w:val="009569CB"/>
    <w:rsid w:val="0095723C"/>
    <w:rsid w:val="00957427"/>
    <w:rsid w:val="00960267"/>
    <w:rsid w:val="0096078E"/>
    <w:rsid w:val="009616EB"/>
    <w:rsid w:val="00961768"/>
    <w:rsid w:val="00962855"/>
    <w:rsid w:val="00962B5C"/>
    <w:rsid w:val="00963782"/>
    <w:rsid w:val="00963D1A"/>
    <w:rsid w:val="00964E08"/>
    <w:rsid w:val="009662BC"/>
    <w:rsid w:val="009674A2"/>
    <w:rsid w:val="00970116"/>
    <w:rsid w:val="0097183A"/>
    <w:rsid w:val="00971A2A"/>
    <w:rsid w:val="009737E5"/>
    <w:rsid w:val="009741DA"/>
    <w:rsid w:val="00974240"/>
    <w:rsid w:val="00975812"/>
    <w:rsid w:val="00976BFE"/>
    <w:rsid w:val="00976E86"/>
    <w:rsid w:val="009777C1"/>
    <w:rsid w:val="00977966"/>
    <w:rsid w:val="00977DFB"/>
    <w:rsid w:val="00980910"/>
    <w:rsid w:val="009821C9"/>
    <w:rsid w:val="00982765"/>
    <w:rsid w:val="00982D08"/>
    <w:rsid w:val="00982F4E"/>
    <w:rsid w:val="009830C4"/>
    <w:rsid w:val="009837F5"/>
    <w:rsid w:val="00985CC3"/>
    <w:rsid w:val="009905A1"/>
    <w:rsid w:val="00991312"/>
    <w:rsid w:val="009920CE"/>
    <w:rsid w:val="00992A48"/>
    <w:rsid w:val="00993340"/>
    <w:rsid w:val="00994E9F"/>
    <w:rsid w:val="009952F5"/>
    <w:rsid w:val="00995F46"/>
    <w:rsid w:val="0099624C"/>
    <w:rsid w:val="009969A2"/>
    <w:rsid w:val="00996C67"/>
    <w:rsid w:val="00997736"/>
    <w:rsid w:val="00997CDD"/>
    <w:rsid w:val="009A0458"/>
    <w:rsid w:val="009A0A6E"/>
    <w:rsid w:val="009A1730"/>
    <w:rsid w:val="009A1AD9"/>
    <w:rsid w:val="009A2115"/>
    <w:rsid w:val="009A2580"/>
    <w:rsid w:val="009A2C99"/>
    <w:rsid w:val="009A3A83"/>
    <w:rsid w:val="009A3EBF"/>
    <w:rsid w:val="009A44DB"/>
    <w:rsid w:val="009A6420"/>
    <w:rsid w:val="009A65F3"/>
    <w:rsid w:val="009A68BA"/>
    <w:rsid w:val="009A6B1A"/>
    <w:rsid w:val="009A719C"/>
    <w:rsid w:val="009A759A"/>
    <w:rsid w:val="009A792F"/>
    <w:rsid w:val="009B008B"/>
    <w:rsid w:val="009B0457"/>
    <w:rsid w:val="009B0768"/>
    <w:rsid w:val="009B0BA8"/>
    <w:rsid w:val="009B1214"/>
    <w:rsid w:val="009B166B"/>
    <w:rsid w:val="009B3023"/>
    <w:rsid w:val="009B30D4"/>
    <w:rsid w:val="009B42F2"/>
    <w:rsid w:val="009B4653"/>
    <w:rsid w:val="009B4C4D"/>
    <w:rsid w:val="009B4CC7"/>
    <w:rsid w:val="009B510B"/>
    <w:rsid w:val="009B76BB"/>
    <w:rsid w:val="009B7A41"/>
    <w:rsid w:val="009B7F0F"/>
    <w:rsid w:val="009C0339"/>
    <w:rsid w:val="009C0704"/>
    <w:rsid w:val="009C08FF"/>
    <w:rsid w:val="009C09BC"/>
    <w:rsid w:val="009C0EE8"/>
    <w:rsid w:val="009C0FF7"/>
    <w:rsid w:val="009C1DF1"/>
    <w:rsid w:val="009C2B98"/>
    <w:rsid w:val="009C3320"/>
    <w:rsid w:val="009C3774"/>
    <w:rsid w:val="009C3869"/>
    <w:rsid w:val="009C418C"/>
    <w:rsid w:val="009C54F5"/>
    <w:rsid w:val="009C6CDA"/>
    <w:rsid w:val="009C72D8"/>
    <w:rsid w:val="009C7BBE"/>
    <w:rsid w:val="009C7DC5"/>
    <w:rsid w:val="009D02C1"/>
    <w:rsid w:val="009D366B"/>
    <w:rsid w:val="009D5113"/>
    <w:rsid w:val="009D5EF1"/>
    <w:rsid w:val="009D62AB"/>
    <w:rsid w:val="009E09E6"/>
    <w:rsid w:val="009E158A"/>
    <w:rsid w:val="009E18FF"/>
    <w:rsid w:val="009E1C52"/>
    <w:rsid w:val="009E1E6D"/>
    <w:rsid w:val="009E26F2"/>
    <w:rsid w:val="009E3FC0"/>
    <w:rsid w:val="009E46A9"/>
    <w:rsid w:val="009E47D2"/>
    <w:rsid w:val="009E4B7B"/>
    <w:rsid w:val="009E4E17"/>
    <w:rsid w:val="009E4F2A"/>
    <w:rsid w:val="009E5590"/>
    <w:rsid w:val="009E5A34"/>
    <w:rsid w:val="009E635C"/>
    <w:rsid w:val="009E6877"/>
    <w:rsid w:val="009E6925"/>
    <w:rsid w:val="009E6EDA"/>
    <w:rsid w:val="009F0AA5"/>
    <w:rsid w:val="009F0C30"/>
    <w:rsid w:val="009F0CE0"/>
    <w:rsid w:val="009F2608"/>
    <w:rsid w:val="009F2E4C"/>
    <w:rsid w:val="009F2F13"/>
    <w:rsid w:val="009F3C2E"/>
    <w:rsid w:val="009F422A"/>
    <w:rsid w:val="009F48E0"/>
    <w:rsid w:val="009F565A"/>
    <w:rsid w:val="009F65AE"/>
    <w:rsid w:val="009F76E6"/>
    <w:rsid w:val="009F7935"/>
    <w:rsid w:val="009F7D97"/>
    <w:rsid w:val="009F7F59"/>
    <w:rsid w:val="00A016D8"/>
    <w:rsid w:val="00A01FE7"/>
    <w:rsid w:val="00A02397"/>
    <w:rsid w:val="00A041C2"/>
    <w:rsid w:val="00A044F3"/>
    <w:rsid w:val="00A05D2E"/>
    <w:rsid w:val="00A07450"/>
    <w:rsid w:val="00A07CCA"/>
    <w:rsid w:val="00A07DA5"/>
    <w:rsid w:val="00A1029A"/>
    <w:rsid w:val="00A10543"/>
    <w:rsid w:val="00A1130B"/>
    <w:rsid w:val="00A117BC"/>
    <w:rsid w:val="00A1248D"/>
    <w:rsid w:val="00A12D7C"/>
    <w:rsid w:val="00A12FE8"/>
    <w:rsid w:val="00A1393F"/>
    <w:rsid w:val="00A13BC3"/>
    <w:rsid w:val="00A156D3"/>
    <w:rsid w:val="00A16196"/>
    <w:rsid w:val="00A1643A"/>
    <w:rsid w:val="00A1689F"/>
    <w:rsid w:val="00A1737C"/>
    <w:rsid w:val="00A17412"/>
    <w:rsid w:val="00A2014F"/>
    <w:rsid w:val="00A20C94"/>
    <w:rsid w:val="00A21F3C"/>
    <w:rsid w:val="00A22468"/>
    <w:rsid w:val="00A248B8"/>
    <w:rsid w:val="00A248EB"/>
    <w:rsid w:val="00A269E8"/>
    <w:rsid w:val="00A27AB2"/>
    <w:rsid w:val="00A27B19"/>
    <w:rsid w:val="00A3038D"/>
    <w:rsid w:val="00A31218"/>
    <w:rsid w:val="00A31249"/>
    <w:rsid w:val="00A3132E"/>
    <w:rsid w:val="00A31BFF"/>
    <w:rsid w:val="00A31F05"/>
    <w:rsid w:val="00A31FC0"/>
    <w:rsid w:val="00A332E9"/>
    <w:rsid w:val="00A336D4"/>
    <w:rsid w:val="00A33956"/>
    <w:rsid w:val="00A33BEE"/>
    <w:rsid w:val="00A33CDE"/>
    <w:rsid w:val="00A34117"/>
    <w:rsid w:val="00A3421F"/>
    <w:rsid w:val="00A3467F"/>
    <w:rsid w:val="00A353FC"/>
    <w:rsid w:val="00A35852"/>
    <w:rsid w:val="00A35875"/>
    <w:rsid w:val="00A3591B"/>
    <w:rsid w:val="00A35B1D"/>
    <w:rsid w:val="00A360DB"/>
    <w:rsid w:val="00A36BCE"/>
    <w:rsid w:val="00A36BDC"/>
    <w:rsid w:val="00A36E2F"/>
    <w:rsid w:val="00A37353"/>
    <w:rsid w:val="00A374C8"/>
    <w:rsid w:val="00A40327"/>
    <w:rsid w:val="00A407EF"/>
    <w:rsid w:val="00A40C8B"/>
    <w:rsid w:val="00A41A65"/>
    <w:rsid w:val="00A41DC9"/>
    <w:rsid w:val="00A425C9"/>
    <w:rsid w:val="00A42670"/>
    <w:rsid w:val="00A44122"/>
    <w:rsid w:val="00A45448"/>
    <w:rsid w:val="00A45BD1"/>
    <w:rsid w:val="00A45FF2"/>
    <w:rsid w:val="00A4689B"/>
    <w:rsid w:val="00A47408"/>
    <w:rsid w:val="00A47A48"/>
    <w:rsid w:val="00A50108"/>
    <w:rsid w:val="00A506FD"/>
    <w:rsid w:val="00A508E9"/>
    <w:rsid w:val="00A50C00"/>
    <w:rsid w:val="00A519E5"/>
    <w:rsid w:val="00A5425C"/>
    <w:rsid w:val="00A54425"/>
    <w:rsid w:val="00A54901"/>
    <w:rsid w:val="00A54950"/>
    <w:rsid w:val="00A54F01"/>
    <w:rsid w:val="00A55B8F"/>
    <w:rsid w:val="00A55EF1"/>
    <w:rsid w:val="00A561F3"/>
    <w:rsid w:val="00A56705"/>
    <w:rsid w:val="00A573E1"/>
    <w:rsid w:val="00A603EE"/>
    <w:rsid w:val="00A60532"/>
    <w:rsid w:val="00A61433"/>
    <w:rsid w:val="00A61D29"/>
    <w:rsid w:val="00A61FDF"/>
    <w:rsid w:val="00A63210"/>
    <w:rsid w:val="00A6389C"/>
    <w:rsid w:val="00A63B61"/>
    <w:rsid w:val="00A63B87"/>
    <w:rsid w:val="00A6468E"/>
    <w:rsid w:val="00A65FC8"/>
    <w:rsid w:val="00A6616D"/>
    <w:rsid w:val="00A6648E"/>
    <w:rsid w:val="00A669DB"/>
    <w:rsid w:val="00A66C6A"/>
    <w:rsid w:val="00A66FEA"/>
    <w:rsid w:val="00A6701A"/>
    <w:rsid w:val="00A70A3C"/>
    <w:rsid w:val="00A71B5C"/>
    <w:rsid w:val="00A725C2"/>
    <w:rsid w:val="00A730EF"/>
    <w:rsid w:val="00A749B9"/>
    <w:rsid w:val="00A74A5E"/>
    <w:rsid w:val="00A74FD6"/>
    <w:rsid w:val="00A76E3C"/>
    <w:rsid w:val="00A77C28"/>
    <w:rsid w:val="00A8003F"/>
    <w:rsid w:val="00A80232"/>
    <w:rsid w:val="00A807F3"/>
    <w:rsid w:val="00A818CE"/>
    <w:rsid w:val="00A81C38"/>
    <w:rsid w:val="00A82D7B"/>
    <w:rsid w:val="00A84B4B"/>
    <w:rsid w:val="00A85413"/>
    <w:rsid w:val="00A85B78"/>
    <w:rsid w:val="00A860EC"/>
    <w:rsid w:val="00A863EB"/>
    <w:rsid w:val="00A87D98"/>
    <w:rsid w:val="00A90DEC"/>
    <w:rsid w:val="00A9102D"/>
    <w:rsid w:val="00A92908"/>
    <w:rsid w:val="00A9297A"/>
    <w:rsid w:val="00A929C2"/>
    <w:rsid w:val="00A930F9"/>
    <w:rsid w:val="00A93627"/>
    <w:rsid w:val="00A93B7F"/>
    <w:rsid w:val="00A942A6"/>
    <w:rsid w:val="00A94E00"/>
    <w:rsid w:val="00A951F2"/>
    <w:rsid w:val="00A95547"/>
    <w:rsid w:val="00A955B6"/>
    <w:rsid w:val="00A95DA0"/>
    <w:rsid w:val="00A96AF6"/>
    <w:rsid w:val="00AA011B"/>
    <w:rsid w:val="00AA0E5A"/>
    <w:rsid w:val="00AA1B47"/>
    <w:rsid w:val="00AA1E1B"/>
    <w:rsid w:val="00AA2EAC"/>
    <w:rsid w:val="00AA3BD5"/>
    <w:rsid w:val="00AA3F43"/>
    <w:rsid w:val="00AA408F"/>
    <w:rsid w:val="00AA486E"/>
    <w:rsid w:val="00AA5661"/>
    <w:rsid w:val="00AA57AE"/>
    <w:rsid w:val="00AA6E56"/>
    <w:rsid w:val="00AB0720"/>
    <w:rsid w:val="00AB0FC5"/>
    <w:rsid w:val="00AB1499"/>
    <w:rsid w:val="00AB20D5"/>
    <w:rsid w:val="00AB3026"/>
    <w:rsid w:val="00AB32F2"/>
    <w:rsid w:val="00AB34CA"/>
    <w:rsid w:val="00AB4003"/>
    <w:rsid w:val="00AB58FA"/>
    <w:rsid w:val="00AB62B6"/>
    <w:rsid w:val="00AB7805"/>
    <w:rsid w:val="00AB7932"/>
    <w:rsid w:val="00AB7A55"/>
    <w:rsid w:val="00AC0775"/>
    <w:rsid w:val="00AC10DA"/>
    <w:rsid w:val="00AC1C59"/>
    <w:rsid w:val="00AC268A"/>
    <w:rsid w:val="00AC2A98"/>
    <w:rsid w:val="00AC31E8"/>
    <w:rsid w:val="00AC3B8E"/>
    <w:rsid w:val="00AC3C70"/>
    <w:rsid w:val="00AC4193"/>
    <w:rsid w:val="00AC4CA5"/>
    <w:rsid w:val="00AC548A"/>
    <w:rsid w:val="00AC5902"/>
    <w:rsid w:val="00AC5956"/>
    <w:rsid w:val="00AC5DEA"/>
    <w:rsid w:val="00AC61CB"/>
    <w:rsid w:val="00AC65A6"/>
    <w:rsid w:val="00AC68B3"/>
    <w:rsid w:val="00AC77DF"/>
    <w:rsid w:val="00AD01EE"/>
    <w:rsid w:val="00AD11B2"/>
    <w:rsid w:val="00AD13F1"/>
    <w:rsid w:val="00AD1B15"/>
    <w:rsid w:val="00AD22AD"/>
    <w:rsid w:val="00AD28D2"/>
    <w:rsid w:val="00AD2BF4"/>
    <w:rsid w:val="00AD39FF"/>
    <w:rsid w:val="00AD3EA5"/>
    <w:rsid w:val="00AD400F"/>
    <w:rsid w:val="00AD405F"/>
    <w:rsid w:val="00AD4BD6"/>
    <w:rsid w:val="00AD5020"/>
    <w:rsid w:val="00AD516F"/>
    <w:rsid w:val="00AD557E"/>
    <w:rsid w:val="00AD5ABD"/>
    <w:rsid w:val="00AD5D25"/>
    <w:rsid w:val="00AD6390"/>
    <w:rsid w:val="00AD7D75"/>
    <w:rsid w:val="00AD7F0F"/>
    <w:rsid w:val="00AE36C4"/>
    <w:rsid w:val="00AE38F9"/>
    <w:rsid w:val="00AE3C71"/>
    <w:rsid w:val="00AE3F16"/>
    <w:rsid w:val="00AE40A9"/>
    <w:rsid w:val="00AE4482"/>
    <w:rsid w:val="00AE4AEC"/>
    <w:rsid w:val="00AE4FA4"/>
    <w:rsid w:val="00AE55CD"/>
    <w:rsid w:val="00AE5AEE"/>
    <w:rsid w:val="00AE6578"/>
    <w:rsid w:val="00AE79C1"/>
    <w:rsid w:val="00AE7DF0"/>
    <w:rsid w:val="00AF0519"/>
    <w:rsid w:val="00AF102C"/>
    <w:rsid w:val="00AF18BF"/>
    <w:rsid w:val="00AF269F"/>
    <w:rsid w:val="00AF2DA0"/>
    <w:rsid w:val="00AF2E4F"/>
    <w:rsid w:val="00AF2F7A"/>
    <w:rsid w:val="00AF49FF"/>
    <w:rsid w:val="00AF5A59"/>
    <w:rsid w:val="00AF6B17"/>
    <w:rsid w:val="00AF74EC"/>
    <w:rsid w:val="00B00345"/>
    <w:rsid w:val="00B00965"/>
    <w:rsid w:val="00B00D0E"/>
    <w:rsid w:val="00B00DFE"/>
    <w:rsid w:val="00B023AD"/>
    <w:rsid w:val="00B028A9"/>
    <w:rsid w:val="00B02DCC"/>
    <w:rsid w:val="00B02F58"/>
    <w:rsid w:val="00B0313C"/>
    <w:rsid w:val="00B03859"/>
    <w:rsid w:val="00B04697"/>
    <w:rsid w:val="00B048C3"/>
    <w:rsid w:val="00B06318"/>
    <w:rsid w:val="00B07023"/>
    <w:rsid w:val="00B0706A"/>
    <w:rsid w:val="00B079D7"/>
    <w:rsid w:val="00B07B0F"/>
    <w:rsid w:val="00B07D27"/>
    <w:rsid w:val="00B07E04"/>
    <w:rsid w:val="00B115BB"/>
    <w:rsid w:val="00B11F76"/>
    <w:rsid w:val="00B12FDE"/>
    <w:rsid w:val="00B13E7A"/>
    <w:rsid w:val="00B151A8"/>
    <w:rsid w:val="00B15619"/>
    <w:rsid w:val="00B16784"/>
    <w:rsid w:val="00B17228"/>
    <w:rsid w:val="00B17B11"/>
    <w:rsid w:val="00B17FCF"/>
    <w:rsid w:val="00B208CE"/>
    <w:rsid w:val="00B21D4D"/>
    <w:rsid w:val="00B2221D"/>
    <w:rsid w:val="00B224B4"/>
    <w:rsid w:val="00B22666"/>
    <w:rsid w:val="00B23670"/>
    <w:rsid w:val="00B23BE7"/>
    <w:rsid w:val="00B24394"/>
    <w:rsid w:val="00B24D74"/>
    <w:rsid w:val="00B25536"/>
    <w:rsid w:val="00B267E3"/>
    <w:rsid w:val="00B272CA"/>
    <w:rsid w:val="00B27865"/>
    <w:rsid w:val="00B313AD"/>
    <w:rsid w:val="00B317A8"/>
    <w:rsid w:val="00B31D10"/>
    <w:rsid w:val="00B31E31"/>
    <w:rsid w:val="00B321B8"/>
    <w:rsid w:val="00B32EFD"/>
    <w:rsid w:val="00B3317C"/>
    <w:rsid w:val="00B3331F"/>
    <w:rsid w:val="00B33C67"/>
    <w:rsid w:val="00B34288"/>
    <w:rsid w:val="00B34EEC"/>
    <w:rsid w:val="00B3563E"/>
    <w:rsid w:val="00B356B4"/>
    <w:rsid w:val="00B36569"/>
    <w:rsid w:val="00B36D29"/>
    <w:rsid w:val="00B376EB"/>
    <w:rsid w:val="00B37DB0"/>
    <w:rsid w:val="00B41DC3"/>
    <w:rsid w:val="00B4200E"/>
    <w:rsid w:val="00B44E1A"/>
    <w:rsid w:val="00B44E30"/>
    <w:rsid w:val="00B4577E"/>
    <w:rsid w:val="00B4794A"/>
    <w:rsid w:val="00B50080"/>
    <w:rsid w:val="00B51A24"/>
    <w:rsid w:val="00B51DCF"/>
    <w:rsid w:val="00B51FD4"/>
    <w:rsid w:val="00B52079"/>
    <w:rsid w:val="00B5231A"/>
    <w:rsid w:val="00B52AB7"/>
    <w:rsid w:val="00B52F79"/>
    <w:rsid w:val="00B53355"/>
    <w:rsid w:val="00B55C0F"/>
    <w:rsid w:val="00B55F7A"/>
    <w:rsid w:val="00B60098"/>
    <w:rsid w:val="00B60296"/>
    <w:rsid w:val="00B60B17"/>
    <w:rsid w:val="00B611B6"/>
    <w:rsid w:val="00B612BF"/>
    <w:rsid w:val="00B613D0"/>
    <w:rsid w:val="00B615AB"/>
    <w:rsid w:val="00B61F37"/>
    <w:rsid w:val="00B624F9"/>
    <w:rsid w:val="00B63C3F"/>
    <w:rsid w:val="00B64674"/>
    <w:rsid w:val="00B646DE"/>
    <w:rsid w:val="00B65090"/>
    <w:rsid w:val="00B65193"/>
    <w:rsid w:val="00B663B7"/>
    <w:rsid w:val="00B66D33"/>
    <w:rsid w:val="00B674FB"/>
    <w:rsid w:val="00B70D97"/>
    <w:rsid w:val="00B70E17"/>
    <w:rsid w:val="00B70E87"/>
    <w:rsid w:val="00B7191F"/>
    <w:rsid w:val="00B71961"/>
    <w:rsid w:val="00B72157"/>
    <w:rsid w:val="00B7253E"/>
    <w:rsid w:val="00B72814"/>
    <w:rsid w:val="00B73C6A"/>
    <w:rsid w:val="00B744B5"/>
    <w:rsid w:val="00B759E9"/>
    <w:rsid w:val="00B75CCC"/>
    <w:rsid w:val="00B7658B"/>
    <w:rsid w:val="00B76647"/>
    <w:rsid w:val="00B76C5B"/>
    <w:rsid w:val="00B76ED2"/>
    <w:rsid w:val="00B80A1B"/>
    <w:rsid w:val="00B826AF"/>
    <w:rsid w:val="00B84BB2"/>
    <w:rsid w:val="00B85332"/>
    <w:rsid w:val="00B85AE0"/>
    <w:rsid w:val="00B85AE7"/>
    <w:rsid w:val="00B86430"/>
    <w:rsid w:val="00B86976"/>
    <w:rsid w:val="00B86D30"/>
    <w:rsid w:val="00B87735"/>
    <w:rsid w:val="00B905DC"/>
    <w:rsid w:val="00B906EC"/>
    <w:rsid w:val="00B911F4"/>
    <w:rsid w:val="00B91E92"/>
    <w:rsid w:val="00B943F5"/>
    <w:rsid w:val="00B94BBB"/>
    <w:rsid w:val="00B94D1B"/>
    <w:rsid w:val="00B953E2"/>
    <w:rsid w:val="00B95924"/>
    <w:rsid w:val="00B9639B"/>
    <w:rsid w:val="00B96458"/>
    <w:rsid w:val="00B976C7"/>
    <w:rsid w:val="00BA17B3"/>
    <w:rsid w:val="00BA21C9"/>
    <w:rsid w:val="00BA3524"/>
    <w:rsid w:val="00BA3BEE"/>
    <w:rsid w:val="00BA410F"/>
    <w:rsid w:val="00BA502A"/>
    <w:rsid w:val="00BA506B"/>
    <w:rsid w:val="00BA508E"/>
    <w:rsid w:val="00BA582C"/>
    <w:rsid w:val="00BA7ED1"/>
    <w:rsid w:val="00BB02AD"/>
    <w:rsid w:val="00BB0453"/>
    <w:rsid w:val="00BB22B5"/>
    <w:rsid w:val="00BB28DF"/>
    <w:rsid w:val="00BB2C4C"/>
    <w:rsid w:val="00BB3E64"/>
    <w:rsid w:val="00BB5D2D"/>
    <w:rsid w:val="00BB5F7B"/>
    <w:rsid w:val="00BC0017"/>
    <w:rsid w:val="00BC05A1"/>
    <w:rsid w:val="00BC0F8C"/>
    <w:rsid w:val="00BC135D"/>
    <w:rsid w:val="00BC184E"/>
    <w:rsid w:val="00BC1956"/>
    <w:rsid w:val="00BC3268"/>
    <w:rsid w:val="00BC4259"/>
    <w:rsid w:val="00BC4382"/>
    <w:rsid w:val="00BC5F4F"/>
    <w:rsid w:val="00BC72A7"/>
    <w:rsid w:val="00BC74BF"/>
    <w:rsid w:val="00BD0852"/>
    <w:rsid w:val="00BD0F35"/>
    <w:rsid w:val="00BD119E"/>
    <w:rsid w:val="00BD12BA"/>
    <w:rsid w:val="00BD18F3"/>
    <w:rsid w:val="00BD1C66"/>
    <w:rsid w:val="00BD1CB9"/>
    <w:rsid w:val="00BD1ECC"/>
    <w:rsid w:val="00BD20ED"/>
    <w:rsid w:val="00BD2ADD"/>
    <w:rsid w:val="00BD32E0"/>
    <w:rsid w:val="00BD37DF"/>
    <w:rsid w:val="00BD4127"/>
    <w:rsid w:val="00BD5A8C"/>
    <w:rsid w:val="00BD603C"/>
    <w:rsid w:val="00BD6193"/>
    <w:rsid w:val="00BD6785"/>
    <w:rsid w:val="00BD7238"/>
    <w:rsid w:val="00BD74F3"/>
    <w:rsid w:val="00BD7B79"/>
    <w:rsid w:val="00BE07E5"/>
    <w:rsid w:val="00BE11A3"/>
    <w:rsid w:val="00BE1248"/>
    <w:rsid w:val="00BE1B26"/>
    <w:rsid w:val="00BE1B69"/>
    <w:rsid w:val="00BE1F2D"/>
    <w:rsid w:val="00BE22F9"/>
    <w:rsid w:val="00BE26A6"/>
    <w:rsid w:val="00BE36D1"/>
    <w:rsid w:val="00BE546F"/>
    <w:rsid w:val="00BE60C0"/>
    <w:rsid w:val="00BE67C2"/>
    <w:rsid w:val="00BE7326"/>
    <w:rsid w:val="00BF00B6"/>
    <w:rsid w:val="00BF07B2"/>
    <w:rsid w:val="00BF0903"/>
    <w:rsid w:val="00BF1070"/>
    <w:rsid w:val="00BF184D"/>
    <w:rsid w:val="00BF28D0"/>
    <w:rsid w:val="00BF2B45"/>
    <w:rsid w:val="00BF36F4"/>
    <w:rsid w:val="00BF379D"/>
    <w:rsid w:val="00BF3A29"/>
    <w:rsid w:val="00BF3ECE"/>
    <w:rsid w:val="00BF4042"/>
    <w:rsid w:val="00BF4315"/>
    <w:rsid w:val="00BF47FB"/>
    <w:rsid w:val="00BF4C4A"/>
    <w:rsid w:val="00BF552E"/>
    <w:rsid w:val="00BF6A20"/>
    <w:rsid w:val="00C000E5"/>
    <w:rsid w:val="00C00291"/>
    <w:rsid w:val="00C008D9"/>
    <w:rsid w:val="00C02DCA"/>
    <w:rsid w:val="00C03365"/>
    <w:rsid w:val="00C03376"/>
    <w:rsid w:val="00C0392D"/>
    <w:rsid w:val="00C039AB"/>
    <w:rsid w:val="00C03AE8"/>
    <w:rsid w:val="00C03FEE"/>
    <w:rsid w:val="00C04C09"/>
    <w:rsid w:val="00C05192"/>
    <w:rsid w:val="00C05818"/>
    <w:rsid w:val="00C061AE"/>
    <w:rsid w:val="00C0629D"/>
    <w:rsid w:val="00C062FA"/>
    <w:rsid w:val="00C06580"/>
    <w:rsid w:val="00C068C5"/>
    <w:rsid w:val="00C06DDA"/>
    <w:rsid w:val="00C07345"/>
    <w:rsid w:val="00C0735E"/>
    <w:rsid w:val="00C075D3"/>
    <w:rsid w:val="00C10012"/>
    <w:rsid w:val="00C104A8"/>
    <w:rsid w:val="00C104E9"/>
    <w:rsid w:val="00C1189B"/>
    <w:rsid w:val="00C12B99"/>
    <w:rsid w:val="00C12F4C"/>
    <w:rsid w:val="00C1344F"/>
    <w:rsid w:val="00C13C14"/>
    <w:rsid w:val="00C15B81"/>
    <w:rsid w:val="00C16105"/>
    <w:rsid w:val="00C16422"/>
    <w:rsid w:val="00C1758B"/>
    <w:rsid w:val="00C17C27"/>
    <w:rsid w:val="00C17EDB"/>
    <w:rsid w:val="00C205BE"/>
    <w:rsid w:val="00C211F3"/>
    <w:rsid w:val="00C21D47"/>
    <w:rsid w:val="00C226AB"/>
    <w:rsid w:val="00C22AAF"/>
    <w:rsid w:val="00C240F0"/>
    <w:rsid w:val="00C2432D"/>
    <w:rsid w:val="00C24524"/>
    <w:rsid w:val="00C24904"/>
    <w:rsid w:val="00C249FF"/>
    <w:rsid w:val="00C24E39"/>
    <w:rsid w:val="00C253F8"/>
    <w:rsid w:val="00C2584A"/>
    <w:rsid w:val="00C25BCF"/>
    <w:rsid w:val="00C25C98"/>
    <w:rsid w:val="00C25CE4"/>
    <w:rsid w:val="00C26C6E"/>
    <w:rsid w:val="00C27CD9"/>
    <w:rsid w:val="00C309DB"/>
    <w:rsid w:val="00C3132E"/>
    <w:rsid w:val="00C32F31"/>
    <w:rsid w:val="00C334A5"/>
    <w:rsid w:val="00C3390C"/>
    <w:rsid w:val="00C33F6C"/>
    <w:rsid w:val="00C34146"/>
    <w:rsid w:val="00C3650A"/>
    <w:rsid w:val="00C37932"/>
    <w:rsid w:val="00C37A91"/>
    <w:rsid w:val="00C40B4A"/>
    <w:rsid w:val="00C40F6C"/>
    <w:rsid w:val="00C41E53"/>
    <w:rsid w:val="00C41EFF"/>
    <w:rsid w:val="00C429BA"/>
    <w:rsid w:val="00C42A8F"/>
    <w:rsid w:val="00C42BAC"/>
    <w:rsid w:val="00C43460"/>
    <w:rsid w:val="00C44894"/>
    <w:rsid w:val="00C451F4"/>
    <w:rsid w:val="00C4600E"/>
    <w:rsid w:val="00C46C9C"/>
    <w:rsid w:val="00C47143"/>
    <w:rsid w:val="00C505F6"/>
    <w:rsid w:val="00C5062E"/>
    <w:rsid w:val="00C51870"/>
    <w:rsid w:val="00C51D3B"/>
    <w:rsid w:val="00C52D06"/>
    <w:rsid w:val="00C5450A"/>
    <w:rsid w:val="00C5463E"/>
    <w:rsid w:val="00C54AB4"/>
    <w:rsid w:val="00C55216"/>
    <w:rsid w:val="00C552F5"/>
    <w:rsid w:val="00C5532E"/>
    <w:rsid w:val="00C55863"/>
    <w:rsid w:val="00C55B8F"/>
    <w:rsid w:val="00C55FBC"/>
    <w:rsid w:val="00C56308"/>
    <w:rsid w:val="00C5753E"/>
    <w:rsid w:val="00C6003A"/>
    <w:rsid w:val="00C60150"/>
    <w:rsid w:val="00C60E0C"/>
    <w:rsid w:val="00C61B91"/>
    <w:rsid w:val="00C62F0F"/>
    <w:rsid w:val="00C64A8C"/>
    <w:rsid w:val="00C64D37"/>
    <w:rsid w:val="00C65616"/>
    <w:rsid w:val="00C6579D"/>
    <w:rsid w:val="00C66224"/>
    <w:rsid w:val="00C666C3"/>
    <w:rsid w:val="00C66E12"/>
    <w:rsid w:val="00C6750A"/>
    <w:rsid w:val="00C70BC8"/>
    <w:rsid w:val="00C70E71"/>
    <w:rsid w:val="00C71584"/>
    <w:rsid w:val="00C717EB"/>
    <w:rsid w:val="00C7258E"/>
    <w:rsid w:val="00C75BBC"/>
    <w:rsid w:val="00C75E30"/>
    <w:rsid w:val="00C77C1E"/>
    <w:rsid w:val="00C80280"/>
    <w:rsid w:val="00C8080D"/>
    <w:rsid w:val="00C80C2A"/>
    <w:rsid w:val="00C80EC0"/>
    <w:rsid w:val="00C80F40"/>
    <w:rsid w:val="00C81FBF"/>
    <w:rsid w:val="00C8222C"/>
    <w:rsid w:val="00C82EEE"/>
    <w:rsid w:val="00C830D9"/>
    <w:rsid w:val="00C8432A"/>
    <w:rsid w:val="00C843FD"/>
    <w:rsid w:val="00C84990"/>
    <w:rsid w:val="00C8549E"/>
    <w:rsid w:val="00C85503"/>
    <w:rsid w:val="00C85EE4"/>
    <w:rsid w:val="00C86556"/>
    <w:rsid w:val="00C86F2F"/>
    <w:rsid w:val="00C870AE"/>
    <w:rsid w:val="00C871AA"/>
    <w:rsid w:val="00C879B8"/>
    <w:rsid w:val="00C87DEC"/>
    <w:rsid w:val="00C90C34"/>
    <w:rsid w:val="00C91494"/>
    <w:rsid w:val="00C91568"/>
    <w:rsid w:val="00C91D10"/>
    <w:rsid w:val="00C91D80"/>
    <w:rsid w:val="00C929D6"/>
    <w:rsid w:val="00C929E3"/>
    <w:rsid w:val="00C938CA"/>
    <w:rsid w:val="00C9390B"/>
    <w:rsid w:val="00C95440"/>
    <w:rsid w:val="00C9574F"/>
    <w:rsid w:val="00C95CD2"/>
    <w:rsid w:val="00C960D0"/>
    <w:rsid w:val="00CA01A1"/>
    <w:rsid w:val="00CA090A"/>
    <w:rsid w:val="00CA2000"/>
    <w:rsid w:val="00CA23A0"/>
    <w:rsid w:val="00CA2BF7"/>
    <w:rsid w:val="00CA3717"/>
    <w:rsid w:val="00CA462F"/>
    <w:rsid w:val="00CA4C11"/>
    <w:rsid w:val="00CA4C20"/>
    <w:rsid w:val="00CA5164"/>
    <w:rsid w:val="00CA5CA7"/>
    <w:rsid w:val="00CA5F9D"/>
    <w:rsid w:val="00CA6E07"/>
    <w:rsid w:val="00CA704E"/>
    <w:rsid w:val="00CB14D7"/>
    <w:rsid w:val="00CB1504"/>
    <w:rsid w:val="00CB189E"/>
    <w:rsid w:val="00CB1CD9"/>
    <w:rsid w:val="00CB1E97"/>
    <w:rsid w:val="00CB2436"/>
    <w:rsid w:val="00CB253A"/>
    <w:rsid w:val="00CB3B11"/>
    <w:rsid w:val="00CB418E"/>
    <w:rsid w:val="00CB4479"/>
    <w:rsid w:val="00CB5364"/>
    <w:rsid w:val="00CB5638"/>
    <w:rsid w:val="00CB60F9"/>
    <w:rsid w:val="00CB75FA"/>
    <w:rsid w:val="00CB7C28"/>
    <w:rsid w:val="00CC0662"/>
    <w:rsid w:val="00CC09D8"/>
    <w:rsid w:val="00CC13B9"/>
    <w:rsid w:val="00CC1B03"/>
    <w:rsid w:val="00CC2232"/>
    <w:rsid w:val="00CC29D7"/>
    <w:rsid w:val="00CC405D"/>
    <w:rsid w:val="00CC4580"/>
    <w:rsid w:val="00CC52BC"/>
    <w:rsid w:val="00CC5844"/>
    <w:rsid w:val="00CC60FD"/>
    <w:rsid w:val="00CC678E"/>
    <w:rsid w:val="00CD020D"/>
    <w:rsid w:val="00CD0C89"/>
    <w:rsid w:val="00CD11AB"/>
    <w:rsid w:val="00CD1ADD"/>
    <w:rsid w:val="00CD1D1D"/>
    <w:rsid w:val="00CD2E57"/>
    <w:rsid w:val="00CD34D4"/>
    <w:rsid w:val="00CD38A9"/>
    <w:rsid w:val="00CD3EF2"/>
    <w:rsid w:val="00CD4A06"/>
    <w:rsid w:val="00CD5D21"/>
    <w:rsid w:val="00CD615C"/>
    <w:rsid w:val="00CD6DE4"/>
    <w:rsid w:val="00CE01FC"/>
    <w:rsid w:val="00CE077E"/>
    <w:rsid w:val="00CE09A3"/>
    <w:rsid w:val="00CE128F"/>
    <w:rsid w:val="00CE1F72"/>
    <w:rsid w:val="00CE21CE"/>
    <w:rsid w:val="00CE24A6"/>
    <w:rsid w:val="00CE2583"/>
    <w:rsid w:val="00CE28D5"/>
    <w:rsid w:val="00CE2D8C"/>
    <w:rsid w:val="00CE37F8"/>
    <w:rsid w:val="00CE3D31"/>
    <w:rsid w:val="00CE4409"/>
    <w:rsid w:val="00CE4DB2"/>
    <w:rsid w:val="00CE50D7"/>
    <w:rsid w:val="00CE5456"/>
    <w:rsid w:val="00CE6566"/>
    <w:rsid w:val="00CE6C5B"/>
    <w:rsid w:val="00CE6FB9"/>
    <w:rsid w:val="00CE7116"/>
    <w:rsid w:val="00CE71E4"/>
    <w:rsid w:val="00CE7289"/>
    <w:rsid w:val="00CE7A04"/>
    <w:rsid w:val="00CF05D8"/>
    <w:rsid w:val="00CF0AE3"/>
    <w:rsid w:val="00CF15A5"/>
    <w:rsid w:val="00CF22A2"/>
    <w:rsid w:val="00CF29BE"/>
    <w:rsid w:val="00CF38BD"/>
    <w:rsid w:val="00CF41CE"/>
    <w:rsid w:val="00CF5604"/>
    <w:rsid w:val="00CF5870"/>
    <w:rsid w:val="00CF5A95"/>
    <w:rsid w:val="00CF626E"/>
    <w:rsid w:val="00CF7F21"/>
    <w:rsid w:val="00D003B4"/>
    <w:rsid w:val="00D00A2E"/>
    <w:rsid w:val="00D02064"/>
    <w:rsid w:val="00D02C04"/>
    <w:rsid w:val="00D02F10"/>
    <w:rsid w:val="00D0308F"/>
    <w:rsid w:val="00D03E57"/>
    <w:rsid w:val="00D04BB2"/>
    <w:rsid w:val="00D05B9A"/>
    <w:rsid w:val="00D060F0"/>
    <w:rsid w:val="00D101CE"/>
    <w:rsid w:val="00D102EE"/>
    <w:rsid w:val="00D10C51"/>
    <w:rsid w:val="00D139FF"/>
    <w:rsid w:val="00D15228"/>
    <w:rsid w:val="00D15D5C"/>
    <w:rsid w:val="00D1664D"/>
    <w:rsid w:val="00D16F16"/>
    <w:rsid w:val="00D17637"/>
    <w:rsid w:val="00D20331"/>
    <w:rsid w:val="00D20670"/>
    <w:rsid w:val="00D21680"/>
    <w:rsid w:val="00D22D4E"/>
    <w:rsid w:val="00D253C4"/>
    <w:rsid w:val="00D26672"/>
    <w:rsid w:val="00D269E0"/>
    <w:rsid w:val="00D26B80"/>
    <w:rsid w:val="00D27946"/>
    <w:rsid w:val="00D27ACC"/>
    <w:rsid w:val="00D27C31"/>
    <w:rsid w:val="00D27E9A"/>
    <w:rsid w:val="00D305DE"/>
    <w:rsid w:val="00D30700"/>
    <w:rsid w:val="00D314CF"/>
    <w:rsid w:val="00D31CF9"/>
    <w:rsid w:val="00D328B5"/>
    <w:rsid w:val="00D3350A"/>
    <w:rsid w:val="00D34F14"/>
    <w:rsid w:val="00D352A0"/>
    <w:rsid w:val="00D352C7"/>
    <w:rsid w:val="00D354DD"/>
    <w:rsid w:val="00D3572D"/>
    <w:rsid w:val="00D35C6D"/>
    <w:rsid w:val="00D36A83"/>
    <w:rsid w:val="00D374CE"/>
    <w:rsid w:val="00D37981"/>
    <w:rsid w:val="00D37E1D"/>
    <w:rsid w:val="00D40ACE"/>
    <w:rsid w:val="00D40B95"/>
    <w:rsid w:val="00D40C22"/>
    <w:rsid w:val="00D40C78"/>
    <w:rsid w:val="00D414C4"/>
    <w:rsid w:val="00D42D5C"/>
    <w:rsid w:val="00D433C0"/>
    <w:rsid w:val="00D446F4"/>
    <w:rsid w:val="00D4482C"/>
    <w:rsid w:val="00D44DFE"/>
    <w:rsid w:val="00D46042"/>
    <w:rsid w:val="00D46198"/>
    <w:rsid w:val="00D46387"/>
    <w:rsid w:val="00D4648D"/>
    <w:rsid w:val="00D466CB"/>
    <w:rsid w:val="00D47147"/>
    <w:rsid w:val="00D47B41"/>
    <w:rsid w:val="00D47CDC"/>
    <w:rsid w:val="00D5019C"/>
    <w:rsid w:val="00D532BC"/>
    <w:rsid w:val="00D53A37"/>
    <w:rsid w:val="00D53C86"/>
    <w:rsid w:val="00D55AD9"/>
    <w:rsid w:val="00D56810"/>
    <w:rsid w:val="00D57115"/>
    <w:rsid w:val="00D57CB9"/>
    <w:rsid w:val="00D60579"/>
    <w:rsid w:val="00D60B13"/>
    <w:rsid w:val="00D6149A"/>
    <w:rsid w:val="00D62F80"/>
    <w:rsid w:val="00D63618"/>
    <w:rsid w:val="00D63A17"/>
    <w:rsid w:val="00D64D38"/>
    <w:rsid w:val="00D65BC2"/>
    <w:rsid w:val="00D65FEC"/>
    <w:rsid w:val="00D672BA"/>
    <w:rsid w:val="00D675A3"/>
    <w:rsid w:val="00D67C46"/>
    <w:rsid w:val="00D67F92"/>
    <w:rsid w:val="00D700EE"/>
    <w:rsid w:val="00D7019A"/>
    <w:rsid w:val="00D70C06"/>
    <w:rsid w:val="00D70D41"/>
    <w:rsid w:val="00D721F0"/>
    <w:rsid w:val="00D722B3"/>
    <w:rsid w:val="00D729E7"/>
    <w:rsid w:val="00D73228"/>
    <w:rsid w:val="00D75836"/>
    <w:rsid w:val="00D75A96"/>
    <w:rsid w:val="00D75DD2"/>
    <w:rsid w:val="00D76182"/>
    <w:rsid w:val="00D76424"/>
    <w:rsid w:val="00D764F5"/>
    <w:rsid w:val="00D76C18"/>
    <w:rsid w:val="00D77C3D"/>
    <w:rsid w:val="00D8151A"/>
    <w:rsid w:val="00D816F8"/>
    <w:rsid w:val="00D82165"/>
    <w:rsid w:val="00D82229"/>
    <w:rsid w:val="00D8277B"/>
    <w:rsid w:val="00D82800"/>
    <w:rsid w:val="00D829EC"/>
    <w:rsid w:val="00D82E7E"/>
    <w:rsid w:val="00D83241"/>
    <w:rsid w:val="00D83345"/>
    <w:rsid w:val="00D83543"/>
    <w:rsid w:val="00D84F85"/>
    <w:rsid w:val="00D85011"/>
    <w:rsid w:val="00D854A1"/>
    <w:rsid w:val="00D859A5"/>
    <w:rsid w:val="00D86388"/>
    <w:rsid w:val="00D86869"/>
    <w:rsid w:val="00D874F5"/>
    <w:rsid w:val="00D877C0"/>
    <w:rsid w:val="00D90211"/>
    <w:rsid w:val="00D90C0F"/>
    <w:rsid w:val="00D91F1B"/>
    <w:rsid w:val="00D92AC1"/>
    <w:rsid w:val="00D93280"/>
    <w:rsid w:val="00D939E9"/>
    <w:rsid w:val="00D93D86"/>
    <w:rsid w:val="00D9436B"/>
    <w:rsid w:val="00D94578"/>
    <w:rsid w:val="00D946F7"/>
    <w:rsid w:val="00D963E2"/>
    <w:rsid w:val="00D969DE"/>
    <w:rsid w:val="00DA0268"/>
    <w:rsid w:val="00DA0302"/>
    <w:rsid w:val="00DA2910"/>
    <w:rsid w:val="00DA3461"/>
    <w:rsid w:val="00DA3738"/>
    <w:rsid w:val="00DA44AD"/>
    <w:rsid w:val="00DA467A"/>
    <w:rsid w:val="00DA48C2"/>
    <w:rsid w:val="00DA57CF"/>
    <w:rsid w:val="00DA5DBD"/>
    <w:rsid w:val="00DA62C3"/>
    <w:rsid w:val="00DA6A03"/>
    <w:rsid w:val="00DA7123"/>
    <w:rsid w:val="00DA7529"/>
    <w:rsid w:val="00DA7C27"/>
    <w:rsid w:val="00DA7EC5"/>
    <w:rsid w:val="00DB1F80"/>
    <w:rsid w:val="00DB28E7"/>
    <w:rsid w:val="00DB2955"/>
    <w:rsid w:val="00DB3092"/>
    <w:rsid w:val="00DB647F"/>
    <w:rsid w:val="00DB6E02"/>
    <w:rsid w:val="00DC0167"/>
    <w:rsid w:val="00DC0AAE"/>
    <w:rsid w:val="00DC0BB8"/>
    <w:rsid w:val="00DC1E41"/>
    <w:rsid w:val="00DC21E8"/>
    <w:rsid w:val="00DC2485"/>
    <w:rsid w:val="00DC35B0"/>
    <w:rsid w:val="00DC3A8A"/>
    <w:rsid w:val="00DC411C"/>
    <w:rsid w:val="00DC4E28"/>
    <w:rsid w:val="00DC51BA"/>
    <w:rsid w:val="00DC5D5D"/>
    <w:rsid w:val="00DC5E71"/>
    <w:rsid w:val="00DC730F"/>
    <w:rsid w:val="00DC7452"/>
    <w:rsid w:val="00DD0413"/>
    <w:rsid w:val="00DD0454"/>
    <w:rsid w:val="00DD04F7"/>
    <w:rsid w:val="00DD07E6"/>
    <w:rsid w:val="00DD0E02"/>
    <w:rsid w:val="00DD15FB"/>
    <w:rsid w:val="00DD1B38"/>
    <w:rsid w:val="00DD1FA8"/>
    <w:rsid w:val="00DD25A3"/>
    <w:rsid w:val="00DD2835"/>
    <w:rsid w:val="00DD41BD"/>
    <w:rsid w:val="00DD4484"/>
    <w:rsid w:val="00DD4672"/>
    <w:rsid w:val="00DD4793"/>
    <w:rsid w:val="00DD4D9D"/>
    <w:rsid w:val="00DD6812"/>
    <w:rsid w:val="00DD70A7"/>
    <w:rsid w:val="00DE194C"/>
    <w:rsid w:val="00DE395E"/>
    <w:rsid w:val="00DE3F7A"/>
    <w:rsid w:val="00DE5049"/>
    <w:rsid w:val="00DE575D"/>
    <w:rsid w:val="00DE5871"/>
    <w:rsid w:val="00DE6223"/>
    <w:rsid w:val="00DE6E8B"/>
    <w:rsid w:val="00DE7DCF"/>
    <w:rsid w:val="00DF1059"/>
    <w:rsid w:val="00DF10DC"/>
    <w:rsid w:val="00DF16A1"/>
    <w:rsid w:val="00DF1B17"/>
    <w:rsid w:val="00DF271B"/>
    <w:rsid w:val="00DF397C"/>
    <w:rsid w:val="00DF3C7C"/>
    <w:rsid w:val="00DF48CA"/>
    <w:rsid w:val="00DF5391"/>
    <w:rsid w:val="00DF5A02"/>
    <w:rsid w:val="00DF5ABB"/>
    <w:rsid w:val="00DF5E9E"/>
    <w:rsid w:val="00DF6D81"/>
    <w:rsid w:val="00DF70B2"/>
    <w:rsid w:val="00DF7283"/>
    <w:rsid w:val="00DF7AF5"/>
    <w:rsid w:val="00DF7BA1"/>
    <w:rsid w:val="00DF7CCA"/>
    <w:rsid w:val="00E0051E"/>
    <w:rsid w:val="00E01BB7"/>
    <w:rsid w:val="00E01C97"/>
    <w:rsid w:val="00E01DD6"/>
    <w:rsid w:val="00E02D5B"/>
    <w:rsid w:val="00E02E8B"/>
    <w:rsid w:val="00E02FA3"/>
    <w:rsid w:val="00E040D9"/>
    <w:rsid w:val="00E0474A"/>
    <w:rsid w:val="00E04A78"/>
    <w:rsid w:val="00E04F95"/>
    <w:rsid w:val="00E05AA6"/>
    <w:rsid w:val="00E05C76"/>
    <w:rsid w:val="00E061F2"/>
    <w:rsid w:val="00E0650F"/>
    <w:rsid w:val="00E103F2"/>
    <w:rsid w:val="00E10FE1"/>
    <w:rsid w:val="00E11530"/>
    <w:rsid w:val="00E11DDD"/>
    <w:rsid w:val="00E12530"/>
    <w:rsid w:val="00E127E0"/>
    <w:rsid w:val="00E1300A"/>
    <w:rsid w:val="00E132AA"/>
    <w:rsid w:val="00E13A45"/>
    <w:rsid w:val="00E13C23"/>
    <w:rsid w:val="00E13CD9"/>
    <w:rsid w:val="00E140ED"/>
    <w:rsid w:val="00E145AC"/>
    <w:rsid w:val="00E1494F"/>
    <w:rsid w:val="00E15409"/>
    <w:rsid w:val="00E15FF1"/>
    <w:rsid w:val="00E16149"/>
    <w:rsid w:val="00E1641C"/>
    <w:rsid w:val="00E169BD"/>
    <w:rsid w:val="00E17A62"/>
    <w:rsid w:val="00E17DAA"/>
    <w:rsid w:val="00E20A62"/>
    <w:rsid w:val="00E2108F"/>
    <w:rsid w:val="00E22044"/>
    <w:rsid w:val="00E223B8"/>
    <w:rsid w:val="00E2280D"/>
    <w:rsid w:val="00E22962"/>
    <w:rsid w:val="00E22AD1"/>
    <w:rsid w:val="00E22E95"/>
    <w:rsid w:val="00E23E10"/>
    <w:rsid w:val="00E23E31"/>
    <w:rsid w:val="00E2444C"/>
    <w:rsid w:val="00E26068"/>
    <w:rsid w:val="00E276DC"/>
    <w:rsid w:val="00E279E9"/>
    <w:rsid w:val="00E27B15"/>
    <w:rsid w:val="00E27E1A"/>
    <w:rsid w:val="00E308E4"/>
    <w:rsid w:val="00E324A9"/>
    <w:rsid w:val="00E333A8"/>
    <w:rsid w:val="00E34AE7"/>
    <w:rsid w:val="00E35C68"/>
    <w:rsid w:val="00E35D07"/>
    <w:rsid w:val="00E3615E"/>
    <w:rsid w:val="00E36689"/>
    <w:rsid w:val="00E36C9A"/>
    <w:rsid w:val="00E377DD"/>
    <w:rsid w:val="00E37D86"/>
    <w:rsid w:val="00E40197"/>
    <w:rsid w:val="00E40485"/>
    <w:rsid w:val="00E41684"/>
    <w:rsid w:val="00E41A45"/>
    <w:rsid w:val="00E426A9"/>
    <w:rsid w:val="00E426BD"/>
    <w:rsid w:val="00E42CEF"/>
    <w:rsid w:val="00E43B1E"/>
    <w:rsid w:val="00E43FA4"/>
    <w:rsid w:val="00E44C49"/>
    <w:rsid w:val="00E44F27"/>
    <w:rsid w:val="00E458F4"/>
    <w:rsid w:val="00E45F4F"/>
    <w:rsid w:val="00E463E9"/>
    <w:rsid w:val="00E47806"/>
    <w:rsid w:val="00E47890"/>
    <w:rsid w:val="00E47C08"/>
    <w:rsid w:val="00E47F79"/>
    <w:rsid w:val="00E5070D"/>
    <w:rsid w:val="00E51FE6"/>
    <w:rsid w:val="00E52445"/>
    <w:rsid w:val="00E528EE"/>
    <w:rsid w:val="00E52B00"/>
    <w:rsid w:val="00E52E77"/>
    <w:rsid w:val="00E53628"/>
    <w:rsid w:val="00E5417E"/>
    <w:rsid w:val="00E54940"/>
    <w:rsid w:val="00E54C4D"/>
    <w:rsid w:val="00E55F3D"/>
    <w:rsid w:val="00E56301"/>
    <w:rsid w:val="00E56709"/>
    <w:rsid w:val="00E56D16"/>
    <w:rsid w:val="00E57AFE"/>
    <w:rsid w:val="00E57ECA"/>
    <w:rsid w:val="00E6176F"/>
    <w:rsid w:val="00E61B6D"/>
    <w:rsid w:val="00E620E1"/>
    <w:rsid w:val="00E6250A"/>
    <w:rsid w:val="00E63019"/>
    <w:rsid w:val="00E6392C"/>
    <w:rsid w:val="00E63EB8"/>
    <w:rsid w:val="00E646DC"/>
    <w:rsid w:val="00E64A1D"/>
    <w:rsid w:val="00E64C7C"/>
    <w:rsid w:val="00E658AA"/>
    <w:rsid w:val="00E665B6"/>
    <w:rsid w:val="00E66858"/>
    <w:rsid w:val="00E66B32"/>
    <w:rsid w:val="00E6727B"/>
    <w:rsid w:val="00E7036C"/>
    <w:rsid w:val="00E70921"/>
    <w:rsid w:val="00E70F82"/>
    <w:rsid w:val="00E71177"/>
    <w:rsid w:val="00E71A7F"/>
    <w:rsid w:val="00E72597"/>
    <w:rsid w:val="00E7302E"/>
    <w:rsid w:val="00E73D2D"/>
    <w:rsid w:val="00E74465"/>
    <w:rsid w:val="00E7658D"/>
    <w:rsid w:val="00E76963"/>
    <w:rsid w:val="00E77AEB"/>
    <w:rsid w:val="00E81244"/>
    <w:rsid w:val="00E812F0"/>
    <w:rsid w:val="00E81EC7"/>
    <w:rsid w:val="00E82178"/>
    <w:rsid w:val="00E83798"/>
    <w:rsid w:val="00E86065"/>
    <w:rsid w:val="00E861F8"/>
    <w:rsid w:val="00E866D1"/>
    <w:rsid w:val="00E86BD1"/>
    <w:rsid w:val="00E8770E"/>
    <w:rsid w:val="00E90910"/>
    <w:rsid w:val="00E91C42"/>
    <w:rsid w:val="00E921B1"/>
    <w:rsid w:val="00E92777"/>
    <w:rsid w:val="00E92CA6"/>
    <w:rsid w:val="00E931AA"/>
    <w:rsid w:val="00E93266"/>
    <w:rsid w:val="00E935DE"/>
    <w:rsid w:val="00E93E69"/>
    <w:rsid w:val="00E94912"/>
    <w:rsid w:val="00E94B3E"/>
    <w:rsid w:val="00E96BED"/>
    <w:rsid w:val="00E96F5D"/>
    <w:rsid w:val="00EA0C26"/>
    <w:rsid w:val="00EA0F9F"/>
    <w:rsid w:val="00EA1DC1"/>
    <w:rsid w:val="00EA1EC8"/>
    <w:rsid w:val="00EA22A1"/>
    <w:rsid w:val="00EA2F7B"/>
    <w:rsid w:val="00EA323A"/>
    <w:rsid w:val="00EA358C"/>
    <w:rsid w:val="00EA4258"/>
    <w:rsid w:val="00EA4363"/>
    <w:rsid w:val="00EA4E52"/>
    <w:rsid w:val="00EA60E6"/>
    <w:rsid w:val="00EA6CAF"/>
    <w:rsid w:val="00EA6CBB"/>
    <w:rsid w:val="00EA7820"/>
    <w:rsid w:val="00EA7866"/>
    <w:rsid w:val="00EB05C7"/>
    <w:rsid w:val="00EB13DF"/>
    <w:rsid w:val="00EB1CA1"/>
    <w:rsid w:val="00EB2D92"/>
    <w:rsid w:val="00EB4488"/>
    <w:rsid w:val="00EB5430"/>
    <w:rsid w:val="00EB553F"/>
    <w:rsid w:val="00EB691B"/>
    <w:rsid w:val="00EB7079"/>
    <w:rsid w:val="00EB70D5"/>
    <w:rsid w:val="00EB74A5"/>
    <w:rsid w:val="00EB78DC"/>
    <w:rsid w:val="00EC0398"/>
    <w:rsid w:val="00EC157B"/>
    <w:rsid w:val="00EC180E"/>
    <w:rsid w:val="00EC1D26"/>
    <w:rsid w:val="00EC2A23"/>
    <w:rsid w:val="00EC37F0"/>
    <w:rsid w:val="00EC40FF"/>
    <w:rsid w:val="00EC42FF"/>
    <w:rsid w:val="00EC471B"/>
    <w:rsid w:val="00EC4EE1"/>
    <w:rsid w:val="00EC508B"/>
    <w:rsid w:val="00EC53D3"/>
    <w:rsid w:val="00EC54D0"/>
    <w:rsid w:val="00EC6A28"/>
    <w:rsid w:val="00EC6FDB"/>
    <w:rsid w:val="00ED14C2"/>
    <w:rsid w:val="00ED214B"/>
    <w:rsid w:val="00ED2246"/>
    <w:rsid w:val="00ED32B3"/>
    <w:rsid w:val="00ED37B6"/>
    <w:rsid w:val="00ED3804"/>
    <w:rsid w:val="00ED3986"/>
    <w:rsid w:val="00ED48FC"/>
    <w:rsid w:val="00ED67FE"/>
    <w:rsid w:val="00ED6A02"/>
    <w:rsid w:val="00ED7831"/>
    <w:rsid w:val="00ED7B4A"/>
    <w:rsid w:val="00EE04C4"/>
    <w:rsid w:val="00EE055C"/>
    <w:rsid w:val="00EE0751"/>
    <w:rsid w:val="00EE0AE2"/>
    <w:rsid w:val="00EE0C85"/>
    <w:rsid w:val="00EE1BEA"/>
    <w:rsid w:val="00EE24C2"/>
    <w:rsid w:val="00EE35DE"/>
    <w:rsid w:val="00EE4717"/>
    <w:rsid w:val="00EE4831"/>
    <w:rsid w:val="00EE56CC"/>
    <w:rsid w:val="00EE5B84"/>
    <w:rsid w:val="00EE6487"/>
    <w:rsid w:val="00EE6E2A"/>
    <w:rsid w:val="00EE6FBC"/>
    <w:rsid w:val="00EF08A3"/>
    <w:rsid w:val="00EF0B42"/>
    <w:rsid w:val="00EF0B68"/>
    <w:rsid w:val="00EF0C84"/>
    <w:rsid w:val="00EF1587"/>
    <w:rsid w:val="00EF15DD"/>
    <w:rsid w:val="00EF4419"/>
    <w:rsid w:val="00EF4809"/>
    <w:rsid w:val="00EF48AA"/>
    <w:rsid w:val="00EF4DC9"/>
    <w:rsid w:val="00EF56CC"/>
    <w:rsid w:val="00EF5E9A"/>
    <w:rsid w:val="00F00E9C"/>
    <w:rsid w:val="00F02FDD"/>
    <w:rsid w:val="00F03353"/>
    <w:rsid w:val="00F03D12"/>
    <w:rsid w:val="00F03EE6"/>
    <w:rsid w:val="00F04566"/>
    <w:rsid w:val="00F06080"/>
    <w:rsid w:val="00F06F88"/>
    <w:rsid w:val="00F0784E"/>
    <w:rsid w:val="00F11A2E"/>
    <w:rsid w:val="00F12685"/>
    <w:rsid w:val="00F14098"/>
    <w:rsid w:val="00F1451D"/>
    <w:rsid w:val="00F14949"/>
    <w:rsid w:val="00F14A52"/>
    <w:rsid w:val="00F15ABD"/>
    <w:rsid w:val="00F15D5F"/>
    <w:rsid w:val="00F15E22"/>
    <w:rsid w:val="00F17D75"/>
    <w:rsid w:val="00F207BC"/>
    <w:rsid w:val="00F20E31"/>
    <w:rsid w:val="00F214CC"/>
    <w:rsid w:val="00F2331E"/>
    <w:rsid w:val="00F23396"/>
    <w:rsid w:val="00F23E84"/>
    <w:rsid w:val="00F2593F"/>
    <w:rsid w:val="00F25AE9"/>
    <w:rsid w:val="00F266D2"/>
    <w:rsid w:val="00F26A01"/>
    <w:rsid w:val="00F26FD1"/>
    <w:rsid w:val="00F3145F"/>
    <w:rsid w:val="00F31A2B"/>
    <w:rsid w:val="00F31F68"/>
    <w:rsid w:val="00F32D3C"/>
    <w:rsid w:val="00F3362B"/>
    <w:rsid w:val="00F3374B"/>
    <w:rsid w:val="00F33CDA"/>
    <w:rsid w:val="00F342B8"/>
    <w:rsid w:val="00F34CF7"/>
    <w:rsid w:val="00F34DB4"/>
    <w:rsid w:val="00F34E52"/>
    <w:rsid w:val="00F35C3B"/>
    <w:rsid w:val="00F35C44"/>
    <w:rsid w:val="00F363F5"/>
    <w:rsid w:val="00F365D3"/>
    <w:rsid w:val="00F37721"/>
    <w:rsid w:val="00F377B3"/>
    <w:rsid w:val="00F3789C"/>
    <w:rsid w:val="00F408BB"/>
    <w:rsid w:val="00F41377"/>
    <w:rsid w:val="00F43345"/>
    <w:rsid w:val="00F43421"/>
    <w:rsid w:val="00F43789"/>
    <w:rsid w:val="00F4484D"/>
    <w:rsid w:val="00F4587D"/>
    <w:rsid w:val="00F468C3"/>
    <w:rsid w:val="00F46ACF"/>
    <w:rsid w:val="00F46C4C"/>
    <w:rsid w:val="00F46F66"/>
    <w:rsid w:val="00F4736B"/>
    <w:rsid w:val="00F47DF8"/>
    <w:rsid w:val="00F47FB5"/>
    <w:rsid w:val="00F50A4D"/>
    <w:rsid w:val="00F51B6D"/>
    <w:rsid w:val="00F51BBD"/>
    <w:rsid w:val="00F52A9B"/>
    <w:rsid w:val="00F5376A"/>
    <w:rsid w:val="00F54294"/>
    <w:rsid w:val="00F55AEE"/>
    <w:rsid w:val="00F56229"/>
    <w:rsid w:val="00F56C83"/>
    <w:rsid w:val="00F57A2A"/>
    <w:rsid w:val="00F60FB6"/>
    <w:rsid w:val="00F62653"/>
    <w:rsid w:val="00F62F90"/>
    <w:rsid w:val="00F63B2F"/>
    <w:rsid w:val="00F63BE4"/>
    <w:rsid w:val="00F63FC2"/>
    <w:rsid w:val="00F646EE"/>
    <w:rsid w:val="00F648E3"/>
    <w:rsid w:val="00F64D42"/>
    <w:rsid w:val="00F64D6F"/>
    <w:rsid w:val="00F64F57"/>
    <w:rsid w:val="00F6517A"/>
    <w:rsid w:val="00F6592C"/>
    <w:rsid w:val="00F65E51"/>
    <w:rsid w:val="00F67BED"/>
    <w:rsid w:val="00F70076"/>
    <w:rsid w:val="00F703C6"/>
    <w:rsid w:val="00F71584"/>
    <w:rsid w:val="00F715F7"/>
    <w:rsid w:val="00F7172A"/>
    <w:rsid w:val="00F71B4A"/>
    <w:rsid w:val="00F7252E"/>
    <w:rsid w:val="00F72805"/>
    <w:rsid w:val="00F745CE"/>
    <w:rsid w:val="00F74F34"/>
    <w:rsid w:val="00F779DF"/>
    <w:rsid w:val="00F77E4B"/>
    <w:rsid w:val="00F77F1E"/>
    <w:rsid w:val="00F802C6"/>
    <w:rsid w:val="00F8030D"/>
    <w:rsid w:val="00F8133B"/>
    <w:rsid w:val="00F8174F"/>
    <w:rsid w:val="00F821D4"/>
    <w:rsid w:val="00F82E1F"/>
    <w:rsid w:val="00F832F5"/>
    <w:rsid w:val="00F833C7"/>
    <w:rsid w:val="00F83DE8"/>
    <w:rsid w:val="00F83F45"/>
    <w:rsid w:val="00F84B35"/>
    <w:rsid w:val="00F85243"/>
    <w:rsid w:val="00F85BC8"/>
    <w:rsid w:val="00F867AC"/>
    <w:rsid w:val="00F86C91"/>
    <w:rsid w:val="00F90115"/>
    <w:rsid w:val="00F9013F"/>
    <w:rsid w:val="00F90280"/>
    <w:rsid w:val="00F909C5"/>
    <w:rsid w:val="00F90BFF"/>
    <w:rsid w:val="00F91C26"/>
    <w:rsid w:val="00F920CD"/>
    <w:rsid w:val="00F92169"/>
    <w:rsid w:val="00F925F6"/>
    <w:rsid w:val="00F93059"/>
    <w:rsid w:val="00F9321D"/>
    <w:rsid w:val="00F9332C"/>
    <w:rsid w:val="00F93831"/>
    <w:rsid w:val="00F94214"/>
    <w:rsid w:val="00F9452B"/>
    <w:rsid w:val="00F94721"/>
    <w:rsid w:val="00F949B1"/>
    <w:rsid w:val="00F95060"/>
    <w:rsid w:val="00F9509D"/>
    <w:rsid w:val="00F95171"/>
    <w:rsid w:val="00F952C1"/>
    <w:rsid w:val="00F952D9"/>
    <w:rsid w:val="00F95646"/>
    <w:rsid w:val="00F95862"/>
    <w:rsid w:val="00F95921"/>
    <w:rsid w:val="00F96EAD"/>
    <w:rsid w:val="00F9725E"/>
    <w:rsid w:val="00FA0D80"/>
    <w:rsid w:val="00FA1662"/>
    <w:rsid w:val="00FA1CB8"/>
    <w:rsid w:val="00FA1F39"/>
    <w:rsid w:val="00FA2F18"/>
    <w:rsid w:val="00FA3D51"/>
    <w:rsid w:val="00FA41FE"/>
    <w:rsid w:val="00FA4915"/>
    <w:rsid w:val="00FA4B27"/>
    <w:rsid w:val="00FA5EB6"/>
    <w:rsid w:val="00FA6095"/>
    <w:rsid w:val="00FA6642"/>
    <w:rsid w:val="00FA664A"/>
    <w:rsid w:val="00FA73EC"/>
    <w:rsid w:val="00FA76C5"/>
    <w:rsid w:val="00FB0225"/>
    <w:rsid w:val="00FB0941"/>
    <w:rsid w:val="00FB151B"/>
    <w:rsid w:val="00FB17B2"/>
    <w:rsid w:val="00FB18F5"/>
    <w:rsid w:val="00FB1CCD"/>
    <w:rsid w:val="00FB1EB2"/>
    <w:rsid w:val="00FB23D6"/>
    <w:rsid w:val="00FB393B"/>
    <w:rsid w:val="00FB399A"/>
    <w:rsid w:val="00FB725B"/>
    <w:rsid w:val="00FB767A"/>
    <w:rsid w:val="00FC034F"/>
    <w:rsid w:val="00FC03C5"/>
    <w:rsid w:val="00FC1362"/>
    <w:rsid w:val="00FC1650"/>
    <w:rsid w:val="00FC17B8"/>
    <w:rsid w:val="00FC1EB7"/>
    <w:rsid w:val="00FC2063"/>
    <w:rsid w:val="00FC2099"/>
    <w:rsid w:val="00FC258F"/>
    <w:rsid w:val="00FC3F0F"/>
    <w:rsid w:val="00FC3FC9"/>
    <w:rsid w:val="00FC405E"/>
    <w:rsid w:val="00FC43C9"/>
    <w:rsid w:val="00FC4567"/>
    <w:rsid w:val="00FC5097"/>
    <w:rsid w:val="00FC50DC"/>
    <w:rsid w:val="00FC6DBD"/>
    <w:rsid w:val="00FD0817"/>
    <w:rsid w:val="00FD172F"/>
    <w:rsid w:val="00FD1926"/>
    <w:rsid w:val="00FD1CA9"/>
    <w:rsid w:val="00FD3307"/>
    <w:rsid w:val="00FD3B0C"/>
    <w:rsid w:val="00FD46DC"/>
    <w:rsid w:val="00FD46F4"/>
    <w:rsid w:val="00FD5371"/>
    <w:rsid w:val="00FD5972"/>
    <w:rsid w:val="00FD73C6"/>
    <w:rsid w:val="00FE011B"/>
    <w:rsid w:val="00FE06A3"/>
    <w:rsid w:val="00FE172E"/>
    <w:rsid w:val="00FE2AE3"/>
    <w:rsid w:val="00FE33C1"/>
    <w:rsid w:val="00FE346B"/>
    <w:rsid w:val="00FE3526"/>
    <w:rsid w:val="00FE3A16"/>
    <w:rsid w:val="00FE53F4"/>
    <w:rsid w:val="00FE6E00"/>
    <w:rsid w:val="00FE729C"/>
    <w:rsid w:val="00FE7EFB"/>
    <w:rsid w:val="00FF029D"/>
    <w:rsid w:val="00FF039A"/>
    <w:rsid w:val="00FF1265"/>
    <w:rsid w:val="00FF197D"/>
    <w:rsid w:val="00FF1E64"/>
    <w:rsid w:val="00FF25BC"/>
    <w:rsid w:val="00FF2EDB"/>
    <w:rsid w:val="00FF31A5"/>
    <w:rsid w:val="00FF3E1E"/>
    <w:rsid w:val="00FF49DA"/>
    <w:rsid w:val="00FF52A2"/>
    <w:rsid w:val="00FF58FC"/>
    <w:rsid w:val="00FF6A57"/>
    <w:rsid w:val="00FF742F"/>
    <w:rsid w:val="00FF7AC1"/>
    <w:rsid w:val="00FF7E0F"/>
    <w:rsid w:val="00FF7F47"/>
    <w:rsid w:val="07419FFD"/>
    <w:rsid w:val="0E11156E"/>
    <w:rsid w:val="12707E05"/>
    <w:rsid w:val="2586D366"/>
    <w:rsid w:val="2A142942"/>
    <w:rsid w:val="2C0B7DA6"/>
    <w:rsid w:val="43C766A9"/>
    <w:rsid w:val="44230062"/>
    <w:rsid w:val="51FC699A"/>
    <w:rsid w:val="569A583D"/>
    <w:rsid w:val="6A9DCE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7D4B219"/>
  <w15:docId w15:val="{A4924551-FC9E-40DE-962C-FC7D562E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62A"/>
    <w:pPr>
      <w:spacing w:line="360" w:lineRule="auto"/>
      <w:ind w:firstLine="567"/>
      <w:jc w:val="both"/>
    </w:pPr>
    <w:rPr>
      <w:rFonts w:ascii="Lato Light" w:hAnsi="Lato Light"/>
      <w:lang w:val="en-GB"/>
      <w14:ligatures w14:val="standardContextual"/>
    </w:rPr>
  </w:style>
  <w:style w:type="paragraph" w:styleId="Heading1">
    <w:name w:val="heading 1"/>
    <w:basedOn w:val="Normal"/>
    <w:next w:val="Normal"/>
    <w:link w:val="Heading1Char"/>
    <w:qFormat/>
    <w:rsid w:val="00126EFC"/>
    <w:pPr>
      <w:keepNext/>
      <w:keepLines/>
      <w:ind w:firstLine="0"/>
      <w:outlineLvl w:val="0"/>
    </w:pPr>
    <w:rPr>
      <w:rFonts w:ascii="Arial" w:eastAsia="Times New Roman" w:hAnsi="Arial" w:cs="Times New Roman"/>
      <w:b/>
      <w:bCs/>
      <w:caps/>
      <w:noProof/>
      <w:color w:val="5BCBF5"/>
      <w:sz w:val="32"/>
      <w:szCs w:val="32"/>
    </w:rPr>
  </w:style>
  <w:style w:type="paragraph" w:styleId="Heading2">
    <w:name w:val="heading 2"/>
    <w:basedOn w:val="Normal"/>
    <w:next w:val="Normal"/>
    <w:link w:val="Heading2Char"/>
    <w:uiPriority w:val="9"/>
    <w:unhideWhenUsed/>
    <w:qFormat/>
    <w:rsid w:val="00EE6E2A"/>
    <w:pPr>
      <w:keepNext/>
      <w:keepLines/>
      <w:spacing w:before="240" w:line="280" w:lineRule="exact"/>
      <w:outlineLvl w:val="1"/>
    </w:pPr>
    <w:rPr>
      <w:rFonts w:ascii="Lato" w:eastAsiaTheme="majorEastAsia" w:hAnsi="Lato" w:cstheme="majorBidi"/>
      <w:bCs/>
      <w:caps/>
      <w:color w:val="59595B"/>
      <w:sz w:val="28"/>
      <w:szCs w:val="28"/>
    </w:rPr>
  </w:style>
  <w:style w:type="paragraph" w:styleId="Heading3">
    <w:name w:val="heading 3"/>
    <w:basedOn w:val="Normal"/>
    <w:next w:val="Normal"/>
    <w:link w:val="Heading3Char"/>
    <w:uiPriority w:val="9"/>
    <w:unhideWhenUsed/>
    <w:qFormat/>
    <w:rsid w:val="00D02F10"/>
    <w:pPr>
      <w:keepNext/>
      <w:keepLines/>
      <w:spacing w:before="200"/>
      <w:outlineLvl w:val="2"/>
    </w:pPr>
    <w:rPr>
      <w:rFonts w:eastAsia="Times New Roman" w:cs="Times New Roman"/>
      <w:caps/>
      <w:color w:val="59595B"/>
    </w:rPr>
  </w:style>
  <w:style w:type="paragraph" w:styleId="Heading4">
    <w:name w:val="heading 4"/>
    <w:basedOn w:val="Normal"/>
    <w:next w:val="Normal"/>
    <w:link w:val="Heading4Char"/>
    <w:uiPriority w:val="9"/>
    <w:unhideWhenUsed/>
    <w:qFormat/>
    <w:rsid w:val="00126EFC"/>
    <w:pPr>
      <w:keepNext/>
      <w:keepLines/>
      <w:spacing w:before="200"/>
      <w:ind w:firstLine="0"/>
      <w:outlineLvl w:val="3"/>
    </w:pPr>
    <w:rPr>
      <w:rFonts w:ascii="Arial" w:eastAsia="Times New Roman" w:hAnsi="Arial" w:cs="Times New Roman"/>
      <w:b/>
      <w:i/>
      <w:iCs/>
      <w:color w:val="5BCBF5"/>
    </w:rPr>
  </w:style>
  <w:style w:type="paragraph" w:styleId="Heading5">
    <w:name w:val="heading 5"/>
    <w:basedOn w:val="Normal"/>
    <w:next w:val="Normal"/>
    <w:link w:val="Heading5Char"/>
    <w:uiPriority w:val="9"/>
    <w:unhideWhenUsed/>
    <w:qFormat/>
    <w:rsid w:val="0074311C"/>
    <w:pPr>
      <w:keepNext/>
      <w:keepLines/>
      <w:spacing w:before="200"/>
      <w:outlineLvl w:val="4"/>
    </w:pPr>
    <w:rPr>
      <w:rFonts w:eastAsia="Times New Roman" w:cs="Times New Roman"/>
      <w:color w:val="5BCBF5"/>
    </w:rPr>
  </w:style>
  <w:style w:type="paragraph" w:styleId="Heading6">
    <w:name w:val="heading 6"/>
    <w:basedOn w:val="Normal"/>
    <w:next w:val="Normal"/>
    <w:link w:val="Heading6Char"/>
    <w:uiPriority w:val="9"/>
    <w:unhideWhenUsed/>
    <w:qFormat/>
    <w:rsid w:val="0081739C"/>
    <w:pPr>
      <w:keepNext/>
      <w:keepLines/>
      <w:spacing w:before="200"/>
      <w:outlineLvl w:val="5"/>
    </w:pPr>
    <w:rPr>
      <w:rFonts w:eastAsiaTheme="majorEastAsia" w:cstheme="majorBidi"/>
      <w:i/>
      <w:iCs/>
      <w:color w:val="009ED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63A8"/>
    <w:pPr>
      <w:tabs>
        <w:tab w:val="center" w:pos="4320"/>
        <w:tab w:val="right" w:pos="8640"/>
      </w:tabs>
    </w:pPr>
  </w:style>
  <w:style w:type="character" w:customStyle="1" w:styleId="HeaderChar">
    <w:name w:val="Header Char"/>
    <w:basedOn w:val="DefaultParagraphFont"/>
    <w:link w:val="Header"/>
    <w:uiPriority w:val="99"/>
    <w:rsid w:val="001A63A8"/>
  </w:style>
  <w:style w:type="paragraph" w:styleId="Footer">
    <w:name w:val="footer"/>
    <w:basedOn w:val="Normal"/>
    <w:link w:val="FooterChar"/>
    <w:uiPriority w:val="99"/>
    <w:unhideWhenUsed/>
    <w:rsid w:val="001A63A8"/>
    <w:pPr>
      <w:tabs>
        <w:tab w:val="center" w:pos="4320"/>
        <w:tab w:val="right" w:pos="8640"/>
      </w:tabs>
    </w:pPr>
  </w:style>
  <w:style w:type="character" w:customStyle="1" w:styleId="FooterChar">
    <w:name w:val="Footer Char"/>
    <w:basedOn w:val="DefaultParagraphFont"/>
    <w:link w:val="Footer"/>
    <w:uiPriority w:val="99"/>
    <w:rsid w:val="001A63A8"/>
  </w:style>
  <w:style w:type="paragraph" w:styleId="BalloonText">
    <w:name w:val="Balloon Text"/>
    <w:basedOn w:val="Normal"/>
    <w:link w:val="BalloonTextChar"/>
    <w:uiPriority w:val="99"/>
    <w:semiHidden/>
    <w:unhideWhenUsed/>
    <w:rsid w:val="001A63A8"/>
    <w:rPr>
      <w:rFonts w:ascii="Lucida Grande" w:hAnsi="Lucida Grande"/>
      <w:sz w:val="18"/>
      <w:szCs w:val="18"/>
    </w:rPr>
  </w:style>
  <w:style w:type="character" w:customStyle="1" w:styleId="BalloonTextChar">
    <w:name w:val="Balloon Text Char"/>
    <w:basedOn w:val="DefaultParagraphFont"/>
    <w:link w:val="BalloonText"/>
    <w:uiPriority w:val="99"/>
    <w:semiHidden/>
    <w:rsid w:val="001A63A8"/>
    <w:rPr>
      <w:rFonts w:ascii="Lucida Grande" w:hAnsi="Lucida Grande"/>
      <w:sz w:val="18"/>
      <w:szCs w:val="18"/>
    </w:rPr>
  </w:style>
  <w:style w:type="character" w:customStyle="1" w:styleId="Heading1Char">
    <w:name w:val="Heading 1 Char"/>
    <w:basedOn w:val="DefaultParagraphFont"/>
    <w:link w:val="Heading1"/>
    <w:rsid w:val="00126EFC"/>
    <w:rPr>
      <w:rFonts w:ascii="Arial" w:eastAsia="Times New Roman" w:hAnsi="Arial" w:cs="Times New Roman"/>
      <w:b/>
      <w:bCs/>
      <w:caps/>
      <w:noProof/>
      <w:color w:val="5BCBF5"/>
      <w:sz w:val="32"/>
      <w:szCs w:val="32"/>
      <w:lang w:val="en-GB"/>
      <w14:ligatures w14:val="standardContextual"/>
    </w:rPr>
  </w:style>
  <w:style w:type="paragraph" w:customStyle="1" w:styleId="Heading1WHITE">
    <w:name w:val="Heading 1 WHITE"/>
    <w:basedOn w:val="Heading1"/>
    <w:qFormat/>
    <w:rsid w:val="00322DCD"/>
    <w:pPr>
      <w:jc w:val="left"/>
    </w:pPr>
    <w:rPr>
      <w:caps w:val="0"/>
      <w:color w:val="FFFFFF" w:themeColor="background1"/>
      <w:sz w:val="70"/>
      <w:szCs w:val="72"/>
    </w:rPr>
  </w:style>
  <w:style w:type="paragraph" w:styleId="NormalWeb">
    <w:name w:val="Normal (Web)"/>
    <w:basedOn w:val="Normal"/>
    <w:uiPriority w:val="99"/>
    <w:semiHidden/>
    <w:unhideWhenUsed/>
    <w:rsid w:val="00A93627"/>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5B3215"/>
  </w:style>
  <w:style w:type="paragraph" w:styleId="TOCHeading">
    <w:name w:val="TOC Heading"/>
    <w:basedOn w:val="Heading1"/>
    <w:next w:val="Normal"/>
    <w:uiPriority w:val="39"/>
    <w:unhideWhenUsed/>
    <w:qFormat/>
    <w:rsid w:val="005B3215"/>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22D4E"/>
    <w:pPr>
      <w:tabs>
        <w:tab w:val="right" w:pos="10189"/>
      </w:tabs>
      <w:jc w:val="left"/>
    </w:pPr>
    <w:rPr>
      <w:b/>
      <w:noProof/>
      <w:color w:val="009EDD"/>
    </w:rPr>
  </w:style>
  <w:style w:type="paragraph" w:styleId="TOC2">
    <w:name w:val="toc 2"/>
    <w:basedOn w:val="Normal"/>
    <w:next w:val="Normal"/>
    <w:autoRedefine/>
    <w:uiPriority w:val="39"/>
    <w:unhideWhenUsed/>
    <w:rsid w:val="00905A74"/>
    <w:pPr>
      <w:tabs>
        <w:tab w:val="right" w:leader="dot" w:pos="10188"/>
      </w:tabs>
    </w:pPr>
    <w:rPr>
      <w:sz w:val="22"/>
      <w:szCs w:val="22"/>
    </w:rPr>
  </w:style>
  <w:style w:type="paragraph" w:styleId="TOC3">
    <w:name w:val="toc 3"/>
    <w:basedOn w:val="Normal"/>
    <w:next w:val="Normal"/>
    <w:autoRedefine/>
    <w:uiPriority w:val="39"/>
    <w:unhideWhenUsed/>
    <w:rsid w:val="002A1EBC"/>
    <w:pPr>
      <w:ind w:left="240"/>
    </w:pPr>
    <w:rPr>
      <w:i/>
      <w:sz w:val="22"/>
      <w:szCs w:val="22"/>
    </w:rPr>
  </w:style>
  <w:style w:type="paragraph" w:styleId="TOC4">
    <w:name w:val="toc 4"/>
    <w:basedOn w:val="Normal"/>
    <w:next w:val="Normal"/>
    <w:autoRedefine/>
    <w:uiPriority w:val="39"/>
    <w:unhideWhenUsed/>
    <w:rsid w:val="000E6B92"/>
    <w:pPr>
      <w:pBdr>
        <w:between w:val="double" w:sz="6" w:space="0" w:color="auto"/>
      </w:pBdr>
      <w:tabs>
        <w:tab w:val="right" w:pos="10188"/>
      </w:tabs>
      <w:ind w:left="480"/>
    </w:pPr>
    <w:rPr>
      <w:sz w:val="20"/>
      <w:szCs w:val="20"/>
    </w:rPr>
  </w:style>
  <w:style w:type="paragraph" w:styleId="TOC5">
    <w:name w:val="toc 5"/>
    <w:basedOn w:val="Normal"/>
    <w:next w:val="Normal"/>
    <w:autoRedefine/>
    <w:uiPriority w:val="39"/>
    <w:unhideWhenUsed/>
    <w:rsid w:val="002A1EBC"/>
    <w:pPr>
      <w:pBdr>
        <w:between w:val="double" w:sz="6" w:space="0" w:color="auto"/>
      </w:pBdr>
      <w:ind w:left="720"/>
    </w:pPr>
    <w:rPr>
      <w:sz w:val="20"/>
      <w:szCs w:val="20"/>
    </w:rPr>
  </w:style>
  <w:style w:type="paragraph" w:styleId="TOC6">
    <w:name w:val="toc 6"/>
    <w:basedOn w:val="Normal"/>
    <w:next w:val="Normal"/>
    <w:autoRedefine/>
    <w:uiPriority w:val="39"/>
    <w:unhideWhenUsed/>
    <w:rsid w:val="002A1EBC"/>
    <w:pPr>
      <w:pBdr>
        <w:between w:val="double" w:sz="6" w:space="0" w:color="auto"/>
      </w:pBdr>
      <w:ind w:left="960"/>
    </w:pPr>
    <w:rPr>
      <w:sz w:val="20"/>
      <w:szCs w:val="20"/>
    </w:rPr>
  </w:style>
  <w:style w:type="paragraph" w:styleId="TOC7">
    <w:name w:val="toc 7"/>
    <w:basedOn w:val="Normal"/>
    <w:next w:val="Normal"/>
    <w:autoRedefine/>
    <w:uiPriority w:val="39"/>
    <w:unhideWhenUsed/>
    <w:rsid w:val="002A1EBC"/>
    <w:pPr>
      <w:pBdr>
        <w:between w:val="double" w:sz="6" w:space="0" w:color="auto"/>
      </w:pBdr>
      <w:ind w:left="1200"/>
    </w:pPr>
    <w:rPr>
      <w:sz w:val="20"/>
      <w:szCs w:val="20"/>
    </w:rPr>
  </w:style>
  <w:style w:type="paragraph" w:styleId="TOC8">
    <w:name w:val="toc 8"/>
    <w:basedOn w:val="Normal"/>
    <w:next w:val="Normal"/>
    <w:autoRedefine/>
    <w:uiPriority w:val="39"/>
    <w:unhideWhenUsed/>
    <w:rsid w:val="002A1EBC"/>
    <w:pPr>
      <w:pBdr>
        <w:between w:val="double" w:sz="6" w:space="0" w:color="auto"/>
      </w:pBdr>
      <w:ind w:left="1440"/>
    </w:pPr>
    <w:rPr>
      <w:sz w:val="20"/>
      <w:szCs w:val="20"/>
    </w:rPr>
  </w:style>
  <w:style w:type="paragraph" w:styleId="TOC9">
    <w:name w:val="toc 9"/>
    <w:basedOn w:val="Normal"/>
    <w:next w:val="Normal"/>
    <w:autoRedefine/>
    <w:uiPriority w:val="39"/>
    <w:unhideWhenUsed/>
    <w:rsid w:val="00AC5DEA"/>
    <w:pPr>
      <w:pBdr>
        <w:between w:val="double" w:sz="6" w:space="0" w:color="auto"/>
      </w:pBdr>
      <w:ind w:left="1680"/>
    </w:pPr>
    <w:rPr>
      <w:sz w:val="20"/>
      <w:szCs w:val="20"/>
    </w:rPr>
  </w:style>
  <w:style w:type="character" w:customStyle="1" w:styleId="Heading2Char">
    <w:name w:val="Heading 2 Char"/>
    <w:basedOn w:val="DefaultParagraphFont"/>
    <w:link w:val="Heading2"/>
    <w:uiPriority w:val="9"/>
    <w:rsid w:val="00EE6E2A"/>
    <w:rPr>
      <w:rFonts w:ascii="Lato" w:eastAsiaTheme="majorEastAsia" w:hAnsi="Lato" w:cstheme="majorBidi"/>
      <w:bCs/>
      <w:caps/>
      <w:color w:val="59595B"/>
      <w:sz w:val="28"/>
      <w:szCs w:val="28"/>
      <w:lang w:val="en-GB"/>
      <w14:ligatures w14:val="standardContextual"/>
    </w:rPr>
  </w:style>
  <w:style w:type="character" w:customStyle="1" w:styleId="Heading3Char">
    <w:name w:val="Heading 3 Char"/>
    <w:basedOn w:val="DefaultParagraphFont"/>
    <w:link w:val="Heading3"/>
    <w:uiPriority w:val="9"/>
    <w:rsid w:val="00D02F10"/>
    <w:rPr>
      <w:rFonts w:asciiTheme="majorHAnsi" w:eastAsia="Times New Roman" w:hAnsiTheme="majorHAnsi" w:cs="Times New Roman"/>
      <w:caps/>
      <w:color w:val="59595B"/>
    </w:rPr>
  </w:style>
  <w:style w:type="character" w:customStyle="1" w:styleId="Heading4Char">
    <w:name w:val="Heading 4 Char"/>
    <w:basedOn w:val="DefaultParagraphFont"/>
    <w:link w:val="Heading4"/>
    <w:uiPriority w:val="9"/>
    <w:rsid w:val="00126EFC"/>
    <w:rPr>
      <w:rFonts w:ascii="Arial" w:eastAsia="Times New Roman" w:hAnsi="Arial" w:cs="Times New Roman"/>
      <w:b/>
      <w:i/>
      <w:iCs/>
      <w:color w:val="5BCBF5"/>
      <w:lang w:val="en-GB"/>
      <w14:ligatures w14:val="standardContextual"/>
    </w:rPr>
  </w:style>
  <w:style w:type="paragraph" w:styleId="ListParagraph">
    <w:name w:val="List Paragraph"/>
    <w:basedOn w:val="Normal"/>
    <w:uiPriority w:val="34"/>
    <w:qFormat/>
    <w:rsid w:val="00FA3D51"/>
    <w:pPr>
      <w:numPr>
        <w:numId w:val="1"/>
      </w:numPr>
      <w:spacing w:after="280"/>
      <w:contextualSpacing/>
    </w:pPr>
    <w:rPr>
      <w:rFonts w:eastAsia="MS Mincho" w:cs="Times New Roman"/>
    </w:rPr>
  </w:style>
  <w:style w:type="character" w:customStyle="1" w:styleId="Heading5Char">
    <w:name w:val="Heading 5 Char"/>
    <w:basedOn w:val="DefaultParagraphFont"/>
    <w:link w:val="Heading5"/>
    <w:uiPriority w:val="9"/>
    <w:rsid w:val="0074311C"/>
    <w:rPr>
      <w:rFonts w:asciiTheme="majorHAnsi" w:eastAsia="Times New Roman" w:hAnsiTheme="majorHAnsi" w:cs="Times New Roman"/>
      <w:color w:val="5BCBF5"/>
    </w:rPr>
  </w:style>
  <w:style w:type="character" w:customStyle="1" w:styleId="Heading6Char">
    <w:name w:val="Heading 6 Char"/>
    <w:basedOn w:val="DefaultParagraphFont"/>
    <w:link w:val="Heading6"/>
    <w:uiPriority w:val="9"/>
    <w:rsid w:val="0081739C"/>
    <w:rPr>
      <w:rFonts w:asciiTheme="majorHAnsi" w:eastAsiaTheme="majorEastAsia" w:hAnsiTheme="majorHAnsi" w:cstheme="majorBidi"/>
      <w:i/>
      <w:iCs/>
      <w:color w:val="009EDD"/>
    </w:rPr>
  </w:style>
  <w:style w:type="paragraph" w:styleId="FootnoteText">
    <w:name w:val="footnote text"/>
    <w:basedOn w:val="Normal"/>
    <w:link w:val="FootnoteTextChar"/>
    <w:uiPriority w:val="99"/>
    <w:unhideWhenUsed/>
    <w:rsid w:val="00CA090A"/>
    <w:pPr>
      <w:tabs>
        <w:tab w:val="left" w:pos="284"/>
      </w:tabs>
      <w:spacing w:after="40" w:line="240" w:lineRule="auto"/>
      <w:ind w:left="284" w:hanging="284"/>
    </w:pPr>
    <w:rPr>
      <w:sz w:val="20"/>
    </w:rPr>
  </w:style>
  <w:style w:type="character" w:customStyle="1" w:styleId="FootnoteTextChar">
    <w:name w:val="Footnote Text Char"/>
    <w:basedOn w:val="DefaultParagraphFont"/>
    <w:link w:val="FootnoteText"/>
    <w:uiPriority w:val="99"/>
    <w:rsid w:val="00CA090A"/>
    <w:rPr>
      <w:rFonts w:ascii="Lato Light" w:hAnsi="Lato Light"/>
      <w:sz w:val="20"/>
      <w:lang w:val="en-GB"/>
      <w14:ligatures w14:val="standardContextual"/>
    </w:rPr>
  </w:style>
  <w:style w:type="character" w:styleId="FootnoteReference">
    <w:name w:val="footnote reference"/>
    <w:basedOn w:val="DefaultParagraphFont"/>
    <w:uiPriority w:val="99"/>
    <w:unhideWhenUsed/>
    <w:rsid w:val="00E96BED"/>
    <w:rPr>
      <w:vertAlign w:val="superscript"/>
    </w:rPr>
  </w:style>
  <w:style w:type="paragraph" w:customStyle="1" w:styleId="Footnote">
    <w:name w:val="Footnote"/>
    <w:basedOn w:val="Normal"/>
    <w:qFormat/>
    <w:rsid w:val="00435FAC"/>
    <w:rPr>
      <w:rFonts w:eastAsia="Times New Roman" w:cs="Times New Roman"/>
      <w:color w:val="000000" w:themeColor="text1"/>
      <w:sz w:val="21"/>
      <w:szCs w:val="21"/>
      <w:shd w:val="clear" w:color="auto" w:fill="FFFFFF"/>
    </w:rPr>
  </w:style>
  <w:style w:type="paragraph" w:customStyle="1" w:styleId="BulletList">
    <w:name w:val="Bullet List"/>
    <w:basedOn w:val="Normal"/>
    <w:qFormat/>
    <w:rsid w:val="006E2E3D"/>
    <w:pPr>
      <w:numPr>
        <w:numId w:val="2"/>
      </w:numPr>
      <w:spacing w:before="100" w:beforeAutospacing="1" w:after="100" w:afterAutospacing="1"/>
    </w:pPr>
    <w:rPr>
      <w:rFonts w:eastAsia="Times New Roman" w:cs="Times New Roman"/>
    </w:rPr>
  </w:style>
  <w:style w:type="paragraph" w:customStyle="1" w:styleId="Heading1RISE">
    <w:name w:val="Heading 1 RISE"/>
    <w:qFormat/>
    <w:rsid w:val="00126EFC"/>
    <w:rPr>
      <w:rFonts w:ascii="Arial" w:eastAsiaTheme="majorEastAsia" w:hAnsi="Arial" w:cstheme="majorBidi"/>
      <w:b/>
      <w:bCs/>
      <w:caps/>
      <w:noProof/>
      <w:color w:val="5BCBF5"/>
      <w:sz w:val="48"/>
      <w:szCs w:val="48"/>
    </w:rPr>
  </w:style>
  <w:style w:type="table" w:styleId="TableGrid">
    <w:name w:val="Table Grid"/>
    <w:basedOn w:val="TableNormal"/>
    <w:uiPriority w:val="59"/>
    <w:rsid w:val="00A1689F"/>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
    <w:name w:val="Description"/>
    <w:basedOn w:val="Normal"/>
    <w:qFormat/>
    <w:rsid w:val="00A1689F"/>
    <w:pPr>
      <w:spacing w:before="40"/>
    </w:pPr>
    <w:rPr>
      <w:rFonts w:ascii="Calibri" w:eastAsia="MS Mincho" w:hAnsi="Calibri" w:cs="Times New Roman"/>
      <w:i/>
      <w:color w:val="000000"/>
      <w:sz w:val="20"/>
      <w:szCs w:val="20"/>
    </w:rPr>
  </w:style>
  <w:style w:type="paragraph" w:customStyle="1" w:styleId="NOTES">
    <w:name w:val="NOTES"/>
    <w:basedOn w:val="Normal"/>
    <w:qFormat/>
    <w:rsid w:val="007571E1"/>
    <w:rPr>
      <w:b/>
      <w:color w:val="FF0000"/>
    </w:rPr>
  </w:style>
  <w:style w:type="paragraph" w:customStyle="1" w:styleId="H1TITLE">
    <w:name w:val="H1 TITLE"/>
    <w:basedOn w:val="Heading1RISE"/>
    <w:qFormat/>
    <w:rsid w:val="00126EFC"/>
    <w:rPr>
      <w:caps w:val="0"/>
      <w:sz w:val="72"/>
      <w:szCs w:val="72"/>
    </w:rPr>
  </w:style>
  <w:style w:type="paragraph" w:customStyle="1" w:styleId="HeaderH1">
    <w:name w:val="Header H1"/>
    <w:basedOn w:val="Heading1"/>
    <w:qFormat/>
    <w:rsid w:val="001848EE"/>
  </w:style>
  <w:style w:type="paragraph" w:customStyle="1" w:styleId="DocTitleFooter">
    <w:name w:val="Doc Title Footer"/>
    <w:basedOn w:val="Footer"/>
    <w:qFormat/>
    <w:rsid w:val="00016798"/>
    <w:pPr>
      <w:jc w:val="right"/>
    </w:pPr>
    <w:rPr>
      <w:i/>
      <w:sz w:val="20"/>
      <w:szCs w:val="20"/>
    </w:rPr>
  </w:style>
  <w:style w:type="character" w:styleId="IntenseReference">
    <w:name w:val="Intense Reference"/>
    <w:basedOn w:val="DefaultParagraphFont"/>
    <w:uiPriority w:val="32"/>
    <w:qFormat/>
    <w:rsid w:val="0074311C"/>
    <w:rPr>
      <w:b/>
      <w:bCs/>
      <w:smallCaps/>
      <w:color w:val="5BCBF5"/>
      <w:spacing w:val="5"/>
      <w:u w:val="single"/>
    </w:rPr>
  </w:style>
  <w:style w:type="character" w:styleId="SubtleReference">
    <w:name w:val="Subtle Reference"/>
    <w:basedOn w:val="DefaultParagraphFont"/>
    <w:uiPriority w:val="31"/>
    <w:qFormat/>
    <w:rsid w:val="0074311C"/>
    <w:rPr>
      <w:smallCaps/>
      <w:color w:val="5BCBF5"/>
      <w:u w:val="single"/>
    </w:rPr>
  </w:style>
  <w:style w:type="paragraph" w:styleId="Caption">
    <w:name w:val="caption"/>
    <w:basedOn w:val="Normal"/>
    <w:next w:val="Normal"/>
    <w:uiPriority w:val="35"/>
    <w:qFormat/>
    <w:rsid w:val="00E94B3E"/>
    <w:pPr>
      <w:jc w:val="center"/>
    </w:pPr>
  </w:style>
  <w:style w:type="table" w:customStyle="1" w:styleId="PlainTable21">
    <w:name w:val="Plain Table 21"/>
    <w:basedOn w:val="TableNormal"/>
    <w:uiPriority w:val="99"/>
    <w:rsid w:val="00E94B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E94B3E"/>
    <w:rPr>
      <w:sz w:val="22"/>
      <w:szCs w:val="22"/>
      <w:lang w:val="en-GB"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086596"/>
    <w:pPr>
      <w:autoSpaceDE w:val="0"/>
      <w:autoSpaceDN w:val="0"/>
      <w:adjustRightInd w:val="0"/>
    </w:pPr>
    <w:rPr>
      <w:rFonts w:ascii="Times New Roman" w:eastAsiaTheme="minorHAnsi" w:hAnsi="Times New Roman" w:cs="Times New Roman"/>
      <w:color w:val="000000"/>
      <w:lang w:val="en-AU"/>
    </w:rPr>
  </w:style>
  <w:style w:type="character" w:styleId="Hyperlink">
    <w:name w:val="Hyperlink"/>
    <w:basedOn w:val="DefaultParagraphFont"/>
    <w:uiPriority w:val="99"/>
    <w:unhideWhenUsed/>
    <w:rsid w:val="00F55AEE"/>
    <w:rPr>
      <w:color w:val="0000FF" w:themeColor="hyperlink"/>
      <w:u w:val="single"/>
    </w:rPr>
  </w:style>
  <w:style w:type="character" w:styleId="CommentReference">
    <w:name w:val="annotation reference"/>
    <w:basedOn w:val="DefaultParagraphFont"/>
    <w:uiPriority w:val="99"/>
    <w:semiHidden/>
    <w:unhideWhenUsed/>
    <w:rsid w:val="00A22468"/>
    <w:rPr>
      <w:sz w:val="16"/>
      <w:szCs w:val="16"/>
    </w:rPr>
  </w:style>
  <w:style w:type="paragraph" w:styleId="CommentText">
    <w:name w:val="annotation text"/>
    <w:basedOn w:val="Normal"/>
    <w:link w:val="CommentTextChar"/>
    <w:uiPriority w:val="99"/>
    <w:unhideWhenUsed/>
    <w:rsid w:val="00A22468"/>
    <w:rPr>
      <w:sz w:val="20"/>
      <w:szCs w:val="20"/>
    </w:rPr>
  </w:style>
  <w:style w:type="character" w:customStyle="1" w:styleId="CommentTextChar">
    <w:name w:val="Comment Text Char"/>
    <w:basedOn w:val="DefaultParagraphFont"/>
    <w:link w:val="CommentText"/>
    <w:uiPriority w:val="99"/>
    <w:rsid w:val="00A22468"/>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A22468"/>
    <w:rPr>
      <w:b/>
      <w:bCs/>
    </w:rPr>
  </w:style>
  <w:style w:type="character" w:customStyle="1" w:styleId="CommentSubjectChar">
    <w:name w:val="Comment Subject Char"/>
    <w:basedOn w:val="CommentTextChar"/>
    <w:link w:val="CommentSubject"/>
    <w:uiPriority w:val="99"/>
    <w:semiHidden/>
    <w:rsid w:val="00A22468"/>
    <w:rPr>
      <w:rFonts w:asciiTheme="majorHAnsi" w:hAnsiTheme="majorHAnsi"/>
      <w:b/>
      <w:bCs/>
      <w:sz w:val="20"/>
      <w:szCs w:val="20"/>
    </w:rPr>
  </w:style>
  <w:style w:type="character" w:styleId="PlaceholderText">
    <w:name w:val="Placeholder Text"/>
    <w:basedOn w:val="DefaultParagraphFont"/>
    <w:uiPriority w:val="99"/>
    <w:semiHidden/>
    <w:rsid w:val="00ED14C2"/>
    <w:rPr>
      <w:color w:val="808080"/>
    </w:rPr>
  </w:style>
  <w:style w:type="character" w:styleId="FollowedHyperlink">
    <w:name w:val="FollowedHyperlink"/>
    <w:basedOn w:val="DefaultParagraphFont"/>
    <w:uiPriority w:val="99"/>
    <w:semiHidden/>
    <w:unhideWhenUsed/>
    <w:rsid w:val="001B2169"/>
    <w:rPr>
      <w:color w:val="954F72"/>
      <w:u w:val="single"/>
    </w:rPr>
  </w:style>
  <w:style w:type="paragraph" w:customStyle="1" w:styleId="xl65">
    <w:name w:val="xl65"/>
    <w:basedOn w:val="Normal"/>
    <w:rsid w:val="001B2169"/>
    <w:pPr>
      <w:spacing w:before="100" w:beforeAutospacing="1" w:after="100" w:afterAutospacing="1"/>
      <w:jc w:val="left"/>
    </w:pPr>
    <w:rPr>
      <w:rFonts w:ascii="Times New Roman" w:eastAsia="Times New Roman" w:hAnsi="Times New Roman" w:cs="Times New Roman"/>
      <w:color w:val="000000"/>
      <w:lang w:val="en-AU" w:eastAsia="zh-CN"/>
    </w:rPr>
  </w:style>
  <w:style w:type="table" w:customStyle="1" w:styleId="PlainTable41">
    <w:name w:val="Plain Table 41"/>
    <w:basedOn w:val="TableNormal"/>
    <w:uiPriority w:val="99"/>
    <w:rsid w:val="00C3132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1">
    <w:name w:val="List Table 6 Colorful1"/>
    <w:basedOn w:val="TableNormal"/>
    <w:uiPriority w:val="51"/>
    <w:rsid w:val="00C3132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C3132E"/>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7737F6"/>
    <w:rPr>
      <w:rFonts w:asciiTheme="majorHAnsi" w:hAnsiTheme="majorHAnsi"/>
      <w:lang w:val="en-GB"/>
    </w:rPr>
  </w:style>
  <w:style w:type="paragraph" w:styleId="Date">
    <w:name w:val="Date"/>
    <w:aliases w:val="05 Author"/>
    <w:basedOn w:val="Normal"/>
    <w:next w:val="Normal"/>
    <w:link w:val="DateChar"/>
    <w:uiPriority w:val="99"/>
    <w:semiHidden/>
    <w:rsid w:val="00EE055C"/>
    <w:pPr>
      <w:spacing w:before="60" w:after="40" w:line="260" w:lineRule="atLeast"/>
      <w:jc w:val="left"/>
    </w:pPr>
    <w:rPr>
      <w:rFonts w:ascii="Book Antiqua" w:eastAsia="Times New Roman" w:hAnsi="Book Antiqua" w:cs="Times New Roman"/>
      <w:color w:val="000000"/>
      <w:sz w:val="22"/>
      <w:lang w:val="en-AU" w:eastAsia="en-AU"/>
      <w14:ligatures w14:val="none"/>
    </w:rPr>
  </w:style>
  <w:style w:type="character" w:customStyle="1" w:styleId="DateChar">
    <w:name w:val="Date Char"/>
    <w:aliases w:val="05 Author Char"/>
    <w:basedOn w:val="DefaultParagraphFont"/>
    <w:link w:val="Date"/>
    <w:uiPriority w:val="99"/>
    <w:semiHidden/>
    <w:rsid w:val="00EE055C"/>
    <w:rPr>
      <w:rFonts w:ascii="Book Antiqua" w:eastAsia="Times New Roman" w:hAnsi="Book Antiqua" w:cs="Times New Roman"/>
      <w:color w:val="000000"/>
      <w:sz w:val="22"/>
      <w:lang w:val="en-AU" w:eastAsia="en-AU"/>
    </w:rPr>
  </w:style>
  <w:style w:type="table" w:customStyle="1" w:styleId="TableGrid32">
    <w:name w:val="Table Grid32"/>
    <w:basedOn w:val="TableNormal"/>
    <w:next w:val="TableGrid"/>
    <w:uiPriority w:val="59"/>
    <w:rsid w:val="00A61FDF"/>
    <w:rPr>
      <w:rFonts w:ascii="Times New Roman" w:hAnsi="Times New Roman" w:cs="Times New Roman"/>
      <w:sz w:val="20"/>
      <w:szCs w:val="20"/>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rsid w:val="001E3F5F"/>
    <w:pPr>
      <w:spacing w:before="180" w:line="300" w:lineRule="atLeast"/>
      <w:jc w:val="left"/>
    </w:pPr>
    <w:rPr>
      <w:rFonts w:ascii="Book Antiqua" w:eastAsia="Times New Roman" w:hAnsi="Book Antiqua" w:cs="Times New Roman"/>
      <w:sz w:val="21"/>
      <w:szCs w:val="21"/>
      <w:lang w:val="en-AU" w:eastAsia="en-AU"/>
      <w14:ligatures w14:val="none"/>
    </w:rPr>
  </w:style>
  <w:style w:type="character" w:customStyle="1" w:styleId="BodyTextChar">
    <w:name w:val="Body Text Char"/>
    <w:basedOn w:val="DefaultParagraphFont"/>
    <w:uiPriority w:val="99"/>
    <w:semiHidden/>
    <w:rsid w:val="001E3F5F"/>
    <w:rPr>
      <w:rFonts w:ascii="Lato Light" w:hAnsi="Lato Light"/>
      <w:lang w:val="en-GB"/>
      <w14:ligatures w14:val="standardContextual"/>
    </w:rPr>
  </w:style>
  <w:style w:type="character" w:customStyle="1" w:styleId="BodyTextChar1">
    <w:name w:val="Body Text Char1"/>
    <w:basedOn w:val="DefaultParagraphFont"/>
    <w:link w:val="BodyText"/>
    <w:rsid w:val="001E3F5F"/>
    <w:rPr>
      <w:rFonts w:ascii="Book Antiqua" w:eastAsia="Times New Roman" w:hAnsi="Book Antiqua" w:cs="Times New Roman"/>
      <w:sz w:val="21"/>
      <w:szCs w:val="21"/>
      <w:lang w:val="en-AU" w:eastAsia="en-AU"/>
    </w:rPr>
  </w:style>
  <w:style w:type="paragraph" w:styleId="NoSpacing">
    <w:name w:val="No Spacing"/>
    <w:uiPriority w:val="1"/>
    <w:qFormat/>
    <w:rsid w:val="003202AA"/>
    <w:pPr>
      <w:ind w:firstLine="567"/>
      <w:jc w:val="both"/>
    </w:pPr>
    <w:rPr>
      <w:rFonts w:ascii="Lato Light" w:hAnsi="Lato Light"/>
      <w:lang w:val="en-GB"/>
      <w14:ligatures w14:val="standardContextual"/>
    </w:rPr>
  </w:style>
  <w:style w:type="character" w:customStyle="1" w:styleId="st1">
    <w:name w:val="st1"/>
    <w:basedOn w:val="DefaultParagraphFont"/>
    <w:rsid w:val="006E6738"/>
  </w:style>
  <w:style w:type="paragraph" w:styleId="ListBullet">
    <w:name w:val="List Bullet"/>
    <w:basedOn w:val="Normal"/>
    <w:uiPriority w:val="99"/>
    <w:unhideWhenUsed/>
    <w:rsid w:val="00E52E77"/>
    <w:pPr>
      <w:numPr>
        <w:numId w:val="28"/>
      </w:numPr>
      <w:contextualSpacing/>
    </w:pPr>
  </w:style>
  <w:style w:type="table" w:customStyle="1" w:styleId="TableGrid1">
    <w:name w:val="Table Grid1"/>
    <w:basedOn w:val="TableNormal"/>
    <w:next w:val="TableGrid"/>
    <w:uiPriority w:val="59"/>
    <w:rsid w:val="003805D8"/>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numbered">
    <w:name w:val="Heading numbered"/>
    <w:basedOn w:val="Heading1"/>
    <w:qFormat/>
    <w:rsid w:val="00126EFC"/>
    <w:pPr>
      <w:numPr>
        <w:numId w:val="16"/>
      </w:numPr>
      <w:tabs>
        <w:tab w:val="left" w:pos="284"/>
        <w:tab w:val="left" w:pos="397"/>
      </w:tabs>
      <w:spacing w:after="180" w:line="240" w:lineRule="auto"/>
      <w:jc w:val="left"/>
    </w:pPr>
    <w:rPr>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301">
      <w:bodyDiv w:val="1"/>
      <w:marLeft w:val="0"/>
      <w:marRight w:val="0"/>
      <w:marTop w:val="0"/>
      <w:marBottom w:val="0"/>
      <w:divBdr>
        <w:top w:val="none" w:sz="0" w:space="0" w:color="auto"/>
        <w:left w:val="none" w:sz="0" w:space="0" w:color="auto"/>
        <w:bottom w:val="none" w:sz="0" w:space="0" w:color="auto"/>
        <w:right w:val="none" w:sz="0" w:space="0" w:color="auto"/>
      </w:divBdr>
    </w:div>
    <w:div w:id="22099008">
      <w:bodyDiv w:val="1"/>
      <w:marLeft w:val="0"/>
      <w:marRight w:val="0"/>
      <w:marTop w:val="0"/>
      <w:marBottom w:val="0"/>
      <w:divBdr>
        <w:top w:val="none" w:sz="0" w:space="0" w:color="auto"/>
        <w:left w:val="none" w:sz="0" w:space="0" w:color="auto"/>
        <w:bottom w:val="none" w:sz="0" w:space="0" w:color="auto"/>
        <w:right w:val="none" w:sz="0" w:space="0" w:color="auto"/>
      </w:divBdr>
    </w:div>
    <w:div w:id="43141349">
      <w:bodyDiv w:val="1"/>
      <w:marLeft w:val="0"/>
      <w:marRight w:val="0"/>
      <w:marTop w:val="0"/>
      <w:marBottom w:val="0"/>
      <w:divBdr>
        <w:top w:val="none" w:sz="0" w:space="0" w:color="auto"/>
        <w:left w:val="none" w:sz="0" w:space="0" w:color="auto"/>
        <w:bottom w:val="none" w:sz="0" w:space="0" w:color="auto"/>
        <w:right w:val="none" w:sz="0" w:space="0" w:color="auto"/>
      </w:divBdr>
    </w:div>
    <w:div w:id="43674944">
      <w:bodyDiv w:val="1"/>
      <w:marLeft w:val="0"/>
      <w:marRight w:val="0"/>
      <w:marTop w:val="0"/>
      <w:marBottom w:val="0"/>
      <w:divBdr>
        <w:top w:val="none" w:sz="0" w:space="0" w:color="auto"/>
        <w:left w:val="none" w:sz="0" w:space="0" w:color="auto"/>
        <w:bottom w:val="none" w:sz="0" w:space="0" w:color="auto"/>
        <w:right w:val="none" w:sz="0" w:space="0" w:color="auto"/>
      </w:divBdr>
      <w:divsChild>
        <w:div w:id="1763602690">
          <w:marLeft w:val="0"/>
          <w:marRight w:val="0"/>
          <w:marTop w:val="0"/>
          <w:marBottom w:val="0"/>
          <w:divBdr>
            <w:top w:val="none" w:sz="0" w:space="0" w:color="auto"/>
            <w:left w:val="none" w:sz="0" w:space="0" w:color="auto"/>
            <w:bottom w:val="none" w:sz="0" w:space="0" w:color="auto"/>
            <w:right w:val="none" w:sz="0" w:space="0" w:color="auto"/>
          </w:divBdr>
        </w:div>
      </w:divsChild>
    </w:div>
    <w:div w:id="44960456">
      <w:bodyDiv w:val="1"/>
      <w:marLeft w:val="0"/>
      <w:marRight w:val="0"/>
      <w:marTop w:val="0"/>
      <w:marBottom w:val="0"/>
      <w:divBdr>
        <w:top w:val="none" w:sz="0" w:space="0" w:color="auto"/>
        <w:left w:val="none" w:sz="0" w:space="0" w:color="auto"/>
        <w:bottom w:val="none" w:sz="0" w:space="0" w:color="auto"/>
        <w:right w:val="none" w:sz="0" w:space="0" w:color="auto"/>
      </w:divBdr>
    </w:div>
    <w:div w:id="73282914">
      <w:bodyDiv w:val="1"/>
      <w:marLeft w:val="0"/>
      <w:marRight w:val="0"/>
      <w:marTop w:val="0"/>
      <w:marBottom w:val="0"/>
      <w:divBdr>
        <w:top w:val="none" w:sz="0" w:space="0" w:color="auto"/>
        <w:left w:val="none" w:sz="0" w:space="0" w:color="auto"/>
        <w:bottom w:val="none" w:sz="0" w:space="0" w:color="auto"/>
        <w:right w:val="none" w:sz="0" w:space="0" w:color="auto"/>
      </w:divBdr>
    </w:div>
    <w:div w:id="79256698">
      <w:bodyDiv w:val="1"/>
      <w:marLeft w:val="0"/>
      <w:marRight w:val="0"/>
      <w:marTop w:val="0"/>
      <w:marBottom w:val="0"/>
      <w:divBdr>
        <w:top w:val="none" w:sz="0" w:space="0" w:color="auto"/>
        <w:left w:val="none" w:sz="0" w:space="0" w:color="auto"/>
        <w:bottom w:val="none" w:sz="0" w:space="0" w:color="auto"/>
        <w:right w:val="none" w:sz="0" w:space="0" w:color="auto"/>
      </w:divBdr>
    </w:div>
    <w:div w:id="95296752">
      <w:bodyDiv w:val="1"/>
      <w:marLeft w:val="0"/>
      <w:marRight w:val="0"/>
      <w:marTop w:val="0"/>
      <w:marBottom w:val="0"/>
      <w:divBdr>
        <w:top w:val="none" w:sz="0" w:space="0" w:color="auto"/>
        <w:left w:val="none" w:sz="0" w:space="0" w:color="auto"/>
        <w:bottom w:val="none" w:sz="0" w:space="0" w:color="auto"/>
        <w:right w:val="none" w:sz="0" w:space="0" w:color="auto"/>
      </w:divBdr>
    </w:div>
    <w:div w:id="99574102">
      <w:bodyDiv w:val="1"/>
      <w:marLeft w:val="0"/>
      <w:marRight w:val="0"/>
      <w:marTop w:val="0"/>
      <w:marBottom w:val="0"/>
      <w:divBdr>
        <w:top w:val="none" w:sz="0" w:space="0" w:color="auto"/>
        <w:left w:val="none" w:sz="0" w:space="0" w:color="auto"/>
        <w:bottom w:val="none" w:sz="0" w:space="0" w:color="auto"/>
        <w:right w:val="none" w:sz="0" w:space="0" w:color="auto"/>
      </w:divBdr>
    </w:div>
    <w:div w:id="104807965">
      <w:bodyDiv w:val="1"/>
      <w:marLeft w:val="0"/>
      <w:marRight w:val="0"/>
      <w:marTop w:val="0"/>
      <w:marBottom w:val="0"/>
      <w:divBdr>
        <w:top w:val="none" w:sz="0" w:space="0" w:color="auto"/>
        <w:left w:val="none" w:sz="0" w:space="0" w:color="auto"/>
        <w:bottom w:val="none" w:sz="0" w:space="0" w:color="auto"/>
        <w:right w:val="none" w:sz="0" w:space="0" w:color="auto"/>
      </w:divBdr>
    </w:div>
    <w:div w:id="127015373">
      <w:bodyDiv w:val="1"/>
      <w:marLeft w:val="0"/>
      <w:marRight w:val="0"/>
      <w:marTop w:val="0"/>
      <w:marBottom w:val="0"/>
      <w:divBdr>
        <w:top w:val="none" w:sz="0" w:space="0" w:color="auto"/>
        <w:left w:val="none" w:sz="0" w:space="0" w:color="auto"/>
        <w:bottom w:val="none" w:sz="0" w:space="0" w:color="auto"/>
        <w:right w:val="none" w:sz="0" w:space="0" w:color="auto"/>
      </w:divBdr>
    </w:div>
    <w:div w:id="148834026">
      <w:bodyDiv w:val="1"/>
      <w:marLeft w:val="0"/>
      <w:marRight w:val="0"/>
      <w:marTop w:val="0"/>
      <w:marBottom w:val="0"/>
      <w:divBdr>
        <w:top w:val="none" w:sz="0" w:space="0" w:color="auto"/>
        <w:left w:val="none" w:sz="0" w:space="0" w:color="auto"/>
        <w:bottom w:val="none" w:sz="0" w:space="0" w:color="auto"/>
        <w:right w:val="none" w:sz="0" w:space="0" w:color="auto"/>
      </w:divBdr>
    </w:div>
    <w:div w:id="152575231">
      <w:bodyDiv w:val="1"/>
      <w:marLeft w:val="0"/>
      <w:marRight w:val="0"/>
      <w:marTop w:val="0"/>
      <w:marBottom w:val="0"/>
      <w:divBdr>
        <w:top w:val="none" w:sz="0" w:space="0" w:color="auto"/>
        <w:left w:val="none" w:sz="0" w:space="0" w:color="auto"/>
        <w:bottom w:val="none" w:sz="0" w:space="0" w:color="auto"/>
        <w:right w:val="none" w:sz="0" w:space="0" w:color="auto"/>
      </w:divBdr>
    </w:div>
    <w:div w:id="192967060">
      <w:bodyDiv w:val="1"/>
      <w:marLeft w:val="0"/>
      <w:marRight w:val="0"/>
      <w:marTop w:val="0"/>
      <w:marBottom w:val="0"/>
      <w:divBdr>
        <w:top w:val="none" w:sz="0" w:space="0" w:color="auto"/>
        <w:left w:val="none" w:sz="0" w:space="0" w:color="auto"/>
        <w:bottom w:val="none" w:sz="0" w:space="0" w:color="auto"/>
        <w:right w:val="none" w:sz="0" w:space="0" w:color="auto"/>
      </w:divBdr>
    </w:div>
    <w:div w:id="208498123">
      <w:bodyDiv w:val="1"/>
      <w:marLeft w:val="0"/>
      <w:marRight w:val="0"/>
      <w:marTop w:val="0"/>
      <w:marBottom w:val="0"/>
      <w:divBdr>
        <w:top w:val="none" w:sz="0" w:space="0" w:color="auto"/>
        <w:left w:val="none" w:sz="0" w:space="0" w:color="auto"/>
        <w:bottom w:val="none" w:sz="0" w:space="0" w:color="auto"/>
        <w:right w:val="none" w:sz="0" w:space="0" w:color="auto"/>
      </w:divBdr>
    </w:div>
    <w:div w:id="210700095">
      <w:bodyDiv w:val="1"/>
      <w:marLeft w:val="0"/>
      <w:marRight w:val="0"/>
      <w:marTop w:val="0"/>
      <w:marBottom w:val="0"/>
      <w:divBdr>
        <w:top w:val="none" w:sz="0" w:space="0" w:color="auto"/>
        <w:left w:val="none" w:sz="0" w:space="0" w:color="auto"/>
        <w:bottom w:val="none" w:sz="0" w:space="0" w:color="auto"/>
        <w:right w:val="none" w:sz="0" w:space="0" w:color="auto"/>
      </w:divBdr>
    </w:div>
    <w:div w:id="220603918">
      <w:bodyDiv w:val="1"/>
      <w:marLeft w:val="0"/>
      <w:marRight w:val="0"/>
      <w:marTop w:val="0"/>
      <w:marBottom w:val="0"/>
      <w:divBdr>
        <w:top w:val="none" w:sz="0" w:space="0" w:color="auto"/>
        <w:left w:val="none" w:sz="0" w:space="0" w:color="auto"/>
        <w:bottom w:val="none" w:sz="0" w:space="0" w:color="auto"/>
        <w:right w:val="none" w:sz="0" w:space="0" w:color="auto"/>
      </w:divBdr>
      <w:divsChild>
        <w:div w:id="390546070">
          <w:marLeft w:val="0"/>
          <w:marRight w:val="0"/>
          <w:marTop w:val="0"/>
          <w:marBottom w:val="0"/>
          <w:divBdr>
            <w:top w:val="none" w:sz="0" w:space="0" w:color="auto"/>
            <w:left w:val="none" w:sz="0" w:space="0" w:color="auto"/>
            <w:bottom w:val="none" w:sz="0" w:space="0" w:color="auto"/>
            <w:right w:val="none" w:sz="0" w:space="0" w:color="auto"/>
          </w:divBdr>
        </w:div>
      </w:divsChild>
    </w:div>
    <w:div w:id="229929897">
      <w:bodyDiv w:val="1"/>
      <w:marLeft w:val="0"/>
      <w:marRight w:val="0"/>
      <w:marTop w:val="0"/>
      <w:marBottom w:val="0"/>
      <w:divBdr>
        <w:top w:val="none" w:sz="0" w:space="0" w:color="auto"/>
        <w:left w:val="none" w:sz="0" w:space="0" w:color="auto"/>
        <w:bottom w:val="none" w:sz="0" w:space="0" w:color="auto"/>
        <w:right w:val="none" w:sz="0" w:space="0" w:color="auto"/>
      </w:divBdr>
    </w:div>
    <w:div w:id="230166806">
      <w:bodyDiv w:val="1"/>
      <w:marLeft w:val="0"/>
      <w:marRight w:val="0"/>
      <w:marTop w:val="0"/>
      <w:marBottom w:val="0"/>
      <w:divBdr>
        <w:top w:val="none" w:sz="0" w:space="0" w:color="auto"/>
        <w:left w:val="none" w:sz="0" w:space="0" w:color="auto"/>
        <w:bottom w:val="none" w:sz="0" w:space="0" w:color="auto"/>
        <w:right w:val="none" w:sz="0" w:space="0" w:color="auto"/>
      </w:divBdr>
    </w:div>
    <w:div w:id="238290899">
      <w:bodyDiv w:val="1"/>
      <w:marLeft w:val="0"/>
      <w:marRight w:val="0"/>
      <w:marTop w:val="0"/>
      <w:marBottom w:val="0"/>
      <w:divBdr>
        <w:top w:val="none" w:sz="0" w:space="0" w:color="auto"/>
        <w:left w:val="none" w:sz="0" w:space="0" w:color="auto"/>
        <w:bottom w:val="none" w:sz="0" w:space="0" w:color="auto"/>
        <w:right w:val="none" w:sz="0" w:space="0" w:color="auto"/>
      </w:divBdr>
    </w:div>
    <w:div w:id="239488948">
      <w:bodyDiv w:val="1"/>
      <w:marLeft w:val="0"/>
      <w:marRight w:val="0"/>
      <w:marTop w:val="0"/>
      <w:marBottom w:val="0"/>
      <w:divBdr>
        <w:top w:val="none" w:sz="0" w:space="0" w:color="auto"/>
        <w:left w:val="none" w:sz="0" w:space="0" w:color="auto"/>
        <w:bottom w:val="none" w:sz="0" w:space="0" w:color="auto"/>
        <w:right w:val="none" w:sz="0" w:space="0" w:color="auto"/>
      </w:divBdr>
    </w:div>
    <w:div w:id="258947720">
      <w:bodyDiv w:val="1"/>
      <w:marLeft w:val="0"/>
      <w:marRight w:val="0"/>
      <w:marTop w:val="0"/>
      <w:marBottom w:val="0"/>
      <w:divBdr>
        <w:top w:val="none" w:sz="0" w:space="0" w:color="auto"/>
        <w:left w:val="none" w:sz="0" w:space="0" w:color="auto"/>
        <w:bottom w:val="none" w:sz="0" w:space="0" w:color="auto"/>
        <w:right w:val="none" w:sz="0" w:space="0" w:color="auto"/>
      </w:divBdr>
    </w:div>
    <w:div w:id="263078710">
      <w:bodyDiv w:val="1"/>
      <w:marLeft w:val="0"/>
      <w:marRight w:val="0"/>
      <w:marTop w:val="0"/>
      <w:marBottom w:val="0"/>
      <w:divBdr>
        <w:top w:val="none" w:sz="0" w:space="0" w:color="auto"/>
        <w:left w:val="none" w:sz="0" w:space="0" w:color="auto"/>
        <w:bottom w:val="none" w:sz="0" w:space="0" w:color="auto"/>
        <w:right w:val="none" w:sz="0" w:space="0" w:color="auto"/>
      </w:divBdr>
    </w:div>
    <w:div w:id="287204718">
      <w:bodyDiv w:val="1"/>
      <w:marLeft w:val="0"/>
      <w:marRight w:val="0"/>
      <w:marTop w:val="0"/>
      <w:marBottom w:val="0"/>
      <w:divBdr>
        <w:top w:val="none" w:sz="0" w:space="0" w:color="auto"/>
        <w:left w:val="none" w:sz="0" w:space="0" w:color="auto"/>
        <w:bottom w:val="none" w:sz="0" w:space="0" w:color="auto"/>
        <w:right w:val="none" w:sz="0" w:space="0" w:color="auto"/>
      </w:divBdr>
    </w:div>
    <w:div w:id="314379277">
      <w:bodyDiv w:val="1"/>
      <w:marLeft w:val="0"/>
      <w:marRight w:val="0"/>
      <w:marTop w:val="0"/>
      <w:marBottom w:val="0"/>
      <w:divBdr>
        <w:top w:val="none" w:sz="0" w:space="0" w:color="auto"/>
        <w:left w:val="none" w:sz="0" w:space="0" w:color="auto"/>
        <w:bottom w:val="none" w:sz="0" w:space="0" w:color="auto"/>
        <w:right w:val="none" w:sz="0" w:space="0" w:color="auto"/>
      </w:divBdr>
      <w:divsChild>
        <w:div w:id="417140968">
          <w:marLeft w:val="0"/>
          <w:marRight w:val="0"/>
          <w:marTop w:val="0"/>
          <w:marBottom w:val="0"/>
          <w:divBdr>
            <w:top w:val="none" w:sz="0" w:space="0" w:color="auto"/>
            <w:left w:val="none" w:sz="0" w:space="0" w:color="auto"/>
            <w:bottom w:val="none" w:sz="0" w:space="0" w:color="auto"/>
            <w:right w:val="none" w:sz="0" w:space="0" w:color="auto"/>
          </w:divBdr>
        </w:div>
      </w:divsChild>
    </w:div>
    <w:div w:id="314914046">
      <w:bodyDiv w:val="1"/>
      <w:marLeft w:val="0"/>
      <w:marRight w:val="0"/>
      <w:marTop w:val="0"/>
      <w:marBottom w:val="0"/>
      <w:divBdr>
        <w:top w:val="none" w:sz="0" w:space="0" w:color="auto"/>
        <w:left w:val="none" w:sz="0" w:space="0" w:color="auto"/>
        <w:bottom w:val="none" w:sz="0" w:space="0" w:color="auto"/>
        <w:right w:val="none" w:sz="0" w:space="0" w:color="auto"/>
      </w:divBdr>
    </w:div>
    <w:div w:id="351491234">
      <w:bodyDiv w:val="1"/>
      <w:marLeft w:val="0"/>
      <w:marRight w:val="0"/>
      <w:marTop w:val="0"/>
      <w:marBottom w:val="0"/>
      <w:divBdr>
        <w:top w:val="none" w:sz="0" w:space="0" w:color="auto"/>
        <w:left w:val="none" w:sz="0" w:space="0" w:color="auto"/>
        <w:bottom w:val="none" w:sz="0" w:space="0" w:color="auto"/>
        <w:right w:val="none" w:sz="0" w:space="0" w:color="auto"/>
      </w:divBdr>
    </w:div>
    <w:div w:id="359864155">
      <w:bodyDiv w:val="1"/>
      <w:marLeft w:val="0"/>
      <w:marRight w:val="0"/>
      <w:marTop w:val="0"/>
      <w:marBottom w:val="0"/>
      <w:divBdr>
        <w:top w:val="none" w:sz="0" w:space="0" w:color="auto"/>
        <w:left w:val="none" w:sz="0" w:space="0" w:color="auto"/>
        <w:bottom w:val="none" w:sz="0" w:space="0" w:color="auto"/>
        <w:right w:val="none" w:sz="0" w:space="0" w:color="auto"/>
      </w:divBdr>
    </w:div>
    <w:div w:id="374237511">
      <w:bodyDiv w:val="1"/>
      <w:marLeft w:val="0"/>
      <w:marRight w:val="0"/>
      <w:marTop w:val="0"/>
      <w:marBottom w:val="0"/>
      <w:divBdr>
        <w:top w:val="none" w:sz="0" w:space="0" w:color="auto"/>
        <w:left w:val="none" w:sz="0" w:space="0" w:color="auto"/>
        <w:bottom w:val="none" w:sz="0" w:space="0" w:color="auto"/>
        <w:right w:val="none" w:sz="0" w:space="0" w:color="auto"/>
      </w:divBdr>
    </w:div>
    <w:div w:id="378094368">
      <w:bodyDiv w:val="1"/>
      <w:marLeft w:val="0"/>
      <w:marRight w:val="0"/>
      <w:marTop w:val="0"/>
      <w:marBottom w:val="0"/>
      <w:divBdr>
        <w:top w:val="none" w:sz="0" w:space="0" w:color="auto"/>
        <w:left w:val="none" w:sz="0" w:space="0" w:color="auto"/>
        <w:bottom w:val="none" w:sz="0" w:space="0" w:color="auto"/>
        <w:right w:val="none" w:sz="0" w:space="0" w:color="auto"/>
      </w:divBdr>
    </w:div>
    <w:div w:id="378364911">
      <w:bodyDiv w:val="1"/>
      <w:marLeft w:val="0"/>
      <w:marRight w:val="0"/>
      <w:marTop w:val="0"/>
      <w:marBottom w:val="0"/>
      <w:divBdr>
        <w:top w:val="none" w:sz="0" w:space="0" w:color="auto"/>
        <w:left w:val="none" w:sz="0" w:space="0" w:color="auto"/>
        <w:bottom w:val="none" w:sz="0" w:space="0" w:color="auto"/>
        <w:right w:val="none" w:sz="0" w:space="0" w:color="auto"/>
      </w:divBdr>
    </w:div>
    <w:div w:id="383872697">
      <w:bodyDiv w:val="1"/>
      <w:marLeft w:val="0"/>
      <w:marRight w:val="0"/>
      <w:marTop w:val="0"/>
      <w:marBottom w:val="0"/>
      <w:divBdr>
        <w:top w:val="none" w:sz="0" w:space="0" w:color="auto"/>
        <w:left w:val="none" w:sz="0" w:space="0" w:color="auto"/>
        <w:bottom w:val="none" w:sz="0" w:space="0" w:color="auto"/>
        <w:right w:val="none" w:sz="0" w:space="0" w:color="auto"/>
      </w:divBdr>
      <w:divsChild>
        <w:div w:id="873923314">
          <w:marLeft w:val="0"/>
          <w:marRight w:val="0"/>
          <w:marTop w:val="0"/>
          <w:marBottom w:val="0"/>
          <w:divBdr>
            <w:top w:val="none" w:sz="0" w:space="0" w:color="auto"/>
            <w:left w:val="none" w:sz="0" w:space="0" w:color="auto"/>
            <w:bottom w:val="none" w:sz="0" w:space="0" w:color="auto"/>
            <w:right w:val="none" w:sz="0" w:space="0" w:color="auto"/>
          </w:divBdr>
        </w:div>
        <w:div w:id="1989436130">
          <w:marLeft w:val="0"/>
          <w:marRight w:val="0"/>
          <w:marTop w:val="0"/>
          <w:marBottom w:val="0"/>
          <w:divBdr>
            <w:top w:val="none" w:sz="0" w:space="0" w:color="auto"/>
            <w:left w:val="none" w:sz="0" w:space="0" w:color="auto"/>
            <w:bottom w:val="none" w:sz="0" w:space="0" w:color="auto"/>
            <w:right w:val="none" w:sz="0" w:space="0" w:color="auto"/>
          </w:divBdr>
        </w:div>
      </w:divsChild>
    </w:div>
    <w:div w:id="396632350">
      <w:bodyDiv w:val="1"/>
      <w:marLeft w:val="0"/>
      <w:marRight w:val="0"/>
      <w:marTop w:val="0"/>
      <w:marBottom w:val="0"/>
      <w:divBdr>
        <w:top w:val="none" w:sz="0" w:space="0" w:color="auto"/>
        <w:left w:val="none" w:sz="0" w:space="0" w:color="auto"/>
        <w:bottom w:val="none" w:sz="0" w:space="0" w:color="auto"/>
        <w:right w:val="none" w:sz="0" w:space="0" w:color="auto"/>
      </w:divBdr>
    </w:div>
    <w:div w:id="423649607">
      <w:bodyDiv w:val="1"/>
      <w:marLeft w:val="0"/>
      <w:marRight w:val="0"/>
      <w:marTop w:val="0"/>
      <w:marBottom w:val="0"/>
      <w:divBdr>
        <w:top w:val="none" w:sz="0" w:space="0" w:color="auto"/>
        <w:left w:val="none" w:sz="0" w:space="0" w:color="auto"/>
        <w:bottom w:val="none" w:sz="0" w:space="0" w:color="auto"/>
        <w:right w:val="none" w:sz="0" w:space="0" w:color="auto"/>
      </w:divBdr>
    </w:div>
    <w:div w:id="426194790">
      <w:bodyDiv w:val="1"/>
      <w:marLeft w:val="0"/>
      <w:marRight w:val="0"/>
      <w:marTop w:val="0"/>
      <w:marBottom w:val="0"/>
      <w:divBdr>
        <w:top w:val="none" w:sz="0" w:space="0" w:color="auto"/>
        <w:left w:val="none" w:sz="0" w:space="0" w:color="auto"/>
        <w:bottom w:val="none" w:sz="0" w:space="0" w:color="auto"/>
        <w:right w:val="none" w:sz="0" w:space="0" w:color="auto"/>
      </w:divBdr>
      <w:divsChild>
        <w:div w:id="1204713941">
          <w:marLeft w:val="0"/>
          <w:marRight w:val="0"/>
          <w:marTop w:val="0"/>
          <w:marBottom w:val="0"/>
          <w:divBdr>
            <w:top w:val="none" w:sz="0" w:space="0" w:color="auto"/>
            <w:left w:val="none" w:sz="0" w:space="0" w:color="auto"/>
            <w:bottom w:val="none" w:sz="0" w:space="0" w:color="auto"/>
            <w:right w:val="none" w:sz="0" w:space="0" w:color="auto"/>
          </w:divBdr>
        </w:div>
      </w:divsChild>
    </w:div>
    <w:div w:id="427435063">
      <w:bodyDiv w:val="1"/>
      <w:marLeft w:val="0"/>
      <w:marRight w:val="0"/>
      <w:marTop w:val="0"/>
      <w:marBottom w:val="0"/>
      <w:divBdr>
        <w:top w:val="none" w:sz="0" w:space="0" w:color="auto"/>
        <w:left w:val="none" w:sz="0" w:space="0" w:color="auto"/>
        <w:bottom w:val="none" w:sz="0" w:space="0" w:color="auto"/>
        <w:right w:val="none" w:sz="0" w:space="0" w:color="auto"/>
      </w:divBdr>
    </w:div>
    <w:div w:id="441413408">
      <w:bodyDiv w:val="1"/>
      <w:marLeft w:val="0"/>
      <w:marRight w:val="0"/>
      <w:marTop w:val="0"/>
      <w:marBottom w:val="0"/>
      <w:divBdr>
        <w:top w:val="none" w:sz="0" w:space="0" w:color="auto"/>
        <w:left w:val="none" w:sz="0" w:space="0" w:color="auto"/>
        <w:bottom w:val="none" w:sz="0" w:space="0" w:color="auto"/>
        <w:right w:val="none" w:sz="0" w:space="0" w:color="auto"/>
      </w:divBdr>
    </w:div>
    <w:div w:id="444346258">
      <w:bodyDiv w:val="1"/>
      <w:marLeft w:val="0"/>
      <w:marRight w:val="0"/>
      <w:marTop w:val="0"/>
      <w:marBottom w:val="0"/>
      <w:divBdr>
        <w:top w:val="none" w:sz="0" w:space="0" w:color="auto"/>
        <w:left w:val="none" w:sz="0" w:space="0" w:color="auto"/>
        <w:bottom w:val="none" w:sz="0" w:space="0" w:color="auto"/>
        <w:right w:val="none" w:sz="0" w:space="0" w:color="auto"/>
      </w:divBdr>
    </w:div>
    <w:div w:id="453644069">
      <w:bodyDiv w:val="1"/>
      <w:marLeft w:val="0"/>
      <w:marRight w:val="0"/>
      <w:marTop w:val="0"/>
      <w:marBottom w:val="0"/>
      <w:divBdr>
        <w:top w:val="none" w:sz="0" w:space="0" w:color="auto"/>
        <w:left w:val="none" w:sz="0" w:space="0" w:color="auto"/>
        <w:bottom w:val="none" w:sz="0" w:space="0" w:color="auto"/>
        <w:right w:val="none" w:sz="0" w:space="0" w:color="auto"/>
      </w:divBdr>
    </w:div>
    <w:div w:id="456797984">
      <w:bodyDiv w:val="1"/>
      <w:marLeft w:val="0"/>
      <w:marRight w:val="0"/>
      <w:marTop w:val="0"/>
      <w:marBottom w:val="0"/>
      <w:divBdr>
        <w:top w:val="none" w:sz="0" w:space="0" w:color="auto"/>
        <w:left w:val="none" w:sz="0" w:space="0" w:color="auto"/>
        <w:bottom w:val="none" w:sz="0" w:space="0" w:color="auto"/>
        <w:right w:val="none" w:sz="0" w:space="0" w:color="auto"/>
      </w:divBdr>
    </w:div>
    <w:div w:id="461463395">
      <w:bodyDiv w:val="1"/>
      <w:marLeft w:val="0"/>
      <w:marRight w:val="0"/>
      <w:marTop w:val="0"/>
      <w:marBottom w:val="0"/>
      <w:divBdr>
        <w:top w:val="none" w:sz="0" w:space="0" w:color="auto"/>
        <w:left w:val="none" w:sz="0" w:space="0" w:color="auto"/>
        <w:bottom w:val="none" w:sz="0" w:space="0" w:color="auto"/>
        <w:right w:val="none" w:sz="0" w:space="0" w:color="auto"/>
      </w:divBdr>
    </w:div>
    <w:div w:id="467433156">
      <w:bodyDiv w:val="1"/>
      <w:marLeft w:val="0"/>
      <w:marRight w:val="0"/>
      <w:marTop w:val="0"/>
      <w:marBottom w:val="0"/>
      <w:divBdr>
        <w:top w:val="none" w:sz="0" w:space="0" w:color="auto"/>
        <w:left w:val="none" w:sz="0" w:space="0" w:color="auto"/>
        <w:bottom w:val="none" w:sz="0" w:space="0" w:color="auto"/>
        <w:right w:val="none" w:sz="0" w:space="0" w:color="auto"/>
      </w:divBdr>
    </w:div>
    <w:div w:id="470098423">
      <w:bodyDiv w:val="1"/>
      <w:marLeft w:val="0"/>
      <w:marRight w:val="0"/>
      <w:marTop w:val="0"/>
      <w:marBottom w:val="0"/>
      <w:divBdr>
        <w:top w:val="none" w:sz="0" w:space="0" w:color="auto"/>
        <w:left w:val="none" w:sz="0" w:space="0" w:color="auto"/>
        <w:bottom w:val="none" w:sz="0" w:space="0" w:color="auto"/>
        <w:right w:val="none" w:sz="0" w:space="0" w:color="auto"/>
      </w:divBdr>
    </w:div>
    <w:div w:id="471678216">
      <w:bodyDiv w:val="1"/>
      <w:marLeft w:val="0"/>
      <w:marRight w:val="0"/>
      <w:marTop w:val="0"/>
      <w:marBottom w:val="0"/>
      <w:divBdr>
        <w:top w:val="none" w:sz="0" w:space="0" w:color="auto"/>
        <w:left w:val="none" w:sz="0" w:space="0" w:color="auto"/>
        <w:bottom w:val="none" w:sz="0" w:space="0" w:color="auto"/>
        <w:right w:val="none" w:sz="0" w:space="0" w:color="auto"/>
      </w:divBdr>
    </w:div>
    <w:div w:id="472022314">
      <w:bodyDiv w:val="1"/>
      <w:marLeft w:val="0"/>
      <w:marRight w:val="0"/>
      <w:marTop w:val="0"/>
      <w:marBottom w:val="0"/>
      <w:divBdr>
        <w:top w:val="none" w:sz="0" w:space="0" w:color="auto"/>
        <w:left w:val="none" w:sz="0" w:space="0" w:color="auto"/>
        <w:bottom w:val="none" w:sz="0" w:space="0" w:color="auto"/>
        <w:right w:val="none" w:sz="0" w:space="0" w:color="auto"/>
      </w:divBdr>
    </w:div>
    <w:div w:id="474105008">
      <w:bodyDiv w:val="1"/>
      <w:marLeft w:val="0"/>
      <w:marRight w:val="0"/>
      <w:marTop w:val="0"/>
      <w:marBottom w:val="0"/>
      <w:divBdr>
        <w:top w:val="none" w:sz="0" w:space="0" w:color="auto"/>
        <w:left w:val="none" w:sz="0" w:space="0" w:color="auto"/>
        <w:bottom w:val="none" w:sz="0" w:space="0" w:color="auto"/>
        <w:right w:val="none" w:sz="0" w:space="0" w:color="auto"/>
      </w:divBdr>
      <w:divsChild>
        <w:div w:id="264119029">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sChild>
                <w:div w:id="196893741">
                  <w:marLeft w:val="0"/>
                  <w:marRight w:val="0"/>
                  <w:marTop w:val="0"/>
                  <w:marBottom w:val="0"/>
                  <w:divBdr>
                    <w:top w:val="none" w:sz="0" w:space="0" w:color="auto"/>
                    <w:left w:val="none" w:sz="0" w:space="0" w:color="auto"/>
                    <w:bottom w:val="none" w:sz="0" w:space="0" w:color="auto"/>
                    <w:right w:val="none" w:sz="0" w:space="0" w:color="auto"/>
                  </w:divBdr>
                  <w:divsChild>
                    <w:div w:id="1925020964">
                      <w:marLeft w:val="0"/>
                      <w:marRight w:val="0"/>
                      <w:marTop w:val="0"/>
                      <w:marBottom w:val="0"/>
                      <w:divBdr>
                        <w:top w:val="none" w:sz="0" w:space="0" w:color="auto"/>
                        <w:left w:val="none" w:sz="0" w:space="0" w:color="auto"/>
                        <w:bottom w:val="none" w:sz="0" w:space="0" w:color="auto"/>
                        <w:right w:val="none" w:sz="0" w:space="0" w:color="auto"/>
                      </w:divBdr>
                      <w:divsChild>
                        <w:div w:id="1108889702">
                          <w:marLeft w:val="0"/>
                          <w:marRight w:val="0"/>
                          <w:marTop w:val="0"/>
                          <w:marBottom w:val="0"/>
                          <w:divBdr>
                            <w:top w:val="none" w:sz="0" w:space="0" w:color="auto"/>
                            <w:left w:val="none" w:sz="0" w:space="0" w:color="auto"/>
                            <w:bottom w:val="none" w:sz="0" w:space="0" w:color="auto"/>
                            <w:right w:val="none" w:sz="0" w:space="0" w:color="auto"/>
                          </w:divBdr>
                          <w:divsChild>
                            <w:div w:id="101542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768786">
      <w:bodyDiv w:val="1"/>
      <w:marLeft w:val="0"/>
      <w:marRight w:val="0"/>
      <w:marTop w:val="0"/>
      <w:marBottom w:val="0"/>
      <w:divBdr>
        <w:top w:val="none" w:sz="0" w:space="0" w:color="auto"/>
        <w:left w:val="none" w:sz="0" w:space="0" w:color="auto"/>
        <w:bottom w:val="none" w:sz="0" w:space="0" w:color="auto"/>
        <w:right w:val="none" w:sz="0" w:space="0" w:color="auto"/>
      </w:divBdr>
    </w:div>
    <w:div w:id="481505558">
      <w:bodyDiv w:val="1"/>
      <w:marLeft w:val="0"/>
      <w:marRight w:val="0"/>
      <w:marTop w:val="0"/>
      <w:marBottom w:val="0"/>
      <w:divBdr>
        <w:top w:val="none" w:sz="0" w:space="0" w:color="auto"/>
        <w:left w:val="none" w:sz="0" w:space="0" w:color="auto"/>
        <w:bottom w:val="none" w:sz="0" w:space="0" w:color="auto"/>
        <w:right w:val="none" w:sz="0" w:space="0" w:color="auto"/>
      </w:divBdr>
    </w:div>
    <w:div w:id="507907181">
      <w:bodyDiv w:val="1"/>
      <w:marLeft w:val="0"/>
      <w:marRight w:val="0"/>
      <w:marTop w:val="0"/>
      <w:marBottom w:val="0"/>
      <w:divBdr>
        <w:top w:val="none" w:sz="0" w:space="0" w:color="auto"/>
        <w:left w:val="none" w:sz="0" w:space="0" w:color="auto"/>
        <w:bottom w:val="none" w:sz="0" w:space="0" w:color="auto"/>
        <w:right w:val="none" w:sz="0" w:space="0" w:color="auto"/>
      </w:divBdr>
    </w:div>
    <w:div w:id="513495238">
      <w:bodyDiv w:val="1"/>
      <w:marLeft w:val="0"/>
      <w:marRight w:val="0"/>
      <w:marTop w:val="0"/>
      <w:marBottom w:val="0"/>
      <w:divBdr>
        <w:top w:val="none" w:sz="0" w:space="0" w:color="auto"/>
        <w:left w:val="none" w:sz="0" w:space="0" w:color="auto"/>
        <w:bottom w:val="none" w:sz="0" w:space="0" w:color="auto"/>
        <w:right w:val="none" w:sz="0" w:space="0" w:color="auto"/>
      </w:divBdr>
    </w:div>
    <w:div w:id="550314668">
      <w:bodyDiv w:val="1"/>
      <w:marLeft w:val="0"/>
      <w:marRight w:val="0"/>
      <w:marTop w:val="0"/>
      <w:marBottom w:val="0"/>
      <w:divBdr>
        <w:top w:val="none" w:sz="0" w:space="0" w:color="auto"/>
        <w:left w:val="none" w:sz="0" w:space="0" w:color="auto"/>
        <w:bottom w:val="none" w:sz="0" w:space="0" w:color="auto"/>
        <w:right w:val="none" w:sz="0" w:space="0" w:color="auto"/>
      </w:divBdr>
    </w:div>
    <w:div w:id="557588897">
      <w:bodyDiv w:val="1"/>
      <w:marLeft w:val="0"/>
      <w:marRight w:val="0"/>
      <w:marTop w:val="0"/>
      <w:marBottom w:val="0"/>
      <w:divBdr>
        <w:top w:val="none" w:sz="0" w:space="0" w:color="auto"/>
        <w:left w:val="none" w:sz="0" w:space="0" w:color="auto"/>
        <w:bottom w:val="none" w:sz="0" w:space="0" w:color="auto"/>
        <w:right w:val="none" w:sz="0" w:space="0" w:color="auto"/>
      </w:divBdr>
    </w:div>
    <w:div w:id="568198672">
      <w:bodyDiv w:val="1"/>
      <w:marLeft w:val="0"/>
      <w:marRight w:val="0"/>
      <w:marTop w:val="0"/>
      <w:marBottom w:val="0"/>
      <w:divBdr>
        <w:top w:val="none" w:sz="0" w:space="0" w:color="auto"/>
        <w:left w:val="none" w:sz="0" w:space="0" w:color="auto"/>
        <w:bottom w:val="none" w:sz="0" w:space="0" w:color="auto"/>
        <w:right w:val="none" w:sz="0" w:space="0" w:color="auto"/>
      </w:divBdr>
    </w:div>
    <w:div w:id="578683019">
      <w:bodyDiv w:val="1"/>
      <w:marLeft w:val="0"/>
      <w:marRight w:val="0"/>
      <w:marTop w:val="0"/>
      <w:marBottom w:val="0"/>
      <w:divBdr>
        <w:top w:val="none" w:sz="0" w:space="0" w:color="auto"/>
        <w:left w:val="none" w:sz="0" w:space="0" w:color="auto"/>
        <w:bottom w:val="none" w:sz="0" w:space="0" w:color="auto"/>
        <w:right w:val="none" w:sz="0" w:space="0" w:color="auto"/>
      </w:divBdr>
    </w:div>
    <w:div w:id="582253524">
      <w:bodyDiv w:val="1"/>
      <w:marLeft w:val="0"/>
      <w:marRight w:val="0"/>
      <w:marTop w:val="0"/>
      <w:marBottom w:val="0"/>
      <w:divBdr>
        <w:top w:val="none" w:sz="0" w:space="0" w:color="auto"/>
        <w:left w:val="none" w:sz="0" w:space="0" w:color="auto"/>
        <w:bottom w:val="none" w:sz="0" w:space="0" w:color="auto"/>
        <w:right w:val="none" w:sz="0" w:space="0" w:color="auto"/>
      </w:divBdr>
    </w:div>
    <w:div w:id="583729756">
      <w:bodyDiv w:val="1"/>
      <w:marLeft w:val="0"/>
      <w:marRight w:val="0"/>
      <w:marTop w:val="0"/>
      <w:marBottom w:val="0"/>
      <w:divBdr>
        <w:top w:val="none" w:sz="0" w:space="0" w:color="auto"/>
        <w:left w:val="none" w:sz="0" w:space="0" w:color="auto"/>
        <w:bottom w:val="none" w:sz="0" w:space="0" w:color="auto"/>
        <w:right w:val="none" w:sz="0" w:space="0" w:color="auto"/>
      </w:divBdr>
    </w:div>
    <w:div w:id="588731839">
      <w:bodyDiv w:val="1"/>
      <w:marLeft w:val="0"/>
      <w:marRight w:val="0"/>
      <w:marTop w:val="0"/>
      <w:marBottom w:val="0"/>
      <w:divBdr>
        <w:top w:val="none" w:sz="0" w:space="0" w:color="auto"/>
        <w:left w:val="none" w:sz="0" w:space="0" w:color="auto"/>
        <w:bottom w:val="none" w:sz="0" w:space="0" w:color="auto"/>
        <w:right w:val="none" w:sz="0" w:space="0" w:color="auto"/>
      </w:divBdr>
    </w:div>
    <w:div w:id="607396338">
      <w:bodyDiv w:val="1"/>
      <w:marLeft w:val="0"/>
      <w:marRight w:val="0"/>
      <w:marTop w:val="0"/>
      <w:marBottom w:val="0"/>
      <w:divBdr>
        <w:top w:val="none" w:sz="0" w:space="0" w:color="auto"/>
        <w:left w:val="none" w:sz="0" w:space="0" w:color="auto"/>
        <w:bottom w:val="none" w:sz="0" w:space="0" w:color="auto"/>
        <w:right w:val="none" w:sz="0" w:space="0" w:color="auto"/>
      </w:divBdr>
    </w:div>
    <w:div w:id="649947179">
      <w:bodyDiv w:val="1"/>
      <w:marLeft w:val="0"/>
      <w:marRight w:val="0"/>
      <w:marTop w:val="0"/>
      <w:marBottom w:val="0"/>
      <w:divBdr>
        <w:top w:val="none" w:sz="0" w:space="0" w:color="auto"/>
        <w:left w:val="none" w:sz="0" w:space="0" w:color="auto"/>
        <w:bottom w:val="none" w:sz="0" w:space="0" w:color="auto"/>
        <w:right w:val="none" w:sz="0" w:space="0" w:color="auto"/>
      </w:divBdr>
    </w:div>
    <w:div w:id="658654060">
      <w:bodyDiv w:val="1"/>
      <w:marLeft w:val="0"/>
      <w:marRight w:val="0"/>
      <w:marTop w:val="0"/>
      <w:marBottom w:val="0"/>
      <w:divBdr>
        <w:top w:val="none" w:sz="0" w:space="0" w:color="auto"/>
        <w:left w:val="none" w:sz="0" w:space="0" w:color="auto"/>
        <w:bottom w:val="none" w:sz="0" w:space="0" w:color="auto"/>
        <w:right w:val="none" w:sz="0" w:space="0" w:color="auto"/>
      </w:divBdr>
    </w:div>
    <w:div w:id="665744642">
      <w:bodyDiv w:val="1"/>
      <w:marLeft w:val="0"/>
      <w:marRight w:val="0"/>
      <w:marTop w:val="0"/>
      <w:marBottom w:val="0"/>
      <w:divBdr>
        <w:top w:val="none" w:sz="0" w:space="0" w:color="auto"/>
        <w:left w:val="none" w:sz="0" w:space="0" w:color="auto"/>
        <w:bottom w:val="none" w:sz="0" w:space="0" w:color="auto"/>
        <w:right w:val="none" w:sz="0" w:space="0" w:color="auto"/>
      </w:divBdr>
    </w:div>
    <w:div w:id="666204613">
      <w:bodyDiv w:val="1"/>
      <w:marLeft w:val="0"/>
      <w:marRight w:val="0"/>
      <w:marTop w:val="0"/>
      <w:marBottom w:val="0"/>
      <w:divBdr>
        <w:top w:val="none" w:sz="0" w:space="0" w:color="auto"/>
        <w:left w:val="none" w:sz="0" w:space="0" w:color="auto"/>
        <w:bottom w:val="none" w:sz="0" w:space="0" w:color="auto"/>
        <w:right w:val="none" w:sz="0" w:space="0" w:color="auto"/>
      </w:divBdr>
    </w:div>
    <w:div w:id="674918045">
      <w:bodyDiv w:val="1"/>
      <w:marLeft w:val="0"/>
      <w:marRight w:val="0"/>
      <w:marTop w:val="0"/>
      <w:marBottom w:val="0"/>
      <w:divBdr>
        <w:top w:val="none" w:sz="0" w:space="0" w:color="auto"/>
        <w:left w:val="none" w:sz="0" w:space="0" w:color="auto"/>
        <w:bottom w:val="none" w:sz="0" w:space="0" w:color="auto"/>
        <w:right w:val="none" w:sz="0" w:space="0" w:color="auto"/>
      </w:divBdr>
    </w:div>
    <w:div w:id="691346012">
      <w:bodyDiv w:val="1"/>
      <w:marLeft w:val="0"/>
      <w:marRight w:val="0"/>
      <w:marTop w:val="0"/>
      <w:marBottom w:val="0"/>
      <w:divBdr>
        <w:top w:val="none" w:sz="0" w:space="0" w:color="auto"/>
        <w:left w:val="none" w:sz="0" w:space="0" w:color="auto"/>
        <w:bottom w:val="none" w:sz="0" w:space="0" w:color="auto"/>
        <w:right w:val="none" w:sz="0" w:space="0" w:color="auto"/>
      </w:divBdr>
      <w:divsChild>
        <w:div w:id="1921139584">
          <w:marLeft w:val="0"/>
          <w:marRight w:val="0"/>
          <w:marTop w:val="0"/>
          <w:marBottom w:val="0"/>
          <w:divBdr>
            <w:top w:val="none" w:sz="0" w:space="0" w:color="auto"/>
            <w:left w:val="none" w:sz="0" w:space="0" w:color="auto"/>
            <w:bottom w:val="none" w:sz="0" w:space="0" w:color="auto"/>
            <w:right w:val="none" w:sz="0" w:space="0" w:color="auto"/>
          </w:divBdr>
        </w:div>
      </w:divsChild>
    </w:div>
    <w:div w:id="694699535">
      <w:bodyDiv w:val="1"/>
      <w:marLeft w:val="0"/>
      <w:marRight w:val="0"/>
      <w:marTop w:val="0"/>
      <w:marBottom w:val="0"/>
      <w:divBdr>
        <w:top w:val="none" w:sz="0" w:space="0" w:color="auto"/>
        <w:left w:val="none" w:sz="0" w:space="0" w:color="auto"/>
        <w:bottom w:val="none" w:sz="0" w:space="0" w:color="auto"/>
        <w:right w:val="none" w:sz="0" w:space="0" w:color="auto"/>
      </w:divBdr>
    </w:div>
    <w:div w:id="695010369">
      <w:bodyDiv w:val="1"/>
      <w:marLeft w:val="0"/>
      <w:marRight w:val="0"/>
      <w:marTop w:val="0"/>
      <w:marBottom w:val="0"/>
      <w:divBdr>
        <w:top w:val="none" w:sz="0" w:space="0" w:color="auto"/>
        <w:left w:val="none" w:sz="0" w:space="0" w:color="auto"/>
        <w:bottom w:val="none" w:sz="0" w:space="0" w:color="auto"/>
        <w:right w:val="none" w:sz="0" w:space="0" w:color="auto"/>
      </w:divBdr>
    </w:div>
    <w:div w:id="700253062">
      <w:bodyDiv w:val="1"/>
      <w:marLeft w:val="0"/>
      <w:marRight w:val="0"/>
      <w:marTop w:val="0"/>
      <w:marBottom w:val="0"/>
      <w:divBdr>
        <w:top w:val="none" w:sz="0" w:space="0" w:color="auto"/>
        <w:left w:val="none" w:sz="0" w:space="0" w:color="auto"/>
        <w:bottom w:val="none" w:sz="0" w:space="0" w:color="auto"/>
        <w:right w:val="none" w:sz="0" w:space="0" w:color="auto"/>
      </w:divBdr>
      <w:divsChild>
        <w:div w:id="48919021">
          <w:marLeft w:val="0"/>
          <w:marRight w:val="0"/>
          <w:marTop w:val="0"/>
          <w:marBottom w:val="0"/>
          <w:divBdr>
            <w:top w:val="none" w:sz="0" w:space="0" w:color="auto"/>
            <w:left w:val="none" w:sz="0" w:space="0" w:color="auto"/>
            <w:bottom w:val="none" w:sz="0" w:space="0" w:color="auto"/>
            <w:right w:val="none" w:sz="0" w:space="0" w:color="auto"/>
          </w:divBdr>
        </w:div>
        <w:div w:id="1917787635">
          <w:marLeft w:val="0"/>
          <w:marRight w:val="0"/>
          <w:marTop w:val="0"/>
          <w:marBottom w:val="0"/>
          <w:divBdr>
            <w:top w:val="none" w:sz="0" w:space="0" w:color="auto"/>
            <w:left w:val="none" w:sz="0" w:space="0" w:color="auto"/>
            <w:bottom w:val="none" w:sz="0" w:space="0" w:color="auto"/>
            <w:right w:val="none" w:sz="0" w:space="0" w:color="auto"/>
          </w:divBdr>
        </w:div>
      </w:divsChild>
    </w:div>
    <w:div w:id="729696103">
      <w:bodyDiv w:val="1"/>
      <w:marLeft w:val="0"/>
      <w:marRight w:val="0"/>
      <w:marTop w:val="0"/>
      <w:marBottom w:val="0"/>
      <w:divBdr>
        <w:top w:val="none" w:sz="0" w:space="0" w:color="auto"/>
        <w:left w:val="none" w:sz="0" w:space="0" w:color="auto"/>
        <w:bottom w:val="none" w:sz="0" w:space="0" w:color="auto"/>
        <w:right w:val="none" w:sz="0" w:space="0" w:color="auto"/>
      </w:divBdr>
    </w:div>
    <w:div w:id="780026913">
      <w:bodyDiv w:val="1"/>
      <w:marLeft w:val="0"/>
      <w:marRight w:val="0"/>
      <w:marTop w:val="0"/>
      <w:marBottom w:val="0"/>
      <w:divBdr>
        <w:top w:val="none" w:sz="0" w:space="0" w:color="auto"/>
        <w:left w:val="none" w:sz="0" w:space="0" w:color="auto"/>
        <w:bottom w:val="none" w:sz="0" w:space="0" w:color="auto"/>
        <w:right w:val="none" w:sz="0" w:space="0" w:color="auto"/>
      </w:divBdr>
    </w:div>
    <w:div w:id="786660682">
      <w:bodyDiv w:val="1"/>
      <w:marLeft w:val="0"/>
      <w:marRight w:val="0"/>
      <w:marTop w:val="0"/>
      <w:marBottom w:val="0"/>
      <w:divBdr>
        <w:top w:val="none" w:sz="0" w:space="0" w:color="auto"/>
        <w:left w:val="none" w:sz="0" w:space="0" w:color="auto"/>
        <w:bottom w:val="none" w:sz="0" w:space="0" w:color="auto"/>
        <w:right w:val="none" w:sz="0" w:space="0" w:color="auto"/>
      </w:divBdr>
    </w:div>
    <w:div w:id="790247453">
      <w:bodyDiv w:val="1"/>
      <w:marLeft w:val="0"/>
      <w:marRight w:val="0"/>
      <w:marTop w:val="0"/>
      <w:marBottom w:val="0"/>
      <w:divBdr>
        <w:top w:val="none" w:sz="0" w:space="0" w:color="auto"/>
        <w:left w:val="none" w:sz="0" w:space="0" w:color="auto"/>
        <w:bottom w:val="none" w:sz="0" w:space="0" w:color="auto"/>
        <w:right w:val="none" w:sz="0" w:space="0" w:color="auto"/>
      </w:divBdr>
    </w:div>
    <w:div w:id="823207596">
      <w:bodyDiv w:val="1"/>
      <w:marLeft w:val="0"/>
      <w:marRight w:val="0"/>
      <w:marTop w:val="0"/>
      <w:marBottom w:val="0"/>
      <w:divBdr>
        <w:top w:val="none" w:sz="0" w:space="0" w:color="auto"/>
        <w:left w:val="none" w:sz="0" w:space="0" w:color="auto"/>
        <w:bottom w:val="none" w:sz="0" w:space="0" w:color="auto"/>
        <w:right w:val="none" w:sz="0" w:space="0" w:color="auto"/>
      </w:divBdr>
    </w:div>
    <w:div w:id="834103173">
      <w:bodyDiv w:val="1"/>
      <w:marLeft w:val="0"/>
      <w:marRight w:val="0"/>
      <w:marTop w:val="0"/>
      <w:marBottom w:val="0"/>
      <w:divBdr>
        <w:top w:val="none" w:sz="0" w:space="0" w:color="auto"/>
        <w:left w:val="none" w:sz="0" w:space="0" w:color="auto"/>
        <w:bottom w:val="none" w:sz="0" w:space="0" w:color="auto"/>
        <w:right w:val="none" w:sz="0" w:space="0" w:color="auto"/>
      </w:divBdr>
    </w:div>
    <w:div w:id="840435120">
      <w:bodyDiv w:val="1"/>
      <w:marLeft w:val="0"/>
      <w:marRight w:val="0"/>
      <w:marTop w:val="0"/>
      <w:marBottom w:val="0"/>
      <w:divBdr>
        <w:top w:val="none" w:sz="0" w:space="0" w:color="auto"/>
        <w:left w:val="none" w:sz="0" w:space="0" w:color="auto"/>
        <w:bottom w:val="none" w:sz="0" w:space="0" w:color="auto"/>
        <w:right w:val="none" w:sz="0" w:space="0" w:color="auto"/>
      </w:divBdr>
    </w:div>
    <w:div w:id="856240280">
      <w:bodyDiv w:val="1"/>
      <w:marLeft w:val="0"/>
      <w:marRight w:val="0"/>
      <w:marTop w:val="0"/>
      <w:marBottom w:val="0"/>
      <w:divBdr>
        <w:top w:val="none" w:sz="0" w:space="0" w:color="auto"/>
        <w:left w:val="none" w:sz="0" w:space="0" w:color="auto"/>
        <w:bottom w:val="none" w:sz="0" w:space="0" w:color="auto"/>
        <w:right w:val="none" w:sz="0" w:space="0" w:color="auto"/>
      </w:divBdr>
    </w:div>
    <w:div w:id="880753232">
      <w:bodyDiv w:val="1"/>
      <w:marLeft w:val="0"/>
      <w:marRight w:val="0"/>
      <w:marTop w:val="0"/>
      <w:marBottom w:val="0"/>
      <w:divBdr>
        <w:top w:val="none" w:sz="0" w:space="0" w:color="auto"/>
        <w:left w:val="none" w:sz="0" w:space="0" w:color="auto"/>
        <w:bottom w:val="none" w:sz="0" w:space="0" w:color="auto"/>
        <w:right w:val="none" w:sz="0" w:space="0" w:color="auto"/>
      </w:divBdr>
    </w:div>
    <w:div w:id="887843232">
      <w:bodyDiv w:val="1"/>
      <w:marLeft w:val="0"/>
      <w:marRight w:val="0"/>
      <w:marTop w:val="0"/>
      <w:marBottom w:val="0"/>
      <w:divBdr>
        <w:top w:val="none" w:sz="0" w:space="0" w:color="auto"/>
        <w:left w:val="none" w:sz="0" w:space="0" w:color="auto"/>
        <w:bottom w:val="none" w:sz="0" w:space="0" w:color="auto"/>
        <w:right w:val="none" w:sz="0" w:space="0" w:color="auto"/>
      </w:divBdr>
    </w:div>
    <w:div w:id="891190863">
      <w:bodyDiv w:val="1"/>
      <w:marLeft w:val="0"/>
      <w:marRight w:val="0"/>
      <w:marTop w:val="0"/>
      <w:marBottom w:val="0"/>
      <w:divBdr>
        <w:top w:val="none" w:sz="0" w:space="0" w:color="auto"/>
        <w:left w:val="none" w:sz="0" w:space="0" w:color="auto"/>
        <w:bottom w:val="none" w:sz="0" w:space="0" w:color="auto"/>
        <w:right w:val="none" w:sz="0" w:space="0" w:color="auto"/>
      </w:divBdr>
    </w:div>
    <w:div w:id="907418330">
      <w:bodyDiv w:val="1"/>
      <w:marLeft w:val="0"/>
      <w:marRight w:val="0"/>
      <w:marTop w:val="0"/>
      <w:marBottom w:val="0"/>
      <w:divBdr>
        <w:top w:val="none" w:sz="0" w:space="0" w:color="auto"/>
        <w:left w:val="none" w:sz="0" w:space="0" w:color="auto"/>
        <w:bottom w:val="none" w:sz="0" w:space="0" w:color="auto"/>
        <w:right w:val="none" w:sz="0" w:space="0" w:color="auto"/>
      </w:divBdr>
    </w:div>
    <w:div w:id="908465967">
      <w:bodyDiv w:val="1"/>
      <w:marLeft w:val="0"/>
      <w:marRight w:val="0"/>
      <w:marTop w:val="0"/>
      <w:marBottom w:val="0"/>
      <w:divBdr>
        <w:top w:val="none" w:sz="0" w:space="0" w:color="auto"/>
        <w:left w:val="none" w:sz="0" w:space="0" w:color="auto"/>
        <w:bottom w:val="none" w:sz="0" w:space="0" w:color="auto"/>
        <w:right w:val="none" w:sz="0" w:space="0" w:color="auto"/>
      </w:divBdr>
    </w:div>
    <w:div w:id="915167157">
      <w:bodyDiv w:val="1"/>
      <w:marLeft w:val="0"/>
      <w:marRight w:val="0"/>
      <w:marTop w:val="0"/>
      <w:marBottom w:val="0"/>
      <w:divBdr>
        <w:top w:val="none" w:sz="0" w:space="0" w:color="auto"/>
        <w:left w:val="none" w:sz="0" w:space="0" w:color="auto"/>
        <w:bottom w:val="none" w:sz="0" w:space="0" w:color="auto"/>
        <w:right w:val="none" w:sz="0" w:space="0" w:color="auto"/>
      </w:divBdr>
    </w:div>
    <w:div w:id="937835652">
      <w:bodyDiv w:val="1"/>
      <w:marLeft w:val="0"/>
      <w:marRight w:val="0"/>
      <w:marTop w:val="0"/>
      <w:marBottom w:val="0"/>
      <w:divBdr>
        <w:top w:val="none" w:sz="0" w:space="0" w:color="auto"/>
        <w:left w:val="none" w:sz="0" w:space="0" w:color="auto"/>
        <w:bottom w:val="none" w:sz="0" w:space="0" w:color="auto"/>
        <w:right w:val="none" w:sz="0" w:space="0" w:color="auto"/>
      </w:divBdr>
    </w:div>
    <w:div w:id="968558400">
      <w:bodyDiv w:val="1"/>
      <w:marLeft w:val="0"/>
      <w:marRight w:val="0"/>
      <w:marTop w:val="0"/>
      <w:marBottom w:val="0"/>
      <w:divBdr>
        <w:top w:val="none" w:sz="0" w:space="0" w:color="auto"/>
        <w:left w:val="none" w:sz="0" w:space="0" w:color="auto"/>
        <w:bottom w:val="none" w:sz="0" w:space="0" w:color="auto"/>
        <w:right w:val="none" w:sz="0" w:space="0" w:color="auto"/>
      </w:divBdr>
    </w:div>
    <w:div w:id="994457470">
      <w:bodyDiv w:val="1"/>
      <w:marLeft w:val="0"/>
      <w:marRight w:val="0"/>
      <w:marTop w:val="0"/>
      <w:marBottom w:val="0"/>
      <w:divBdr>
        <w:top w:val="none" w:sz="0" w:space="0" w:color="auto"/>
        <w:left w:val="none" w:sz="0" w:space="0" w:color="auto"/>
        <w:bottom w:val="none" w:sz="0" w:space="0" w:color="auto"/>
        <w:right w:val="none" w:sz="0" w:space="0" w:color="auto"/>
      </w:divBdr>
    </w:div>
    <w:div w:id="1010254009">
      <w:bodyDiv w:val="1"/>
      <w:marLeft w:val="0"/>
      <w:marRight w:val="0"/>
      <w:marTop w:val="0"/>
      <w:marBottom w:val="0"/>
      <w:divBdr>
        <w:top w:val="none" w:sz="0" w:space="0" w:color="auto"/>
        <w:left w:val="none" w:sz="0" w:space="0" w:color="auto"/>
        <w:bottom w:val="none" w:sz="0" w:space="0" w:color="auto"/>
        <w:right w:val="none" w:sz="0" w:space="0" w:color="auto"/>
      </w:divBdr>
    </w:div>
    <w:div w:id="1017006296">
      <w:bodyDiv w:val="1"/>
      <w:marLeft w:val="0"/>
      <w:marRight w:val="0"/>
      <w:marTop w:val="0"/>
      <w:marBottom w:val="0"/>
      <w:divBdr>
        <w:top w:val="none" w:sz="0" w:space="0" w:color="auto"/>
        <w:left w:val="none" w:sz="0" w:space="0" w:color="auto"/>
        <w:bottom w:val="none" w:sz="0" w:space="0" w:color="auto"/>
        <w:right w:val="none" w:sz="0" w:space="0" w:color="auto"/>
      </w:divBdr>
    </w:div>
    <w:div w:id="1037969024">
      <w:bodyDiv w:val="1"/>
      <w:marLeft w:val="0"/>
      <w:marRight w:val="0"/>
      <w:marTop w:val="0"/>
      <w:marBottom w:val="0"/>
      <w:divBdr>
        <w:top w:val="none" w:sz="0" w:space="0" w:color="auto"/>
        <w:left w:val="none" w:sz="0" w:space="0" w:color="auto"/>
        <w:bottom w:val="none" w:sz="0" w:space="0" w:color="auto"/>
        <w:right w:val="none" w:sz="0" w:space="0" w:color="auto"/>
      </w:divBdr>
    </w:div>
    <w:div w:id="1044064115">
      <w:bodyDiv w:val="1"/>
      <w:marLeft w:val="0"/>
      <w:marRight w:val="0"/>
      <w:marTop w:val="0"/>
      <w:marBottom w:val="0"/>
      <w:divBdr>
        <w:top w:val="none" w:sz="0" w:space="0" w:color="auto"/>
        <w:left w:val="none" w:sz="0" w:space="0" w:color="auto"/>
        <w:bottom w:val="none" w:sz="0" w:space="0" w:color="auto"/>
        <w:right w:val="none" w:sz="0" w:space="0" w:color="auto"/>
      </w:divBdr>
    </w:div>
    <w:div w:id="1047340701">
      <w:bodyDiv w:val="1"/>
      <w:marLeft w:val="0"/>
      <w:marRight w:val="0"/>
      <w:marTop w:val="0"/>
      <w:marBottom w:val="0"/>
      <w:divBdr>
        <w:top w:val="none" w:sz="0" w:space="0" w:color="auto"/>
        <w:left w:val="none" w:sz="0" w:space="0" w:color="auto"/>
        <w:bottom w:val="none" w:sz="0" w:space="0" w:color="auto"/>
        <w:right w:val="none" w:sz="0" w:space="0" w:color="auto"/>
      </w:divBdr>
    </w:div>
    <w:div w:id="1047876809">
      <w:bodyDiv w:val="1"/>
      <w:marLeft w:val="0"/>
      <w:marRight w:val="0"/>
      <w:marTop w:val="0"/>
      <w:marBottom w:val="0"/>
      <w:divBdr>
        <w:top w:val="none" w:sz="0" w:space="0" w:color="auto"/>
        <w:left w:val="none" w:sz="0" w:space="0" w:color="auto"/>
        <w:bottom w:val="none" w:sz="0" w:space="0" w:color="auto"/>
        <w:right w:val="none" w:sz="0" w:space="0" w:color="auto"/>
      </w:divBdr>
    </w:div>
    <w:div w:id="1071930007">
      <w:bodyDiv w:val="1"/>
      <w:marLeft w:val="0"/>
      <w:marRight w:val="0"/>
      <w:marTop w:val="0"/>
      <w:marBottom w:val="0"/>
      <w:divBdr>
        <w:top w:val="none" w:sz="0" w:space="0" w:color="auto"/>
        <w:left w:val="none" w:sz="0" w:space="0" w:color="auto"/>
        <w:bottom w:val="none" w:sz="0" w:space="0" w:color="auto"/>
        <w:right w:val="none" w:sz="0" w:space="0" w:color="auto"/>
      </w:divBdr>
    </w:div>
    <w:div w:id="1079406154">
      <w:bodyDiv w:val="1"/>
      <w:marLeft w:val="0"/>
      <w:marRight w:val="0"/>
      <w:marTop w:val="0"/>
      <w:marBottom w:val="0"/>
      <w:divBdr>
        <w:top w:val="none" w:sz="0" w:space="0" w:color="auto"/>
        <w:left w:val="none" w:sz="0" w:space="0" w:color="auto"/>
        <w:bottom w:val="none" w:sz="0" w:space="0" w:color="auto"/>
        <w:right w:val="none" w:sz="0" w:space="0" w:color="auto"/>
      </w:divBdr>
    </w:div>
    <w:div w:id="1080367973">
      <w:bodyDiv w:val="1"/>
      <w:marLeft w:val="0"/>
      <w:marRight w:val="0"/>
      <w:marTop w:val="0"/>
      <w:marBottom w:val="0"/>
      <w:divBdr>
        <w:top w:val="none" w:sz="0" w:space="0" w:color="auto"/>
        <w:left w:val="none" w:sz="0" w:space="0" w:color="auto"/>
        <w:bottom w:val="none" w:sz="0" w:space="0" w:color="auto"/>
        <w:right w:val="none" w:sz="0" w:space="0" w:color="auto"/>
      </w:divBdr>
    </w:div>
    <w:div w:id="1084961639">
      <w:bodyDiv w:val="1"/>
      <w:marLeft w:val="0"/>
      <w:marRight w:val="0"/>
      <w:marTop w:val="0"/>
      <w:marBottom w:val="0"/>
      <w:divBdr>
        <w:top w:val="none" w:sz="0" w:space="0" w:color="auto"/>
        <w:left w:val="none" w:sz="0" w:space="0" w:color="auto"/>
        <w:bottom w:val="none" w:sz="0" w:space="0" w:color="auto"/>
        <w:right w:val="none" w:sz="0" w:space="0" w:color="auto"/>
      </w:divBdr>
    </w:div>
    <w:div w:id="1094279558">
      <w:bodyDiv w:val="1"/>
      <w:marLeft w:val="0"/>
      <w:marRight w:val="0"/>
      <w:marTop w:val="0"/>
      <w:marBottom w:val="0"/>
      <w:divBdr>
        <w:top w:val="none" w:sz="0" w:space="0" w:color="auto"/>
        <w:left w:val="none" w:sz="0" w:space="0" w:color="auto"/>
        <w:bottom w:val="none" w:sz="0" w:space="0" w:color="auto"/>
        <w:right w:val="none" w:sz="0" w:space="0" w:color="auto"/>
      </w:divBdr>
    </w:div>
    <w:div w:id="1096900564">
      <w:bodyDiv w:val="1"/>
      <w:marLeft w:val="0"/>
      <w:marRight w:val="0"/>
      <w:marTop w:val="0"/>
      <w:marBottom w:val="0"/>
      <w:divBdr>
        <w:top w:val="none" w:sz="0" w:space="0" w:color="auto"/>
        <w:left w:val="none" w:sz="0" w:space="0" w:color="auto"/>
        <w:bottom w:val="none" w:sz="0" w:space="0" w:color="auto"/>
        <w:right w:val="none" w:sz="0" w:space="0" w:color="auto"/>
      </w:divBdr>
    </w:div>
    <w:div w:id="1097941852">
      <w:bodyDiv w:val="1"/>
      <w:marLeft w:val="0"/>
      <w:marRight w:val="0"/>
      <w:marTop w:val="0"/>
      <w:marBottom w:val="0"/>
      <w:divBdr>
        <w:top w:val="none" w:sz="0" w:space="0" w:color="auto"/>
        <w:left w:val="none" w:sz="0" w:space="0" w:color="auto"/>
        <w:bottom w:val="none" w:sz="0" w:space="0" w:color="auto"/>
        <w:right w:val="none" w:sz="0" w:space="0" w:color="auto"/>
      </w:divBdr>
      <w:divsChild>
        <w:div w:id="1380470364">
          <w:marLeft w:val="0"/>
          <w:marRight w:val="0"/>
          <w:marTop w:val="0"/>
          <w:marBottom w:val="0"/>
          <w:divBdr>
            <w:top w:val="none" w:sz="0" w:space="0" w:color="auto"/>
            <w:left w:val="none" w:sz="0" w:space="0" w:color="auto"/>
            <w:bottom w:val="none" w:sz="0" w:space="0" w:color="auto"/>
            <w:right w:val="none" w:sz="0" w:space="0" w:color="auto"/>
          </w:divBdr>
        </w:div>
      </w:divsChild>
    </w:div>
    <w:div w:id="1102997337">
      <w:bodyDiv w:val="1"/>
      <w:marLeft w:val="0"/>
      <w:marRight w:val="0"/>
      <w:marTop w:val="0"/>
      <w:marBottom w:val="0"/>
      <w:divBdr>
        <w:top w:val="none" w:sz="0" w:space="0" w:color="auto"/>
        <w:left w:val="none" w:sz="0" w:space="0" w:color="auto"/>
        <w:bottom w:val="none" w:sz="0" w:space="0" w:color="auto"/>
        <w:right w:val="none" w:sz="0" w:space="0" w:color="auto"/>
      </w:divBdr>
    </w:div>
    <w:div w:id="1110390956">
      <w:bodyDiv w:val="1"/>
      <w:marLeft w:val="0"/>
      <w:marRight w:val="0"/>
      <w:marTop w:val="0"/>
      <w:marBottom w:val="0"/>
      <w:divBdr>
        <w:top w:val="none" w:sz="0" w:space="0" w:color="auto"/>
        <w:left w:val="none" w:sz="0" w:space="0" w:color="auto"/>
        <w:bottom w:val="none" w:sz="0" w:space="0" w:color="auto"/>
        <w:right w:val="none" w:sz="0" w:space="0" w:color="auto"/>
      </w:divBdr>
    </w:div>
    <w:div w:id="1113596328">
      <w:bodyDiv w:val="1"/>
      <w:marLeft w:val="0"/>
      <w:marRight w:val="0"/>
      <w:marTop w:val="0"/>
      <w:marBottom w:val="0"/>
      <w:divBdr>
        <w:top w:val="none" w:sz="0" w:space="0" w:color="auto"/>
        <w:left w:val="none" w:sz="0" w:space="0" w:color="auto"/>
        <w:bottom w:val="none" w:sz="0" w:space="0" w:color="auto"/>
        <w:right w:val="none" w:sz="0" w:space="0" w:color="auto"/>
      </w:divBdr>
    </w:div>
    <w:div w:id="1120808239">
      <w:bodyDiv w:val="1"/>
      <w:marLeft w:val="0"/>
      <w:marRight w:val="0"/>
      <w:marTop w:val="0"/>
      <w:marBottom w:val="0"/>
      <w:divBdr>
        <w:top w:val="none" w:sz="0" w:space="0" w:color="auto"/>
        <w:left w:val="none" w:sz="0" w:space="0" w:color="auto"/>
        <w:bottom w:val="none" w:sz="0" w:space="0" w:color="auto"/>
        <w:right w:val="none" w:sz="0" w:space="0" w:color="auto"/>
      </w:divBdr>
    </w:div>
    <w:div w:id="1130511566">
      <w:bodyDiv w:val="1"/>
      <w:marLeft w:val="0"/>
      <w:marRight w:val="0"/>
      <w:marTop w:val="0"/>
      <w:marBottom w:val="0"/>
      <w:divBdr>
        <w:top w:val="none" w:sz="0" w:space="0" w:color="auto"/>
        <w:left w:val="none" w:sz="0" w:space="0" w:color="auto"/>
        <w:bottom w:val="none" w:sz="0" w:space="0" w:color="auto"/>
        <w:right w:val="none" w:sz="0" w:space="0" w:color="auto"/>
      </w:divBdr>
    </w:div>
    <w:div w:id="1130589322">
      <w:bodyDiv w:val="1"/>
      <w:marLeft w:val="0"/>
      <w:marRight w:val="0"/>
      <w:marTop w:val="0"/>
      <w:marBottom w:val="0"/>
      <w:divBdr>
        <w:top w:val="none" w:sz="0" w:space="0" w:color="auto"/>
        <w:left w:val="none" w:sz="0" w:space="0" w:color="auto"/>
        <w:bottom w:val="none" w:sz="0" w:space="0" w:color="auto"/>
        <w:right w:val="none" w:sz="0" w:space="0" w:color="auto"/>
      </w:divBdr>
      <w:divsChild>
        <w:div w:id="875049275">
          <w:marLeft w:val="0"/>
          <w:marRight w:val="0"/>
          <w:marTop w:val="0"/>
          <w:marBottom w:val="0"/>
          <w:divBdr>
            <w:top w:val="none" w:sz="0" w:space="0" w:color="auto"/>
            <w:left w:val="none" w:sz="0" w:space="0" w:color="auto"/>
            <w:bottom w:val="none" w:sz="0" w:space="0" w:color="auto"/>
            <w:right w:val="none" w:sz="0" w:space="0" w:color="auto"/>
          </w:divBdr>
        </w:div>
      </w:divsChild>
    </w:div>
    <w:div w:id="1136023536">
      <w:bodyDiv w:val="1"/>
      <w:marLeft w:val="0"/>
      <w:marRight w:val="0"/>
      <w:marTop w:val="0"/>
      <w:marBottom w:val="0"/>
      <w:divBdr>
        <w:top w:val="none" w:sz="0" w:space="0" w:color="auto"/>
        <w:left w:val="none" w:sz="0" w:space="0" w:color="auto"/>
        <w:bottom w:val="none" w:sz="0" w:space="0" w:color="auto"/>
        <w:right w:val="none" w:sz="0" w:space="0" w:color="auto"/>
      </w:divBdr>
    </w:div>
    <w:div w:id="1161654055">
      <w:bodyDiv w:val="1"/>
      <w:marLeft w:val="0"/>
      <w:marRight w:val="0"/>
      <w:marTop w:val="0"/>
      <w:marBottom w:val="0"/>
      <w:divBdr>
        <w:top w:val="none" w:sz="0" w:space="0" w:color="auto"/>
        <w:left w:val="none" w:sz="0" w:space="0" w:color="auto"/>
        <w:bottom w:val="none" w:sz="0" w:space="0" w:color="auto"/>
        <w:right w:val="none" w:sz="0" w:space="0" w:color="auto"/>
      </w:divBdr>
    </w:div>
    <w:div w:id="1194267115">
      <w:bodyDiv w:val="1"/>
      <w:marLeft w:val="0"/>
      <w:marRight w:val="0"/>
      <w:marTop w:val="0"/>
      <w:marBottom w:val="0"/>
      <w:divBdr>
        <w:top w:val="none" w:sz="0" w:space="0" w:color="auto"/>
        <w:left w:val="none" w:sz="0" w:space="0" w:color="auto"/>
        <w:bottom w:val="none" w:sz="0" w:space="0" w:color="auto"/>
        <w:right w:val="none" w:sz="0" w:space="0" w:color="auto"/>
      </w:divBdr>
    </w:div>
    <w:div w:id="1201938033">
      <w:bodyDiv w:val="1"/>
      <w:marLeft w:val="0"/>
      <w:marRight w:val="0"/>
      <w:marTop w:val="0"/>
      <w:marBottom w:val="0"/>
      <w:divBdr>
        <w:top w:val="none" w:sz="0" w:space="0" w:color="auto"/>
        <w:left w:val="none" w:sz="0" w:space="0" w:color="auto"/>
        <w:bottom w:val="none" w:sz="0" w:space="0" w:color="auto"/>
        <w:right w:val="none" w:sz="0" w:space="0" w:color="auto"/>
      </w:divBdr>
      <w:divsChild>
        <w:div w:id="328404909">
          <w:marLeft w:val="547"/>
          <w:marRight w:val="0"/>
          <w:marTop w:val="0"/>
          <w:marBottom w:val="0"/>
          <w:divBdr>
            <w:top w:val="none" w:sz="0" w:space="0" w:color="auto"/>
            <w:left w:val="none" w:sz="0" w:space="0" w:color="auto"/>
            <w:bottom w:val="none" w:sz="0" w:space="0" w:color="auto"/>
            <w:right w:val="none" w:sz="0" w:space="0" w:color="auto"/>
          </w:divBdr>
        </w:div>
        <w:div w:id="491028444">
          <w:marLeft w:val="547"/>
          <w:marRight w:val="0"/>
          <w:marTop w:val="0"/>
          <w:marBottom w:val="0"/>
          <w:divBdr>
            <w:top w:val="none" w:sz="0" w:space="0" w:color="auto"/>
            <w:left w:val="none" w:sz="0" w:space="0" w:color="auto"/>
            <w:bottom w:val="none" w:sz="0" w:space="0" w:color="auto"/>
            <w:right w:val="none" w:sz="0" w:space="0" w:color="auto"/>
          </w:divBdr>
        </w:div>
        <w:div w:id="866718866">
          <w:marLeft w:val="1800"/>
          <w:marRight w:val="0"/>
          <w:marTop w:val="0"/>
          <w:marBottom w:val="0"/>
          <w:divBdr>
            <w:top w:val="none" w:sz="0" w:space="0" w:color="auto"/>
            <w:left w:val="none" w:sz="0" w:space="0" w:color="auto"/>
            <w:bottom w:val="none" w:sz="0" w:space="0" w:color="auto"/>
            <w:right w:val="none" w:sz="0" w:space="0" w:color="auto"/>
          </w:divBdr>
        </w:div>
        <w:div w:id="1000547356">
          <w:marLeft w:val="547"/>
          <w:marRight w:val="0"/>
          <w:marTop w:val="0"/>
          <w:marBottom w:val="0"/>
          <w:divBdr>
            <w:top w:val="none" w:sz="0" w:space="0" w:color="auto"/>
            <w:left w:val="none" w:sz="0" w:space="0" w:color="auto"/>
            <w:bottom w:val="none" w:sz="0" w:space="0" w:color="auto"/>
            <w:right w:val="none" w:sz="0" w:space="0" w:color="auto"/>
          </w:divBdr>
        </w:div>
        <w:div w:id="1044526885">
          <w:marLeft w:val="1166"/>
          <w:marRight w:val="0"/>
          <w:marTop w:val="0"/>
          <w:marBottom w:val="0"/>
          <w:divBdr>
            <w:top w:val="none" w:sz="0" w:space="0" w:color="auto"/>
            <w:left w:val="none" w:sz="0" w:space="0" w:color="auto"/>
            <w:bottom w:val="none" w:sz="0" w:space="0" w:color="auto"/>
            <w:right w:val="none" w:sz="0" w:space="0" w:color="auto"/>
          </w:divBdr>
        </w:div>
        <w:div w:id="1135097454">
          <w:marLeft w:val="1800"/>
          <w:marRight w:val="0"/>
          <w:marTop w:val="0"/>
          <w:marBottom w:val="0"/>
          <w:divBdr>
            <w:top w:val="none" w:sz="0" w:space="0" w:color="auto"/>
            <w:left w:val="none" w:sz="0" w:space="0" w:color="auto"/>
            <w:bottom w:val="none" w:sz="0" w:space="0" w:color="auto"/>
            <w:right w:val="none" w:sz="0" w:space="0" w:color="auto"/>
          </w:divBdr>
        </w:div>
        <w:div w:id="1332023007">
          <w:marLeft w:val="1800"/>
          <w:marRight w:val="0"/>
          <w:marTop w:val="0"/>
          <w:marBottom w:val="0"/>
          <w:divBdr>
            <w:top w:val="none" w:sz="0" w:space="0" w:color="auto"/>
            <w:left w:val="none" w:sz="0" w:space="0" w:color="auto"/>
            <w:bottom w:val="none" w:sz="0" w:space="0" w:color="auto"/>
            <w:right w:val="none" w:sz="0" w:space="0" w:color="auto"/>
          </w:divBdr>
        </w:div>
        <w:div w:id="1471093752">
          <w:marLeft w:val="1800"/>
          <w:marRight w:val="0"/>
          <w:marTop w:val="0"/>
          <w:marBottom w:val="0"/>
          <w:divBdr>
            <w:top w:val="none" w:sz="0" w:space="0" w:color="auto"/>
            <w:left w:val="none" w:sz="0" w:space="0" w:color="auto"/>
            <w:bottom w:val="none" w:sz="0" w:space="0" w:color="auto"/>
            <w:right w:val="none" w:sz="0" w:space="0" w:color="auto"/>
          </w:divBdr>
        </w:div>
        <w:div w:id="1562248426">
          <w:marLeft w:val="1800"/>
          <w:marRight w:val="0"/>
          <w:marTop w:val="0"/>
          <w:marBottom w:val="0"/>
          <w:divBdr>
            <w:top w:val="none" w:sz="0" w:space="0" w:color="auto"/>
            <w:left w:val="none" w:sz="0" w:space="0" w:color="auto"/>
            <w:bottom w:val="none" w:sz="0" w:space="0" w:color="auto"/>
            <w:right w:val="none" w:sz="0" w:space="0" w:color="auto"/>
          </w:divBdr>
        </w:div>
        <w:div w:id="1642033755">
          <w:marLeft w:val="1800"/>
          <w:marRight w:val="0"/>
          <w:marTop w:val="0"/>
          <w:marBottom w:val="0"/>
          <w:divBdr>
            <w:top w:val="none" w:sz="0" w:space="0" w:color="auto"/>
            <w:left w:val="none" w:sz="0" w:space="0" w:color="auto"/>
            <w:bottom w:val="none" w:sz="0" w:space="0" w:color="auto"/>
            <w:right w:val="none" w:sz="0" w:space="0" w:color="auto"/>
          </w:divBdr>
        </w:div>
        <w:div w:id="1701467364">
          <w:marLeft w:val="547"/>
          <w:marRight w:val="0"/>
          <w:marTop w:val="0"/>
          <w:marBottom w:val="0"/>
          <w:divBdr>
            <w:top w:val="none" w:sz="0" w:space="0" w:color="auto"/>
            <w:left w:val="none" w:sz="0" w:space="0" w:color="auto"/>
            <w:bottom w:val="none" w:sz="0" w:space="0" w:color="auto"/>
            <w:right w:val="none" w:sz="0" w:space="0" w:color="auto"/>
          </w:divBdr>
        </w:div>
        <w:div w:id="1974098861">
          <w:marLeft w:val="1166"/>
          <w:marRight w:val="0"/>
          <w:marTop w:val="0"/>
          <w:marBottom w:val="0"/>
          <w:divBdr>
            <w:top w:val="none" w:sz="0" w:space="0" w:color="auto"/>
            <w:left w:val="none" w:sz="0" w:space="0" w:color="auto"/>
            <w:bottom w:val="none" w:sz="0" w:space="0" w:color="auto"/>
            <w:right w:val="none" w:sz="0" w:space="0" w:color="auto"/>
          </w:divBdr>
        </w:div>
      </w:divsChild>
    </w:div>
    <w:div w:id="1203712922">
      <w:bodyDiv w:val="1"/>
      <w:marLeft w:val="0"/>
      <w:marRight w:val="0"/>
      <w:marTop w:val="0"/>
      <w:marBottom w:val="0"/>
      <w:divBdr>
        <w:top w:val="none" w:sz="0" w:space="0" w:color="auto"/>
        <w:left w:val="none" w:sz="0" w:space="0" w:color="auto"/>
        <w:bottom w:val="none" w:sz="0" w:space="0" w:color="auto"/>
        <w:right w:val="none" w:sz="0" w:space="0" w:color="auto"/>
      </w:divBdr>
      <w:divsChild>
        <w:div w:id="1560551641">
          <w:marLeft w:val="0"/>
          <w:marRight w:val="0"/>
          <w:marTop w:val="0"/>
          <w:marBottom w:val="0"/>
          <w:divBdr>
            <w:top w:val="none" w:sz="0" w:space="0" w:color="auto"/>
            <w:left w:val="none" w:sz="0" w:space="0" w:color="auto"/>
            <w:bottom w:val="none" w:sz="0" w:space="0" w:color="auto"/>
            <w:right w:val="none" w:sz="0" w:space="0" w:color="auto"/>
          </w:divBdr>
          <w:divsChild>
            <w:div w:id="247273066">
              <w:marLeft w:val="0"/>
              <w:marRight w:val="0"/>
              <w:marTop w:val="0"/>
              <w:marBottom w:val="0"/>
              <w:divBdr>
                <w:top w:val="none" w:sz="0" w:space="0" w:color="auto"/>
                <w:left w:val="none" w:sz="0" w:space="0" w:color="auto"/>
                <w:bottom w:val="none" w:sz="0" w:space="0" w:color="auto"/>
                <w:right w:val="none" w:sz="0" w:space="0" w:color="auto"/>
              </w:divBdr>
              <w:divsChild>
                <w:div w:id="2199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745112">
      <w:bodyDiv w:val="1"/>
      <w:marLeft w:val="0"/>
      <w:marRight w:val="0"/>
      <w:marTop w:val="0"/>
      <w:marBottom w:val="0"/>
      <w:divBdr>
        <w:top w:val="none" w:sz="0" w:space="0" w:color="auto"/>
        <w:left w:val="none" w:sz="0" w:space="0" w:color="auto"/>
        <w:bottom w:val="none" w:sz="0" w:space="0" w:color="auto"/>
        <w:right w:val="none" w:sz="0" w:space="0" w:color="auto"/>
      </w:divBdr>
    </w:div>
    <w:div w:id="1220896236">
      <w:bodyDiv w:val="1"/>
      <w:marLeft w:val="0"/>
      <w:marRight w:val="0"/>
      <w:marTop w:val="0"/>
      <w:marBottom w:val="0"/>
      <w:divBdr>
        <w:top w:val="none" w:sz="0" w:space="0" w:color="auto"/>
        <w:left w:val="none" w:sz="0" w:space="0" w:color="auto"/>
        <w:bottom w:val="none" w:sz="0" w:space="0" w:color="auto"/>
        <w:right w:val="none" w:sz="0" w:space="0" w:color="auto"/>
      </w:divBdr>
    </w:div>
    <w:div w:id="1232346459">
      <w:bodyDiv w:val="1"/>
      <w:marLeft w:val="0"/>
      <w:marRight w:val="0"/>
      <w:marTop w:val="0"/>
      <w:marBottom w:val="0"/>
      <w:divBdr>
        <w:top w:val="none" w:sz="0" w:space="0" w:color="auto"/>
        <w:left w:val="none" w:sz="0" w:space="0" w:color="auto"/>
        <w:bottom w:val="none" w:sz="0" w:space="0" w:color="auto"/>
        <w:right w:val="none" w:sz="0" w:space="0" w:color="auto"/>
      </w:divBdr>
    </w:div>
    <w:div w:id="1233201937">
      <w:bodyDiv w:val="1"/>
      <w:marLeft w:val="0"/>
      <w:marRight w:val="0"/>
      <w:marTop w:val="0"/>
      <w:marBottom w:val="0"/>
      <w:divBdr>
        <w:top w:val="none" w:sz="0" w:space="0" w:color="auto"/>
        <w:left w:val="none" w:sz="0" w:space="0" w:color="auto"/>
        <w:bottom w:val="none" w:sz="0" w:space="0" w:color="auto"/>
        <w:right w:val="none" w:sz="0" w:space="0" w:color="auto"/>
      </w:divBdr>
    </w:div>
    <w:div w:id="1242175122">
      <w:bodyDiv w:val="1"/>
      <w:marLeft w:val="0"/>
      <w:marRight w:val="0"/>
      <w:marTop w:val="0"/>
      <w:marBottom w:val="0"/>
      <w:divBdr>
        <w:top w:val="none" w:sz="0" w:space="0" w:color="auto"/>
        <w:left w:val="none" w:sz="0" w:space="0" w:color="auto"/>
        <w:bottom w:val="none" w:sz="0" w:space="0" w:color="auto"/>
        <w:right w:val="none" w:sz="0" w:space="0" w:color="auto"/>
      </w:divBdr>
    </w:div>
    <w:div w:id="1278022219">
      <w:bodyDiv w:val="1"/>
      <w:marLeft w:val="0"/>
      <w:marRight w:val="0"/>
      <w:marTop w:val="0"/>
      <w:marBottom w:val="0"/>
      <w:divBdr>
        <w:top w:val="none" w:sz="0" w:space="0" w:color="auto"/>
        <w:left w:val="none" w:sz="0" w:space="0" w:color="auto"/>
        <w:bottom w:val="none" w:sz="0" w:space="0" w:color="auto"/>
        <w:right w:val="none" w:sz="0" w:space="0" w:color="auto"/>
      </w:divBdr>
    </w:div>
    <w:div w:id="1280528294">
      <w:bodyDiv w:val="1"/>
      <w:marLeft w:val="0"/>
      <w:marRight w:val="0"/>
      <w:marTop w:val="0"/>
      <w:marBottom w:val="0"/>
      <w:divBdr>
        <w:top w:val="none" w:sz="0" w:space="0" w:color="auto"/>
        <w:left w:val="none" w:sz="0" w:space="0" w:color="auto"/>
        <w:bottom w:val="none" w:sz="0" w:space="0" w:color="auto"/>
        <w:right w:val="none" w:sz="0" w:space="0" w:color="auto"/>
      </w:divBdr>
    </w:div>
    <w:div w:id="1293294250">
      <w:bodyDiv w:val="1"/>
      <w:marLeft w:val="0"/>
      <w:marRight w:val="0"/>
      <w:marTop w:val="0"/>
      <w:marBottom w:val="0"/>
      <w:divBdr>
        <w:top w:val="none" w:sz="0" w:space="0" w:color="auto"/>
        <w:left w:val="none" w:sz="0" w:space="0" w:color="auto"/>
        <w:bottom w:val="none" w:sz="0" w:space="0" w:color="auto"/>
        <w:right w:val="none" w:sz="0" w:space="0" w:color="auto"/>
      </w:divBdr>
    </w:div>
    <w:div w:id="1308632098">
      <w:bodyDiv w:val="1"/>
      <w:marLeft w:val="0"/>
      <w:marRight w:val="0"/>
      <w:marTop w:val="0"/>
      <w:marBottom w:val="0"/>
      <w:divBdr>
        <w:top w:val="none" w:sz="0" w:space="0" w:color="auto"/>
        <w:left w:val="none" w:sz="0" w:space="0" w:color="auto"/>
        <w:bottom w:val="none" w:sz="0" w:space="0" w:color="auto"/>
        <w:right w:val="none" w:sz="0" w:space="0" w:color="auto"/>
      </w:divBdr>
    </w:div>
    <w:div w:id="1312172018">
      <w:bodyDiv w:val="1"/>
      <w:marLeft w:val="0"/>
      <w:marRight w:val="0"/>
      <w:marTop w:val="0"/>
      <w:marBottom w:val="0"/>
      <w:divBdr>
        <w:top w:val="none" w:sz="0" w:space="0" w:color="auto"/>
        <w:left w:val="none" w:sz="0" w:space="0" w:color="auto"/>
        <w:bottom w:val="none" w:sz="0" w:space="0" w:color="auto"/>
        <w:right w:val="none" w:sz="0" w:space="0" w:color="auto"/>
      </w:divBdr>
    </w:div>
    <w:div w:id="1319652994">
      <w:bodyDiv w:val="1"/>
      <w:marLeft w:val="0"/>
      <w:marRight w:val="0"/>
      <w:marTop w:val="0"/>
      <w:marBottom w:val="0"/>
      <w:divBdr>
        <w:top w:val="none" w:sz="0" w:space="0" w:color="auto"/>
        <w:left w:val="none" w:sz="0" w:space="0" w:color="auto"/>
        <w:bottom w:val="none" w:sz="0" w:space="0" w:color="auto"/>
        <w:right w:val="none" w:sz="0" w:space="0" w:color="auto"/>
      </w:divBdr>
    </w:div>
    <w:div w:id="1331638342">
      <w:bodyDiv w:val="1"/>
      <w:marLeft w:val="0"/>
      <w:marRight w:val="0"/>
      <w:marTop w:val="0"/>
      <w:marBottom w:val="0"/>
      <w:divBdr>
        <w:top w:val="none" w:sz="0" w:space="0" w:color="auto"/>
        <w:left w:val="none" w:sz="0" w:space="0" w:color="auto"/>
        <w:bottom w:val="none" w:sz="0" w:space="0" w:color="auto"/>
        <w:right w:val="none" w:sz="0" w:space="0" w:color="auto"/>
      </w:divBdr>
    </w:div>
    <w:div w:id="1331983033">
      <w:bodyDiv w:val="1"/>
      <w:marLeft w:val="0"/>
      <w:marRight w:val="0"/>
      <w:marTop w:val="0"/>
      <w:marBottom w:val="0"/>
      <w:divBdr>
        <w:top w:val="none" w:sz="0" w:space="0" w:color="auto"/>
        <w:left w:val="none" w:sz="0" w:space="0" w:color="auto"/>
        <w:bottom w:val="none" w:sz="0" w:space="0" w:color="auto"/>
        <w:right w:val="none" w:sz="0" w:space="0" w:color="auto"/>
      </w:divBdr>
    </w:div>
    <w:div w:id="1339698026">
      <w:bodyDiv w:val="1"/>
      <w:marLeft w:val="0"/>
      <w:marRight w:val="0"/>
      <w:marTop w:val="0"/>
      <w:marBottom w:val="0"/>
      <w:divBdr>
        <w:top w:val="none" w:sz="0" w:space="0" w:color="auto"/>
        <w:left w:val="none" w:sz="0" w:space="0" w:color="auto"/>
        <w:bottom w:val="none" w:sz="0" w:space="0" w:color="auto"/>
        <w:right w:val="none" w:sz="0" w:space="0" w:color="auto"/>
      </w:divBdr>
    </w:div>
    <w:div w:id="1340502696">
      <w:bodyDiv w:val="1"/>
      <w:marLeft w:val="0"/>
      <w:marRight w:val="0"/>
      <w:marTop w:val="0"/>
      <w:marBottom w:val="0"/>
      <w:divBdr>
        <w:top w:val="none" w:sz="0" w:space="0" w:color="auto"/>
        <w:left w:val="none" w:sz="0" w:space="0" w:color="auto"/>
        <w:bottom w:val="none" w:sz="0" w:space="0" w:color="auto"/>
        <w:right w:val="none" w:sz="0" w:space="0" w:color="auto"/>
      </w:divBdr>
    </w:div>
    <w:div w:id="1340693949">
      <w:bodyDiv w:val="1"/>
      <w:marLeft w:val="0"/>
      <w:marRight w:val="0"/>
      <w:marTop w:val="0"/>
      <w:marBottom w:val="0"/>
      <w:divBdr>
        <w:top w:val="none" w:sz="0" w:space="0" w:color="auto"/>
        <w:left w:val="none" w:sz="0" w:space="0" w:color="auto"/>
        <w:bottom w:val="none" w:sz="0" w:space="0" w:color="auto"/>
        <w:right w:val="none" w:sz="0" w:space="0" w:color="auto"/>
      </w:divBdr>
    </w:div>
    <w:div w:id="1341615511">
      <w:bodyDiv w:val="1"/>
      <w:marLeft w:val="0"/>
      <w:marRight w:val="0"/>
      <w:marTop w:val="0"/>
      <w:marBottom w:val="0"/>
      <w:divBdr>
        <w:top w:val="none" w:sz="0" w:space="0" w:color="auto"/>
        <w:left w:val="none" w:sz="0" w:space="0" w:color="auto"/>
        <w:bottom w:val="none" w:sz="0" w:space="0" w:color="auto"/>
        <w:right w:val="none" w:sz="0" w:space="0" w:color="auto"/>
      </w:divBdr>
    </w:div>
    <w:div w:id="1347635653">
      <w:bodyDiv w:val="1"/>
      <w:marLeft w:val="0"/>
      <w:marRight w:val="0"/>
      <w:marTop w:val="0"/>
      <w:marBottom w:val="0"/>
      <w:divBdr>
        <w:top w:val="none" w:sz="0" w:space="0" w:color="auto"/>
        <w:left w:val="none" w:sz="0" w:space="0" w:color="auto"/>
        <w:bottom w:val="none" w:sz="0" w:space="0" w:color="auto"/>
        <w:right w:val="none" w:sz="0" w:space="0" w:color="auto"/>
      </w:divBdr>
    </w:div>
    <w:div w:id="1349869848">
      <w:bodyDiv w:val="1"/>
      <w:marLeft w:val="0"/>
      <w:marRight w:val="0"/>
      <w:marTop w:val="0"/>
      <w:marBottom w:val="0"/>
      <w:divBdr>
        <w:top w:val="none" w:sz="0" w:space="0" w:color="auto"/>
        <w:left w:val="none" w:sz="0" w:space="0" w:color="auto"/>
        <w:bottom w:val="none" w:sz="0" w:space="0" w:color="auto"/>
        <w:right w:val="none" w:sz="0" w:space="0" w:color="auto"/>
      </w:divBdr>
    </w:div>
    <w:div w:id="1357078871">
      <w:bodyDiv w:val="1"/>
      <w:marLeft w:val="0"/>
      <w:marRight w:val="0"/>
      <w:marTop w:val="0"/>
      <w:marBottom w:val="0"/>
      <w:divBdr>
        <w:top w:val="none" w:sz="0" w:space="0" w:color="auto"/>
        <w:left w:val="none" w:sz="0" w:space="0" w:color="auto"/>
        <w:bottom w:val="none" w:sz="0" w:space="0" w:color="auto"/>
        <w:right w:val="none" w:sz="0" w:space="0" w:color="auto"/>
      </w:divBdr>
    </w:div>
    <w:div w:id="1366178747">
      <w:bodyDiv w:val="1"/>
      <w:marLeft w:val="0"/>
      <w:marRight w:val="0"/>
      <w:marTop w:val="0"/>
      <w:marBottom w:val="0"/>
      <w:divBdr>
        <w:top w:val="none" w:sz="0" w:space="0" w:color="auto"/>
        <w:left w:val="none" w:sz="0" w:space="0" w:color="auto"/>
        <w:bottom w:val="none" w:sz="0" w:space="0" w:color="auto"/>
        <w:right w:val="none" w:sz="0" w:space="0" w:color="auto"/>
      </w:divBdr>
    </w:div>
    <w:div w:id="1379888851">
      <w:bodyDiv w:val="1"/>
      <w:marLeft w:val="0"/>
      <w:marRight w:val="0"/>
      <w:marTop w:val="0"/>
      <w:marBottom w:val="0"/>
      <w:divBdr>
        <w:top w:val="none" w:sz="0" w:space="0" w:color="auto"/>
        <w:left w:val="none" w:sz="0" w:space="0" w:color="auto"/>
        <w:bottom w:val="none" w:sz="0" w:space="0" w:color="auto"/>
        <w:right w:val="none" w:sz="0" w:space="0" w:color="auto"/>
      </w:divBdr>
    </w:div>
    <w:div w:id="1380784868">
      <w:bodyDiv w:val="1"/>
      <w:marLeft w:val="0"/>
      <w:marRight w:val="0"/>
      <w:marTop w:val="0"/>
      <w:marBottom w:val="0"/>
      <w:divBdr>
        <w:top w:val="none" w:sz="0" w:space="0" w:color="auto"/>
        <w:left w:val="none" w:sz="0" w:space="0" w:color="auto"/>
        <w:bottom w:val="none" w:sz="0" w:space="0" w:color="auto"/>
        <w:right w:val="none" w:sz="0" w:space="0" w:color="auto"/>
      </w:divBdr>
    </w:div>
    <w:div w:id="1401174756">
      <w:bodyDiv w:val="1"/>
      <w:marLeft w:val="0"/>
      <w:marRight w:val="0"/>
      <w:marTop w:val="0"/>
      <w:marBottom w:val="0"/>
      <w:divBdr>
        <w:top w:val="none" w:sz="0" w:space="0" w:color="auto"/>
        <w:left w:val="none" w:sz="0" w:space="0" w:color="auto"/>
        <w:bottom w:val="none" w:sz="0" w:space="0" w:color="auto"/>
        <w:right w:val="none" w:sz="0" w:space="0" w:color="auto"/>
      </w:divBdr>
    </w:div>
    <w:div w:id="1401556005">
      <w:bodyDiv w:val="1"/>
      <w:marLeft w:val="0"/>
      <w:marRight w:val="0"/>
      <w:marTop w:val="0"/>
      <w:marBottom w:val="0"/>
      <w:divBdr>
        <w:top w:val="none" w:sz="0" w:space="0" w:color="auto"/>
        <w:left w:val="none" w:sz="0" w:space="0" w:color="auto"/>
        <w:bottom w:val="none" w:sz="0" w:space="0" w:color="auto"/>
        <w:right w:val="none" w:sz="0" w:space="0" w:color="auto"/>
      </w:divBdr>
    </w:div>
    <w:div w:id="1421101787">
      <w:bodyDiv w:val="1"/>
      <w:marLeft w:val="0"/>
      <w:marRight w:val="0"/>
      <w:marTop w:val="0"/>
      <w:marBottom w:val="0"/>
      <w:divBdr>
        <w:top w:val="none" w:sz="0" w:space="0" w:color="auto"/>
        <w:left w:val="none" w:sz="0" w:space="0" w:color="auto"/>
        <w:bottom w:val="none" w:sz="0" w:space="0" w:color="auto"/>
        <w:right w:val="none" w:sz="0" w:space="0" w:color="auto"/>
      </w:divBdr>
    </w:div>
    <w:div w:id="1435129983">
      <w:bodyDiv w:val="1"/>
      <w:marLeft w:val="0"/>
      <w:marRight w:val="0"/>
      <w:marTop w:val="0"/>
      <w:marBottom w:val="0"/>
      <w:divBdr>
        <w:top w:val="none" w:sz="0" w:space="0" w:color="auto"/>
        <w:left w:val="none" w:sz="0" w:space="0" w:color="auto"/>
        <w:bottom w:val="none" w:sz="0" w:space="0" w:color="auto"/>
        <w:right w:val="none" w:sz="0" w:space="0" w:color="auto"/>
      </w:divBdr>
    </w:div>
    <w:div w:id="1456370538">
      <w:bodyDiv w:val="1"/>
      <w:marLeft w:val="0"/>
      <w:marRight w:val="0"/>
      <w:marTop w:val="0"/>
      <w:marBottom w:val="0"/>
      <w:divBdr>
        <w:top w:val="none" w:sz="0" w:space="0" w:color="auto"/>
        <w:left w:val="none" w:sz="0" w:space="0" w:color="auto"/>
        <w:bottom w:val="none" w:sz="0" w:space="0" w:color="auto"/>
        <w:right w:val="none" w:sz="0" w:space="0" w:color="auto"/>
      </w:divBdr>
    </w:div>
    <w:div w:id="1463041484">
      <w:bodyDiv w:val="1"/>
      <w:marLeft w:val="0"/>
      <w:marRight w:val="0"/>
      <w:marTop w:val="0"/>
      <w:marBottom w:val="0"/>
      <w:divBdr>
        <w:top w:val="none" w:sz="0" w:space="0" w:color="auto"/>
        <w:left w:val="none" w:sz="0" w:space="0" w:color="auto"/>
        <w:bottom w:val="none" w:sz="0" w:space="0" w:color="auto"/>
        <w:right w:val="none" w:sz="0" w:space="0" w:color="auto"/>
      </w:divBdr>
    </w:div>
    <w:div w:id="1479223069">
      <w:bodyDiv w:val="1"/>
      <w:marLeft w:val="0"/>
      <w:marRight w:val="0"/>
      <w:marTop w:val="0"/>
      <w:marBottom w:val="0"/>
      <w:divBdr>
        <w:top w:val="none" w:sz="0" w:space="0" w:color="auto"/>
        <w:left w:val="none" w:sz="0" w:space="0" w:color="auto"/>
        <w:bottom w:val="none" w:sz="0" w:space="0" w:color="auto"/>
        <w:right w:val="none" w:sz="0" w:space="0" w:color="auto"/>
      </w:divBdr>
    </w:div>
    <w:div w:id="1479421606">
      <w:bodyDiv w:val="1"/>
      <w:marLeft w:val="0"/>
      <w:marRight w:val="0"/>
      <w:marTop w:val="0"/>
      <w:marBottom w:val="0"/>
      <w:divBdr>
        <w:top w:val="none" w:sz="0" w:space="0" w:color="auto"/>
        <w:left w:val="none" w:sz="0" w:space="0" w:color="auto"/>
        <w:bottom w:val="none" w:sz="0" w:space="0" w:color="auto"/>
        <w:right w:val="none" w:sz="0" w:space="0" w:color="auto"/>
      </w:divBdr>
    </w:div>
    <w:div w:id="1497190465">
      <w:bodyDiv w:val="1"/>
      <w:marLeft w:val="0"/>
      <w:marRight w:val="0"/>
      <w:marTop w:val="0"/>
      <w:marBottom w:val="0"/>
      <w:divBdr>
        <w:top w:val="none" w:sz="0" w:space="0" w:color="auto"/>
        <w:left w:val="none" w:sz="0" w:space="0" w:color="auto"/>
        <w:bottom w:val="none" w:sz="0" w:space="0" w:color="auto"/>
        <w:right w:val="none" w:sz="0" w:space="0" w:color="auto"/>
      </w:divBdr>
      <w:divsChild>
        <w:div w:id="35861630">
          <w:marLeft w:val="0"/>
          <w:marRight w:val="0"/>
          <w:marTop w:val="0"/>
          <w:marBottom w:val="0"/>
          <w:divBdr>
            <w:top w:val="none" w:sz="0" w:space="0" w:color="auto"/>
            <w:left w:val="none" w:sz="0" w:space="0" w:color="auto"/>
            <w:bottom w:val="none" w:sz="0" w:space="0" w:color="auto"/>
            <w:right w:val="none" w:sz="0" w:space="0" w:color="auto"/>
          </w:divBdr>
        </w:div>
      </w:divsChild>
    </w:div>
    <w:div w:id="1516842102">
      <w:bodyDiv w:val="1"/>
      <w:marLeft w:val="0"/>
      <w:marRight w:val="0"/>
      <w:marTop w:val="0"/>
      <w:marBottom w:val="0"/>
      <w:divBdr>
        <w:top w:val="none" w:sz="0" w:space="0" w:color="auto"/>
        <w:left w:val="none" w:sz="0" w:space="0" w:color="auto"/>
        <w:bottom w:val="none" w:sz="0" w:space="0" w:color="auto"/>
        <w:right w:val="none" w:sz="0" w:space="0" w:color="auto"/>
      </w:divBdr>
    </w:div>
    <w:div w:id="1531068300">
      <w:bodyDiv w:val="1"/>
      <w:marLeft w:val="0"/>
      <w:marRight w:val="0"/>
      <w:marTop w:val="0"/>
      <w:marBottom w:val="0"/>
      <w:divBdr>
        <w:top w:val="none" w:sz="0" w:space="0" w:color="auto"/>
        <w:left w:val="none" w:sz="0" w:space="0" w:color="auto"/>
        <w:bottom w:val="none" w:sz="0" w:space="0" w:color="auto"/>
        <w:right w:val="none" w:sz="0" w:space="0" w:color="auto"/>
      </w:divBdr>
    </w:div>
    <w:div w:id="1553541132">
      <w:bodyDiv w:val="1"/>
      <w:marLeft w:val="0"/>
      <w:marRight w:val="0"/>
      <w:marTop w:val="0"/>
      <w:marBottom w:val="0"/>
      <w:divBdr>
        <w:top w:val="none" w:sz="0" w:space="0" w:color="auto"/>
        <w:left w:val="none" w:sz="0" w:space="0" w:color="auto"/>
        <w:bottom w:val="none" w:sz="0" w:space="0" w:color="auto"/>
        <w:right w:val="none" w:sz="0" w:space="0" w:color="auto"/>
      </w:divBdr>
    </w:div>
    <w:div w:id="1560507981">
      <w:bodyDiv w:val="1"/>
      <w:marLeft w:val="0"/>
      <w:marRight w:val="0"/>
      <w:marTop w:val="0"/>
      <w:marBottom w:val="0"/>
      <w:divBdr>
        <w:top w:val="none" w:sz="0" w:space="0" w:color="auto"/>
        <w:left w:val="none" w:sz="0" w:space="0" w:color="auto"/>
        <w:bottom w:val="none" w:sz="0" w:space="0" w:color="auto"/>
        <w:right w:val="none" w:sz="0" w:space="0" w:color="auto"/>
      </w:divBdr>
    </w:div>
    <w:div w:id="1564368712">
      <w:bodyDiv w:val="1"/>
      <w:marLeft w:val="0"/>
      <w:marRight w:val="0"/>
      <w:marTop w:val="0"/>
      <w:marBottom w:val="0"/>
      <w:divBdr>
        <w:top w:val="none" w:sz="0" w:space="0" w:color="auto"/>
        <w:left w:val="none" w:sz="0" w:space="0" w:color="auto"/>
        <w:bottom w:val="none" w:sz="0" w:space="0" w:color="auto"/>
        <w:right w:val="none" w:sz="0" w:space="0" w:color="auto"/>
      </w:divBdr>
    </w:div>
    <w:div w:id="1568684096">
      <w:bodyDiv w:val="1"/>
      <w:marLeft w:val="0"/>
      <w:marRight w:val="0"/>
      <w:marTop w:val="0"/>
      <w:marBottom w:val="0"/>
      <w:divBdr>
        <w:top w:val="none" w:sz="0" w:space="0" w:color="auto"/>
        <w:left w:val="none" w:sz="0" w:space="0" w:color="auto"/>
        <w:bottom w:val="none" w:sz="0" w:space="0" w:color="auto"/>
        <w:right w:val="none" w:sz="0" w:space="0" w:color="auto"/>
      </w:divBdr>
    </w:div>
    <w:div w:id="1571192660">
      <w:bodyDiv w:val="1"/>
      <w:marLeft w:val="0"/>
      <w:marRight w:val="0"/>
      <w:marTop w:val="0"/>
      <w:marBottom w:val="0"/>
      <w:divBdr>
        <w:top w:val="none" w:sz="0" w:space="0" w:color="auto"/>
        <w:left w:val="none" w:sz="0" w:space="0" w:color="auto"/>
        <w:bottom w:val="none" w:sz="0" w:space="0" w:color="auto"/>
        <w:right w:val="none" w:sz="0" w:space="0" w:color="auto"/>
      </w:divBdr>
    </w:div>
    <w:div w:id="1584798450">
      <w:bodyDiv w:val="1"/>
      <w:marLeft w:val="0"/>
      <w:marRight w:val="0"/>
      <w:marTop w:val="0"/>
      <w:marBottom w:val="0"/>
      <w:divBdr>
        <w:top w:val="none" w:sz="0" w:space="0" w:color="auto"/>
        <w:left w:val="none" w:sz="0" w:space="0" w:color="auto"/>
        <w:bottom w:val="none" w:sz="0" w:space="0" w:color="auto"/>
        <w:right w:val="none" w:sz="0" w:space="0" w:color="auto"/>
      </w:divBdr>
    </w:div>
    <w:div w:id="1600913488">
      <w:bodyDiv w:val="1"/>
      <w:marLeft w:val="0"/>
      <w:marRight w:val="0"/>
      <w:marTop w:val="0"/>
      <w:marBottom w:val="0"/>
      <w:divBdr>
        <w:top w:val="none" w:sz="0" w:space="0" w:color="auto"/>
        <w:left w:val="none" w:sz="0" w:space="0" w:color="auto"/>
        <w:bottom w:val="none" w:sz="0" w:space="0" w:color="auto"/>
        <w:right w:val="none" w:sz="0" w:space="0" w:color="auto"/>
      </w:divBdr>
    </w:div>
    <w:div w:id="1604528474">
      <w:bodyDiv w:val="1"/>
      <w:marLeft w:val="0"/>
      <w:marRight w:val="0"/>
      <w:marTop w:val="0"/>
      <w:marBottom w:val="0"/>
      <w:divBdr>
        <w:top w:val="none" w:sz="0" w:space="0" w:color="auto"/>
        <w:left w:val="none" w:sz="0" w:space="0" w:color="auto"/>
        <w:bottom w:val="none" w:sz="0" w:space="0" w:color="auto"/>
        <w:right w:val="none" w:sz="0" w:space="0" w:color="auto"/>
      </w:divBdr>
    </w:div>
    <w:div w:id="1644195708">
      <w:bodyDiv w:val="1"/>
      <w:marLeft w:val="0"/>
      <w:marRight w:val="0"/>
      <w:marTop w:val="0"/>
      <w:marBottom w:val="0"/>
      <w:divBdr>
        <w:top w:val="none" w:sz="0" w:space="0" w:color="auto"/>
        <w:left w:val="none" w:sz="0" w:space="0" w:color="auto"/>
        <w:bottom w:val="none" w:sz="0" w:space="0" w:color="auto"/>
        <w:right w:val="none" w:sz="0" w:space="0" w:color="auto"/>
      </w:divBdr>
    </w:div>
    <w:div w:id="1646353532">
      <w:bodyDiv w:val="1"/>
      <w:marLeft w:val="0"/>
      <w:marRight w:val="0"/>
      <w:marTop w:val="0"/>
      <w:marBottom w:val="0"/>
      <w:divBdr>
        <w:top w:val="none" w:sz="0" w:space="0" w:color="auto"/>
        <w:left w:val="none" w:sz="0" w:space="0" w:color="auto"/>
        <w:bottom w:val="none" w:sz="0" w:space="0" w:color="auto"/>
        <w:right w:val="none" w:sz="0" w:space="0" w:color="auto"/>
      </w:divBdr>
    </w:div>
    <w:div w:id="1650204905">
      <w:bodyDiv w:val="1"/>
      <w:marLeft w:val="0"/>
      <w:marRight w:val="0"/>
      <w:marTop w:val="0"/>
      <w:marBottom w:val="0"/>
      <w:divBdr>
        <w:top w:val="none" w:sz="0" w:space="0" w:color="auto"/>
        <w:left w:val="none" w:sz="0" w:space="0" w:color="auto"/>
        <w:bottom w:val="none" w:sz="0" w:space="0" w:color="auto"/>
        <w:right w:val="none" w:sz="0" w:space="0" w:color="auto"/>
      </w:divBdr>
    </w:div>
    <w:div w:id="1655451501">
      <w:bodyDiv w:val="1"/>
      <w:marLeft w:val="0"/>
      <w:marRight w:val="0"/>
      <w:marTop w:val="0"/>
      <w:marBottom w:val="0"/>
      <w:divBdr>
        <w:top w:val="none" w:sz="0" w:space="0" w:color="auto"/>
        <w:left w:val="none" w:sz="0" w:space="0" w:color="auto"/>
        <w:bottom w:val="none" w:sz="0" w:space="0" w:color="auto"/>
        <w:right w:val="none" w:sz="0" w:space="0" w:color="auto"/>
      </w:divBdr>
      <w:divsChild>
        <w:div w:id="1455557482">
          <w:marLeft w:val="0"/>
          <w:marRight w:val="0"/>
          <w:marTop w:val="0"/>
          <w:marBottom w:val="0"/>
          <w:divBdr>
            <w:top w:val="none" w:sz="0" w:space="0" w:color="auto"/>
            <w:left w:val="none" w:sz="0" w:space="0" w:color="auto"/>
            <w:bottom w:val="none" w:sz="0" w:space="0" w:color="auto"/>
            <w:right w:val="none" w:sz="0" w:space="0" w:color="auto"/>
          </w:divBdr>
        </w:div>
      </w:divsChild>
    </w:div>
    <w:div w:id="1672220441">
      <w:bodyDiv w:val="1"/>
      <w:marLeft w:val="0"/>
      <w:marRight w:val="0"/>
      <w:marTop w:val="0"/>
      <w:marBottom w:val="0"/>
      <w:divBdr>
        <w:top w:val="none" w:sz="0" w:space="0" w:color="auto"/>
        <w:left w:val="none" w:sz="0" w:space="0" w:color="auto"/>
        <w:bottom w:val="none" w:sz="0" w:space="0" w:color="auto"/>
        <w:right w:val="none" w:sz="0" w:space="0" w:color="auto"/>
      </w:divBdr>
    </w:div>
    <w:div w:id="1679886707">
      <w:bodyDiv w:val="1"/>
      <w:marLeft w:val="0"/>
      <w:marRight w:val="0"/>
      <w:marTop w:val="0"/>
      <w:marBottom w:val="0"/>
      <w:divBdr>
        <w:top w:val="none" w:sz="0" w:space="0" w:color="auto"/>
        <w:left w:val="none" w:sz="0" w:space="0" w:color="auto"/>
        <w:bottom w:val="none" w:sz="0" w:space="0" w:color="auto"/>
        <w:right w:val="none" w:sz="0" w:space="0" w:color="auto"/>
      </w:divBdr>
    </w:div>
    <w:div w:id="1689521325">
      <w:bodyDiv w:val="1"/>
      <w:marLeft w:val="0"/>
      <w:marRight w:val="0"/>
      <w:marTop w:val="0"/>
      <w:marBottom w:val="0"/>
      <w:divBdr>
        <w:top w:val="none" w:sz="0" w:space="0" w:color="auto"/>
        <w:left w:val="none" w:sz="0" w:space="0" w:color="auto"/>
        <w:bottom w:val="none" w:sz="0" w:space="0" w:color="auto"/>
        <w:right w:val="none" w:sz="0" w:space="0" w:color="auto"/>
      </w:divBdr>
      <w:divsChild>
        <w:div w:id="239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488642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378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34656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608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19572">
      <w:bodyDiv w:val="1"/>
      <w:marLeft w:val="0"/>
      <w:marRight w:val="0"/>
      <w:marTop w:val="0"/>
      <w:marBottom w:val="0"/>
      <w:divBdr>
        <w:top w:val="none" w:sz="0" w:space="0" w:color="auto"/>
        <w:left w:val="none" w:sz="0" w:space="0" w:color="auto"/>
        <w:bottom w:val="none" w:sz="0" w:space="0" w:color="auto"/>
        <w:right w:val="none" w:sz="0" w:space="0" w:color="auto"/>
      </w:divBdr>
    </w:div>
    <w:div w:id="1720399689">
      <w:bodyDiv w:val="1"/>
      <w:marLeft w:val="0"/>
      <w:marRight w:val="0"/>
      <w:marTop w:val="0"/>
      <w:marBottom w:val="0"/>
      <w:divBdr>
        <w:top w:val="none" w:sz="0" w:space="0" w:color="auto"/>
        <w:left w:val="none" w:sz="0" w:space="0" w:color="auto"/>
        <w:bottom w:val="none" w:sz="0" w:space="0" w:color="auto"/>
        <w:right w:val="none" w:sz="0" w:space="0" w:color="auto"/>
      </w:divBdr>
      <w:divsChild>
        <w:div w:id="147794983">
          <w:marLeft w:val="0"/>
          <w:marRight w:val="0"/>
          <w:marTop w:val="0"/>
          <w:marBottom w:val="0"/>
          <w:divBdr>
            <w:top w:val="none" w:sz="0" w:space="0" w:color="auto"/>
            <w:left w:val="none" w:sz="0" w:space="0" w:color="auto"/>
            <w:bottom w:val="none" w:sz="0" w:space="0" w:color="auto"/>
            <w:right w:val="none" w:sz="0" w:space="0" w:color="auto"/>
          </w:divBdr>
          <w:divsChild>
            <w:div w:id="204755126">
              <w:marLeft w:val="0"/>
              <w:marRight w:val="0"/>
              <w:marTop w:val="0"/>
              <w:marBottom w:val="0"/>
              <w:divBdr>
                <w:top w:val="none" w:sz="0" w:space="0" w:color="auto"/>
                <w:left w:val="none" w:sz="0" w:space="0" w:color="auto"/>
                <w:bottom w:val="none" w:sz="0" w:space="0" w:color="auto"/>
                <w:right w:val="none" w:sz="0" w:space="0" w:color="auto"/>
              </w:divBdr>
              <w:divsChild>
                <w:div w:id="25646189">
                  <w:marLeft w:val="0"/>
                  <w:marRight w:val="0"/>
                  <w:marTop w:val="0"/>
                  <w:marBottom w:val="0"/>
                  <w:divBdr>
                    <w:top w:val="none" w:sz="0" w:space="0" w:color="auto"/>
                    <w:left w:val="none" w:sz="0" w:space="0" w:color="auto"/>
                    <w:bottom w:val="none" w:sz="0" w:space="0" w:color="auto"/>
                    <w:right w:val="none" w:sz="0" w:space="0" w:color="auto"/>
                  </w:divBdr>
                  <w:divsChild>
                    <w:div w:id="1215700010">
                      <w:marLeft w:val="0"/>
                      <w:marRight w:val="0"/>
                      <w:marTop w:val="0"/>
                      <w:marBottom w:val="0"/>
                      <w:divBdr>
                        <w:top w:val="none" w:sz="0" w:space="0" w:color="auto"/>
                        <w:left w:val="none" w:sz="0" w:space="0" w:color="auto"/>
                        <w:bottom w:val="none" w:sz="0" w:space="0" w:color="auto"/>
                        <w:right w:val="none" w:sz="0" w:space="0" w:color="auto"/>
                      </w:divBdr>
                      <w:divsChild>
                        <w:div w:id="42796755">
                          <w:marLeft w:val="0"/>
                          <w:marRight w:val="0"/>
                          <w:marTop w:val="0"/>
                          <w:marBottom w:val="0"/>
                          <w:divBdr>
                            <w:top w:val="none" w:sz="0" w:space="0" w:color="auto"/>
                            <w:left w:val="none" w:sz="0" w:space="0" w:color="auto"/>
                            <w:bottom w:val="none" w:sz="0" w:space="0" w:color="auto"/>
                            <w:right w:val="none" w:sz="0" w:space="0" w:color="auto"/>
                          </w:divBdr>
                          <w:divsChild>
                            <w:div w:id="13248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897312">
      <w:bodyDiv w:val="1"/>
      <w:marLeft w:val="0"/>
      <w:marRight w:val="0"/>
      <w:marTop w:val="0"/>
      <w:marBottom w:val="0"/>
      <w:divBdr>
        <w:top w:val="none" w:sz="0" w:space="0" w:color="auto"/>
        <w:left w:val="none" w:sz="0" w:space="0" w:color="auto"/>
        <w:bottom w:val="none" w:sz="0" w:space="0" w:color="auto"/>
        <w:right w:val="none" w:sz="0" w:space="0" w:color="auto"/>
      </w:divBdr>
    </w:div>
    <w:div w:id="1723283115">
      <w:bodyDiv w:val="1"/>
      <w:marLeft w:val="0"/>
      <w:marRight w:val="0"/>
      <w:marTop w:val="0"/>
      <w:marBottom w:val="0"/>
      <w:divBdr>
        <w:top w:val="none" w:sz="0" w:space="0" w:color="auto"/>
        <w:left w:val="none" w:sz="0" w:space="0" w:color="auto"/>
        <w:bottom w:val="none" w:sz="0" w:space="0" w:color="auto"/>
        <w:right w:val="none" w:sz="0" w:space="0" w:color="auto"/>
      </w:divBdr>
    </w:div>
    <w:div w:id="1738700421">
      <w:bodyDiv w:val="1"/>
      <w:marLeft w:val="0"/>
      <w:marRight w:val="0"/>
      <w:marTop w:val="0"/>
      <w:marBottom w:val="0"/>
      <w:divBdr>
        <w:top w:val="none" w:sz="0" w:space="0" w:color="auto"/>
        <w:left w:val="none" w:sz="0" w:space="0" w:color="auto"/>
        <w:bottom w:val="none" w:sz="0" w:space="0" w:color="auto"/>
        <w:right w:val="none" w:sz="0" w:space="0" w:color="auto"/>
      </w:divBdr>
    </w:div>
    <w:div w:id="1740250936">
      <w:bodyDiv w:val="1"/>
      <w:marLeft w:val="0"/>
      <w:marRight w:val="0"/>
      <w:marTop w:val="0"/>
      <w:marBottom w:val="0"/>
      <w:divBdr>
        <w:top w:val="none" w:sz="0" w:space="0" w:color="auto"/>
        <w:left w:val="none" w:sz="0" w:space="0" w:color="auto"/>
        <w:bottom w:val="none" w:sz="0" w:space="0" w:color="auto"/>
        <w:right w:val="none" w:sz="0" w:space="0" w:color="auto"/>
      </w:divBdr>
    </w:div>
    <w:div w:id="1745950665">
      <w:bodyDiv w:val="1"/>
      <w:marLeft w:val="0"/>
      <w:marRight w:val="0"/>
      <w:marTop w:val="0"/>
      <w:marBottom w:val="0"/>
      <w:divBdr>
        <w:top w:val="none" w:sz="0" w:space="0" w:color="auto"/>
        <w:left w:val="none" w:sz="0" w:space="0" w:color="auto"/>
        <w:bottom w:val="none" w:sz="0" w:space="0" w:color="auto"/>
        <w:right w:val="none" w:sz="0" w:space="0" w:color="auto"/>
      </w:divBdr>
    </w:div>
    <w:div w:id="1752386889">
      <w:bodyDiv w:val="1"/>
      <w:marLeft w:val="0"/>
      <w:marRight w:val="0"/>
      <w:marTop w:val="0"/>
      <w:marBottom w:val="0"/>
      <w:divBdr>
        <w:top w:val="none" w:sz="0" w:space="0" w:color="auto"/>
        <w:left w:val="none" w:sz="0" w:space="0" w:color="auto"/>
        <w:bottom w:val="none" w:sz="0" w:space="0" w:color="auto"/>
        <w:right w:val="none" w:sz="0" w:space="0" w:color="auto"/>
      </w:divBdr>
    </w:div>
    <w:div w:id="1753116287">
      <w:bodyDiv w:val="1"/>
      <w:marLeft w:val="0"/>
      <w:marRight w:val="0"/>
      <w:marTop w:val="0"/>
      <w:marBottom w:val="0"/>
      <w:divBdr>
        <w:top w:val="none" w:sz="0" w:space="0" w:color="auto"/>
        <w:left w:val="none" w:sz="0" w:space="0" w:color="auto"/>
        <w:bottom w:val="none" w:sz="0" w:space="0" w:color="auto"/>
        <w:right w:val="none" w:sz="0" w:space="0" w:color="auto"/>
      </w:divBdr>
    </w:div>
    <w:div w:id="1783500182">
      <w:bodyDiv w:val="1"/>
      <w:marLeft w:val="0"/>
      <w:marRight w:val="0"/>
      <w:marTop w:val="0"/>
      <w:marBottom w:val="0"/>
      <w:divBdr>
        <w:top w:val="none" w:sz="0" w:space="0" w:color="auto"/>
        <w:left w:val="none" w:sz="0" w:space="0" w:color="auto"/>
        <w:bottom w:val="none" w:sz="0" w:space="0" w:color="auto"/>
        <w:right w:val="none" w:sz="0" w:space="0" w:color="auto"/>
      </w:divBdr>
    </w:div>
    <w:div w:id="1793669388">
      <w:bodyDiv w:val="1"/>
      <w:marLeft w:val="0"/>
      <w:marRight w:val="0"/>
      <w:marTop w:val="0"/>
      <w:marBottom w:val="0"/>
      <w:divBdr>
        <w:top w:val="none" w:sz="0" w:space="0" w:color="auto"/>
        <w:left w:val="none" w:sz="0" w:space="0" w:color="auto"/>
        <w:bottom w:val="none" w:sz="0" w:space="0" w:color="auto"/>
        <w:right w:val="none" w:sz="0" w:space="0" w:color="auto"/>
      </w:divBdr>
      <w:divsChild>
        <w:div w:id="403570897">
          <w:marLeft w:val="0"/>
          <w:marRight w:val="0"/>
          <w:marTop w:val="0"/>
          <w:marBottom w:val="0"/>
          <w:divBdr>
            <w:top w:val="none" w:sz="0" w:space="0" w:color="auto"/>
            <w:left w:val="none" w:sz="0" w:space="0" w:color="auto"/>
            <w:bottom w:val="none" w:sz="0" w:space="0" w:color="auto"/>
            <w:right w:val="none" w:sz="0" w:space="0" w:color="auto"/>
          </w:divBdr>
          <w:divsChild>
            <w:div w:id="1377662835">
              <w:marLeft w:val="0"/>
              <w:marRight w:val="0"/>
              <w:marTop w:val="0"/>
              <w:marBottom w:val="0"/>
              <w:divBdr>
                <w:top w:val="none" w:sz="0" w:space="0" w:color="auto"/>
                <w:left w:val="none" w:sz="0" w:space="0" w:color="auto"/>
                <w:bottom w:val="none" w:sz="0" w:space="0" w:color="auto"/>
                <w:right w:val="none" w:sz="0" w:space="0" w:color="auto"/>
              </w:divBdr>
              <w:divsChild>
                <w:div w:id="1866553145">
                  <w:marLeft w:val="0"/>
                  <w:marRight w:val="0"/>
                  <w:marTop w:val="0"/>
                  <w:marBottom w:val="0"/>
                  <w:divBdr>
                    <w:top w:val="none" w:sz="0" w:space="0" w:color="auto"/>
                    <w:left w:val="none" w:sz="0" w:space="0" w:color="auto"/>
                    <w:bottom w:val="none" w:sz="0" w:space="0" w:color="auto"/>
                    <w:right w:val="none" w:sz="0" w:space="0" w:color="auto"/>
                  </w:divBdr>
                  <w:divsChild>
                    <w:div w:id="547646891">
                      <w:marLeft w:val="0"/>
                      <w:marRight w:val="0"/>
                      <w:marTop w:val="45"/>
                      <w:marBottom w:val="0"/>
                      <w:divBdr>
                        <w:top w:val="none" w:sz="0" w:space="0" w:color="auto"/>
                        <w:left w:val="none" w:sz="0" w:space="0" w:color="auto"/>
                        <w:bottom w:val="none" w:sz="0" w:space="0" w:color="auto"/>
                        <w:right w:val="none" w:sz="0" w:space="0" w:color="auto"/>
                      </w:divBdr>
                      <w:divsChild>
                        <w:div w:id="1946645683">
                          <w:marLeft w:val="0"/>
                          <w:marRight w:val="0"/>
                          <w:marTop w:val="0"/>
                          <w:marBottom w:val="0"/>
                          <w:divBdr>
                            <w:top w:val="none" w:sz="0" w:space="0" w:color="auto"/>
                            <w:left w:val="none" w:sz="0" w:space="0" w:color="auto"/>
                            <w:bottom w:val="none" w:sz="0" w:space="0" w:color="auto"/>
                            <w:right w:val="none" w:sz="0" w:space="0" w:color="auto"/>
                          </w:divBdr>
                          <w:divsChild>
                            <w:div w:id="143813386">
                              <w:marLeft w:val="2070"/>
                              <w:marRight w:val="3960"/>
                              <w:marTop w:val="0"/>
                              <w:marBottom w:val="0"/>
                              <w:divBdr>
                                <w:top w:val="none" w:sz="0" w:space="0" w:color="auto"/>
                                <w:left w:val="none" w:sz="0" w:space="0" w:color="auto"/>
                                <w:bottom w:val="none" w:sz="0" w:space="0" w:color="auto"/>
                                <w:right w:val="none" w:sz="0" w:space="0" w:color="auto"/>
                              </w:divBdr>
                              <w:divsChild>
                                <w:div w:id="1761825648">
                                  <w:marLeft w:val="0"/>
                                  <w:marRight w:val="0"/>
                                  <w:marTop w:val="0"/>
                                  <w:marBottom w:val="0"/>
                                  <w:divBdr>
                                    <w:top w:val="none" w:sz="0" w:space="0" w:color="auto"/>
                                    <w:left w:val="none" w:sz="0" w:space="0" w:color="auto"/>
                                    <w:bottom w:val="none" w:sz="0" w:space="0" w:color="auto"/>
                                    <w:right w:val="none" w:sz="0" w:space="0" w:color="auto"/>
                                  </w:divBdr>
                                  <w:divsChild>
                                    <w:div w:id="282922655">
                                      <w:marLeft w:val="0"/>
                                      <w:marRight w:val="0"/>
                                      <w:marTop w:val="0"/>
                                      <w:marBottom w:val="0"/>
                                      <w:divBdr>
                                        <w:top w:val="none" w:sz="0" w:space="0" w:color="auto"/>
                                        <w:left w:val="none" w:sz="0" w:space="0" w:color="auto"/>
                                        <w:bottom w:val="none" w:sz="0" w:space="0" w:color="auto"/>
                                        <w:right w:val="none" w:sz="0" w:space="0" w:color="auto"/>
                                      </w:divBdr>
                                      <w:divsChild>
                                        <w:div w:id="697851230">
                                          <w:marLeft w:val="0"/>
                                          <w:marRight w:val="0"/>
                                          <w:marTop w:val="0"/>
                                          <w:marBottom w:val="0"/>
                                          <w:divBdr>
                                            <w:top w:val="none" w:sz="0" w:space="0" w:color="auto"/>
                                            <w:left w:val="none" w:sz="0" w:space="0" w:color="auto"/>
                                            <w:bottom w:val="none" w:sz="0" w:space="0" w:color="auto"/>
                                            <w:right w:val="none" w:sz="0" w:space="0" w:color="auto"/>
                                          </w:divBdr>
                                          <w:divsChild>
                                            <w:div w:id="829904870">
                                              <w:marLeft w:val="0"/>
                                              <w:marRight w:val="0"/>
                                              <w:marTop w:val="90"/>
                                              <w:marBottom w:val="0"/>
                                              <w:divBdr>
                                                <w:top w:val="none" w:sz="0" w:space="0" w:color="auto"/>
                                                <w:left w:val="none" w:sz="0" w:space="0" w:color="auto"/>
                                                <w:bottom w:val="none" w:sz="0" w:space="0" w:color="auto"/>
                                                <w:right w:val="none" w:sz="0" w:space="0" w:color="auto"/>
                                              </w:divBdr>
                                              <w:divsChild>
                                                <w:div w:id="131334779">
                                                  <w:marLeft w:val="0"/>
                                                  <w:marRight w:val="0"/>
                                                  <w:marTop w:val="0"/>
                                                  <w:marBottom w:val="0"/>
                                                  <w:divBdr>
                                                    <w:top w:val="none" w:sz="0" w:space="0" w:color="auto"/>
                                                    <w:left w:val="none" w:sz="0" w:space="0" w:color="auto"/>
                                                    <w:bottom w:val="none" w:sz="0" w:space="0" w:color="auto"/>
                                                    <w:right w:val="none" w:sz="0" w:space="0" w:color="auto"/>
                                                  </w:divBdr>
                                                  <w:divsChild>
                                                    <w:div w:id="748890375">
                                                      <w:marLeft w:val="0"/>
                                                      <w:marRight w:val="0"/>
                                                      <w:marTop w:val="0"/>
                                                      <w:marBottom w:val="0"/>
                                                      <w:divBdr>
                                                        <w:top w:val="none" w:sz="0" w:space="0" w:color="auto"/>
                                                        <w:left w:val="none" w:sz="0" w:space="0" w:color="auto"/>
                                                        <w:bottom w:val="none" w:sz="0" w:space="0" w:color="auto"/>
                                                        <w:right w:val="none" w:sz="0" w:space="0" w:color="auto"/>
                                                      </w:divBdr>
                                                      <w:divsChild>
                                                        <w:div w:id="1059086521">
                                                          <w:marLeft w:val="0"/>
                                                          <w:marRight w:val="0"/>
                                                          <w:marTop w:val="0"/>
                                                          <w:marBottom w:val="0"/>
                                                          <w:divBdr>
                                                            <w:top w:val="none" w:sz="0" w:space="0" w:color="auto"/>
                                                            <w:left w:val="none" w:sz="0" w:space="0" w:color="auto"/>
                                                            <w:bottom w:val="none" w:sz="0" w:space="0" w:color="auto"/>
                                                            <w:right w:val="none" w:sz="0" w:space="0" w:color="auto"/>
                                                          </w:divBdr>
                                                          <w:divsChild>
                                                            <w:div w:id="14893959">
                                                              <w:marLeft w:val="0"/>
                                                              <w:marRight w:val="0"/>
                                                              <w:marTop w:val="0"/>
                                                              <w:marBottom w:val="390"/>
                                                              <w:divBdr>
                                                                <w:top w:val="none" w:sz="0" w:space="0" w:color="auto"/>
                                                                <w:left w:val="none" w:sz="0" w:space="0" w:color="auto"/>
                                                                <w:bottom w:val="none" w:sz="0" w:space="0" w:color="auto"/>
                                                                <w:right w:val="none" w:sz="0" w:space="0" w:color="auto"/>
                                                              </w:divBdr>
                                                              <w:divsChild>
                                                                <w:div w:id="878317439">
                                                                  <w:marLeft w:val="0"/>
                                                                  <w:marRight w:val="0"/>
                                                                  <w:marTop w:val="0"/>
                                                                  <w:marBottom w:val="0"/>
                                                                  <w:divBdr>
                                                                    <w:top w:val="none" w:sz="0" w:space="0" w:color="auto"/>
                                                                    <w:left w:val="none" w:sz="0" w:space="0" w:color="auto"/>
                                                                    <w:bottom w:val="none" w:sz="0" w:space="0" w:color="auto"/>
                                                                    <w:right w:val="none" w:sz="0" w:space="0" w:color="auto"/>
                                                                  </w:divBdr>
                                                                  <w:divsChild>
                                                                    <w:div w:id="139730447">
                                                                      <w:marLeft w:val="0"/>
                                                                      <w:marRight w:val="0"/>
                                                                      <w:marTop w:val="0"/>
                                                                      <w:marBottom w:val="0"/>
                                                                      <w:divBdr>
                                                                        <w:top w:val="none" w:sz="0" w:space="0" w:color="auto"/>
                                                                        <w:left w:val="none" w:sz="0" w:space="0" w:color="auto"/>
                                                                        <w:bottom w:val="none" w:sz="0" w:space="0" w:color="auto"/>
                                                                        <w:right w:val="none" w:sz="0" w:space="0" w:color="auto"/>
                                                                      </w:divBdr>
                                                                      <w:divsChild>
                                                                        <w:div w:id="1337656387">
                                                                          <w:marLeft w:val="0"/>
                                                                          <w:marRight w:val="0"/>
                                                                          <w:marTop w:val="0"/>
                                                                          <w:marBottom w:val="0"/>
                                                                          <w:divBdr>
                                                                            <w:top w:val="none" w:sz="0" w:space="0" w:color="auto"/>
                                                                            <w:left w:val="none" w:sz="0" w:space="0" w:color="auto"/>
                                                                            <w:bottom w:val="none" w:sz="0" w:space="0" w:color="auto"/>
                                                                            <w:right w:val="none" w:sz="0" w:space="0" w:color="auto"/>
                                                                          </w:divBdr>
                                                                          <w:divsChild>
                                                                            <w:div w:id="24452520">
                                                                              <w:marLeft w:val="0"/>
                                                                              <w:marRight w:val="0"/>
                                                                              <w:marTop w:val="0"/>
                                                                              <w:marBottom w:val="0"/>
                                                                              <w:divBdr>
                                                                                <w:top w:val="none" w:sz="0" w:space="0" w:color="auto"/>
                                                                                <w:left w:val="none" w:sz="0" w:space="0" w:color="auto"/>
                                                                                <w:bottom w:val="none" w:sz="0" w:space="0" w:color="auto"/>
                                                                                <w:right w:val="none" w:sz="0" w:space="0" w:color="auto"/>
                                                                              </w:divBdr>
                                                                              <w:divsChild>
                                                                                <w:div w:id="95722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2845004">
      <w:bodyDiv w:val="1"/>
      <w:marLeft w:val="0"/>
      <w:marRight w:val="0"/>
      <w:marTop w:val="0"/>
      <w:marBottom w:val="0"/>
      <w:divBdr>
        <w:top w:val="none" w:sz="0" w:space="0" w:color="auto"/>
        <w:left w:val="none" w:sz="0" w:space="0" w:color="auto"/>
        <w:bottom w:val="none" w:sz="0" w:space="0" w:color="auto"/>
        <w:right w:val="none" w:sz="0" w:space="0" w:color="auto"/>
      </w:divBdr>
    </w:div>
    <w:div w:id="1808208186">
      <w:bodyDiv w:val="1"/>
      <w:marLeft w:val="0"/>
      <w:marRight w:val="0"/>
      <w:marTop w:val="0"/>
      <w:marBottom w:val="0"/>
      <w:divBdr>
        <w:top w:val="none" w:sz="0" w:space="0" w:color="auto"/>
        <w:left w:val="none" w:sz="0" w:space="0" w:color="auto"/>
        <w:bottom w:val="none" w:sz="0" w:space="0" w:color="auto"/>
        <w:right w:val="none" w:sz="0" w:space="0" w:color="auto"/>
      </w:divBdr>
      <w:divsChild>
        <w:div w:id="111364180">
          <w:marLeft w:val="0"/>
          <w:marRight w:val="0"/>
          <w:marTop w:val="0"/>
          <w:marBottom w:val="0"/>
          <w:divBdr>
            <w:top w:val="none" w:sz="0" w:space="0" w:color="auto"/>
            <w:left w:val="none" w:sz="0" w:space="0" w:color="auto"/>
            <w:bottom w:val="none" w:sz="0" w:space="0" w:color="auto"/>
            <w:right w:val="none" w:sz="0" w:space="0" w:color="auto"/>
          </w:divBdr>
        </w:div>
        <w:div w:id="113445538">
          <w:marLeft w:val="0"/>
          <w:marRight w:val="0"/>
          <w:marTop w:val="0"/>
          <w:marBottom w:val="0"/>
          <w:divBdr>
            <w:top w:val="none" w:sz="0" w:space="0" w:color="auto"/>
            <w:left w:val="none" w:sz="0" w:space="0" w:color="auto"/>
            <w:bottom w:val="none" w:sz="0" w:space="0" w:color="auto"/>
            <w:right w:val="none" w:sz="0" w:space="0" w:color="auto"/>
          </w:divBdr>
        </w:div>
        <w:div w:id="305741145">
          <w:marLeft w:val="0"/>
          <w:marRight w:val="0"/>
          <w:marTop w:val="0"/>
          <w:marBottom w:val="0"/>
          <w:divBdr>
            <w:top w:val="none" w:sz="0" w:space="0" w:color="auto"/>
            <w:left w:val="none" w:sz="0" w:space="0" w:color="auto"/>
            <w:bottom w:val="none" w:sz="0" w:space="0" w:color="auto"/>
            <w:right w:val="none" w:sz="0" w:space="0" w:color="auto"/>
          </w:divBdr>
        </w:div>
        <w:div w:id="375475687">
          <w:marLeft w:val="0"/>
          <w:marRight w:val="0"/>
          <w:marTop w:val="0"/>
          <w:marBottom w:val="0"/>
          <w:divBdr>
            <w:top w:val="none" w:sz="0" w:space="0" w:color="auto"/>
            <w:left w:val="none" w:sz="0" w:space="0" w:color="auto"/>
            <w:bottom w:val="none" w:sz="0" w:space="0" w:color="auto"/>
            <w:right w:val="none" w:sz="0" w:space="0" w:color="auto"/>
          </w:divBdr>
        </w:div>
        <w:div w:id="708190536">
          <w:marLeft w:val="0"/>
          <w:marRight w:val="0"/>
          <w:marTop w:val="0"/>
          <w:marBottom w:val="0"/>
          <w:divBdr>
            <w:top w:val="none" w:sz="0" w:space="0" w:color="auto"/>
            <w:left w:val="none" w:sz="0" w:space="0" w:color="auto"/>
            <w:bottom w:val="none" w:sz="0" w:space="0" w:color="auto"/>
            <w:right w:val="none" w:sz="0" w:space="0" w:color="auto"/>
          </w:divBdr>
        </w:div>
        <w:div w:id="744259185">
          <w:marLeft w:val="0"/>
          <w:marRight w:val="0"/>
          <w:marTop w:val="0"/>
          <w:marBottom w:val="0"/>
          <w:divBdr>
            <w:top w:val="none" w:sz="0" w:space="0" w:color="auto"/>
            <w:left w:val="none" w:sz="0" w:space="0" w:color="auto"/>
            <w:bottom w:val="none" w:sz="0" w:space="0" w:color="auto"/>
            <w:right w:val="none" w:sz="0" w:space="0" w:color="auto"/>
          </w:divBdr>
        </w:div>
        <w:div w:id="747532349">
          <w:marLeft w:val="0"/>
          <w:marRight w:val="0"/>
          <w:marTop w:val="0"/>
          <w:marBottom w:val="0"/>
          <w:divBdr>
            <w:top w:val="none" w:sz="0" w:space="0" w:color="auto"/>
            <w:left w:val="none" w:sz="0" w:space="0" w:color="auto"/>
            <w:bottom w:val="none" w:sz="0" w:space="0" w:color="auto"/>
            <w:right w:val="none" w:sz="0" w:space="0" w:color="auto"/>
          </w:divBdr>
        </w:div>
        <w:div w:id="824510490">
          <w:marLeft w:val="0"/>
          <w:marRight w:val="0"/>
          <w:marTop w:val="0"/>
          <w:marBottom w:val="0"/>
          <w:divBdr>
            <w:top w:val="none" w:sz="0" w:space="0" w:color="auto"/>
            <w:left w:val="none" w:sz="0" w:space="0" w:color="auto"/>
            <w:bottom w:val="none" w:sz="0" w:space="0" w:color="auto"/>
            <w:right w:val="none" w:sz="0" w:space="0" w:color="auto"/>
          </w:divBdr>
        </w:div>
        <w:div w:id="982655203">
          <w:marLeft w:val="0"/>
          <w:marRight w:val="0"/>
          <w:marTop w:val="0"/>
          <w:marBottom w:val="0"/>
          <w:divBdr>
            <w:top w:val="none" w:sz="0" w:space="0" w:color="auto"/>
            <w:left w:val="none" w:sz="0" w:space="0" w:color="auto"/>
            <w:bottom w:val="none" w:sz="0" w:space="0" w:color="auto"/>
            <w:right w:val="none" w:sz="0" w:space="0" w:color="auto"/>
          </w:divBdr>
        </w:div>
        <w:div w:id="1082679552">
          <w:marLeft w:val="0"/>
          <w:marRight w:val="0"/>
          <w:marTop w:val="0"/>
          <w:marBottom w:val="0"/>
          <w:divBdr>
            <w:top w:val="none" w:sz="0" w:space="0" w:color="auto"/>
            <w:left w:val="none" w:sz="0" w:space="0" w:color="auto"/>
            <w:bottom w:val="none" w:sz="0" w:space="0" w:color="auto"/>
            <w:right w:val="none" w:sz="0" w:space="0" w:color="auto"/>
          </w:divBdr>
        </w:div>
        <w:div w:id="1083720500">
          <w:marLeft w:val="0"/>
          <w:marRight w:val="0"/>
          <w:marTop w:val="0"/>
          <w:marBottom w:val="0"/>
          <w:divBdr>
            <w:top w:val="none" w:sz="0" w:space="0" w:color="auto"/>
            <w:left w:val="none" w:sz="0" w:space="0" w:color="auto"/>
            <w:bottom w:val="none" w:sz="0" w:space="0" w:color="auto"/>
            <w:right w:val="none" w:sz="0" w:space="0" w:color="auto"/>
          </w:divBdr>
        </w:div>
        <w:div w:id="1113943173">
          <w:marLeft w:val="0"/>
          <w:marRight w:val="0"/>
          <w:marTop w:val="0"/>
          <w:marBottom w:val="0"/>
          <w:divBdr>
            <w:top w:val="none" w:sz="0" w:space="0" w:color="auto"/>
            <w:left w:val="none" w:sz="0" w:space="0" w:color="auto"/>
            <w:bottom w:val="none" w:sz="0" w:space="0" w:color="auto"/>
            <w:right w:val="none" w:sz="0" w:space="0" w:color="auto"/>
          </w:divBdr>
        </w:div>
        <w:div w:id="1240678782">
          <w:marLeft w:val="0"/>
          <w:marRight w:val="0"/>
          <w:marTop w:val="0"/>
          <w:marBottom w:val="0"/>
          <w:divBdr>
            <w:top w:val="none" w:sz="0" w:space="0" w:color="auto"/>
            <w:left w:val="none" w:sz="0" w:space="0" w:color="auto"/>
            <w:bottom w:val="none" w:sz="0" w:space="0" w:color="auto"/>
            <w:right w:val="none" w:sz="0" w:space="0" w:color="auto"/>
          </w:divBdr>
        </w:div>
        <w:div w:id="1324351664">
          <w:marLeft w:val="0"/>
          <w:marRight w:val="0"/>
          <w:marTop w:val="0"/>
          <w:marBottom w:val="0"/>
          <w:divBdr>
            <w:top w:val="none" w:sz="0" w:space="0" w:color="auto"/>
            <w:left w:val="none" w:sz="0" w:space="0" w:color="auto"/>
            <w:bottom w:val="none" w:sz="0" w:space="0" w:color="auto"/>
            <w:right w:val="none" w:sz="0" w:space="0" w:color="auto"/>
          </w:divBdr>
        </w:div>
        <w:div w:id="1469784677">
          <w:marLeft w:val="0"/>
          <w:marRight w:val="0"/>
          <w:marTop w:val="0"/>
          <w:marBottom w:val="0"/>
          <w:divBdr>
            <w:top w:val="none" w:sz="0" w:space="0" w:color="auto"/>
            <w:left w:val="none" w:sz="0" w:space="0" w:color="auto"/>
            <w:bottom w:val="none" w:sz="0" w:space="0" w:color="auto"/>
            <w:right w:val="none" w:sz="0" w:space="0" w:color="auto"/>
          </w:divBdr>
        </w:div>
        <w:div w:id="1508982563">
          <w:marLeft w:val="0"/>
          <w:marRight w:val="0"/>
          <w:marTop w:val="0"/>
          <w:marBottom w:val="0"/>
          <w:divBdr>
            <w:top w:val="none" w:sz="0" w:space="0" w:color="auto"/>
            <w:left w:val="none" w:sz="0" w:space="0" w:color="auto"/>
            <w:bottom w:val="none" w:sz="0" w:space="0" w:color="auto"/>
            <w:right w:val="none" w:sz="0" w:space="0" w:color="auto"/>
          </w:divBdr>
        </w:div>
        <w:div w:id="1563177892">
          <w:marLeft w:val="0"/>
          <w:marRight w:val="0"/>
          <w:marTop w:val="0"/>
          <w:marBottom w:val="0"/>
          <w:divBdr>
            <w:top w:val="none" w:sz="0" w:space="0" w:color="auto"/>
            <w:left w:val="none" w:sz="0" w:space="0" w:color="auto"/>
            <w:bottom w:val="none" w:sz="0" w:space="0" w:color="auto"/>
            <w:right w:val="none" w:sz="0" w:space="0" w:color="auto"/>
          </w:divBdr>
        </w:div>
        <w:div w:id="1612320287">
          <w:marLeft w:val="0"/>
          <w:marRight w:val="0"/>
          <w:marTop w:val="0"/>
          <w:marBottom w:val="0"/>
          <w:divBdr>
            <w:top w:val="none" w:sz="0" w:space="0" w:color="auto"/>
            <w:left w:val="none" w:sz="0" w:space="0" w:color="auto"/>
            <w:bottom w:val="none" w:sz="0" w:space="0" w:color="auto"/>
            <w:right w:val="none" w:sz="0" w:space="0" w:color="auto"/>
          </w:divBdr>
        </w:div>
        <w:div w:id="1645694628">
          <w:marLeft w:val="0"/>
          <w:marRight w:val="0"/>
          <w:marTop w:val="0"/>
          <w:marBottom w:val="0"/>
          <w:divBdr>
            <w:top w:val="none" w:sz="0" w:space="0" w:color="auto"/>
            <w:left w:val="none" w:sz="0" w:space="0" w:color="auto"/>
            <w:bottom w:val="none" w:sz="0" w:space="0" w:color="auto"/>
            <w:right w:val="none" w:sz="0" w:space="0" w:color="auto"/>
          </w:divBdr>
        </w:div>
        <w:div w:id="1785539282">
          <w:marLeft w:val="0"/>
          <w:marRight w:val="0"/>
          <w:marTop w:val="0"/>
          <w:marBottom w:val="0"/>
          <w:divBdr>
            <w:top w:val="none" w:sz="0" w:space="0" w:color="auto"/>
            <w:left w:val="none" w:sz="0" w:space="0" w:color="auto"/>
            <w:bottom w:val="none" w:sz="0" w:space="0" w:color="auto"/>
            <w:right w:val="none" w:sz="0" w:space="0" w:color="auto"/>
          </w:divBdr>
        </w:div>
        <w:div w:id="1859544742">
          <w:marLeft w:val="0"/>
          <w:marRight w:val="0"/>
          <w:marTop w:val="0"/>
          <w:marBottom w:val="0"/>
          <w:divBdr>
            <w:top w:val="none" w:sz="0" w:space="0" w:color="auto"/>
            <w:left w:val="none" w:sz="0" w:space="0" w:color="auto"/>
            <w:bottom w:val="none" w:sz="0" w:space="0" w:color="auto"/>
            <w:right w:val="none" w:sz="0" w:space="0" w:color="auto"/>
          </w:divBdr>
        </w:div>
        <w:div w:id="1922524230">
          <w:marLeft w:val="0"/>
          <w:marRight w:val="0"/>
          <w:marTop w:val="0"/>
          <w:marBottom w:val="0"/>
          <w:divBdr>
            <w:top w:val="none" w:sz="0" w:space="0" w:color="auto"/>
            <w:left w:val="none" w:sz="0" w:space="0" w:color="auto"/>
            <w:bottom w:val="none" w:sz="0" w:space="0" w:color="auto"/>
            <w:right w:val="none" w:sz="0" w:space="0" w:color="auto"/>
          </w:divBdr>
        </w:div>
      </w:divsChild>
    </w:div>
    <w:div w:id="1808280908">
      <w:bodyDiv w:val="1"/>
      <w:marLeft w:val="0"/>
      <w:marRight w:val="0"/>
      <w:marTop w:val="0"/>
      <w:marBottom w:val="0"/>
      <w:divBdr>
        <w:top w:val="none" w:sz="0" w:space="0" w:color="auto"/>
        <w:left w:val="none" w:sz="0" w:space="0" w:color="auto"/>
        <w:bottom w:val="none" w:sz="0" w:space="0" w:color="auto"/>
        <w:right w:val="none" w:sz="0" w:space="0" w:color="auto"/>
      </w:divBdr>
    </w:div>
    <w:div w:id="1809664511">
      <w:bodyDiv w:val="1"/>
      <w:marLeft w:val="0"/>
      <w:marRight w:val="0"/>
      <w:marTop w:val="0"/>
      <w:marBottom w:val="0"/>
      <w:divBdr>
        <w:top w:val="none" w:sz="0" w:space="0" w:color="auto"/>
        <w:left w:val="none" w:sz="0" w:space="0" w:color="auto"/>
        <w:bottom w:val="none" w:sz="0" w:space="0" w:color="auto"/>
        <w:right w:val="none" w:sz="0" w:space="0" w:color="auto"/>
      </w:divBdr>
    </w:div>
    <w:div w:id="1820073332">
      <w:bodyDiv w:val="1"/>
      <w:marLeft w:val="0"/>
      <w:marRight w:val="0"/>
      <w:marTop w:val="0"/>
      <w:marBottom w:val="0"/>
      <w:divBdr>
        <w:top w:val="none" w:sz="0" w:space="0" w:color="auto"/>
        <w:left w:val="none" w:sz="0" w:space="0" w:color="auto"/>
        <w:bottom w:val="none" w:sz="0" w:space="0" w:color="auto"/>
        <w:right w:val="none" w:sz="0" w:space="0" w:color="auto"/>
      </w:divBdr>
    </w:div>
    <w:div w:id="1835215848">
      <w:bodyDiv w:val="1"/>
      <w:marLeft w:val="0"/>
      <w:marRight w:val="0"/>
      <w:marTop w:val="0"/>
      <w:marBottom w:val="0"/>
      <w:divBdr>
        <w:top w:val="none" w:sz="0" w:space="0" w:color="auto"/>
        <w:left w:val="none" w:sz="0" w:space="0" w:color="auto"/>
        <w:bottom w:val="none" w:sz="0" w:space="0" w:color="auto"/>
        <w:right w:val="none" w:sz="0" w:space="0" w:color="auto"/>
      </w:divBdr>
    </w:div>
    <w:div w:id="1845895392">
      <w:bodyDiv w:val="1"/>
      <w:marLeft w:val="0"/>
      <w:marRight w:val="0"/>
      <w:marTop w:val="0"/>
      <w:marBottom w:val="0"/>
      <w:divBdr>
        <w:top w:val="none" w:sz="0" w:space="0" w:color="auto"/>
        <w:left w:val="none" w:sz="0" w:space="0" w:color="auto"/>
        <w:bottom w:val="none" w:sz="0" w:space="0" w:color="auto"/>
        <w:right w:val="none" w:sz="0" w:space="0" w:color="auto"/>
      </w:divBdr>
    </w:div>
    <w:div w:id="1851021767">
      <w:bodyDiv w:val="1"/>
      <w:marLeft w:val="0"/>
      <w:marRight w:val="0"/>
      <w:marTop w:val="0"/>
      <w:marBottom w:val="0"/>
      <w:divBdr>
        <w:top w:val="none" w:sz="0" w:space="0" w:color="auto"/>
        <w:left w:val="none" w:sz="0" w:space="0" w:color="auto"/>
        <w:bottom w:val="none" w:sz="0" w:space="0" w:color="auto"/>
        <w:right w:val="none" w:sz="0" w:space="0" w:color="auto"/>
      </w:divBdr>
    </w:div>
    <w:div w:id="1866556899">
      <w:bodyDiv w:val="1"/>
      <w:marLeft w:val="0"/>
      <w:marRight w:val="0"/>
      <w:marTop w:val="0"/>
      <w:marBottom w:val="0"/>
      <w:divBdr>
        <w:top w:val="none" w:sz="0" w:space="0" w:color="auto"/>
        <w:left w:val="none" w:sz="0" w:space="0" w:color="auto"/>
        <w:bottom w:val="none" w:sz="0" w:space="0" w:color="auto"/>
        <w:right w:val="none" w:sz="0" w:space="0" w:color="auto"/>
      </w:divBdr>
    </w:div>
    <w:div w:id="1871339322">
      <w:bodyDiv w:val="1"/>
      <w:marLeft w:val="0"/>
      <w:marRight w:val="0"/>
      <w:marTop w:val="0"/>
      <w:marBottom w:val="0"/>
      <w:divBdr>
        <w:top w:val="none" w:sz="0" w:space="0" w:color="auto"/>
        <w:left w:val="none" w:sz="0" w:space="0" w:color="auto"/>
        <w:bottom w:val="none" w:sz="0" w:space="0" w:color="auto"/>
        <w:right w:val="none" w:sz="0" w:space="0" w:color="auto"/>
      </w:divBdr>
    </w:div>
    <w:div w:id="1878425337">
      <w:bodyDiv w:val="1"/>
      <w:marLeft w:val="0"/>
      <w:marRight w:val="0"/>
      <w:marTop w:val="0"/>
      <w:marBottom w:val="0"/>
      <w:divBdr>
        <w:top w:val="none" w:sz="0" w:space="0" w:color="auto"/>
        <w:left w:val="none" w:sz="0" w:space="0" w:color="auto"/>
        <w:bottom w:val="none" w:sz="0" w:space="0" w:color="auto"/>
        <w:right w:val="none" w:sz="0" w:space="0" w:color="auto"/>
      </w:divBdr>
    </w:div>
    <w:div w:id="1882090152">
      <w:bodyDiv w:val="1"/>
      <w:marLeft w:val="0"/>
      <w:marRight w:val="0"/>
      <w:marTop w:val="0"/>
      <w:marBottom w:val="0"/>
      <w:divBdr>
        <w:top w:val="none" w:sz="0" w:space="0" w:color="auto"/>
        <w:left w:val="none" w:sz="0" w:space="0" w:color="auto"/>
        <w:bottom w:val="none" w:sz="0" w:space="0" w:color="auto"/>
        <w:right w:val="none" w:sz="0" w:space="0" w:color="auto"/>
      </w:divBdr>
    </w:div>
    <w:div w:id="1886211127">
      <w:bodyDiv w:val="1"/>
      <w:marLeft w:val="0"/>
      <w:marRight w:val="0"/>
      <w:marTop w:val="0"/>
      <w:marBottom w:val="0"/>
      <w:divBdr>
        <w:top w:val="none" w:sz="0" w:space="0" w:color="auto"/>
        <w:left w:val="none" w:sz="0" w:space="0" w:color="auto"/>
        <w:bottom w:val="none" w:sz="0" w:space="0" w:color="auto"/>
        <w:right w:val="none" w:sz="0" w:space="0" w:color="auto"/>
      </w:divBdr>
    </w:div>
    <w:div w:id="1902210815">
      <w:bodyDiv w:val="1"/>
      <w:marLeft w:val="0"/>
      <w:marRight w:val="0"/>
      <w:marTop w:val="0"/>
      <w:marBottom w:val="0"/>
      <w:divBdr>
        <w:top w:val="none" w:sz="0" w:space="0" w:color="auto"/>
        <w:left w:val="none" w:sz="0" w:space="0" w:color="auto"/>
        <w:bottom w:val="none" w:sz="0" w:space="0" w:color="auto"/>
        <w:right w:val="none" w:sz="0" w:space="0" w:color="auto"/>
      </w:divBdr>
    </w:div>
    <w:div w:id="1903755477">
      <w:bodyDiv w:val="1"/>
      <w:marLeft w:val="0"/>
      <w:marRight w:val="0"/>
      <w:marTop w:val="0"/>
      <w:marBottom w:val="0"/>
      <w:divBdr>
        <w:top w:val="none" w:sz="0" w:space="0" w:color="auto"/>
        <w:left w:val="none" w:sz="0" w:space="0" w:color="auto"/>
        <w:bottom w:val="none" w:sz="0" w:space="0" w:color="auto"/>
        <w:right w:val="none" w:sz="0" w:space="0" w:color="auto"/>
      </w:divBdr>
    </w:div>
    <w:div w:id="1915971016">
      <w:bodyDiv w:val="1"/>
      <w:marLeft w:val="0"/>
      <w:marRight w:val="0"/>
      <w:marTop w:val="0"/>
      <w:marBottom w:val="0"/>
      <w:divBdr>
        <w:top w:val="none" w:sz="0" w:space="0" w:color="auto"/>
        <w:left w:val="none" w:sz="0" w:space="0" w:color="auto"/>
        <w:bottom w:val="none" w:sz="0" w:space="0" w:color="auto"/>
        <w:right w:val="none" w:sz="0" w:space="0" w:color="auto"/>
      </w:divBdr>
    </w:div>
    <w:div w:id="1917475589">
      <w:bodyDiv w:val="1"/>
      <w:marLeft w:val="0"/>
      <w:marRight w:val="0"/>
      <w:marTop w:val="0"/>
      <w:marBottom w:val="0"/>
      <w:divBdr>
        <w:top w:val="none" w:sz="0" w:space="0" w:color="auto"/>
        <w:left w:val="none" w:sz="0" w:space="0" w:color="auto"/>
        <w:bottom w:val="none" w:sz="0" w:space="0" w:color="auto"/>
        <w:right w:val="none" w:sz="0" w:space="0" w:color="auto"/>
      </w:divBdr>
    </w:div>
    <w:div w:id="1918513026">
      <w:bodyDiv w:val="1"/>
      <w:marLeft w:val="0"/>
      <w:marRight w:val="0"/>
      <w:marTop w:val="0"/>
      <w:marBottom w:val="0"/>
      <w:divBdr>
        <w:top w:val="none" w:sz="0" w:space="0" w:color="auto"/>
        <w:left w:val="none" w:sz="0" w:space="0" w:color="auto"/>
        <w:bottom w:val="none" w:sz="0" w:space="0" w:color="auto"/>
        <w:right w:val="none" w:sz="0" w:space="0" w:color="auto"/>
      </w:divBdr>
      <w:divsChild>
        <w:div w:id="335959190">
          <w:marLeft w:val="0"/>
          <w:marRight w:val="0"/>
          <w:marTop w:val="0"/>
          <w:marBottom w:val="0"/>
          <w:divBdr>
            <w:top w:val="none" w:sz="0" w:space="0" w:color="auto"/>
            <w:left w:val="none" w:sz="0" w:space="0" w:color="auto"/>
            <w:bottom w:val="none" w:sz="0" w:space="0" w:color="auto"/>
            <w:right w:val="none" w:sz="0" w:space="0" w:color="auto"/>
          </w:divBdr>
        </w:div>
        <w:div w:id="725177663">
          <w:marLeft w:val="0"/>
          <w:marRight w:val="0"/>
          <w:marTop w:val="0"/>
          <w:marBottom w:val="0"/>
          <w:divBdr>
            <w:top w:val="none" w:sz="0" w:space="0" w:color="auto"/>
            <w:left w:val="none" w:sz="0" w:space="0" w:color="auto"/>
            <w:bottom w:val="none" w:sz="0" w:space="0" w:color="auto"/>
            <w:right w:val="none" w:sz="0" w:space="0" w:color="auto"/>
          </w:divBdr>
        </w:div>
        <w:div w:id="948119308">
          <w:marLeft w:val="0"/>
          <w:marRight w:val="0"/>
          <w:marTop w:val="0"/>
          <w:marBottom w:val="0"/>
          <w:divBdr>
            <w:top w:val="none" w:sz="0" w:space="0" w:color="auto"/>
            <w:left w:val="none" w:sz="0" w:space="0" w:color="auto"/>
            <w:bottom w:val="none" w:sz="0" w:space="0" w:color="auto"/>
            <w:right w:val="none" w:sz="0" w:space="0" w:color="auto"/>
          </w:divBdr>
        </w:div>
      </w:divsChild>
    </w:div>
    <w:div w:id="1940408575">
      <w:bodyDiv w:val="1"/>
      <w:marLeft w:val="0"/>
      <w:marRight w:val="0"/>
      <w:marTop w:val="0"/>
      <w:marBottom w:val="0"/>
      <w:divBdr>
        <w:top w:val="none" w:sz="0" w:space="0" w:color="auto"/>
        <w:left w:val="none" w:sz="0" w:space="0" w:color="auto"/>
        <w:bottom w:val="none" w:sz="0" w:space="0" w:color="auto"/>
        <w:right w:val="none" w:sz="0" w:space="0" w:color="auto"/>
      </w:divBdr>
    </w:div>
    <w:div w:id="1947928348">
      <w:bodyDiv w:val="1"/>
      <w:marLeft w:val="0"/>
      <w:marRight w:val="0"/>
      <w:marTop w:val="0"/>
      <w:marBottom w:val="0"/>
      <w:divBdr>
        <w:top w:val="none" w:sz="0" w:space="0" w:color="auto"/>
        <w:left w:val="none" w:sz="0" w:space="0" w:color="auto"/>
        <w:bottom w:val="none" w:sz="0" w:space="0" w:color="auto"/>
        <w:right w:val="none" w:sz="0" w:space="0" w:color="auto"/>
      </w:divBdr>
    </w:div>
    <w:div w:id="1955867713">
      <w:bodyDiv w:val="1"/>
      <w:marLeft w:val="0"/>
      <w:marRight w:val="0"/>
      <w:marTop w:val="0"/>
      <w:marBottom w:val="0"/>
      <w:divBdr>
        <w:top w:val="none" w:sz="0" w:space="0" w:color="auto"/>
        <w:left w:val="none" w:sz="0" w:space="0" w:color="auto"/>
        <w:bottom w:val="none" w:sz="0" w:space="0" w:color="auto"/>
        <w:right w:val="none" w:sz="0" w:space="0" w:color="auto"/>
      </w:divBdr>
      <w:divsChild>
        <w:div w:id="1333989050">
          <w:marLeft w:val="0"/>
          <w:marRight w:val="0"/>
          <w:marTop w:val="0"/>
          <w:marBottom w:val="0"/>
          <w:divBdr>
            <w:top w:val="none" w:sz="0" w:space="0" w:color="auto"/>
            <w:left w:val="none" w:sz="0" w:space="0" w:color="auto"/>
            <w:bottom w:val="none" w:sz="0" w:space="0" w:color="auto"/>
            <w:right w:val="none" w:sz="0" w:space="0" w:color="auto"/>
          </w:divBdr>
        </w:div>
      </w:divsChild>
    </w:div>
    <w:div w:id="1959753794">
      <w:bodyDiv w:val="1"/>
      <w:marLeft w:val="0"/>
      <w:marRight w:val="0"/>
      <w:marTop w:val="0"/>
      <w:marBottom w:val="0"/>
      <w:divBdr>
        <w:top w:val="none" w:sz="0" w:space="0" w:color="auto"/>
        <w:left w:val="none" w:sz="0" w:space="0" w:color="auto"/>
        <w:bottom w:val="none" w:sz="0" w:space="0" w:color="auto"/>
        <w:right w:val="none" w:sz="0" w:space="0" w:color="auto"/>
      </w:divBdr>
    </w:div>
    <w:div w:id="1990942862">
      <w:bodyDiv w:val="1"/>
      <w:marLeft w:val="0"/>
      <w:marRight w:val="0"/>
      <w:marTop w:val="0"/>
      <w:marBottom w:val="0"/>
      <w:divBdr>
        <w:top w:val="none" w:sz="0" w:space="0" w:color="auto"/>
        <w:left w:val="none" w:sz="0" w:space="0" w:color="auto"/>
        <w:bottom w:val="none" w:sz="0" w:space="0" w:color="auto"/>
        <w:right w:val="none" w:sz="0" w:space="0" w:color="auto"/>
      </w:divBdr>
    </w:div>
    <w:div w:id="2005013408">
      <w:bodyDiv w:val="1"/>
      <w:marLeft w:val="0"/>
      <w:marRight w:val="0"/>
      <w:marTop w:val="0"/>
      <w:marBottom w:val="0"/>
      <w:divBdr>
        <w:top w:val="none" w:sz="0" w:space="0" w:color="auto"/>
        <w:left w:val="none" w:sz="0" w:space="0" w:color="auto"/>
        <w:bottom w:val="none" w:sz="0" w:space="0" w:color="auto"/>
        <w:right w:val="none" w:sz="0" w:space="0" w:color="auto"/>
      </w:divBdr>
    </w:div>
    <w:div w:id="2016229714">
      <w:bodyDiv w:val="1"/>
      <w:marLeft w:val="0"/>
      <w:marRight w:val="0"/>
      <w:marTop w:val="0"/>
      <w:marBottom w:val="0"/>
      <w:divBdr>
        <w:top w:val="none" w:sz="0" w:space="0" w:color="auto"/>
        <w:left w:val="none" w:sz="0" w:space="0" w:color="auto"/>
        <w:bottom w:val="none" w:sz="0" w:space="0" w:color="auto"/>
        <w:right w:val="none" w:sz="0" w:space="0" w:color="auto"/>
      </w:divBdr>
    </w:div>
    <w:div w:id="2016493517">
      <w:bodyDiv w:val="1"/>
      <w:marLeft w:val="0"/>
      <w:marRight w:val="0"/>
      <w:marTop w:val="0"/>
      <w:marBottom w:val="0"/>
      <w:divBdr>
        <w:top w:val="none" w:sz="0" w:space="0" w:color="auto"/>
        <w:left w:val="none" w:sz="0" w:space="0" w:color="auto"/>
        <w:bottom w:val="none" w:sz="0" w:space="0" w:color="auto"/>
        <w:right w:val="none" w:sz="0" w:space="0" w:color="auto"/>
      </w:divBdr>
    </w:div>
    <w:div w:id="2029867816">
      <w:bodyDiv w:val="1"/>
      <w:marLeft w:val="0"/>
      <w:marRight w:val="0"/>
      <w:marTop w:val="0"/>
      <w:marBottom w:val="0"/>
      <w:divBdr>
        <w:top w:val="none" w:sz="0" w:space="0" w:color="auto"/>
        <w:left w:val="none" w:sz="0" w:space="0" w:color="auto"/>
        <w:bottom w:val="none" w:sz="0" w:space="0" w:color="auto"/>
        <w:right w:val="none" w:sz="0" w:space="0" w:color="auto"/>
      </w:divBdr>
    </w:div>
    <w:div w:id="2058310873">
      <w:bodyDiv w:val="1"/>
      <w:marLeft w:val="0"/>
      <w:marRight w:val="0"/>
      <w:marTop w:val="0"/>
      <w:marBottom w:val="0"/>
      <w:divBdr>
        <w:top w:val="none" w:sz="0" w:space="0" w:color="auto"/>
        <w:left w:val="none" w:sz="0" w:space="0" w:color="auto"/>
        <w:bottom w:val="none" w:sz="0" w:space="0" w:color="auto"/>
        <w:right w:val="none" w:sz="0" w:space="0" w:color="auto"/>
      </w:divBdr>
    </w:div>
    <w:div w:id="2063599090">
      <w:bodyDiv w:val="1"/>
      <w:marLeft w:val="0"/>
      <w:marRight w:val="0"/>
      <w:marTop w:val="0"/>
      <w:marBottom w:val="0"/>
      <w:divBdr>
        <w:top w:val="none" w:sz="0" w:space="0" w:color="auto"/>
        <w:left w:val="none" w:sz="0" w:space="0" w:color="auto"/>
        <w:bottom w:val="none" w:sz="0" w:space="0" w:color="auto"/>
        <w:right w:val="none" w:sz="0" w:space="0" w:color="auto"/>
      </w:divBdr>
    </w:div>
    <w:div w:id="2063939410">
      <w:bodyDiv w:val="1"/>
      <w:marLeft w:val="0"/>
      <w:marRight w:val="0"/>
      <w:marTop w:val="0"/>
      <w:marBottom w:val="0"/>
      <w:divBdr>
        <w:top w:val="none" w:sz="0" w:space="0" w:color="auto"/>
        <w:left w:val="none" w:sz="0" w:space="0" w:color="auto"/>
        <w:bottom w:val="none" w:sz="0" w:space="0" w:color="auto"/>
        <w:right w:val="none" w:sz="0" w:space="0" w:color="auto"/>
      </w:divBdr>
    </w:div>
    <w:div w:id="2071271973">
      <w:bodyDiv w:val="1"/>
      <w:marLeft w:val="0"/>
      <w:marRight w:val="0"/>
      <w:marTop w:val="0"/>
      <w:marBottom w:val="0"/>
      <w:divBdr>
        <w:top w:val="none" w:sz="0" w:space="0" w:color="auto"/>
        <w:left w:val="none" w:sz="0" w:space="0" w:color="auto"/>
        <w:bottom w:val="none" w:sz="0" w:space="0" w:color="auto"/>
        <w:right w:val="none" w:sz="0" w:space="0" w:color="auto"/>
      </w:divBdr>
      <w:divsChild>
        <w:div w:id="1501038342">
          <w:marLeft w:val="0"/>
          <w:marRight w:val="0"/>
          <w:marTop w:val="0"/>
          <w:marBottom w:val="0"/>
          <w:divBdr>
            <w:top w:val="none" w:sz="0" w:space="0" w:color="auto"/>
            <w:left w:val="none" w:sz="0" w:space="0" w:color="auto"/>
            <w:bottom w:val="none" w:sz="0" w:space="0" w:color="auto"/>
            <w:right w:val="none" w:sz="0" w:space="0" w:color="auto"/>
          </w:divBdr>
          <w:divsChild>
            <w:div w:id="1023439232">
              <w:marLeft w:val="0"/>
              <w:marRight w:val="0"/>
              <w:marTop w:val="0"/>
              <w:marBottom w:val="0"/>
              <w:divBdr>
                <w:top w:val="none" w:sz="0" w:space="0" w:color="auto"/>
                <w:left w:val="none" w:sz="0" w:space="0" w:color="auto"/>
                <w:bottom w:val="none" w:sz="0" w:space="0" w:color="auto"/>
                <w:right w:val="none" w:sz="0" w:space="0" w:color="auto"/>
              </w:divBdr>
              <w:divsChild>
                <w:div w:id="17243360">
                  <w:marLeft w:val="0"/>
                  <w:marRight w:val="0"/>
                  <w:marTop w:val="0"/>
                  <w:marBottom w:val="0"/>
                  <w:divBdr>
                    <w:top w:val="none" w:sz="0" w:space="0" w:color="auto"/>
                    <w:left w:val="none" w:sz="0" w:space="0" w:color="auto"/>
                    <w:bottom w:val="none" w:sz="0" w:space="0" w:color="auto"/>
                    <w:right w:val="none" w:sz="0" w:space="0" w:color="auto"/>
                  </w:divBdr>
                  <w:divsChild>
                    <w:div w:id="2053456610">
                      <w:marLeft w:val="0"/>
                      <w:marRight w:val="0"/>
                      <w:marTop w:val="0"/>
                      <w:marBottom w:val="0"/>
                      <w:divBdr>
                        <w:top w:val="none" w:sz="0" w:space="0" w:color="auto"/>
                        <w:left w:val="none" w:sz="0" w:space="0" w:color="auto"/>
                        <w:bottom w:val="none" w:sz="0" w:space="0" w:color="auto"/>
                        <w:right w:val="none" w:sz="0" w:space="0" w:color="auto"/>
                      </w:divBdr>
                      <w:divsChild>
                        <w:div w:id="1256329490">
                          <w:marLeft w:val="0"/>
                          <w:marRight w:val="0"/>
                          <w:marTop w:val="0"/>
                          <w:marBottom w:val="0"/>
                          <w:divBdr>
                            <w:top w:val="none" w:sz="0" w:space="0" w:color="auto"/>
                            <w:left w:val="none" w:sz="0" w:space="0" w:color="auto"/>
                            <w:bottom w:val="none" w:sz="0" w:space="0" w:color="auto"/>
                            <w:right w:val="none" w:sz="0" w:space="0" w:color="auto"/>
                          </w:divBdr>
                          <w:divsChild>
                            <w:div w:id="93666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531345">
      <w:bodyDiv w:val="1"/>
      <w:marLeft w:val="0"/>
      <w:marRight w:val="0"/>
      <w:marTop w:val="0"/>
      <w:marBottom w:val="0"/>
      <w:divBdr>
        <w:top w:val="none" w:sz="0" w:space="0" w:color="auto"/>
        <w:left w:val="none" w:sz="0" w:space="0" w:color="auto"/>
        <w:bottom w:val="none" w:sz="0" w:space="0" w:color="auto"/>
        <w:right w:val="none" w:sz="0" w:space="0" w:color="auto"/>
      </w:divBdr>
    </w:div>
    <w:div w:id="2087871784">
      <w:bodyDiv w:val="1"/>
      <w:marLeft w:val="0"/>
      <w:marRight w:val="0"/>
      <w:marTop w:val="0"/>
      <w:marBottom w:val="0"/>
      <w:divBdr>
        <w:top w:val="none" w:sz="0" w:space="0" w:color="auto"/>
        <w:left w:val="none" w:sz="0" w:space="0" w:color="auto"/>
        <w:bottom w:val="none" w:sz="0" w:space="0" w:color="auto"/>
        <w:right w:val="none" w:sz="0" w:space="0" w:color="auto"/>
      </w:divBdr>
    </w:div>
    <w:div w:id="2090536317">
      <w:bodyDiv w:val="1"/>
      <w:marLeft w:val="0"/>
      <w:marRight w:val="0"/>
      <w:marTop w:val="0"/>
      <w:marBottom w:val="0"/>
      <w:divBdr>
        <w:top w:val="none" w:sz="0" w:space="0" w:color="auto"/>
        <w:left w:val="none" w:sz="0" w:space="0" w:color="auto"/>
        <w:bottom w:val="none" w:sz="0" w:space="0" w:color="auto"/>
        <w:right w:val="none" w:sz="0" w:space="0" w:color="auto"/>
      </w:divBdr>
    </w:div>
    <w:div w:id="2100979089">
      <w:bodyDiv w:val="1"/>
      <w:marLeft w:val="0"/>
      <w:marRight w:val="0"/>
      <w:marTop w:val="0"/>
      <w:marBottom w:val="0"/>
      <w:divBdr>
        <w:top w:val="none" w:sz="0" w:space="0" w:color="auto"/>
        <w:left w:val="none" w:sz="0" w:space="0" w:color="auto"/>
        <w:bottom w:val="none" w:sz="0" w:space="0" w:color="auto"/>
        <w:right w:val="none" w:sz="0" w:space="0" w:color="auto"/>
      </w:divBdr>
    </w:div>
    <w:div w:id="2109304007">
      <w:bodyDiv w:val="1"/>
      <w:marLeft w:val="0"/>
      <w:marRight w:val="0"/>
      <w:marTop w:val="0"/>
      <w:marBottom w:val="0"/>
      <w:divBdr>
        <w:top w:val="none" w:sz="0" w:space="0" w:color="auto"/>
        <w:left w:val="none" w:sz="0" w:space="0" w:color="auto"/>
        <w:bottom w:val="none" w:sz="0" w:space="0" w:color="auto"/>
        <w:right w:val="none" w:sz="0" w:space="0" w:color="auto"/>
      </w:divBdr>
    </w:div>
    <w:div w:id="2117169363">
      <w:bodyDiv w:val="1"/>
      <w:marLeft w:val="0"/>
      <w:marRight w:val="0"/>
      <w:marTop w:val="0"/>
      <w:marBottom w:val="0"/>
      <w:divBdr>
        <w:top w:val="none" w:sz="0" w:space="0" w:color="auto"/>
        <w:left w:val="none" w:sz="0" w:space="0" w:color="auto"/>
        <w:bottom w:val="none" w:sz="0" w:space="0" w:color="auto"/>
        <w:right w:val="none" w:sz="0" w:space="0" w:color="auto"/>
      </w:divBdr>
    </w:div>
    <w:div w:id="2118479694">
      <w:bodyDiv w:val="1"/>
      <w:marLeft w:val="0"/>
      <w:marRight w:val="0"/>
      <w:marTop w:val="0"/>
      <w:marBottom w:val="0"/>
      <w:divBdr>
        <w:top w:val="none" w:sz="0" w:space="0" w:color="auto"/>
        <w:left w:val="none" w:sz="0" w:space="0" w:color="auto"/>
        <w:bottom w:val="none" w:sz="0" w:space="0" w:color="auto"/>
        <w:right w:val="none" w:sz="0" w:space="0" w:color="auto"/>
      </w:divBdr>
    </w:div>
    <w:div w:id="2118792173">
      <w:bodyDiv w:val="1"/>
      <w:marLeft w:val="0"/>
      <w:marRight w:val="0"/>
      <w:marTop w:val="0"/>
      <w:marBottom w:val="0"/>
      <w:divBdr>
        <w:top w:val="none" w:sz="0" w:space="0" w:color="auto"/>
        <w:left w:val="none" w:sz="0" w:space="0" w:color="auto"/>
        <w:bottom w:val="none" w:sz="0" w:space="0" w:color="auto"/>
        <w:right w:val="none" w:sz="0" w:space="0" w:color="auto"/>
      </w:divBdr>
    </w:div>
    <w:div w:id="2124231267">
      <w:bodyDiv w:val="1"/>
      <w:marLeft w:val="0"/>
      <w:marRight w:val="0"/>
      <w:marTop w:val="0"/>
      <w:marBottom w:val="0"/>
      <w:divBdr>
        <w:top w:val="none" w:sz="0" w:space="0" w:color="auto"/>
        <w:left w:val="none" w:sz="0" w:space="0" w:color="auto"/>
        <w:bottom w:val="none" w:sz="0" w:space="0" w:color="auto"/>
        <w:right w:val="none" w:sz="0" w:space="0" w:color="auto"/>
      </w:divBdr>
    </w:div>
    <w:div w:id="2126922045">
      <w:bodyDiv w:val="1"/>
      <w:marLeft w:val="0"/>
      <w:marRight w:val="0"/>
      <w:marTop w:val="0"/>
      <w:marBottom w:val="0"/>
      <w:divBdr>
        <w:top w:val="none" w:sz="0" w:space="0" w:color="auto"/>
        <w:left w:val="none" w:sz="0" w:space="0" w:color="auto"/>
        <w:bottom w:val="none" w:sz="0" w:space="0" w:color="auto"/>
        <w:right w:val="none" w:sz="0" w:space="0" w:color="auto"/>
      </w:divBdr>
      <w:divsChild>
        <w:div w:id="789978224">
          <w:marLeft w:val="0"/>
          <w:marRight w:val="0"/>
          <w:marTop w:val="0"/>
          <w:marBottom w:val="0"/>
          <w:divBdr>
            <w:top w:val="none" w:sz="0" w:space="0" w:color="auto"/>
            <w:left w:val="none" w:sz="0" w:space="0" w:color="auto"/>
            <w:bottom w:val="none" w:sz="0" w:space="0" w:color="auto"/>
            <w:right w:val="none" w:sz="0" w:space="0" w:color="auto"/>
          </w:divBdr>
        </w:div>
      </w:divsChild>
    </w:div>
    <w:div w:id="2129349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chart" Target="charts/chart2.xml"/><Relationship Id="rId39" Type="http://schemas.openxmlformats.org/officeDocument/2006/relationships/hyperlink" Target="http://www.governanceinstitute.edu.au/magma/media/upload/publication/409_Accessible-version-Education-SES-Report-Final-11062018.pdf" TargetMode="External"/><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hyperlink" Target="http://www.governanceinstitute.edu.au/magma/media/upload/publication/409_Accessible-version-Education-SES-Report-Final-11062018.pdf" TargetMode="External"/><Relationship Id="rId42" Type="http://schemas.openxmlformats.org/officeDocument/2006/relationships/hyperlink" Target="http://www.governanceinstitute.edu.au/magma/media/upload/publication/409_Accessible-version-Education-SES-Report-Final-11062018.pdf" TargetMode="External"/><Relationship Id="rId47" Type="http://schemas.openxmlformats.org/officeDocument/2006/relationships/hyperlink" Target="http://www.governanceinstitute.edu.au/magma/media/upload/publication/409_Accessible-version-Education-SES-Report-Final-11062018.pdf" TargetMode="External"/><Relationship Id="rId50"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chart" Target="charts/chart1.xml"/><Relationship Id="rId33" Type="http://schemas.openxmlformats.org/officeDocument/2006/relationships/hyperlink" Target="http://www.governanceinstitute.edu.au/magma/media/upload/publication/409_Accessible-version-Education-SES-Report-Final-11062018.pdf" TargetMode="External"/><Relationship Id="rId38" Type="http://schemas.openxmlformats.org/officeDocument/2006/relationships/hyperlink" Target="http://www.governanceinstitute.edu.au/magma/media/upload/publication/409_Accessible-version-Education-SES-Report-Final-11062018.pdf" TargetMode="External"/><Relationship Id="rId46" Type="http://schemas.openxmlformats.org/officeDocument/2006/relationships/hyperlink" Target="http://www.governanceinstitute.edu.au/magma/media/upload/publication/409_Accessible-version-Education-SES-Report-Final-11062018.pdf"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http://www.governanceinstitute.edu.au/magma/media/upload/publication/409_Accessible-version-Education-SES-Report-Final-11062018.pdf" TargetMode="External"/><Relationship Id="rId41" Type="http://schemas.openxmlformats.org/officeDocument/2006/relationships/hyperlink" Target="http://www.governanceinstitute.edu.au/magma/media/upload/publication/409_Accessible-version-Education-SES-Report-Final-1106201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governanceinstitute.edu.au/magma/media/upload/publication/409_Accessible-version-Education-SES-Report-Final-11062018.pdf" TargetMode="External"/><Relationship Id="rId32" Type="http://schemas.openxmlformats.org/officeDocument/2006/relationships/hyperlink" Target="http://www.governanceinstitute.edu.au/magma/media/upload/publication/409_Accessible-version-Education-SES-Report-Final-11062018.pdf" TargetMode="External"/><Relationship Id="rId37" Type="http://schemas.openxmlformats.org/officeDocument/2006/relationships/hyperlink" Target="http://www.governanceinstitute.edu.au/magma/media/upload/publication/409_Accessible-version-Education-SES-Report-Final-11062018.pdf" TargetMode="External"/><Relationship Id="rId40" Type="http://schemas.openxmlformats.org/officeDocument/2006/relationships/hyperlink" Target="http://www.governanceinstitute.edu.au/magma/media/upload/publication/409_Accessible-version-Education-SES-Report-Final-11062018.pdf" TargetMode="External"/><Relationship Id="rId45" Type="http://schemas.openxmlformats.org/officeDocument/2006/relationships/hyperlink" Target="http://www.governanceinstitute.edu.au/magma/media/upload/publication/409_Accessible-version-Education-SES-Report-Final-11062018.pdf"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yperlink" Target="http://www.governanceinstitute.edu.au/magma/media/upload/publication/409_Accessible-version-Education-SES-Report-Final-11062018.pdf" TargetMode="External"/><Relationship Id="rId36" Type="http://schemas.openxmlformats.org/officeDocument/2006/relationships/hyperlink" Target="http://www.governanceinstitute.edu.au/magma/media/upload/publication/409_Accessible-version-Education-SES-Report-Final-11062018.pdf" TargetMode="External"/><Relationship Id="rId49" Type="http://schemas.openxmlformats.org/officeDocument/2006/relationships/hyperlink" Target="http://www.governanceinstitute.edu.au/magma/media/upload/publication/409_Accessible-version-Education-SES-Report-Final-11062018.pdf" TargetMode="Externa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yperlink" Target="http://www.governanceinstitute.edu.au/magma/media/upload/publication/409_Accessible-version-Education-SES-Report-Final-11062018.pdf" TargetMode="External"/><Relationship Id="rId44" Type="http://schemas.openxmlformats.org/officeDocument/2006/relationships/hyperlink" Target="http://www.governanceinstitute.edu.au/magma/media/upload/publication/409_Accessible-version-Education-SES-Report-Final-11062018.pdf"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governanceinstitute.edu.au/magma/media/upload/publication/409_Accessible-version-Education-SES-Report-Final-11062018.pdf" TargetMode="External"/><Relationship Id="rId14" Type="http://schemas.openxmlformats.org/officeDocument/2006/relationships/footer" Target="footer3.xml"/><Relationship Id="rId22" Type="http://schemas.openxmlformats.org/officeDocument/2006/relationships/image" Target="media/image7.emf"/><Relationship Id="rId27" Type="http://schemas.openxmlformats.org/officeDocument/2006/relationships/hyperlink" Target="http://www.governanceinstitute.edu.au/magma/media/upload/publication/409_Accessible-version-Education-SES-Report-Final-11062018.pdf" TargetMode="External"/><Relationship Id="rId30" Type="http://schemas.openxmlformats.org/officeDocument/2006/relationships/hyperlink" Target="http://www.governanceinstitute.edu.au/magma/media/upload/publication/409_Accessible-version-Education-SES-Report-Final-11062018.pdf" TargetMode="External"/><Relationship Id="rId35" Type="http://schemas.openxmlformats.org/officeDocument/2006/relationships/hyperlink" Target="http://www.governanceinstitute.edu.au/magma/media/upload/publication/409_Accessible-version-Education-SES-Report-Final-11062018.pdf" TargetMode="External"/><Relationship Id="rId43" Type="http://schemas.openxmlformats.org/officeDocument/2006/relationships/hyperlink" Target="http://www.governanceinstitute.edu.au/magma/media/upload/publication/409_Accessible-version-Education-SES-Report-Final-11062018.pdf" TargetMode="External"/><Relationship Id="rId48" Type="http://schemas.openxmlformats.org/officeDocument/2006/relationships/hyperlink" Target="http://www.governanceinstitute.edu.au/magma/media/upload/publication/409_Accessible-version-Education-SES-Report-Final-11062018.pdf" TargetMode="External"/><Relationship Id="rId8" Type="http://schemas.openxmlformats.org/officeDocument/2006/relationships/endnotes" Target="endnotes.xml"/><Relationship Id="rId51"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Lookup/6524.0.55.002Explanatory%20Notes12011-2015?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1"/>
            <c:trendlineLbl>
              <c:layout>
                <c:manualLayout>
                  <c:x val="4.2027996500437446E-2"/>
                  <c:y val="-8.627916302128900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strRef>
              <c:f>Sheet1!$A$2:$A$6</c:f>
              <c:strCache>
                <c:ptCount val="5"/>
                <c:pt idx="0">
                  <c:v>2005/6</c:v>
                </c:pt>
                <c:pt idx="1">
                  <c:v>2006/7</c:v>
                </c:pt>
                <c:pt idx="2">
                  <c:v>2007/8</c:v>
                </c:pt>
                <c:pt idx="3">
                  <c:v>2008/9</c:v>
                </c:pt>
                <c:pt idx="4">
                  <c:v>2009/10</c:v>
                </c:pt>
              </c:strCache>
            </c:strRef>
          </c:cat>
          <c:val>
            <c:numRef>
              <c:f>Sheet1!$B$2:$B$6</c:f>
              <c:numCache>
                <c:formatCode>General</c:formatCode>
                <c:ptCount val="5"/>
                <c:pt idx="0">
                  <c:v>60000</c:v>
                </c:pt>
                <c:pt idx="1">
                  <c:v>61000</c:v>
                </c:pt>
                <c:pt idx="2">
                  <c:v>60500</c:v>
                </c:pt>
                <c:pt idx="3">
                  <c:v>60700</c:v>
                </c:pt>
                <c:pt idx="4">
                  <c:v>60400</c:v>
                </c:pt>
              </c:numCache>
            </c:numRef>
          </c:val>
          <c:smooth val="0"/>
          <c:extLst>
            <c:ext xmlns:c16="http://schemas.microsoft.com/office/drawing/2014/chart" uri="{C3380CC4-5D6E-409C-BE32-E72D297353CC}">
              <c16:uniqueId val="{00000001-DB75-4AB7-BE49-49C89549B23E}"/>
            </c:ext>
          </c:extLst>
        </c:ser>
        <c:dLbls>
          <c:showLegendKey val="0"/>
          <c:showVal val="0"/>
          <c:showCatName val="0"/>
          <c:showSerName val="0"/>
          <c:showPercent val="0"/>
          <c:showBubbleSize val="0"/>
        </c:dLbls>
        <c:smooth val="0"/>
        <c:axId val="291482800"/>
        <c:axId val="291480832"/>
      </c:lineChart>
      <c:catAx>
        <c:axId val="29148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480832"/>
        <c:crosses val="autoZero"/>
        <c:auto val="1"/>
        <c:lblAlgn val="ctr"/>
        <c:lblOffset val="100"/>
        <c:noMultiLvlLbl val="0"/>
      </c:catAx>
      <c:valAx>
        <c:axId val="291480832"/>
        <c:scaling>
          <c:orientation val="minMax"/>
          <c:max val="62000"/>
          <c:min val="59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482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1"/>
            <c:trendlineLbl>
              <c:layout>
                <c:manualLayout>
                  <c:x val="2.1027996500437445E-2"/>
                  <c:y val="-0.1070268299795858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strRef>
              <c:f>Sheet1!$A$17:$A$21</c:f>
              <c:strCache>
                <c:ptCount val="5"/>
                <c:pt idx="0">
                  <c:v>2005/6</c:v>
                </c:pt>
                <c:pt idx="1">
                  <c:v>2006/7</c:v>
                </c:pt>
                <c:pt idx="2">
                  <c:v>2007/8</c:v>
                </c:pt>
                <c:pt idx="3">
                  <c:v>2008/9</c:v>
                </c:pt>
                <c:pt idx="4">
                  <c:v>2009/10</c:v>
                </c:pt>
              </c:strCache>
            </c:strRef>
          </c:cat>
          <c:val>
            <c:numRef>
              <c:f>Sheet1!$B$17:$B$21</c:f>
              <c:numCache>
                <c:formatCode>General</c:formatCode>
                <c:ptCount val="5"/>
                <c:pt idx="0">
                  <c:v>60000</c:v>
                </c:pt>
                <c:pt idx="1">
                  <c:v>60000</c:v>
                </c:pt>
                <c:pt idx="2">
                  <c:v>60050</c:v>
                </c:pt>
                <c:pt idx="3">
                  <c:v>60020</c:v>
                </c:pt>
                <c:pt idx="4">
                  <c:v>60000</c:v>
                </c:pt>
              </c:numCache>
            </c:numRef>
          </c:val>
          <c:smooth val="0"/>
          <c:extLst>
            <c:ext xmlns:c16="http://schemas.microsoft.com/office/drawing/2014/chart" uri="{C3380CC4-5D6E-409C-BE32-E72D297353CC}">
              <c16:uniqueId val="{00000001-0D99-4C8D-BCA2-8EF3E76BC5CA}"/>
            </c:ext>
          </c:extLst>
        </c:ser>
        <c:dLbls>
          <c:showLegendKey val="0"/>
          <c:showVal val="0"/>
          <c:showCatName val="0"/>
          <c:showSerName val="0"/>
          <c:showPercent val="0"/>
          <c:showBubbleSize val="0"/>
        </c:dLbls>
        <c:smooth val="0"/>
        <c:axId val="426904872"/>
        <c:axId val="426861384"/>
      </c:lineChart>
      <c:catAx>
        <c:axId val="426904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861384"/>
        <c:crosses val="autoZero"/>
        <c:auto val="1"/>
        <c:lblAlgn val="ctr"/>
        <c:lblOffset val="100"/>
        <c:noMultiLvlLbl val="0"/>
      </c:catAx>
      <c:valAx>
        <c:axId val="426861384"/>
        <c:scaling>
          <c:orientation val="minMax"/>
          <c:max val="62000"/>
          <c:min val="59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904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86FE66-E32C-462C-A27B-639CC13BC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2EFB91BF.dotm</Template>
  <TotalTime>1</TotalTime>
  <Pages>28</Pages>
  <Words>9138</Words>
  <Characters>52091</Characters>
  <Application>Microsoft Office Word</Application>
  <DocSecurity>4</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OMG</Company>
  <LinksUpToDate>false</LinksUpToDate>
  <CharactersWithSpaces>61107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Jinjing Li</dc:creator>
  <cp:lastModifiedBy>HODGSON,Philip</cp:lastModifiedBy>
  <cp:revision>2</cp:revision>
  <cp:lastPrinted>2018-05-24T06:06:00Z</cp:lastPrinted>
  <dcterms:created xsi:type="dcterms:W3CDTF">2018-07-13T00:56:00Z</dcterms:created>
  <dcterms:modified xsi:type="dcterms:W3CDTF">2018-07-13T00:56:00Z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23e4c893-3a3a-3164-b060-aecaee2baf26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http://www.zotero.org/styles/emerald-harvard</vt:lpwstr>
  </property>
  <property fmtid="{D5CDD505-2E9C-101B-9397-08002B2CF9AE}" pid="12" name="Mendeley Recent Style Name 3_1">
    <vt:lpwstr>Emerald journals (Harvard)</vt:lpwstr>
  </property>
  <property fmtid="{D5CDD505-2E9C-101B-9397-08002B2CF9AE}" pid="13" name="Mendeley Recent Style Id 4_1">
    <vt:lpwstr>http://www.zotero.org/styles/harvard-cite-them-right</vt:lpwstr>
  </property>
  <property fmtid="{D5CDD505-2E9C-101B-9397-08002B2CF9AE}" pid="14" name="Mendeley Recent Style Name 4_1">
    <vt:lpwstr>Harvard - Cite Them Right 9th edition</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http://www.zotero.org/styles/springer-socpsych-author-date</vt:lpwstr>
  </property>
  <property fmtid="{D5CDD505-2E9C-101B-9397-08002B2CF9AE}" pid="24" name="Mendeley Recent Style Name 9_1">
    <vt:lpwstr>Springer SocPsych (author-date)</vt:lpwstr>
  </property>
</Properties>
</file>