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AEB948" w14:textId="77777777" w:rsidR="00316F7E" w:rsidRPr="00316F7E" w:rsidRDefault="00316F7E" w:rsidP="00316F7E">
      <w:pPr>
        <w:spacing w:before="3480"/>
        <w:jc w:val="center"/>
        <w:rPr>
          <w:sz w:val="52"/>
        </w:rPr>
      </w:pPr>
      <w:bookmarkStart w:id="0" w:name="_GoBack"/>
      <w:bookmarkEnd w:id="0"/>
      <w:r w:rsidRPr="00316F7E">
        <w:rPr>
          <w:sz w:val="52"/>
        </w:rPr>
        <w:t>INDEPENDENT REVIEW INTO REGIONAL, RURAL AND REMOTE EDUCATION</w:t>
      </w:r>
    </w:p>
    <w:p w14:paraId="2F06B721" w14:textId="77777777" w:rsidR="00316F7E" w:rsidRPr="00316F7E" w:rsidRDefault="00316F7E" w:rsidP="00316F7E">
      <w:pPr>
        <w:tabs>
          <w:tab w:val="center" w:pos="4513"/>
          <w:tab w:val="left" w:pos="7518"/>
        </w:tabs>
        <w:spacing w:before="1080"/>
        <w:rPr>
          <w:sz w:val="32"/>
          <w:szCs w:val="32"/>
        </w:rPr>
      </w:pPr>
      <w:r w:rsidRPr="00316F7E">
        <w:rPr>
          <w:sz w:val="32"/>
          <w:szCs w:val="32"/>
        </w:rPr>
        <w:tab/>
        <w:t>Australian Government Response</w:t>
      </w:r>
    </w:p>
    <w:p w14:paraId="2FAC3AC4" w14:textId="77777777" w:rsidR="00316F7E" w:rsidRPr="00316F7E" w:rsidRDefault="00316F7E" w:rsidP="00316F7E">
      <w:pPr>
        <w:rPr>
          <w:sz w:val="32"/>
          <w:szCs w:val="32"/>
        </w:rPr>
      </w:pPr>
      <w:r w:rsidRPr="00316F7E">
        <w:rPr>
          <w:sz w:val="32"/>
          <w:szCs w:val="32"/>
        </w:rPr>
        <w:br w:type="page"/>
      </w:r>
    </w:p>
    <w:sdt>
      <w:sdtPr>
        <w:id w:val="49509644"/>
        <w:docPartObj>
          <w:docPartGallery w:val="Table of Contents"/>
          <w:docPartUnique/>
        </w:docPartObj>
      </w:sdtPr>
      <w:sdtEndPr>
        <w:rPr>
          <w:b/>
          <w:bCs/>
        </w:rPr>
      </w:sdtEndPr>
      <w:sdtContent>
        <w:p w14:paraId="7D573981" w14:textId="77777777" w:rsidR="00316F7E" w:rsidRPr="00316F7E" w:rsidRDefault="00316F7E" w:rsidP="00316F7E">
          <w:pPr>
            <w:spacing w:before="360"/>
          </w:pPr>
        </w:p>
        <w:p w14:paraId="164614EF" w14:textId="77777777" w:rsidR="00316F7E" w:rsidRPr="00316F7E" w:rsidRDefault="00316F7E" w:rsidP="00316F7E">
          <w:pPr>
            <w:spacing w:before="360"/>
            <w:rPr>
              <w:b/>
            </w:rPr>
          </w:pPr>
          <w:r w:rsidRPr="00316F7E">
            <w:rPr>
              <w:b/>
            </w:rPr>
            <w:t>Contents</w:t>
          </w:r>
        </w:p>
        <w:p w14:paraId="199DCD19" w14:textId="77777777" w:rsidR="00316F7E" w:rsidRPr="00316F7E" w:rsidRDefault="00316F7E" w:rsidP="00316F7E">
          <w:pPr>
            <w:tabs>
              <w:tab w:val="right" w:leader="dot" w:pos="9323"/>
            </w:tabs>
            <w:spacing w:after="100"/>
            <w:rPr>
              <w:rFonts w:eastAsiaTheme="minorEastAsia"/>
              <w:noProof/>
              <w:lang w:eastAsia="en-AU"/>
            </w:rPr>
          </w:pPr>
          <w:r w:rsidRPr="00316F7E">
            <w:fldChar w:fldCharType="begin"/>
          </w:r>
          <w:r w:rsidRPr="00316F7E">
            <w:instrText xml:space="preserve"> TOC \o "1-3" \h \z \u </w:instrText>
          </w:r>
          <w:r w:rsidRPr="00316F7E">
            <w:fldChar w:fldCharType="separate"/>
          </w:r>
          <w:hyperlink w:anchor="_Toc515373074" w:history="1">
            <w:r w:rsidRPr="001508C6">
              <w:rPr>
                <w:noProof/>
              </w:rPr>
              <w:t>The importance and challenges of regional, rural and remote education</w:t>
            </w:r>
            <w:r w:rsidRPr="00316F7E">
              <w:rPr>
                <w:noProof/>
                <w:webHidden/>
              </w:rPr>
              <w:tab/>
            </w:r>
            <w:r w:rsidRPr="00316F7E">
              <w:rPr>
                <w:noProof/>
                <w:webHidden/>
              </w:rPr>
              <w:fldChar w:fldCharType="begin"/>
            </w:r>
            <w:r w:rsidRPr="00316F7E">
              <w:rPr>
                <w:noProof/>
                <w:webHidden/>
              </w:rPr>
              <w:instrText xml:space="preserve"> PAGEREF _Toc515373074 \h </w:instrText>
            </w:r>
            <w:r w:rsidRPr="00316F7E">
              <w:rPr>
                <w:noProof/>
                <w:webHidden/>
              </w:rPr>
            </w:r>
            <w:r w:rsidRPr="00316F7E">
              <w:rPr>
                <w:noProof/>
                <w:webHidden/>
              </w:rPr>
              <w:fldChar w:fldCharType="separate"/>
            </w:r>
            <w:r w:rsidRPr="00316F7E">
              <w:rPr>
                <w:noProof/>
                <w:webHidden/>
              </w:rPr>
              <w:t>3</w:t>
            </w:r>
            <w:r w:rsidRPr="00316F7E">
              <w:rPr>
                <w:noProof/>
                <w:webHidden/>
              </w:rPr>
              <w:fldChar w:fldCharType="end"/>
            </w:r>
          </w:hyperlink>
        </w:p>
        <w:p w14:paraId="55D1FB5E" w14:textId="77777777" w:rsidR="00316F7E" w:rsidRPr="00316F7E" w:rsidRDefault="007D7ED3" w:rsidP="00316F7E">
          <w:pPr>
            <w:tabs>
              <w:tab w:val="right" w:leader="dot" w:pos="9323"/>
            </w:tabs>
            <w:spacing w:after="100"/>
            <w:rPr>
              <w:rFonts w:eastAsiaTheme="minorEastAsia"/>
              <w:noProof/>
              <w:lang w:eastAsia="en-AU"/>
            </w:rPr>
          </w:pPr>
          <w:hyperlink w:anchor="_Toc515373075" w:history="1">
            <w:r w:rsidR="00316F7E" w:rsidRPr="001508C6">
              <w:rPr>
                <w:noProof/>
              </w:rPr>
              <w:t xml:space="preserve">The Australian Government’s </w:t>
            </w:r>
            <w:r w:rsidR="00316F7E" w:rsidRPr="001508C6">
              <w:rPr>
                <w:i/>
                <w:noProof/>
              </w:rPr>
              <w:t>Independent Review into Regional, Rural and Remote Education</w:t>
            </w:r>
            <w:r w:rsidR="00316F7E" w:rsidRPr="00316F7E">
              <w:rPr>
                <w:noProof/>
                <w:webHidden/>
              </w:rPr>
              <w:tab/>
            </w:r>
            <w:r w:rsidR="00316F7E" w:rsidRPr="00316F7E">
              <w:rPr>
                <w:noProof/>
                <w:webHidden/>
              </w:rPr>
              <w:fldChar w:fldCharType="begin"/>
            </w:r>
            <w:r w:rsidR="00316F7E" w:rsidRPr="00316F7E">
              <w:rPr>
                <w:noProof/>
                <w:webHidden/>
              </w:rPr>
              <w:instrText xml:space="preserve"> PAGEREF _Toc515373075 \h </w:instrText>
            </w:r>
            <w:r w:rsidR="00316F7E" w:rsidRPr="00316F7E">
              <w:rPr>
                <w:noProof/>
                <w:webHidden/>
              </w:rPr>
            </w:r>
            <w:r w:rsidR="00316F7E" w:rsidRPr="00316F7E">
              <w:rPr>
                <w:noProof/>
                <w:webHidden/>
              </w:rPr>
              <w:fldChar w:fldCharType="separate"/>
            </w:r>
            <w:r w:rsidR="00316F7E" w:rsidRPr="00316F7E">
              <w:rPr>
                <w:noProof/>
                <w:webHidden/>
              </w:rPr>
              <w:t>4</w:t>
            </w:r>
            <w:r w:rsidR="00316F7E" w:rsidRPr="00316F7E">
              <w:rPr>
                <w:noProof/>
                <w:webHidden/>
              </w:rPr>
              <w:fldChar w:fldCharType="end"/>
            </w:r>
          </w:hyperlink>
        </w:p>
        <w:p w14:paraId="73A52355" w14:textId="77777777" w:rsidR="00316F7E" w:rsidRPr="00316F7E" w:rsidRDefault="007D7ED3" w:rsidP="00316F7E">
          <w:pPr>
            <w:tabs>
              <w:tab w:val="right" w:leader="dot" w:pos="9323"/>
            </w:tabs>
            <w:spacing w:after="100"/>
            <w:rPr>
              <w:rFonts w:eastAsiaTheme="minorEastAsia"/>
              <w:noProof/>
              <w:lang w:eastAsia="en-AU"/>
            </w:rPr>
          </w:pPr>
          <w:hyperlink w:anchor="_Toc515373076" w:history="1">
            <w:r w:rsidR="00316F7E" w:rsidRPr="001508C6">
              <w:rPr>
                <w:noProof/>
              </w:rPr>
              <w:t>The Government’s Response to the IRRRRE Final Report</w:t>
            </w:r>
            <w:r w:rsidR="00316F7E" w:rsidRPr="00316F7E">
              <w:rPr>
                <w:noProof/>
                <w:webHidden/>
              </w:rPr>
              <w:tab/>
            </w:r>
            <w:r w:rsidR="00316F7E" w:rsidRPr="00316F7E">
              <w:rPr>
                <w:noProof/>
                <w:webHidden/>
              </w:rPr>
              <w:fldChar w:fldCharType="begin"/>
            </w:r>
            <w:r w:rsidR="00316F7E" w:rsidRPr="00316F7E">
              <w:rPr>
                <w:noProof/>
                <w:webHidden/>
              </w:rPr>
              <w:instrText xml:space="preserve"> PAGEREF _Toc515373076 \h </w:instrText>
            </w:r>
            <w:r w:rsidR="00316F7E" w:rsidRPr="00316F7E">
              <w:rPr>
                <w:noProof/>
                <w:webHidden/>
              </w:rPr>
            </w:r>
            <w:r w:rsidR="00316F7E" w:rsidRPr="00316F7E">
              <w:rPr>
                <w:noProof/>
                <w:webHidden/>
              </w:rPr>
              <w:fldChar w:fldCharType="separate"/>
            </w:r>
            <w:r w:rsidR="00316F7E" w:rsidRPr="00316F7E">
              <w:rPr>
                <w:noProof/>
                <w:webHidden/>
              </w:rPr>
              <w:t>6</w:t>
            </w:r>
            <w:r w:rsidR="00316F7E" w:rsidRPr="00316F7E">
              <w:rPr>
                <w:noProof/>
                <w:webHidden/>
              </w:rPr>
              <w:fldChar w:fldCharType="end"/>
            </w:r>
          </w:hyperlink>
        </w:p>
        <w:p w14:paraId="21495A15" w14:textId="77777777" w:rsidR="00316F7E" w:rsidRPr="00316F7E" w:rsidRDefault="007D7ED3" w:rsidP="00316F7E">
          <w:pPr>
            <w:tabs>
              <w:tab w:val="right" w:leader="dot" w:pos="9323"/>
            </w:tabs>
            <w:spacing w:after="100"/>
            <w:rPr>
              <w:rFonts w:eastAsiaTheme="minorEastAsia"/>
              <w:noProof/>
              <w:lang w:eastAsia="en-AU"/>
            </w:rPr>
          </w:pPr>
          <w:hyperlink w:anchor="_Toc515373077" w:history="1">
            <w:r w:rsidR="00316F7E" w:rsidRPr="001508C6">
              <w:rPr>
                <w:noProof/>
              </w:rPr>
              <w:t>Establishing a national focus for regional, rural and remote education – Recommendation 11</w:t>
            </w:r>
            <w:r w:rsidR="00316F7E" w:rsidRPr="00316F7E">
              <w:rPr>
                <w:noProof/>
                <w:webHidden/>
              </w:rPr>
              <w:tab/>
            </w:r>
            <w:r w:rsidR="00316F7E" w:rsidRPr="00316F7E">
              <w:rPr>
                <w:noProof/>
                <w:webHidden/>
              </w:rPr>
              <w:fldChar w:fldCharType="begin"/>
            </w:r>
            <w:r w:rsidR="00316F7E" w:rsidRPr="00316F7E">
              <w:rPr>
                <w:noProof/>
                <w:webHidden/>
              </w:rPr>
              <w:instrText xml:space="preserve"> PAGEREF _Toc515373077 \h </w:instrText>
            </w:r>
            <w:r w:rsidR="00316F7E" w:rsidRPr="00316F7E">
              <w:rPr>
                <w:noProof/>
                <w:webHidden/>
              </w:rPr>
            </w:r>
            <w:r w:rsidR="00316F7E" w:rsidRPr="00316F7E">
              <w:rPr>
                <w:noProof/>
                <w:webHidden/>
              </w:rPr>
              <w:fldChar w:fldCharType="separate"/>
            </w:r>
            <w:r w:rsidR="00316F7E" w:rsidRPr="00316F7E">
              <w:rPr>
                <w:noProof/>
                <w:webHidden/>
              </w:rPr>
              <w:t>7</w:t>
            </w:r>
            <w:r w:rsidR="00316F7E" w:rsidRPr="00316F7E">
              <w:rPr>
                <w:noProof/>
                <w:webHidden/>
              </w:rPr>
              <w:fldChar w:fldCharType="end"/>
            </w:r>
          </w:hyperlink>
        </w:p>
        <w:p w14:paraId="1611A82E" w14:textId="77777777" w:rsidR="00316F7E" w:rsidRPr="00316F7E" w:rsidRDefault="007D7ED3" w:rsidP="00316F7E">
          <w:pPr>
            <w:tabs>
              <w:tab w:val="right" w:leader="dot" w:pos="9323"/>
            </w:tabs>
            <w:spacing w:after="100"/>
            <w:rPr>
              <w:rFonts w:eastAsiaTheme="minorEastAsia"/>
              <w:noProof/>
              <w:lang w:eastAsia="en-AU"/>
            </w:rPr>
          </w:pPr>
          <w:hyperlink w:anchor="_Toc515373078" w:history="1">
            <w:r w:rsidR="00316F7E" w:rsidRPr="001508C6">
              <w:rPr>
                <w:noProof/>
              </w:rPr>
              <w:t>Enhancing leadership, teaching, curriculum and assessment – Recommendations 1, 2, 3 and 8</w:t>
            </w:r>
            <w:r w:rsidR="00316F7E" w:rsidRPr="00316F7E">
              <w:rPr>
                <w:noProof/>
                <w:webHidden/>
              </w:rPr>
              <w:tab/>
            </w:r>
            <w:r w:rsidR="00316F7E" w:rsidRPr="00316F7E">
              <w:rPr>
                <w:noProof/>
                <w:webHidden/>
              </w:rPr>
              <w:fldChar w:fldCharType="begin"/>
            </w:r>
            <w:r w:rsidR="00316F7E" w:rsidRPr="00316F7E">
              <w:rPr>
                <w:noProof/>
                <w:webHidden/>
              </w:rPr>
              <w:instrText xml:space="preserve"> PAGEREF _Toc515373078 \h </w:instrText>
            </w:r>
            <w:r w:rsidR="00316F7E" w:rsidRPr="00316F7E">
              <w:rPr>
                <w:noProof/>
                <w:webHidden/>
              </w:rPr>
            </w:r>
            <w:r w:rsidR="00316F7E" w:rsidRPr="00316F7E">
              <w:rPr>
                <w:noProof/>
                <w:webHidden/>
              </w:rPr>
              <w:fldChar w:fldCharType="separate"/>
            </w:r>
            <w:r w:rsidR="00316F7E" w:rsidRPr="00316F7E">
              <w:rPr>
                <w:noProof/>
                <w:webHidden/>
              </w:rPr>
              <w:t>8</w:t>
            </w:r>
            <w:r w:rsidR="00316F7E" w:rsidRPr="00316F7E">
              <w:rPr>
                <w:noProof/>
                <w:webHidden/>
              </w:rPr>
              <w:fldChar w:fldCharType="end"/>
            </w:r>
          </w:hyperlink>
        </w:p>
        <w:p w14:paraId="3E6DAA4D" w14:textId="77777777" w:rsidR="00316F7E" w:rsidRPr="00316F7E" w:rsidRDefault="007D7ED3" w:rsidP="00316F7E">
          <w:pPr>
            <w:tabs>
              <w:tab w:val="right" w:leader="dot" w:pos="9323"/>
            </w:tabs>
            <w:spacing w:after="100"/>
            <w:rPr>
              <w:rFonts w:eastAsiaTheme="minorEastAsia"/>
              <w:noProof/>
              <w:lang w:eastAsia="en-AU"/>
            </w:rPr>
          </w:pPr>
          <w:hyperlink w:anchor="_Toc515373079" w:history="1">
            <w:r w:rsidR="00316F7E" w:rsidRPr="001508C6">
              <w:rPr>
                <w:noProof/>
              </w:rPr>
              <w:t>Improving information and communications technology (ICT) – Recommendations 9 and 10</w:t>
            </w:r>
            <w:r w:rsidR="00316F7E" w:rsidRPr="00316F7E">
              <w:rPr>
                <w:noProof/>
                <w:webHidden/>
              </w:rPr>
              <w:tab/>
            </w:r>
            <w:r w:rsidR="00316F7E" w:rsidRPr="00316F7E">
              <w:rPr>
                <w:noProof/>
                <w:webHidden/>
              </w:rPr>
              <w:fldChar w:fldCharType="begin"/>
            </w:r>
            <w:r w:rsidR="00316F7E" w:rsidRPr="00316F7E">
              <w:rPr>
                <w:noProof/>
                <w:webHidden/>
              </w:rPr>
              <w:instrText xml:space="preserve"> PAGEREF _Toc515373079 \h </w:instrText>
            </w:r>
            <w:r w:rsidR="00316F7E" w:rsidRPr="00316F7E">
              <w:rPr>
                <w:noProof/>
                <w:webHidden/>
              </w:rPr>
            </w:r>
            <w:r w:rsidR="00316F7E" w:rsidRPr="00316F7E">
              <w:rPr>
                <w:noProof/>
                <w:webHidden/>
              </w:rPr>
              <w:fldChar w:fldCharType="separate"/>
            </w:r>
            <w:r w:rsidR="00316F7E" w:rsidRPr="00316F7E">
              <w:rPr>
                <w:noProof/>
                <w:webHidden/>
              </w:rPr>
              <w:t>10</w:t>
            </w:r>
            <w:r w:rsidR="00316F7E" w:rsidRPr="00316F7E">
              <w:rPr>
                <w:noProof/>
                <w:webHidden/>
              </w:rPr>
              <w:fldChar w:fldCharType="end"/>
            </w:r>
          </w:hyperlink>
        </w:p>
        <w:p w14:paraId="102B31A7" w14:textId="77777777" w:rsidR="00316F7E" w:rsidRPr="00316F7E" w:rsidRDefault="007D7ED3" w:rsidP="00316F7E">
          <w:pPr>
            <w:tabs>
              <w:tab w:val="right" w:leader="dot" w:pos="9323"/>
            </w:tabs>
            <w:spacing w:after="100"/>
            <w:rPr>
              <w:rFonts w:eastAsiaTheme="minorEastAsia"/>
              <w:noProof/>
              <w:lang w:eastAsia="en-AU"/>
            </w:rPr>
          </w:pPr>
          <w:hyperlink w:anchor="_Toc515373080" w:history="1">
            <w:r w:rsidR="00316F7E" w:rsidRPr="001508C6">
              <w:rPr>
                <w:noProof/>
              </w:rPr>
              <w:t>Enhancing transitions into and out of school – Recommendations 4, 5, 6 and 7</w:t>
            </w:r>
            <w:r w:rsidR="00316F7E" w:rsidRPr="00316F7E">
              <w:rPr>
                <w:noProof/>
                <w:webHidden/>
              </w:rPr>
              <w:tab/>
            </w:r>
            <w:r w:rsidR="00316F7E" w:rsidRPr="00316F7E">
              <w:rPr>
                <w:noProof/>
                <w:webHidden/>
              </w:rPr>
              <w:fldChar w:fldCharType="begin"/>
            </w:r>
            <w:r w:rsidR="00316F7E" w:rsidRPr="00316F7E">
              <w:rPr>
                <w:noProof/>
                <w:webHidden/>
              </w:rPr>
              <w:instrText xml:space="preserve"> PAGEREF _Toc515373080 \h </w:instrText>
            </w:r>
            <w:r w:rsidR="00316F7E" w:rsidRPr="00316F7E">
              <w:rPr>
                <w:noProof/>
                <w:webHidden/>
              </w:rPr>
            </w:r>
            <w:r w:rsidR="00316F7E" w:rsidRPr="00316F7E">
              <w:rPr>
                <w:noProof/>
                <w:webHidden/>
              </w:rPr>
              <w:fldChar w:fldCharType="separate"/>
            </w:r>
            <w:r w:rsidR="00316F7E" w:rsidRPr="00316F7E">
              <w:rPr>
                <w:noProof/>
                <w:webHidden/>
              </w:rPr>
              <w:t>11</w:t>
            </w:r>
            <w:r w:rsidR="00316F7E" w:rsidRPr="00316F7E">
              <w:rPr>
                <w:noProof/>
                <w:webHidden/>
              </w:rPr>
              <w:fldChar w:fldCharType="end"/>
            </w:r>
          </w:hyperlink>
        </w:p>
        <w:p w14:paraId="641C99CD" w14:textId="77777777" w:rsidR="00316F7E" w:rsidRPr="00316F7E" w:rsidRDefault="007D7ED3" w:rsidP="00316F7E">
          <w:pPr>
            <w:tabs>
              <w:tab w:val="right" w:leader="dot" w:pos="9323"/>
            </w:tabs>
            <w:spacing w:after="100"/>
            <w:rPr>
              <w:rFonts w:eastAsiaTheme="minorEastAsia"/>
              <w:noProof/>
              <w:lang w:eastAsia="en-AU"/>
            </w:rPr>
          </w:pPr>
          <w:hyperlink w:anchor="_Toc515373081" w:history="1">
            <w:r w:rsidR="00316F7E" w:rsidRPr="001508C6">
              <w:rPr>
                <w:noProof/>
              </w:rPr>
              <w:t>Next Steps</w:t>
            </w:r>
            <w:r w:rsidR="00316F7E" w:rsidRPr="00316F7E">
              <w:rPr>
                <w:noProof/>
                <w:webHidden/>
              </w:rPr>
              <w:tab/>
            </w:r>
            <w:r w:rsidR="00316F7E" w:rsidRPr="00316F7E">
              <w:rPr>
                <w:noProof/>
                <w:webHidden/>
              </w:rPr>
              <w:fldChar w:fldCharType="begin"/>
            </w:r>
            <w:r w:rsidR="00316F7E" w:rsidRPr="00316F7E">
              <w:rPr>
                <w:noProof/>
                <w:webHidden/>
              </w:rPr>
              <w:instrText xml:space="preserve"> PAGEREF _Toc515373081 \h </w:instrText>
            </w:r>
            <w:r w:rsidR="00316F7E" w:rsidRPr="00316F7E">
              <w:rPr>
                <w:noProof/>
                <w:webHidden/>
              </w:rPr>
            </w:r>
            <w:r w:rsidR="00316F7E" w:rsidRPr="00316F7E">
              <w:rPr>
                <w:noProof/>
                <w:webHidden/>
              </w:rPr>
              <w:fldChar w:fldCharType="separate"/>
            </w:r>
            <w:r w:rsidR="00316F7E" w:rsidRPr="00316F7E">
              <w:rPr>
                <w:noProof/>
                <w:webHidden/>
              </w:rPr>
              <w:t>14</w:t>
            </w:r>
            <w:r w:rsidR="00316F7E" w:rsidRPr="00316F7E">
              <w:rPr>
                <w:noProof/>
                <w:webHidden/>
              </w:rPr>
              <w:fldChar w:fldCharType="end"/>
            </w:r>
          </w:hyperlink>
        </w:p>
        <w:p w14:paraId="384527E9" w14:textId="77777777" w:rsidR="00316F7E" w:rsidRPr="00316F7E" w:rsidRDefault="00316F7E" w:rsidP="00316F7E">
          <w:r w:rsidRPr="00316F7E">
            <w:rPr>
              <w:b/>
              <w:bCs/>
            </w:rPr>
            <w:fldChar w:fldCharType="end"/>
          </w:r>
        </w:p>
      </w:sdtContent>
    </w:sdt>
    <w:p w14:paraId="5018F8B3" w14:textId="77777777" w:rsidR="00316F7E" w:rsidRPr="00316F7E" w:rsidRDefault="00316F7E" w:rsidP="00316F7E">
      <w:r w:rsidRPr="00316F7E">
        <w:br w:type="page"/>
      </w:r>
    </w:p>
    <w:p w14:paraId="6909C9CF" w14:textId="77777777" w:rsidR="00316F7E" w:rsidRPr="0023708F" w:rsidRDefault="00316F7E" w:rsidP="0023708F">
      <w:pPr>
        <w:pStyle w:val="Heading1"/>
      </w:pPr>
      <w:bookmarkStart w:id="1" w:name="_Toc515373074"/>
      <w:r w:rsidRPr="0023708F">
        <w:lastRenderedPageBreak/>
        <w:t>The importance and challenges of regional, rural and remote education</w:t>
      </w:r>
      <w:bookmarkEnd w:id="1"/>
      <w:r w:rsidRPr="0023708F">
        <w:t xml:space="preserve"> </w:t>
      </w:r>
    </w:p>
    <w:p w14:paraId="379001C9"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Students are firmly at the heart of this Government’s vision for education in Australia, from high chair to higher education. Every student deserves the opportunity to succeed, no matter where they live. </w:t>
      </w:r>
    </w:p>
    <w:p w14:paraId="2AA151F7"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A high quality early childhood education is recognised as an important foundation for future educational achievement. Research shows that participating in a quality preschool program can significantly increase positive education and life outcomes for children, especially those from disadvantaged backgrounds. </w:t>
      </w:r>
    </w:p>
    <w:p w14:paraId="09D23153"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That commitment to quality continues into schooling. We want students to have a quality education with access to the best teachers. We want a national curriculum that is up-to-date, balanced and relevant. And, importantly, we want the people who know our students best – their parents, teachers, principals and community – to be able to make informed decisions about their education.</w:t>
      </w:r>
    </w:p>
    <w:p w14:paraId="5FBAE04B"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The </w:t>
      </w:r>
      <w:r w:rsidRPr="00316F7E">
        <w:rPr>
          <w:rFonts w:ascii="Helvetica" w:hAnsi="Helvetica" w:cs="Helvetica"/>
          <w:i/>
          <w:sz w:val="21"/>
          <w:szCs w:val="21"/>
          <w:lang w:eastAsia="en-AU"/>
        </w:rPr>
        <w:t>Quality Schools</w:t>
      </w:r>
      <w:r w:rsidRPr="00316F7E">
        <w:rPr>
          <w:rFonts w:ascii="Helvetica" w:hAnsi="Helvetica" w:cs="Helvetica"/>
          <w:sz w:val="21"/>
          <w:szCs w:val="21"/>
          <w:lang w:eastAsia="en-AU"/>
        </w:rPr>
        <w:t xml:space="preserve"> package announced on 2 May 2017 outlines the Government's plan to ensure every student in Australia gets funding support according to their needs, and that the record and growing investment in schools is used to maximise student outcomes.  </w:t>
      </w:r>
    </w:p>
    <w:p w14:paraId="1F3B7E5B"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Over the next decade, the Australian Government will grow its record level of recurrent funding for schools from $17.5 billion in 2017 to $29.5 billion in 2027.</w:t>
      </w:r>
    </w:p>
    <w:p w14:paraId="486B2C1F"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The Australian Government recognises that it generally costs more to educate students going to school in regional, rural and remote areas than it does for students in city-based schools. That is why the </w:t>
      </w:r>
      <w:r w:rsidRPr="00316F7E">
        <w:rPr>
          <w:rFonts w:ascii="Helvetica" w:hAnsi="Helvetica" w:cs="Helvetica"/>
          <w:i/>
          <w:sz w:val="21"/>
          <w:szCs w:val="21"/>
          <w:lang w:eastAsia="en-AU"/>
        </w:rPr>
        <w:t>Quality Schools</w:t>
      </w:r>
      <w:r w:rsidRPr="00316F7E">
        <w:rPr>
          <w:rFonts w:ascii="Helvetica" w:hAnsi="Helvetica" w:cs="Helvetica"/>
          <w:sz w:val="21"/>
          <w:szCs w:val="21"/>
          <w:lang w:eastAsia="en-AU"/>
        </w:rPr>
        <w:t xml:space="preserve"> package increases Commonwealth funding for those students from $3.9 billion in 2017 to $6.8 billion in 2027 - an increase of 74.6 per cent. This will mean per student funding for students in these areas will grow by 4.9 per cent per year over that period. </w:t>
      </w:r>
    </w:p>
    <w:p w14:paraId="52886A8A"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While funding is an important aspect of school achievement, the Organisation for Economic Co</w:t>
      </w:r>
      <w:r w:rsidRPr="00316F7E">
        <w:rPr>
          <w:rFonts w:ascii="Helvetica" w:hAnsi="Helvetica" w:cs="Helvetica"/>
          <w:sz w:val="21"/>
          <w:szCs w:val="21"/>
          <w:lang w:eastAsia="en-AU"/>
        </w:rPr>
        <w:noBreakHyphen/>
        <w:t>operation and Development makes it clear that funding alone is not enough to turn around declining student performance.</w:t>
      </w:r>
    </w:p>
    <w:p w14:paraId="566C22B2"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To ensure the increased school funding is used to drive better outcomes for students, the Government commissioned the </w:t>
      </w:r>
      <w:r w:rsidRPr="00316F7E">
        <w:rPr>
          <w:rFonts w:ascii="Helvetica" w:hAnsi="Helvetica" w:cs="Helvetica"/>
          <w:i/>
          <w:sz w:val="21"/>
          <w:szCs w:val="21"/>
          <w:lang w:eastAsia="en-AU"/>
        </w:rPr>
        <w:t>Review to Achieve Educational Excellence in Australian Schools</w:t>
      </w:r>
      <w:r w:rsidRPr="00316F7E">
        <w:rPr>
          <w:rFonts w:ascii="Helvetica" w:hAnsi="Helvetica" w:cs="Helvetica"/>
          <w:sz w:val="21"/>
          <w:szCs w:val="21"/>
          <w:lang w:eastAsia="en-AU"/>
        </w:rPr>
        <w:t xml:space="preserve"> (the Excellence Review), chaired by Mr David Gonski AC. The result of this work is </w:t>
      </w:r>
      <w:r w:rsidRPr="00316F7E">
        <w:rPr>
          <w:rFonts w:ascii="Helvetica" w:hAnsi="Helvetica" w:cs="Helvetica"/>
          <w:i/>
          <w:sz w:val="21"/>
          <w:szCs w:val="21"/>
          <w:lang w:eastAsia="en-AU"/>
        </w:rPr>
        <w:t>Through Growth to Achievement: Report of the Review to Achieve Educational Excellence in Australian Schools (the Report)</w:t>
      </w:r>
      <w:r w:rsidRPr="00316F7E">
        <w:rPr>
          <w:rFonts w:ascii="Helvetica" w:hAnsi="Helvetica" w:cs="Helvetica"/>
          <w:sz w:val="21"/>
          <w:szCs w:val="21"/>
          <w:lang w:eastAsia="en-AU"/>
        </w:rPr>
        <w:t xml:space="preserve">, which is a once in a generation report that provides an opportunity to turn around our school system. </w:t>
      </w:r>
    </w:p>
    <w:p w14:paraId="0D7BFC74"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The final report of the </w:t>
      </w:r>
      <w:r w:rsidRPr="00316F7E">
        <w:rPr>
          <w:rFonts w:ascii="Helvetica" w:hAnsi="Helvetica" w:cs="Helvetica"/>
          <w:i/>
          <w:iCs/>
          <w:sz w:val="21"/>
          <w:szCs w:val="21"/>
          <w:lang w:eastAsia="en-AU"/>
        </w:rPr>
        <w:t>Independent Review into Regional, Rural and Remote Education</w:t>
      </w:r>
      <w:r w:rsidRPr="00316F7E">
        <w:rPr>
          <w:rFonts w:ascii="Helvetica" w:hAnsi="Helvetica" w:cs="Helvetica"/>
          <w:sz w:val="21"/>
          <w:szCs w:val="21"/>
          <w:lang w:eastAsia="en-AU"/>
        </w:rPr>
        <w:t xml:space="preserve"> (IRRRRE) was considered by the Expert Panel of the Excellence Review </w:t>
      </w:r>
      <w:r w:rsidRPr="00316F7E">
        <w:rPr>
          <w:rFonts w:ascii="Helvetica" w:hAnsi="Helvetica" w:cs="Helvetica"/>
          <w:iCs/>
          <w:sz w:val="21"/>
          <w:szCs w:val="21"/>
          <w:lang w:eastAsia="en-AU"/>
        </w:rPr>
        <w:t>ensuring that improving educational outcomes in regional Australia is a key consideration in reforming Australian schools</w:t>
      </w:r>
      <w:r w:rsidRPr="00316F7E">
        <w:rPr>
          <w:rFonts w:ascii="Helvetica" w:hAnsi="Helvetica" w:cs="Helvetica"/>
          <w:sz w:val="21"/>
          <w:szCs w:val="21"/>
          <w:lang w:eastAsia="en-AU"/>
        </w:rPr>
        <w:t xml:space="preserve">. </w:t>
      </w:r>
    </w:p>
    <w:p w14:paraId="6890B64B" w14:textId="77777777" w:rsidR="00316F7E" w:rsidRPr="00316F7E" w:rsidRDefault="00316F7E" w:rsidP="00316F7E">
      <w:pPr>
        <w:spacing w:before="240" w:after="120"/>
        <w:rPr>
          <w:rFonts w:ascii="Helvetica" w:hAnsi="Helvetica" w:cs="Helvetica"/>
          <w:sz w:val="21"/>
          <w:szCs w:val="21"/>
          <w:lang w:eastAsia="en-AU"/>
        </w:rPr>
      </w:pPr>
      <w:r w:rsidRPr="00316F7E">
        <w:rPr>
          <w:rFonts w:ascii="Helvetica" w:hAnsi="Helvetica" w:cs="Helvetica"/>
          <w:sz w:val="21"/>
          <w:szCs w:val="21"/>
          <w:lang w:eastAsia="en-AU"/>
        </w:rPr>
        <w:t>The Expert Panel has taken IRRRRE recommendations focusing on schooling and industry-schooling pathways, specifically 1-4, 7 and 10, into account in developing its priorities and recommendations.</w:t>
      </w:r>
      <w:r w:rsidRPr="00316F7E">
        <w:rPr>
          <w:rFonts w:ascii="Helvetica" w:hAnsi="Helvetica" w:cs="Helvetica"/>
          <w:i/>
          <w:iCs/>
          <w:sz w:val="21"/>
          <w:szCs w:val="21"/>
          <w:lang w:eastAsia="en-AU"/>
        </w:rPr>
        <w:t xml:space="preserve"> </w:t>
      </w:r>
      <w:r w:rsidRPr="00316F7E">
        <w:rPr>
          <w:rFonts w:ascii="Helvetica" w:hAnsi="Helvetica" w:cs="Helvetica"/>
          <w:sz w:val="21"/>
          <w:szCs w:val="21"/>
          <w:lang w:eastAsia="en-AU"/>
        </w:rPr>
        <w:t>This whole of government response notes that the five areas identified in the Report are closely aligned with IRRRRE recommendations. The five areas are:</w:t>
      </w:r>
    </w:p>
    <w:p w14:paraId="12AE5861" w14:textId="77777777" w:rsidR="00316F7E" w:rsidRPr="00316F7E" w:rsidRDefault="00316F7E" w:rsidP="00316F7E">
      <w:pPr>
        <w:numPr>
          <w:ilvl w:val="0"/>
          <w:numId w:val="6"/>
        </w:numPr>
        <w:contextualSpacing/>
        <w:rPr>
          <w:rFonts w:ascii="Calibri" w:hAnsi="Calibri" w:cs="Calibri"/>
        </w:rPr>
      </w:pPr>
      <w:r w:rsidRPr="00316F7E">
        <w:rPr>
          <w:rFonts w:ascii="Helvetica" w:hAnsi="Helvetica" w:cs="Helvetica"/>
          <w:sz w:val="21"/>
          <w:szCs w:val="21"/>
          <w:lang w:eastAsia="en-AU"/>
        </w:rPr>
        <w:t>laying the foundations for learning</w:t>
      </w:r>
    </w:p>
    <w:p w14:paraId="458141C0" w14:textId="77777777" w:rsidR="00316F7E" w:rsidRPr="00316F7E" w:rsidRDefault="00316F7E" w:rsidP="00316F7E">
      <w:pPr>
        <w:numPr>
          <w:ilvl w:val="0"/>
          <w:numId w:val="6"/>
        </w:numPr>
        <w:contextualSpacing/>
        <w:rPr>
          <w:rFonts w:ascii="Calibri" w:hAnsi="Calibri" w:cs="Calibri"/>
        </w:rPr>
      </w:pPr>
      <w:r w:rsidRPr="00316F7E">
        <w:rPr>
          <w:rFonts w:ascii="Helvetica" w:hAnsi="Helvetica" w:cs="Helvetica"/>
          <w:sz w:val="21"/>
          <w:szCs w:val="21"/>
          <w:lang w:eastAsia="en-AU"/>
        </w:rPr>
        <w:t>equipping every student to grow and succeed in a changing world</w:t>
      </w:r>
    </w:p>
    <w:p w14:paraId="0AC44BA7" w14:textId="77777777" w:rsidR="00316F7E" w:rsidRPr="00316F7E" w:rsidRDefault="00316F7E" w:rsidP="00316F7E">
      <w:pPr>
        <w:numPr>
          <w:ilvl w:val="0"/>
          <w:numId w:val="6"/>
        </w:numPr>
        <w:contextualSpacing/>
        <w:rPr>
          <w:rFonts w:ascii="Calibri" w:hAnsi="Calibri" w:cs="Calibri"/>
        </w:rPr>
      </w:pPr>
      <w:r w:rsidRPr="00316F7E">
        <w:rPr>
          <w:rFonts w:ascii="Helvetica" w:hAnsi="Helvetica" w:cs="Helvetica"/>
          <w:sz w:val="21"/>
          <w:szCs w:val="21"/>
          <w:lang w:eastAsia="en-AU"/>
        </w:rPr>
        <w:t>creating, supporting and valuing a profession of expert educators</w:t>
      </w:r>
    </w:p>
    <w:p w14:paraId="27970489" w14:textId="77777777" w:rsidR="00316F7E" w:rsidRPr="00316F7E" w:rsidRDefault="00316F7E" w:rsidP="00316F7E">
      <w:pPr>
        <w:numPr>
          <w:ilvl w:val="0"/>
          <w:numId w:val="6"/>
        </w:numPr>
        <w:contextualSpacing/>
        <w:rPr>
          <w:rFonts w:ascii="Calibri" w:hAnsi="Calibri" w:cs="Calibri"/>
        </w:rPr>
      </w:pPr>
      <w:r w:rsidRPr="00316F7E">
        <w:rPr>
          <w:rFonts w:ascii="Helvetica" w:hAnsi="Helvetica" w:cs="Helvetica"/>
          <w:sz w:val="21"/>
          <w:szCs w:val="21"/>
          <w:lang w:eastAsia="en-AU"/>
        </w:rPr>
        <w:t>empowering and supporting school leaders</w:t>
      </w:r>
    </w:p>
    <w:p w14:paraId="6795BE74" w14:textId="77777777" w:rsidR="00316F7E" w:rsidRPr="00316F7E" w:rsidRDefault="00316F7E" w:rsidP="00316F7E">
      <w:pPr>
        <w:numPr>
          <w:ilvl w:val="0"/>
          <w:numId w:val="6"/>
        </w:numPr>
        <w:contextualSpacing/>
        <w:rPr>
          <w:rFonts w:ascii="Calibri" w:hAnsi="Calibri" w:cs="Calibri"/>
        </w:rPr>
      </w:pPr>
      <w:r w:rsidRPr="00316F7E">
        <w:rPr>
          <w:rFonts w:ascii="Helvetica" w:hAnsi="Helvetica" w:cs="Helvetica"/>
          <w:sz w:val="21"/>
          <w:szCs w:val="21"/>
          <w:lang w:eastAsia="en-AU"/>
        </w:rPr>
        <w:t>raising and achieving aspirations through innovation and continuous improvement.</w:t>
      </w:r>
    </w:p>
    <w:p w14:paraId="76B85B4D"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Both reviews will be taken into conversations with states and territories on the development of national and bilateral reform agreements. </w:t>
      </w:r>
    </w:p>
    <w:p w14:paraId="1993A025"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The Government has heard the challenges facing regional, rural and remote communities and the key role education and training plays in the success of those communities. That is why in 2016 this government announced the $152 million </w:t>
      </w:r>
      <w:r w:rsidRPr="00316F7E">
        <w:rPr>
          <w:rFonts w:ascii="Helvetica" w:hAnsi="Helvetica" w:cs="Helvetica"/>
          <w:i/>
          <w:sz w:val="21"/>
          <w:szCs w:val="21"/>
          <w:lang w:eastAsia="en-AU"/>
        </w:rPr>
        <w:t>Regional Student Access to Education</w:t>
      </w:r>
      <w:r w:rsidRPr="00316F7E">
        <w:rPr>
          <w:rFonts w:ascii="Helvetica" w:hAnsi="Helvetica" w:cs="Helvetica"/>
          <w:sz w:val="21"/>
          <w:szCs w:val="21"/>
          <w:lang w:eastAsia="en-AU"/>
        </w:rPr>
        <w:t xml:space="preserve"> package which is assisting students from regional, rural and remote Australia. This package included significant initiatives that were considered necessary to support our regional, rural and remote students even ahead of a formal review. </w:t>
      </w:r>
    </w:p>
    <w:p w14:paraId="4F7378FE"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However, decisions must be based on evidence, and so as part of this regional, rural and remote package, in 2017, the then Deputy Prime Minister, the Hon Barnaby Joyce MP and the Minister for Education and Training, Senator the Hon Simon Birmingham, announced the IRRRRE review. The IRRRRE was led by Emeritus Professor Dr John Halsey FACE, FACEL (SA) of Flinders University, and an eminent authority on rural education. </w:t>
      </w:r>
    </w:p>
    <w:p w14:paraId="1BF5820A" w14:textId="77777777" w:rsidR="00316F7E" w:rsidRPr="00F76DBF" w:rsidRDefault="00316F7E" w:rsidP="0023708F">
      <w:pPr>
        <w:pStyle w:val="Heading1"/>
      </w:pPr>
      <w:bookmarkStart w:id="2" w:name="_Toc515373075"/>
      <w:r w:rsidRPr="00316F7E">
        <w:t xml:space="preserve">The Australian Government’s </w:t>
      </w:r>
      <w:r w:rsidRPr="00F76DBF">
        <w:t>Independent Review into Regional, Rural and Remote Education</w:t>
      </w:r>
      <w:bookmarkEnd w:id="2"/>
      <w:r w:rsidRPr="00F76DBF">
        <w:t xml:space="preserve"> </w:t>
      </w:r>
    </w:p>
    <w:p w14:paraId="348A8456"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Emeritus Professor Dr John Halsey from Flinders University conducted the review to examine the challenges faced by these students and to find innovative solutions to help them succeed at school and beyond. </w:t>
      </w:r>
    </w:p>
    <w:p w14:paraId="4103B4C1"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Professor Halsey presented the final report to the Government in January 2018.</w:t>
      </w:r>
    </w:p>
    <w:p w14:paraId="463A1DF7"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The review considered the key issues, challenges and barriers that impact on the learning outcomes of rural (including regional, rural and remote) students. It provided recommendations on innovative and fresh approaches to support improved access and achievement of these students in school and their transition to further study, training and employment. Although early childhood education was not covered under the Terms of Reference for the Review, it is acknowledged in the final report that early childhood education plays a crucial role in laying a strong foundation for future learning.</w:t>
      </w:r>
    </w:p>
    <w:p w14:paraId="3E9C5C01"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The review investigated:</w:t>
      </w:r>
    </w:p>
    <w:p w14:paraId="0F8272F3" w14:textId="77777777" w:rsidR="00316F7E" w:rsidRPr="00316F7E" w:rsidRDefault="00316F7E" w:rsidP="00316F7E">
      <w:pPr>
        <w:numPr>
          <w:ilvl w:val="0"/>
          <w:numId w:val="1"/>
        </w:numPr>
        <w:spacing w:before="240" w:after="240"/>
        <w:contextualSpacing/>
        <w:rPr>
          <w:rFonts w:ascii="Helvetica" w:hAnsi="Helvetica" w:cs="Helvetica"/>
          <w:sz w:val="21"/>
          <w:szCs w:val="21"/>
          <w:lang w:eastAsia="en-AU"/>
        </w:rPr>
      </w:pPr>
      <w:r w:rsidRPr="00316F7E">
        <w:rPr>
          <w:rFonts w:ascii="Helvetica" w:hAnsi="Helvetica" w:cs="Helvetica"/>
          <w:sz w:val="21"/>
          <w:szCs w:val="21"/>
          <w:lang w:eastAsia="en-AU"/>
        </w:rPr>
        <w:t xml:space="preserve">the gap in educational achievement between rural and metropolitan students </w:t>
      </w:r>
    </w:p>
    <w:p w14:paraId="1A808CED" w14:textId="77777777" w:rsidR="00316F7E" w:rsidRPr="00316F7E" w:rsidRDefault="00316F7E" w:rsidP="00316F7E">
      <w:pPr>
        <w:numPr>
          <w:ilvl w:val="0"/>
          <w:numId w:val="1"/>
        </w:numPr>
        <w:spacing w:before="240" w:after="240"/>
        <w:contextualSpacing/>
        <w:rPr>
          <w:rFonts w:ascii="Helvetica" w:hAnsi="Helvetica" w:cs="Helvetica"/>
          <w:sz w:val="21"/>
          <w:szCs w:val="21"/>
          <w:lang w:eastAsia="en-AU"/>
        </w:rPr>
      </w:pPr>
      <w:r w:rsidRPr="00316F7E">
        <w:rPr>
          <w:rFonts w:ascii="Helvetica" w:hAnsi="Helvetica" w:cs="Helvetica"/>
          <w:sz w:val="21"/>
          <w:szCs w:val="21"/>
          <w:lang w:eastAsia="en-AU"/>
        </w:rPr>
        <w:t xml:space="preserve">the key barriers and challenges that impact on the educational outcomes of rural students, including aspirations and access issues </w:t>
      </w:r>
    </w:p>
    <w:p w14:paraId="50AB1FDC" w14:textId="77777777" w:rsidR="00316F7E" w:rsidRPr="00316F7E" w:rsidRDefault="00316F7E" w:rsidP="00316F7E">
      <w:pPr>
        <w:numPr>
          <w:ilvl w:val="0"/>
          <w:numId w:val="1"/>
        </w:numPr>
        <w:spacing w:before="240" w:after="240"/>
        <w:contextualSpacing/>
        <w:rPr>
          <w:rFonts w:ascii="Helvetica" w:hAnsi="Helvetica" w:cs="Helvetica"/>
          <w:sz w:val="21"/>
          <w:szCs w:val="21"/>
          <w:lang w:eastAsia="en-AU"/>
        </w:rPr>
      </w:pPr>
      <w:r w:rsidRPr="00316F7E">
        <w:rPr>
          <w:rFonts w:ascii="Helvetica" w:hAnsi="Helvetica" w:cs="Helvetica"/>
          <w:sz w:val="21"/>
          <w:szCs w:val="21"/>
          <w:lang w:eastAsia="en-AU"/>
        </w:rPr>
        <w:t>the appropriateness and effectiveness of current modes of education delivered to these students, including the use of information and communications technology and the importance of face-to-face rural education provision</w:t>
      </w:r>
    </w:p>
    <w:p w14:paraId="4FF22ADD" w14:textId="77777777" w:rsidR="00316F7E" w:rsidRPr="00316F7E" w:rsidRDefault="00316F7E" w:rsidP="00316F7E">
      <w:pPr>
        <w:numPr>
          <w:ilvl w:val="0"/>
          <w:numId w:val="1"/>
        </w:numPr>
        <w:spacing w:before="240" w:after="240"/>
        <w:contextualSpacing/>
        <w:rPr>
          <w:rFonts w:ascii="Helvetica" w:hAnsi="Helvetica" w:cs="Helvetica"/>
          <w:sz w:val="21"/>
          <w:szCs w:val="21"/>
          <w:lang w:eastAsia="en-AU"/>
        </w:rPr>
      </w:pPr>
      <w:r w:rsidRPr="00316F7E">
        <w:rPr>
          <w:rFonts w:ascii="Helvetica" w:hAnsi="Helvetica" w:cs="Helvetica"/>
          <w:sz w:val="21"/>
          <w:szCs w:val="21"/>
          <w:lang w:eastAsia="en-AU"/>
        </w:rPr>
        <w:t>the effectiveness of public policies and programs that have been implemented to bridge the divide</w:t>
      </w:r>
    </w:p>
    <w:p w14:paraId="1863485D" w14:textId="77777777" w:rsidR="00316F7E" w:rsidRPr="00316F7E" w:rsidRDefault="00316F7E" w:rsidP="00316F7E">
      <w:pPr>
        <w:numPr>
          <w:ilvl w:val="0"/>
          <w:numId w:val="1"/>
        </w:numPr>
        <w:spacing w:before="240" w:after="240"/>
        <w:contextualSpacing/>
        <w:rPr>
          <w:rFonts w:ascii="Helvetica" w:hAnsi="Helvetica" w:cs="Helvetica"/>
          <w:sz w:val="21"/>
          <w:szCs w:val="21"/>
          <w:lang w:eastAsia="en-AU"/>
        </w:rPr>
      </w:pPr>
      <w:r w:rsidRPr="00316F7E">
        <w:rPr>
          <w:rFonts w:ascii="Helvetica" w:hAnsi="Helvetica" w:cs="Helvetica"/>
          <w:sz w:val="21"/>
          <w:szCs w:val="21"/>
          <w:lang w:eastAsia="en-AU"/>
        </w:rPr>
        <w:t>the gaps and opportunities to help students successfully transition from school to further study, training and employment</w:t>
      </w:r>
    </w:p>
    <w:p w14:paraId="33DBD6BA" w14:textId="77777777" w:rsidR="00316F7E" w:rsidRPr="00316F7E" w:rsidRDefault="00316F7E" w:rsidP="00316F7E">
      <w:pPr>
        <w:numPr>
          <w:ilvl w:val="0"/>
          <w:numId w:val="1"/>
        </w:numPr>
        <w:spacing w:before="240" w:after="240"/>
        <w:contextualSpacing/>
        <w:rPr>
          <w:rFonts w:ascii="Helvetica" w:hAnsi="Helvetica" w:cs="Helvetica"/>
          <w:sz w:val="21"/>
          <w:szCs w:val="21"/>
          <w:lang w:eastAsia="en-AU"/>
        </w:rPr>
      </w:pPr>
      <w:r w:rsidRPr="00316F7E">
        <w:rPr>
          <w:rFonts w:ascii="Helvetica" w:hAnsi="Helvetica" w:cs="Helvetica"/>
          <w:sz w:val="21"/>
          <w:szCs w:val="21"/>
          <w:lang w:eastAsia="en-AU"/>
        </w:rPr>
        <w:t xml:space="preserve">innovative approaches that support rural students to succeed in school and in their transition to further study, training and employment. </w:t>
      </w:r>
    </w:p>
    <w:p w14:paraId="13C9673A"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The review was highly consultative and covered all states and territories. Some 340 submissions from interested parties were received in response to the discussion paper. Professor Halsey hosted 30 community, youth and School of the Air forums and held consultations with 63 stakeholders in all capital cities and 31 regional, rural and remote locations. An extensive literature review informed both the discussion paper and final report. </w:t>
      </w:r>
    </w:p>
    <w:p w14:paraId="3089E4C1"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The final report on the review was submitted to the Minister for Education and Training, Senator the Hon Simon Birmingham, on 31 January 2018. The report’s 11 recommendations and 53 related actions call for a greater awareness of the issues, challenges and opportunities faced by rural students and that every young person, regardless of location or circumstances, has access to high quality schooling and opportunities. </w:t>
      </w:r>
    </w:p>
    <w:p w14:paraId="35197AEF"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The Government thanks Emeritus Professor Dr John Halsey for his time, considerable effort and service in undertaking this independent review. We would also like to thank all of those in the education community, as well as in the broader Australian community, who have taken the time to so generously share their thoughts, experiences and evidence with Professor Halsey. </w:t>
      </w:r>
    </w:p>
    <w:p w14:paraId="2D8DECDB" w14:textId="77777777" w:rsidR="00316F7E" w:rsidRPr="00316F7E" w:rsidRDefault="00316F7E" w:rsidP="00316F7E">
      <w:pPr>
        <w:rPr>
          <w:rFonts w:asciiTheme="majorHAnsi" w:eastAsiaTheme="majorEastAsia" w:hAnsiTheme="majorHAnsi" w:cstheme="majorBidi"/>
          <w:sz w:val="32"/>
          <w:szCs w:val="32"/>
        </w:rPr>
      </w:pPr>
      <w:r w:rsidRPr="00316F7E">
        <w:br w:type="page"/>
      </w:r>
    </w:p>
    <w:p w14:paraId="38C452B8" w14:textId="77777777" w:rsidR="00316F7E" w:rsidRPr="00316F7E" w:rsidRDefault="00316F7E" w:rsidP="0023708F">
      <w:pPr>
        <w:pStyle w:val="Heading1"/>
      </w:pPr>
      <w:bookmarkStart w:id="3" w:name="_Toc515373076"/>
      <w:r w:rsidRPr="00316F7E">
        <w:t>The Government’s Response to the IRRRRE Final Report</w:t>
      </w:r>
      <w:bookmarkEnd w:id="3"/>
      <w:r w:rsidRPr="00316F7E">
        <w:t xml:space="preserve"> </w:t>
      </w:r>
    </w:p>
    <w:p w14:paraId="5EA6296B"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The Government is well positioned to respond to the four priority areas identified in the final report:</w:t>
      </w:r>
    </w:p>
    <w:p w14:paraId="278FE023" w14:textId="77777777" w:rsidR="00316F7E" w:rsidRPr="00316F7E" w:rsidRDefault="00316F7E" w:rsidP="00316F7E">
      <w:pPr>
        <w:numPr>
          <w:ilvl w:val="0"/>
          <w:numId w:val="2"/>
        </w:numPr>
        <w:spacing w:before="240" w:after="240"/>
        <w:contextualSpacing/>
        <w:rPr>
          <w:rFonts w:ascii="Helvetica" w:hAnsi="Helvetica" w:cs="Helvetica"/>
          <w:sz w:val="21"/>
          <w:szCs w:val="21"/>
          <w:lang w:eastAsia="en-AU"/>
        </w:rPr>
      </w:pPr>
      <w:r w:rsidRPr="00316F7E">
        <w:rPr>
          <w:rFonts w:ascii="Helvetica" w:hAnsi="Helvetica" w:cs="Helvetica"/>
          <w:sz w:val="21"/>
          <w:szCs w:val="21"/>
          <w:lang w:eastAsia="en-AU"/>
        </w:rPr>
        <w:t>establishing a national focus for regional, rural and remote education</w:t>
      </w:r>
    </w:p>
    <w:p w14:paraId="559678A1" w14:textId="77777777" w:rsidR="00316F7E" w:rsidRPr="00316F7E" w:rsidRDefault="00316F7E" w:rsidP="00316F7E">
      <w:pPr>
        <w:numPr>
          <w:ilvl w:val="0"/>
          <w:numId w:val="2"/>
        </w:numPr>
        <w:spacing w:before="240" w:after="240"/>
        <w:contextualSpacing/>
        <w:rPr>
          <w:rFonts w:ascii="Helvetica" w:hAnsi="Helvetica" w:cs="Helvetica"/>
          <w:sz w:val="21"/>
          <w:szCs w:val="21"/>
          <w:lang w:eastAsia="en-AU"/>
        </w:rPr>
      </w:pPr>
      <w:r w:rsidRPr="00316F7E">
        <w:rPr>
          <w:rFonts w:ascii="Helvetica" w:hAnsi="Helvetica" w:cs="Helvetica"/>
          <w:sz w:val="21"/>
          <w:szCs w:val="21"/>
          <w:lang w:eastAsia="en-AU"/>
        </w:rPr>
        <w:t>enhancing leadership, teaching, curriculum and assessment</w:t>
      </w:r>
    </w:p>
    <w:p w14:paraId="089E9122" w14:textId="77777777" w:rsidR="00316F7E" w:rsidRPr="00316F7E" w:rsidRDefault="00316F7E" w:rsidP="00316F7E">
      <w:pPr>
        <w:numPr>
          <w:ilvl w:val="0"/>
          <w:numId w:val="2"/>
        </w:numPr>
        <w:spacing w:before="240" w:after="240"/>
        <w:contextualSpacing/>
        <w:rPr>
          <w:rFonts w:ascii="Helvetica" w:hAnsi="Helvetica" w:cs="Helvetica"/>
          <w:sz w:val="21"/>
          <w:szCs w:val="21"/>
          <w:lang w:eastAsia="en-AU"/>
        </w:rPr>
      </w:pPr>
      <w:r w:rsidRPr="00316F7E">
        <w:rPr>
          <w:rFonts w:ascii="Helvetica" w:hAnsi="Helvetica" w:cs="Helvetica"/>
          <w:sz w:val="21"/>
          <w:szCs w:val="21"/>
          <w:lang w:eastAsia="en-AU"/>
        </w:rPr>
        <w:t>improving information and communications technology (ICT)</w:t>
      </w:r>
    </w:p>
    <w:p w14:paraId="46327442" w14:textId="77777777" w:rsidR="00316F7E" w:rsidRPr="00316F7E" w:rsidRDefault="00316F7E" w:rsidP="00316F7E">
      <w:pPr>
        <w:numPr>
          <w:ilvl w:val="0"/>
          <w:numId w:val="2"/>
        </w:numPr>
        <w:spacing w:before="240" w:after="240"/>
        <w:contextualSpacing/>
        <w:rPr>
          <w:rFonts w:ascii="Helvetica" w:hAnsi="Helvetica" w:cs="Helvetica"/>
          <w:sz w:val="21"/>
          <w:szCs w:val="21"/>
          <w:lang w:eastAsia="en-AU"/>
        </w:rPr>
      </w:pPr>
      <w:r w:rsidRPr="00316F7E">
        <w:rPr>
          <w:rFonts w:ascii="Helvetica" w:hAnsi="Helvetica" w:cs="Helvetica"/>
          <w:sz w:val="21"/>
          <w:szCs w:val="21"/>
          <w:lang w:eastAsia="en-AU"/>
        </w:rPr>
        <w:t>enhancing transitions into and out of school.</w:t>
      </w:r>
    </w:p>
    <w:p w14:paraId="18A2D694"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Indeed, many current programs and initiatives provide the framework for increasing support for regional, rural and remote students, parents and communities in accessing the best education and training they possibly can. </w:t>
      </w:r>
    </w:p>
    <w:p w14:paraId="3A0EB3FF"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The Government accepts all 11 recommendations in the IRRRRE final report, and notes that Professor Halsey provided 53 suggested actions as examples of what could be done to implement these recommendations. Many of the actions are very specific and may cut across existing initiatives, work plans, funding arrangements and levels of government. In these circumstances, the actions provide a starting point for the many conversations that will continue to flow from the IRRRRE final report.</w:t>
      </w:r>
    </w:p>
    <w:p w14:paraId="611C1B5F"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The recommendations themselves vary in their applicability to a ‘whole of government’ approach, being specifically relevant to one portfolio, and/or needing the engagement with states and territories.  The most important commitment the Australian Government can give is to ensure that we take these recommendations into our conversations with states and territories, as the primary deliverers of education when implementing policies and programs in these areas of Australia.</w:t>
      </w:r>
    </w:p>
    <w:p w14:paraId="0E52EE45"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A copy of the IRRRRE report was provided to the Expert Panel conducting the Excellence Review. The recommendations relating to schooling and school pathways were all referred to the Excellence Review and a number of the findings of the Excellence Review reflect the IRRRRE recommendations.</w:t>
      </w:r>
    </w:p>
    <w:p w14:paraId="1E8B8FFB"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On 13 April 2018, the IRRRRE was presented to the Council of Australian Governments (COAG) Education Council. The IRRRRE is being considered further by the Education Council, and with the Excellence Review, will be a key element of the development of national and bilateral reform agreements with states and territories to commence in 2019.</w:t>
      </w:r>
    </w:p>
    <w:p w14:paraId="6B1F4B86"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By responding to these recommendations, building on current initiatives and taking some new steps, and doing so across the Commonwealth and in partnership with the states and territories, we will seek to make a lasting and real difference to the opportunities of regional, rural and remote students. </w:t>
      </w:r>
    </w:p>
    <w:p w14:paraId="2AA14E7D" w14:textId="77777777" w:rsidR="00316F7E" w:rsidRPr="00316F7E" w:rsidRDefault="00316F7E" w:rsidP="00316F7E">
      <w:pPr>
        <w:rPr>
          <w:rFonts w:asciiTheme="majorHAnsi" w:eastAsiaTheme="majorEastAsia" w:hAnsiTheme="majorHAnsi" w:cstheme="majorBidi"/>
          <w:sz w:val="32"/>
          <w:szCs w:val="32"/>
        </w:rPr>
      </w:pPr>
      <w:r w:rsidRPr="00316F7E">
        <w:br w:type="page"/>
      </w:r>
    </w:p>
    <w:p w14:paraId="094CE02A" w14:textId="77777777" w:rsidR="00316F7E" w:rsidRPr="00316F7E" w:rsidRDefault="00316F7E" w:rsidP="0023708F">
      <w:pPr>
        <w:pStyle w:val="Heading1"/>
      </w:pPr>
      <w:bookmarkStart w:id="4" w:name="_Toc515373077"/>
      <w:r w:rsidRPr="00316F7E">
        <w:t>Establishing a national focus for regional, rural and remote education – Recommendation 11</w:t>
      </w:r>
      <w:bookmarkEnd w:id="4"/>
      <w:r w:rsidRPr="00316F7E">
        <w:t xml:space="preserve"> </w:t>
      </w:r>
    </w:p>
    <w:p w14:paraId="65405B0F"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Professor Halsey notably identified this as his highest priority, and raised this in Recommendation 11 - Establish a national focus for regional, rural and remote education, training and research to enhance access, outcomes and opportunities in regional Australia. </w:t>
      </w:r>
    </w:p>
    <w:p w14:paraId="70F24A4E"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Professor Halsey noted that a clear message in many consultations was the need to bring together interested parties to collaborate and share good practice, whether this is whole of government or a place-based approach or a simple coordinated effort. He noted that an enduring focus and concerted effort on raising the achievements and improving the post school opportunities of regional, rural and remote (RRR) students requires a national focus and an understanding of what outcomes existing resource allocations achieve and how they can be improved. </w:t>
      </w:r>
    </w:p>
    <w:p w14:paraId="1A1975D8" w14:textId="77777777" w:rsidR="00316F7E" w:rsidRPr="0023708F" w:rsidRDefault="00316F7E" w:rsidP="0023708F">
      <w:pPr>
        <w:pStyle w:val="Heading2"/>
      </w:pPr>
      <w:r w:rsidRPr="0023708F">
        <w:t>Australian Government response</w:t>
      </w:r>
    </w:p>
    <w:p w14:paraId="5DCA9B56"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The Government supports this recommendation and is focused on encouraging job creation and economic growth so that all regional, rural and remote Australians have the opportunity to contribute to their full potential. The Government’s increasing investment in regional education and training will help to ensure a stronger, more sustainable economy for regional Australia.</w:t>
      </w:r>
    </w:p>
    <w:p w14:paraId="40B6111A"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The Government acknowledges that a one-size-fits-all approach to regional policy does not work. The Government is investing in partnerships with communities to ensure that the national policies are informed by local people living in individual regions. This vital link between local community stakeholders and government increases awareness of issues affecting regions and provides an understanding of the unique advantages of a region to maximise positive impacts.</w:t>
      </w:r>
    </w:p>
    <w:p w14:paraId="23BAEAA3"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The Australian Government funds a range of regional grants programs, which are available to local governments and not for profit organisations. These programs seek to create jobs, drive economic growth and build strong regional communities into the future. In recognition of the significant role of skills development in regional development, the Government will explore options to expand regional program funding eligibility to incorporate funding to vocational educational providers and ensure they remain eligible to access a range of regional programs. </w:t>
      </w:r>
    </w:p>
    <w:p w14:paraId="54C84109"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The Regional Development Australia (RDA) program that Professor Halsey refers to in his report is a national network of Committees made up of local leaders who work with all levels of government, business and community groups to support the economic development of Australia’s regions. RDA Committees play a facilitating role in their communities and have a clear focus on growing strong and confident economies that harness their competitive advantages, seize on economic opportunity and attract investment. With their new Charter in place, RDA Committees are required to collaborate closely with key stakeholders to identify opportunities to grow their regional economies, including engaging with governments, industry, business, education providers and communities.</w:t>
      </w:r>
    </w:p>
    <w:p w14:paraId="2173DD99"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To monitor this work the Government will report annually through the Regional Ministerial Statement on progress in delivering improved access, outcomes and opportunities for regional, rural and remote Australians in education, employment and training. </w:t>
      </w:r>
    </w:p>
    <w:p w14:paraId="7508FC90" w14:textId="77777777" w:rsidR="00316F7E" w:rsidRPr="00316F7E" w:rsidRDefault="00316F7E" w:rsidP="0023708F">
      <w:pPr>
        <w:pStyle w:val="Heading1"/>
      </w:pPr>
      <w:bookmarkStart w:id="5" w:name="_Toc515373078"/>
      <w:r w:rsidRPr="00316F7E">
        <w:t>Enhancing leadership, teaching, curriculum and assessment – Recommendations 1, 2, 3 and 8</w:t>
      </w:r>
      <w:bookmarkEnd w:id="5"/>
    </w:p>
    <w:p w14:paraId="74CE132D"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The Review identified several themes or factors that have a major impact on student achievement. Of these four are identified in this priority area – leadership, teaching, curriculum and assessment. Professor Halsey identified four recommendations to address his findings:</w:t>
      </w:r>
    </w:p>
    <w:p w14:paraId="20C290B9" w14:textId="77777777" w:rsidR="00316F7E" w:rsidRPr="00316F7E" w:rsidRDefault="00316F7E" w:rsidP="00316F7E">
      <w:pPr>
        <w:numPr>
          <w:ilvl w:val="0"/>
          <w:numId w:val="3"/>
        </w:numPr>
        <w:spacing w:before="240" w:after="240"/>
        <w:contextualSpacing/>
        <w:rPr>
          <w:rFonts w:ascii="Helvetica" w:hAnsi="Helvetica" w:cs="Helvetica"/>
          <w:sz w:val="21"/>
          <w:szCs w:val="21"/>
          <w:lang w:eastAsia="en-AU"/>
        </w:rPr>
      </w:pPr>
      <w:r w:rsidRPr="00316F7E">
        <w:rPr>
          <w:rFonts w:ascii="Helvetica" w:hAnsi="Helvetica" w:cs="Helvetica"/>
          <w:sz w:val="21"/>
          <w:szCs w:val="21"/>
          <w:lang w:eastAsia="en-AU"/>
        </w:rPr>
        <w:t xml:space="preserve">Recommendation 1 – Establish and/or refine processes for ensuring the relevance of the Australian Curriculum and state/territory assessment processes for RRR students and communities </w:t>
      </w:r>
    </w:p>
    <w:p w14:paraId="6336C7EC" w14:textId="77777777" w:rsidR="00316F7E" w:rsidRPr="00316F7E" w:rsidRDefault="00316F7E" w:rsidP="00316F7E">
      <w:pPr>
        <w:numPr>
          <w:ilvl w:val="0"/>
          <w:numId w:val="3"/>
        </w:numPr>
        <w:spacing w:before="240" w:after="240"/>
        <w:contextualSpacing/>
        <w:rPr>
          <w:rFonts w:ascii="Helvetica" w:hAnsi="Helvetica" w:cs="Helvetica"/>
          <w:sz w:val="21"/>
          <w:szCs w:val="21"/>
          <w:lang w:eastAsia="en-AU"/>
        </w:rPr>
      </w:pPr>
      <w:r w:rsidRPr="00316F7E">
        <w:rPr>
          <w:rFonts w:ascii="Helvetica" w:hAnsi="Helvetica" w:cs="Helvetica"/>
          <w:sz w:val="21"/>
          <w:szCs w:val="21"/>
          <w:lang w:eastAsia="en-AU"/>
        </w:rPr>
        <w:t>Recommendation 2 – Ensure RRR contexts, challenges and opportunities are explicitly included in the selection and pre-service education of teachers, initial appointment processes and their on-going professional support</w:t>
      </w:r>
    </w:p>
    <w:p w14:paraId="47A083D9" w14:textId="77777777" w:rsidR="00316F7E" w:rsidRPr="00316F7E" w:rsidRDefault="00316F7E" w:rsidP="00316F7E">
      <w:pPr>
        <w:numPr>
          <w:ilvl w:val="0"/>
          <w:numId w:val="3"/>
        </w:numPr>
        <w:spacing w:before="240" w:after="240"/>
        <w:contextualSpacing/>
        <w:rPr>
          <w:rFonts w:ascii="Helvetica" w:hAnsi="Helvetica" w:cs="Helvetica"/>
          <w:sz w:val="21"/>
          <w:szCs w:val="21"/>
          <w:lang w:eastAsia="en-AU"/>
        </w:rPr>
      </w:pPr>
      <w:r w:rsidRPr="00316F7E">
        <w:rPr>
          <w:rFonts w:ascii="Helvetica" w:hAnsi="Helvetica" w:cs="Helvetica"/>
          <w:sz w:val="21"/>
          <w:szCs w:val="21"/>
          <w:lang w:eastAsia="en-AU"/>
        </w:rPr>
        <w:t>Recommendation 3 – Ensure RRR contexts, challenges and opportunities are explicitly included in the selection, preparation, appointment and on-going professional support of educational leaders</w:t>
      </w:r>
    </w:p>
    <w:p w14:paraId="73EEF0DF" w14:textId="77777777" w:rsidR="00316F7E" w:rsidRPr="00316F7E" w:rsidRDefault="00316F7E" w:rsidP="00316F7E">
      <w:pPr>
        <w:numPr>
          <w:ilvl w:val="0"/>
          <w:numId w:val="3"/>
        </w:numPr>
        <w:spacing w:before="240" w:after="240"/>
        <w:contextualSpacing/>
        <w:rPr>
          <w:rFonts w:ascii="Helvetica" w:hAnsi="Helvetica" w:cs="Helvetica"/>
          <w:sz w:val="21"/>
          <w:szCs w:val="21"/>
          <w:lang w:eastAsia="en-AU"/>
        </w:rPr>
      </w:pPr>
      <w:r w:rsidRPr="00316F7E">
        <w:rPr>
          <w:rFonts w:ascii="Helvetica" w:hAnsi="Helvetica" w:cs="Helvetica"/>
          <w:sz w:val="21"/>
          <w:szCs w:val="21"/>
          <w:lang w:eastAsia="en-AU"/>
        </w:rPr>
        <w:t xml:space="preserve">Recommendation 8 – Improve opportunities for regional, rural and remote schools to implement entrepreneurship in education through curriculum, teaching, system and cultural changes and building on good practice. </w:t>
      </w:r>
    </w:p>
    <w:p w14:paraId="309BA16F" w14:textId="77777777" w:rsidR="00316F7E" w:rsidRPr="00316F7E" w:rsidRDefault="00316F7E" w:rsidP="00316F7E">
      <w:pPr>
        <w:spacing w:before="160" w:after="160"/>
        <w:rPr>
          <w:rFonts w:ascii="Helvetica" w:hAnsi="Helvetica" w:cs="Helvetica"/>
          <w:sz w:val="21"/>
          <w:szCs w:val="21"/>
          <w:lang w:eastAsia="en-AU"/>
        </w:rPr>
      </w:pPr>
      <w:r w:rsidRPr="00316F7E">
        <w:rPr>
          <w:rFonts w:ascii="Helvetica" w:hAnsi="Helvetica" w:cs="Helvetica"/>
          <w:sz w:val="21"/>
          <w:szCs w:val="21"/>
          <w:lang w:eastAsia="en-AU"/>
        </w:rPr>
        <w:t>Professor Halsey noted that curriculum is critically important as it plays a defining role about what is taught and learnt in schools. He also noted that bringing the curriculum to life in regional, rural and remote contexts, and assessing its success, are major challenges particularly for the states and territories that are free to deliver the Australian Curriculum in ways that are best suited to their students.</w:t>
      </w:r>
    </w:p>
    <w:p w14:paraId="5D8CF411" w14:textId="77777777" w:rsidR="00316F7E" w:rsidRPr="00316F7E" w:rsidRDefault="00316F7E" w:rsidP="00316F7E">
      <w:pPr>
        <w:spacing w:before="160" w:after="160"/>
        <w:rPr>
          <w:rFonts w:ascii="Helvetica" w:hAnsi="Helvetica" w:cs="Helvetica"/>
          <w:sz w:val="21"/>
          <w:szCs w:val="21"/>
          <w:lang w:eastAsia="en-AU"/>
        </w:rPr>
      </w:pPr>
      <w:r w:rsidRPr="00316F7E">
        <w:rPr>
          <w:rFonts w:ascii="Helvetica" w:hAnsi="Helvetica" w:cs="Helvetica"/>
          <w:sz w:val="21"/>
          <w:szCs w:val="21"/>
          <w:lang w:eastAsia="en-AU"/>
        </w:rPr>
        <w:t>The Review refers to Professor John Hattie who stated in 2009 that teachers have the greatest in-school impact on student learning, and Professor Halsey therefore acknowledges that having a highly competent teacher workforce is critical to raising the achievements of students and their transitions to further study, training and employment.</w:t>
      </w:r>
    </w:p>
    <w:p w14:paraId="037C1ABA" w14:textId="77777777" w:rsidR="00316F7E" w:rsidRPr="00316F7E" w:rsidRDefault="00316F7E" w:rsidP="00316F7E">
      <w:pPr>
        <w:spacing w:before="160" w:after="160"/>
        <w:rPr>
          <w:rFonts w:ascii="Helvetica" w:hAnsi="Helvetica" w:cs="Helvetica"/>
          <w:sz w:val="21"/>
          <w:szCs w:val="21"/>
          <w:lang w:eastAsia="en-AU"/>
        </w:rPr>
      </w:pPr>
      <w:r w:rsidRPr="00316F7E">
        <w:rPr>
          <w:rFonts w:ascii="Helvetica" w:hAnsi="Helvetica" w:cs="Helvetica"/>
          <w:sz w:val="21"/>
          <w:szCs w:val="21"/>
          <w:lang w:eastAsia="en-AU"/>
        </w:rPr>
        <w:t>Professor Halsey also identifies that the impact of school leadership significantly affects student learning and that school leaders play a key role in improving outcomes through a number of channels.</w:t>
      </w:r>
    </w:p>
    <w:p w14:paraId="4B1A1049" w14:textId="77777777" w:rsidR="00316F7E" w:rsidRPr="00316F7E" w:rsidRDefault="00316F7E" w:rsidP="00316F7E">
      <w:pPr>
        <w:spacing w:before="160" w:after="160"/>
        <w:rPr>
          <w:rFonts w:ascii="Helvetica" w:hAnsi="Helvetica" w:cs="Helvetica"/>
          <w:sz w:val="21"/>
          <w:szCs w:val="21"/>
          <w:lang w:eastAsia="en-AU"/>
        </w:rPr>
      </w:pPr>
      <w:r w:rsidRPr="00316F7E">
        <w:rPr>
          <w:rFonts w:ascii="Helvetica" w:hAnsi="Helvetica" w:cs="Helvetica"/>
          <w:sz w:val="21"/>
          <w:szCs w:val="21"/>
          <w:lang w:eastAsia="en-AU"/>
        </w:rPr>
        <w:t xml:space="preserve">Professor Halsey also notes that attracting and retaining school leaders for regional, rural and remote schools, as with teachers, continues to be a major challenge for most education systems. </w:t>
      </w:r>
    </w:p>
    <w:p w14:paraId="41EF9BA2" w14:textId="77777777" w:rsidR="00316F7E" w:rsidRPr="00316F7E" w:rsidRDefault="00316F7E" w:rsidP="00316F7E">
      <w:pPr>
        <w:spacing w:before="160" w:after="160"/>
        <w:rPr>
          <w:rFonts w:ascii="Helvetica" w:hAnsi="Helvetica" w:cs="Helvetica"/>
          <w:sz w:val="21"/>
          <w:szCs w:val="21"/>
          <w:lang w:eastAsia="en-AU"/>
        </w:rPr>
      </w:pPr>
      <w:r w:rsidRPr="00316F7E">
        <w:rPr>
          <w:rFonts w:ascii="Helvetica" w:hAnsi="Helvetica" w:cs="Helvetica"/>
          <w:sz w:val="21"/>
          <w:szCs w:val="21"/>
          <w:lang w:eastAsia="en-AU"/>
        </w:rPr>
        <w:t>And finally under these recommendations, the Review identifies the opportunities that may be presented to students and youth in regional, rural and remote communities to create employment.  The review further states that this entrepreneurial education requires schools to reach out and engage with business and employers and adjust their approaches to ‘mainstream’ entrepreneurship.</w:t>
      </w:r>
    </w:p>
    <w:p w14:paraId="20326AE6" w14:textId="77777777" w:rsidR="00316F7E" w:rsidRPr="00316F7E" w:rsidRDefault="00316F7E" w:rsidP="0023708F">
      <w:pPr>
        <w:pStyle w:val="Heading2"/>
      </w:pPr>
      <w:r w:rsidRPr="00316F7E">
        <w:t>Australian Government response</w:t>
      </w:r>
    </w:p>
    <w:p w14:paraId="493BB340" w14:textId="77777777" w:rsidR="00316F7E" w:rsidRPr="00316F7E" w:rsidRDefault="00316F7E" w:rsidP="00316F7E">
      <w:pPr>
        <w:spacing w:before="160" w:after="160"/>
        <w:rPr>
          <w:rFonts w:ascii="Helvetica" w:hAnsi="Helvetica" w:cs="Helvetica"/>
          <w:sz w:val="21"/>
          <w:szCs w:val="21"/>
          <w:lang w:eastAsia="en-AU"/>
        </w:rPr>
      </w:pPr>
      <w:r w:rsidRPr="00316F7E">
        <w:rPr>
          <w:rFonts w:ascii="Helvetica" w:hAnsi="Helvetica" w:cs="Helvetica"/>
          <w:sz w:val="21"/>
          <w:szCs w:val="21"/>
          <w:lang w:eastAsia="en-AU"/>
        </w:rPr>
        <w:t>The Government supports these four recommendations.</w:t>
      </w:r>
    </w:p>
    <w:p w14:paraId="125872D9" w14:textId="77777777" w:rsidR="00316F7E" w:rsidRPr="00316F7E" w:rsidRDefault="00316F7E" w:rsidP="00316F7E">
      <w:pPr>
        <w:spacing w:before="160" w:after="160"/>
        <w:rPr>
          <w:rFonts w:ascii="Helvetica" w:hAnsi="Helvetica" w:cs="Helvetica"/>
          <w:sz w:val="21"/>
          <w:szCs w:val="21"/>
          <w:lang w:eastAsia="en-AU"/>
        </w:rPr>
      </w:pPr>
      <w:r w:rsidRPr="00316F7E">
        <w:rPr>
          <w:rFonts w:ascii="Helvetica" w:hAnsi="Helvetica" w:cs="Helvetica"/>
          <w:sz w:val="21"/>
          <w:szCs w:val="21"/>
          <w:lang w:eastAsia="en-AU"/>
        </w:rPr>
        <w:t>The Australian Curriculum has the broad support of all states and territories and from the review in 2014 is seen as a positive development in education in Australia. The relevance, context and application of the curriculum and the assessment of students’ progress are an important aspect of this Government’s focus on student success.</w:t>
      </w:r>
    </w:p>
    <w:p w14:paraId="663AA514" w14:textId="77777777" w:rsidR="00316F7E" w:rsidRPr="00316F7E" w:rsidRDefault="00316F7E" w:rsidP="00316F7E">
      <w:pPr>
        <w:spacing w:before="120" w:after="240"/>
        <w:rPr>
          <w:rFonts w:ascii="Helvetica" w:hAnsi="Helvetica" w:cs="Helvetica"/>
          <w:sz w:val="21"/>
          <w:szCs w:val="21"/>
          <w:lang w:eastAsia="en-AU"/>
        </w:rPr>
      </w:pPr>
      <w:r w:rsidRPr="00316F7E">
        <w:rPr>
          <w:rFonts w:ascii="Helvetica" w:hAnsi="Helvetica" w:cs="Helvetica"/>
          <w:sz w:val="21"/>
          <w:szCs w:val="21"/>
          <w:lang w:eastAsia="en-AU"/>
        </w:rPr>
        <w:t xml:space="preserve">The Australian Government also knows that having well trained and knowledgeable teachers and school leaders provides the foundation for a strong, high quality education system in Australia. Quality teachers are keys to driving student outcomes. That is why the Government established the Teacher Educational Ministerial Advisory Group (TEMAG) and why we are working collaboratively with states and territories in implementing the recommendations of TEMAG.  </w:t>
      </w:r>
    </w:p>
    <w:p w14:paraId="72DBDD95"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Given the terms of reference of the Excellence Review, and noting state and territory responsibilities, it was appropriate that recommendations 1, 2, and 3 be considered by that review to inform its recommendations to Government. The Excellence Review found that curriculum delivery and assessment needs to be tailored to meet the needs of all students, including those in rural, regional and remote schools, ensuring that students are set up for life beyond the classroom. It also championed the importance of identifying and supporting teachers and school leaders who choose to move to regional, rural and remote areas, acknowledging the importance of a skilled teaching workforce in improving student outcomes.</w:t>
      </w:r>
    </w:p>
    <w:p w14:paraId="77D09DDA"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With the Australian Government’s leadership role, we will consider these issues in the development of a new national school agreement and the ensuing bilateral agreements with states and territories from 2019. We will also work with all education ministers through Education Council to implement curriculum and assessment initiatives, and support programs and incentives to place quality teachers and leaders into regional, rural and remote schools.</w:t>
      </w:r>
    </w:p>
    <w:p w14:paraId="1944B6CC"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In parallel to this work, and to inform Education Council, the Government will task the Australian Institute of Teaching and School Leadership to undertake research into best practice approaches to teacher and school leader training, professional development and support for regional, rural and remote settings.  </w:t>
      </w:r>
    </w:p>
    <w:p w14:paraId="7C257AA9"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In relation to Recommendation 8, the Government recognises the importance of mainstreaming entrepreneurship in the curriculum and school systems as well as in relationships between teachers, students, parents, community and industry. It is an important element in preparing students for the changing nature of work.</w:t>
      </w:r>
    </w:p>
    <w:p w14:paraId="44DF9B55"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The Australian Curriculum: Work Studies and Economics and Business has specific content that details entrepreneurial skills and behaviours. Critical and creative thinking is also one of the seven general capabilities in the Australian Curriculum. Through critical and creative thinking, students are encouraged to develop enterprising behaviours, such as showing initiative and adaptability, and to develop entrepreneurial approaches to imagine possibilities, consider alternatives, test hypotheses, seek and create innovating pathways and draw conclusions. Our challenge is to bring these worlds together – of entrepreneurs and curriculum – and how to best engage, including through initiatives such as P-TECH and the National Career Education Strategy. </w:t>
      </w:r>
    </w:p>
    <w:p w14:paraId="5156E21F"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The Department of Jobs and Small Business’s Entrepreneurship Facilitators helps young entrepreneurs access assistance to start their own business and connects them to existing programs including the New Enterprise Incentive Scheme. The Entrepreneurship Facilitators work in Cairns, the Hunter Region and Launceston.</w:t>
      </w:r>
    </w:p>
    <w:p w14:paraId="0D2D9BBA"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The Australian Government will work across departments and agencies to identify the most appropriate way to engage entrepreneurs in education, including assessing relevant funding program guidelines to ensure explicit links to education and training are included.</w:t>
      </w:r>
    </w:p>
    <w:p w14:paraId="29BBE798" w14:textId="77777777" w:rsidR="00316F7E" w:rsidRPr="00316F7E" w:rsidRDefault="00316F7E" w:rsidP="0023708F">
      <w:pPr>
        <w:pStyle w:val="Heading1"/>
      </w:pPr>
      <w:bookmarkStart w:id="6" w:name="_Toc515373079"/>
      <w:r w:rsidRPr="00316F7E">
        <w:t>Improving information and communications technology (ICT) – Recommendations 9 and 10</w:t>
      </w:r>
      <w:bookmarkEnd w:id="6"/>
    </w:p>
    <w:p w14:paraId="28B06E76"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The IRRRRE explored the provision and use of ICT in the delivery of education in the regional, rural and remote setting. Not surprisingly Professor Halsey found that access to technology and the internet is an issue for schools, students and families. He further identified that the level of teacher expertise presented a challenge to the delivery of education. His recommendations included:</w:t>
      </w:r>
    </w:p>
    <w:p w14:paraId="138A8035" w14:textId="77777777" w:rsidR="00316F7E" w:rsidRPr="00316F7E" w:rsidRDefault="00316F7E" w:rsidP="00316F7E">
      <w:pPr>
        <w:numPr>
          <w:ilvl w:val="0"/>
          <w:numId w:val="4"/>
        </w:numPr>
        <w:spacing w:before="240" w:after="240"/>
        <w:contextualSpacing/>
        <w:rPr>
          <w:rFonts w:ascii="Helvetica" w:hAnsi="Helvetica" w:cs="Helvetica"/>
          <w:sz w:val="21"/>
          <w:szCs w:val="21"/>
          <w:lang w:eastAsia="en-AU"/>
        </w:rPr>
      </w:pPr>
      <w:r w:rsidRPr="00316F7E">
        <w:rPr>
          <w:rFonts w:ascii="Helvetica" w:hAnsi="Helvetica" w:cs="Helvetica"/>
          <w:sz w:val="21"/>
          <w:szCs w:val="21"/>
          <w:lang w:eastAsia="en-AU"/>
        </w:rPr>
        <w:t>Recommendation 9 – Improve the availability, accessibility and affordability of Information and Communications Technology for RRR schools, teachers, students, parents and communities</w:t>
      </w:r>
    </w:p>
    <w:p w14:paraId="436534D7" w14:textId="77777777" w:rsidR="00F76DBF" w:rsidRPr="0023708F" w:rsidRDefault="00316F7E" w:rsidP="0023708F">
      <w:pPr>
        <w:numPr>
          <w:ilvl w:val="0"/>
          <w:numId w:val="4"/>
        </w:numPr>
        <w:spacing w:before="240" w:after="240"/>
        <w:contextualSpacing/>
        <w:rPr>
          <w:rFonts w:ascii="Helvetica" w:hAnsi="Helvetica" w:cs="Helvetica"/>
          <w:sz w:val="21"/>
          <w:szCs w:val="21"/>
          <w:lang w:eastAsia="en-AU"/>
        </w:rPr>
      </w:pPr>
      <w:r w:rsidRPr="00316F7E">
        <w:rPr>
          <w:rFonts w:ascii="Helvetica" w:hAnsi="Helvetica" w:cs="Helvetica"/>
          <w:sz w:val="21"/>
          <w:szCs w:val="21"/>
          <w:lang w:eastAsia="en-AU"/>
        </w:rPr>
        <w:t>Recommendation 10 – Support RRR communities to implement innovative approaches to education delivery designed to improve education access and outcomes for students living in remote communities.</w:t>
      </w:r>
    </w:p>
    <w:p w14:paraId="1CA8EFCE" w14:textId="77777777" w:rsidR="00316F7E" w:rsidRPr="00316F7E" w:rsidRDefault="00316F7E" w:rsidP="0023708F">
      <w:pPr>
        <w:pStyle w:val="Heading2"/>
      </w:pPr>
      <w:r w:rsidRPr="00316F7E">
        <w:t>Australian Government response</w:t>
      </w:r>
    </w:p>
    <w:p w14:paraId="18046132"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The Government supports these recommendations and recognises the vital importance of communications to schools, teachers, parents and communities in regional, rural and remote Australia. Increasing the availability and opportunities to use ICT to improve education access and outcomes is an important element of success, particularly for our regional, rural and remote schools and students. </w:t>
      </w:r>
    </w:p>
    <w:p w14:paraId="7B1166D8"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Recommendation 10 was considered by the Excellence Review. The Excellence Review took a broad view and focussed on the importance of innovation across the whole schooling system. It found that innovation must be supported by evidence and data, can be identified through good practices and built upon by actively encouraging continuous improvement, as well as through ensuring teachers have opportunities to work collaboratively and time to devote to professional learning.</w:t>
      </w:r>
    </w:p>
    <w:p w14:paraId="65A368B3"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There is an increasing focus across Australia on digital access, literacy and application as the future of education and the world of work changes. That is why the Australian Curriculum includes a focus on digital skills and why this Government is continuing to invest in education initiatives such as the Inspiring all Australians in Digital Literacy and science, technology, engineering and mathematics (STEM) measures as part of the National Innovation and Science Agenda (NISA). </w:t>
      </w:r>
    </w:p>
    <w:p w14:paraId="48F47B29"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While this is much broader than regional, rural and remote settings, this Government recognises the impact of the digital divide among the most disadvantaged students, including those living in rural and remote areas. For example, the National Broadband Network (NBN) Co’s Sky Muster satellite services became available on 29 April 2016. This Government prioritised work with NBN Co, the Isolated Children’s Parents’ Association and the education sector to develop a special product so distance education students could have the additional data they need to get the most out of their studies. As of 25 January 2018, 683 students across regional, rural and remote Australia were benefitting from the Sky Muster distance education product.</w:t>
      </w:r>
    </w:p>
    <w:p w14:paraId="6625AF74"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One of the priorities for this Government in 2018 will be to further improve the delivery of education services over Sky Muster, including home-schooled students that are isolated for geographic/medical reasons. In addition, schools, emergency services and health facilities in the Sky Muster footprint are also able to access special NBN ‘Public Interest Premises’ packages to help them do their vital work for regional, rural and remote communities. A data allowance of up to 300GB per month may be allowed. As of 25 January 2018 there were 103 primary and secondary schools in the Sky Muster footprint using the PIP satellite service. </w:t>
      </w:r>
    </w:p>
    <w:p w14:paraId="4EC8F3FE"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On 29 January 2018 NBN Co announced a trial of multicast technology over the Sky Muster service for 15 distance education schools across the Northern Territory. The technology will enable satellite retailers to deliver content simultaneously to multiple users with uninterrupted, quality streaming and improved video conferencing. These services are intended for use by schools delivering distance education services to remote students such as School of the Air. Subject to the results of the trial, NBN Co plans to roll-out the technology to regional and remote locations across Australia from late 2018. </w:t>
      </w:r>
    </w:p>
    <w:p w14:paraId="0E4544F9"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These initiatives are part of the Government’s on-going commitment to increase the opportunities which access to fast broadband can provide to rural and remote parts of Australia.</w:t>
      </w:r>
    </w:p>
    <w:p w14:paraId="1273B4F0" w14:textId="77777777" w:rsidR="00316F7E" w:rsidRPr="00316F7E" w:rsidRDefault="00316F7E" w:rsidP="0023708F">
      <w:pPr>
        <w:pStyle w:val="Heading1"/>
      </w:pPr>
      <w:bookmarkStart w:id="7" w:name="_Toc515373080"/>
      <w:r w:rsidRPr="00316F7E">
        <w:t>Enhancing transitions into and out of school – Recommendations 4, 5, 6 and 7</w:t>
      </w:r>
      <w:bookmarkEnd w:id="7"/>
    </w:p>
    <w:p w14:paraId="7BF122AA"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Professor Halsey identifies in his report the importance of identifying early the educational and associated support needs of students to give them a strong start at school. He also identifies the connection with students through their schooling experience is critical to their long term success throughout school and in the choices and directions they take towards further education or employment. </w:t>
      </w:r>
    </w:p>
    <w:p w14:paraId="6CCBDEE6" w14:textId="77777777" w:rsidR="00316F7E" w:rsidRPr="00316F7E" w:rsidRDefault="00316F7E" w:rsidP="00316F7E">
      <w:pPr>
        <w:keepNext/>
        <w:spacing w:before="240" w:after="240"/>
        <w:rPr>
          <w:rFonts w:ascii="Helvetica" w:hAnsi="Helvetica" w:cs="Helvetica"/>
          <w:sz w:val="21"/>
          <w:szCs w:val="21"/>
          <w:lang w:eastAsia="en-AU"/>
        </w:rPr>
      </w:pPr>
      <w:r w:rsidRPr="00316F7E">
        <w:rPr>
          <w:rFonts w:ascii="Helvetica" w:hAnsi="Helvetica" w:cs="Helvetica"/>
          <w:sz w:val="21"/>
          <w:szCs w:val="21"/>
          <w:lang w:eastAsia="en-AU"/>
        </w:rPr>
        <w:t>Professor Halsey made four recommendations relating to these important transitions:</w:t>
      </w:r>
    </w:p>
    <w:p w14:paraId="6433033B" w14:textId="77777777" w:rsidR="00316F7E" w:rsidRPr="00316F7E" w:rsidRDefault="00316F7E" w:rsidP="00316F7E">
      <w:pPr>
        <w:numPr>
          <w:ilvl w:val="0"/>
          <w:numId w:val="5"/>
        </w:numPr>
        <w:spacing w:before="240" w:after="240"/>
        <w:contextualSpacing/>
        <w:rPr>
          <w:rFonts w:ascii="Helvetica" w:hAnsi="Helvetica" w:cs="Helvetica"/>
          <w:sz w:val="21"/>
          <w:szCs w:val="21"/>
          <w:lang w:eastAsia="en-AU"/>
        </w:rPr>
      </w:pPr>
      <w:r w:rsidRPr="00316F7E">
        <w:rPr>
          <w:rFonts w:ascii="Helvetica" w:hAnsi="Helvetica" w:cs="Helvetica"/>
          <w:sz w:val="21"/>
          <w:szCs w:val="21"/>
          <w:lang w:eastAsia="en-AU"/>
        </w:rPr>
        <w:t xml:space="preserve">Recommendation 4 – Ensure RRR children start school with a strong foundation for learning </w:t>
      </w:r>
    </w:p>
    <w:p w14:paraId="140FDB02" w14:textId="77777777" w:rsidR="00316F7E" w:rsidRPr="00316F7E" w:rsidRDefault="00316F7E" w:rsidP="00316F7E">
      <w:pPr>
        <w:numPr>
          <w:ilvl w:val="0"/>
          <w:numId w:val="5"/>
        </w:numPr>
        <w:spacing w:before="240" w:after="240"/>
        <w:contextualSpacing/>
        <w:rPr>
          <w:rFonts w:ascii="Helvetica" w:hAnsi="Helvetica" w:cs="Helvetica"/>
          <w:sz w:val="21"/>
          <w:szCs w:val="21"/>
          <w:lang w:eastAsia="en-AU"/>
        </w:rPr>
      </w:pPr>
      <w:r w:rsidRPr="00316F7E">
        <w:rPr>
          <w:rFonts w:ascii="Helvetica" w:hAnsi="Helvetica" w:cs="Helvetica"/>
          <w:sz w:val="21"/>
          <w:szCs w:val="21"/>
          <w:lang w:eastAsia="en-AU"/>
        </w:rPr>
        <w:t>Recommendation 5 – Expand the availability, affordability and accessibility of high quality work experience placements, VET, dual VET/university options and two year associate degree programs for RRR students</w:t>
      </w:r>
    </w:p>
    <w:p w14:paraId="3F5196C5" w14:textId="77777777" w:rsidR="00316F7E" w:rsidRPr="00316F7E" w:rsidRDefault="00316F7E" w:rsidP="00316F7E">
      <w:pPr>
        <w:numPr>
          <w:ilvl w:val="0"/>
          <w:numId w:val="5"/>
        </w:numPr>
        <w:spacing w:before="240" w:after="240"/>
        <w:contextualSpacing/>
        <w:rPr>
          <w:rFonts w:ascii="Helvetica" w:hAnsi="Helvetica" w:cs="Helvetica"/>
          <w:sz w:val="21"/>
          <w:szCs w:val="21"/>
          <w:lang w:eastAsia="en-AU"/>
        </w:rPr>
      </w:pPr>
      <w:r w:rsidRPr="00316F7E">
        <w:rPr>
          <w:rFonts w:ascii="Helvetica" w:hAnsi="Helvetica" w:cs="Helvetica"/>
          <w:sz w:val="21"/>
          <w:szCs w:val="21"/>
          <w:lang w:eastAsia="en-AU"/>
        </w:rPr>
        <w:t>Recommendation 6 – Support RRR students to make successful transitions from school to university, training, employment and combinations of them</w:t>
      </w:r>
    </w:p>
    <w:p w14:paraId="3811E280" w14:textId="77777777" w:rsidR="00316F7E" w:rsidRPr="00316F7E" w:rsidRDefault="00316F7E" w:rsidP="00316F7E">
      <w:pPr>
        <w:numPr>
          <w:ilvl w:val="0"/>
          <w:numId w:val="5"/>
        </w:numPr>
        <w:spacing w:before="240" w:after="240"/>
        <w:contextualSpacing/>
        <w:rPr>
          <w:rFonts w:ascii="Helvetica" w:hAnsi="Helvetica" w:cs="Helvetica"/>
          <w:sz w:val="21"/>
          <w:szCs w:val="21"/>
          <w:lang w:eastAsia="en-AU"/>
        </w:rPr>
      </w:pPr>
      <w:r w:rsidRPr="00316F7E">
        <w:rPr>
          <w:rFonts w:ascii="Helvetica" w:hAnsi="Helvetica" w:cs="Helvetica"/>
          <w:sz w:val="21"/>
          <w:szCs w:val="21"/>
          <w:lang w:eastAsia="en-AU"/>
        </w:rPr>
        <w:t>Recommendation 7 – Encourage the philanthropic sector to play a greater role in raising achievements and improving opportunities for RRR students.</w:t>
      </w:r>
    </w:p>
    <w:p w14:paraId="212B27A9" w14:textId="77777777" w:rsidR="00316F7E" w:rsidRPr="00316F7E" w:rsidRDefault="00316F7E" w:rsidP="0023708F">
      <w:pPr>
        <w:pStyle w:val="Heading2"/>
      </w:pPr>
      <w:r w:rsidRPr="00316F7E">
        <w:t>Australian Government response</w:t>
      </w:r>
    </w:p>
    <w:p w14:paraId="0F9D4C19"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The Government supports these recommendations noting that recommendations 4 and 7 in particular were considered by the Excellence Review. Both reviews highlight the importance of a high quality early education provision and the importance of building confidence and capability in children prior to the commencement of formal schooling.  Similarly, the Council of Australian Governments (COAG) has asked the Education Council, comprising Education Ministers from the Australian Government and all states and territories, to provide advice in 2018 on early learning reform principles informed by the </w:t>
      </w:r>
      <w:r w:rsidRPr="009332C1">
        <w:rPr>
          <w:rFonts w:ascii="Helvetica" w:hAnsi="Helvetica" w:cs="Helvetica"/>
          <w:sz w:val="21"/>
          <w:szCs w:val="21"/>
          <w:lang w:eastAsia="en-AU"/>
        </w:rPr>
        <w:t xml:space="preserve">Lifting Our Game: Report of the </w:t>
      </w:r>
      <w:r w:rsidRPr="009332C1">
        <w:rPr>
          <w:rFonts w:ascii="Helvetica" w:hAnsi="Helvetica" w:cs="Helvetica"/>
          <w:i/>
          <w:sz w:val="21"/>
          <w:szCs w:val="21"/>
          <w:lang w:eastAsia="en-AU"/>
        </w:rPr>
        <w:t>Review to Achieve Educational Excellence in Australian Schools through Early Childhood Interventions.</w:t>
      </w:r>
      <w:r w:rsidRPr="00316F7E">
        <w:rPr>
          <w:rFonts w:ascii="Helvetica" w:hAnsi="Helvetica" w:cs="Helvetica"/>
          <w:sz w:val="21"/>
          <w:szCs w:val="21"/>
          <w:lang w:eastAsia="en-AU"/>
        </w:rPr>
        <w:t xml:space="preserve">  </w:t>
      </w:r>
    </w:p>
    <w:p w14:paraId="207D1C6C"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As with all recommendations there are opportunities to work closely with states and territories. In the vocational education and training (VET) space the Commonwealth will continue to engage with Skills Ministers through the COAG Industry and Skills Council and to increase the quality and raise the status of this important sector. Considerations may include the place of TAFE in the regions as identified by Professor Halsey.</w:t>
      </w:r>
      <w:r w:rsidRPr="00316F7E">
        <w:t xml:space="preserve"> </w:t>
      </w:r>
      <w:r w:rsidRPr="00316F7E">
        <w:rPr>
          <w:rFonts w:ascii="Helvetica" w:hAnsi="Helvetica" w:cs="Helvetica"/>
          <w:sz w:val="21"/>
          <w:szCs w:val="21"/>
          <w:lang w:eastAsia="en-AU"/>
        </w:rPr>
        <w:t>The Government is working with the states and territories on the new National Partnership for the Skilling Australians Fund. This new agreement will support more people to choose and succeed in an apprenticeship or traineeship pathway, and for employers to gain the skilled workers they need to drive innovation and growth. States and territories will need to commit matched funding and develop projects that support apprenticeships and traineeships across a range of agreed priority areas, including rural and regional areas. To ensure successful outcomes, they are also required to engage with, and seek support from, employers and industry in the development of their projects.</w:t>
      </w:r>
    </w:p>
    <w:p w14:paraId="7AB81DB1"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In relation to recommendation 5, the Government is keen to ensure that VET and higher education pathways offer regional, rural and remote students the opportunity to continue their education and contribute to building prosperous, sustainable communities. </w:t>
      </w:r>
    </w:p>
    <w:p w14:paraId="045813EE"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Over the next four years (2018-19 to 2021-22) through the Commonwealth Grant Scheme, the Turnbull Government will invest around $28.4 billion in direct subsidies to higher education providers to support over 800,000 students each year. Over the same period, the Turnbull Government will invest around $300 million in regional loading to universities with regional campuses in recognition of the cost of provision in regional settings. </w:t>
      </w:r>
    </w:p>
    <w:p w14:paraId="4201320E"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The Government is providing $28.2 million in the 2018-19 Budget to expand the availability of sub-bachelor (including enabling) places to allow greater access to higher education for rural and regional students. It is estimated that this will provide around 500 additional commencing sub-bachelor and enabling Commonwealth supported places from 2019. These places will only be available to those institutions that operate in regional areas. The allocation of places to enabling and sub bachelor places will be determined following consultation with the sector. Places will be allocated through a competitive process prioritising regional needs and capacity to deliver solutions to those needs.</w:t>
      </w:r>
    </w:p>
    <w:p w14:paraId="42EA1D73"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The Regional Study Hubs, announced as part of the 2017-18 Budget, will provide infrastructure such as study spaces, video conferencing, computing facilities and internet access, as well as pastoral and academic support for students studying via distance at partner universities. The Government has committed $16.7 million in funding to support the establishment and ongoing operational costs of up to eight community-owned study hubs across regional Australia. </w:t>
      </w:r>
    </w:p>
    <w:p w14:paraId="2A78A0DE"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In response to the IRRRRE, the Government is providing  $14 million in the 2018-19 Budget to fully support an additional 500 Commonwealth supported places (CSPs) for rural and regional students. Eligibility would be limited to places for students studying at regional study hubs. Funding sufficient for an additional 185 CSPs would be available annually from 1 January 2019, growing to around 500 CSPs by 2022.</w:t>
      </w:r>
    </w:p>
    <w:p w14:paraId="70C02130"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The Australian Government commissioned a review of the affordability of university accommodation for regional, rural and remote students. The report makes clear that accessible information about accommodation options is important for students in making their decisions to relocate for study. Universities will be asked to ensure that such material is available to meet the information needs of regional, rural and remote students. Universities will also be encouraged to offer an accommodation guarantee to regional, rural and remote students, particularly those from low SES backgrounds, concurrent with their offer of a place.</w:t>
      </w:r>
    </w:p>
    <w:p w14:paraId="15C625A7"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To facilitate greater transparency for this information, the Government will commission a project through the Higher Education Participation and Partnerships Program National Priorities Pool to undertake an annual assessment of the support that universities offer regional, rural and remote students on transition to university, including but not limited to accommodation. The results will be published through the national admissions platform and on the Quality Indicators of Learning and Teaching (QILT) website. The first assessment will be undertaken in mid-to-late 2018 to inform 2019 enrolments. </w:t>
      </w:r>
    </w:p>
    <w:p w14:paraId="6D9F2AD7"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In responding to recommendation 6, the Government</w:t>
      </w:r>
      <w:r w:rsidRPr="00316F7E">
        <w:t xml:space="preserve"> </w:t>
      </w:r>
      <w:r w:rsidRPr="00316F7E">
        <w:rPr>
          <w:rFonts w:ascii="Helvetica" w:hAnsi="Helvetica" w:cs="Helvetica"/>
          <w:sz w:val="21"/>
          <w:szCs w:val="21"/>
          <w:lang w:eastAsia="en-AU"/>
        </w:rPr>
        <w:t xml:space="preserve">is committed to giving all Australians an opportunity to gain a first class education. It acknowledges the financial difficulties which some students and their families may experience in undertaking education and training and has a number of measures in place to assist people financially. </w:t>
      </w:r>
    </w:p>
    <w:p w14:paraId="0E3B7CA2"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The Government agrees with the call for greater support for rural students to move successfully to further study, employment or training.  It is important that schools, businesses and families work together to help young people continue their education and training and create a productive, skilled and knowledgeable future workforce.</w:t>
      </w:r>
    </w:p>
    <w:p w14:paraId="1B291684"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The Australian Government will continue to provide programs and initiatives that support young people move from school to further education, training, or work.  These include the </w:t>
      </w:r>
      <w:hyperlink r:id="rId10" w:history="1">
        <w:r w:rsidRPr="00316F7E">
          <w:rPr>
            <w:rFonts w:ascii="Helvetica" w:hAnsi="Helvetica" w:cs="Helvetica"/>
            <w:sz w:val="21"/>
            <w:szCs w:val="21"/>
            <w:lang w:eastAsia="en-AU"/>
          </w:rPr>
          <w:t>Preparing Secondary Students for Work framework</w:t>
        </w:r>
      </w:hyperlink>
      <w:r w:rsidRPr="00316F7E">
        <w:rPr>
          <w:rFonts w:ascii="Helvetica" w:hAnsi="Helvetica" w:cs="Helvetica"/>
          <w:sz w:val="21"/>
          <w:szCs w:val="21"/>
          <w:lang w:eastAsia="en-AU"/>
        </w:rPr>
        <w:t xml:space="preserve">, a new high level </w:t>
      </w:r>
      <w:hyperlink r:id="rId11" w:history="1">
        <w:r w:rsidRPr="00316F7E">
          <w:rPr>
            <w:rFonts w:ascii="Helvetica" w:hAnsi="Helvetica" w:cs="Helvetica"/>
            <w:sz w:val="21"/>
            <w:szCs w:val="21"/>
            <w:lang w:eastAsia="en-AU"/>
          </w:rPr>
          <w:t>National Career Education Strategy</w:t>
        </w:r>
      </w:hyperlink>
      <w:r w:rsidRPr="00316F7E">
        <w:rPr>
          <w:rFonts w:ascii="Helvetica" w:hAnsi="Helvetica" w:cs="Helvetica"/>
          <w:sz w:val="21"/>
          <w:szCs w:val="21"/>
          <w:lang w:eastAsia="en-AU"/>
        </w:rPr>
        <w:t xml:space="preserve"> in 2018, the highly successful </w:t>
      </w:r>
      <w:hyperlink r:id="rId12" w:history="1">
        <w:r w:rsidRPr="00316F7E">
          <w:rPr>
            <w:rFonts w:ascii="Helvetica" w:hAnsi="Helvetica" w:cs="Helvetica"/>
            <w:sz w:val="21"/>
            <w:szCs w:val="21"/>
            <w:lang w:eastAsia="en-AU"/>
          </w:rPr>
          <w:t>Pathways in Technology (P-TECH) pilot</w:t>
        </w:r>
      </w:hyperlink>
      <w:r w:rsidRPr="00316F7E">
        <w:rPr>
          <w:rFonts w:ascii="Helvetica" w:hAnsi="Helvetica" w:cs="Helvetica"/>
          <w:sz w:val="21"/>
          <w:szCs w:val="21"/>
          <w:lang w:eastAsia="en-AU"/>
        </w:rPr>
        <w:t>s, the $1.5 billion Skilling Australians Fund, JobActive, the Transition to Work Program, the Parents Next program from July 2018, Youth Jobs PaTH and the National Work Experience Program.</w:t>
      </w:r>
    </w:p>
    <w:p w14:paraId="12517A42"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More specifically, the $24 million Regional and Rural Enterprise Scholarships Program aims to improve access to educational opportunities for regional, rural and remote students. The program will provide at least 1200 undergraduate, postgraduate and VET students a scholarship to study STEM disciplines, including health and agriculture.  The scholarships are valued at up to $18,000 each with at least 600 scholarships allocated in each academic year 2018 and 2019. Students may receive a further $500 to support an internship.</w:t>
      </w:r>
    </w:p>
    <w:p w14:paraId="5ACBE135"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In continuing to respond to Recommendation 6 about successful transitions from school to further education and training, the Government will investigate further improvements for online information for career advisers and students regarding post-school options.  The Government administers Job Jumpstart, which is a one-stop-shop for young people seeking employment planning and job search information.  The Job Outlook website also assists young people to make decisions about study, training, their first job and the next steps in their career.</w:t>
      </w:r>
    </w:p>
    <w:p w14:paraId="5A8BA709"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There are numerous Government support options available to regional, rural and remote students who are making the transition to tertiary education. Youth Allowance, Austudy, and ABSTUDY all provide a fortnightly income for those eligible. Students receiving these payments may also be eligible for Commonwealth Rent Assistance, Student Start-up Loans and Relocation Scholarships.  The government also provides Rural and Regional Enterprise Scholarships. Additionally, the majority of universities offer scholarships and bursaries which are available to regional rural and remote students.</w:t>
      </w:r>
    </w:p>
    <w:p w14:paraId="3A93FCFB"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There has been significant work undertaken to improve the MySkills, MyFuture and QILT websites.  The sector-led admissions transparency work is delivering a national higher education admissions platform that will provide easy access to clear, concise and comparable information on course options and admission requirements. This will have a major benefit for all students facing disadvantage, including students from regional, rural and remote areas who may be less familiar with higher education opportunities and admissions requirements. </w:t>
      </w:r>
    </w:p>
    <w:p w14:paraId="5A5CF48F"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Nevertheless, there can be further improvements to address the specific needs of regional, rural and remote students and for career advisers in schools to better link existing information in user-friendly ways.</w:t>
      </w:r>
    </w:p>
    <w:p w14:paraId="3B1F07D0"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 xml:space="preserve">In 2017, the Government changed the Youth Allowance ‘workforce participation’ independence criteria for students from regional, rural or remote areas who must move away from home to study.  From 1 January 2018, regional and remote students who have been self supporting over a 14 month period (instead of the previous 18 month period) since leaving school, who have earned 75% or more of Wage Level A of the National Training Wage Schedule included in a modern award, and have parental income under $150,000 are able to qualify as independent for Youth Allowance. </w:t>
      </w:r>
    </w:p>
    <w:p w14:paraId="307B85B0"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In response to recommendation 6, the Government will improve regional students’ access to Youth Allowance by lifting the parental income cut-off for the ‘workforce’ participation’ independence criterion.</w:t>
      </w:r>
    </w:p>
    <w:p w14:paraId="0DC48396" w14:textId="77777777" w:rsidR="00316F7E" w:rsidRPr="00316F7E" w:rsidRDefault="00316F7E" w:rsidP="00316F7E">
      <w:pPr>
        <w:spacing w:before="240" w:after="240"/>
        <w:rPr>
          <w:rFonts w:ascii="Helvetica" w:hAnsi="Helvetica"/>
          <w:sz w:val="21"/>
          <w:szCs w:val="21"/>
          <w:lang w:eastAsia="en-AU"/>
        </w:rPr>
      </w:pPr>
      <w:r w:rsidRPr="00316F7E">
        <w:rPr>
          <w:rFonts w:ascii="Helvetica" w:hAnsi="Helvetica"/>
          <w:sz w:val="21"/>
          <w:szCs w:val="21"/>
          <w:lang w:eastAsia="en-AU"/>
        </w:rPr>
        <w:t xml:space="preserve">The ‘workforce participation’ independence criterion for regional students was introduced in 2011 to address lower participation rates of regional students in tertiary education.  Its $150,000 parental income cut-off was designed so the criterion targeted families who faced significant financial costs in their family budget when having to support children who must relocate to study.  Since 2011 the parental income cut-off of $150,000 has not changed.  Consequently, the numbers of students qualifying as ‘independent’ under the criterion has halved since 2013. </w:t>
      </w:r>
    </w:p>
    <w:p w14:paraId="46F8D261" w14:textId="77777777" w:rsidR="00316F7E" w:rsidRPr="00316F7E" w:rsidRDefault="00316F7E" w:rsidP="00316F7E">
      <w:pPr>
        <w:spacing w:before="240" w:after="240"/>
        <w:rPr>
          <w:rFonts w:ascii="Helvetica" w:hAnsi="Helvetica"/>
          <w:sz w:val="21"/>
          <w:szCs w:val="21"/>
          <w:lang w:eastAsia="en-AU"/>
        </w:rPr>
      </w:pPr>
      <w:r w:rsidRPr="00316F7E">
        <w:rPr>
          <w:rFonts w:ascii="Helvetica" w:hAnsi="Helvetica"/>
          <w:sz w:val="21"/>
          <w:szCs w:val="21"/>
          <w:lang w:eastAsia="en-AU"/>
        </w:rPr>
        <w:t>Because the cut-off has not increased, students from families that would have been eligible in 2011 no longer qualify.  Students with both parents earning around $80,000 each from jobs like teaching or nursing, miss out.</w:t>
      </w:r>
    </w:p>
    <w:p w14:paraId="52ABB89E" w14:textId="77777777" w:rsidR="00316F7E" w:rsidRPr="00316F7E" w:rsidRDefault="00316F7E" w:rsidP="00316F7E">
      <w:pPr>
        <w:spacing w:before="240" w:after="240"/>
        <w:rPr>
          <w:rFonts w:ascii="Helvetica" w:hAnsi="Helvetica"/>
          <w:sz w:val="21"/>
          <w:szCs w:val="21"/>
          <w:lang w:eastAsia="en-AU"/>
        </w:rPr>
      </w:pPr>
      <w:r w:rsidRPr="00316F7E">
        <w:rPr>
          <w:rFonts w:ascii="Helvetica" w:hAnsi="Helvetica"/>
          <w:sz w:val="21"/>
          <w:szCs w:val="21"/>
          <w:lang w:eastAsia="en-AU"/>
        </w:rPr>
        <w:t>The Government will increase the cut-off from $150,000 to $160,000, plus an additional $10,000 increase to the cut-off for each additional child in the family.  This is designed to recognise the extra costs of raising larger families.  Increasing the cut-off to $160,000 and adding on $10,000 per additional child will mean that for families with two children the cut off will be $170,000 and for a family with three children the cut off would be $180,000.  The Government will also provide students with additional certainty about whether they will meet this parental income cut-off, by making the year in which the parental income is assessed the financial year preceding the beginning of the student’s 14 month self-supporting period which forms part of the independence criterion. This way, students will know before they decide to take a gap year to work whether their parental income will be under the cut-off.</w:t>
      </w:r>
    </w:p>
    <w:p w14:paraId="20D65606" w14:textId="77777777" w:rsidR="00316F7E" w:rsidRPr="00316F7E" w:rsidRDefault="00316F7E" w:rsidP="00316F7E">
      <w:pPr>
        <w:spacing w:before="240" w:after="240"/>
        <w:rPr>
          <w:rFonts w:ascii="Helvetica" w:hAnsi="Helvetica"/>
          <w:sz w:val="21"/>
          <w:szCs w:val="21"/>
          <w:lang w:eastAsia="en-AU"/>
        </w:rPr>
      </w:pPr>
      <w:r w:rsidRPr="00316F7E">
        <w:rPr>
          <w:rFonts w:ascii="Helvetica" w:hAnsi="Helvetica"/>
          <w:sz w:val="21"/>
          <w:szCs w:val="21"/>
          <w:lang w:eastAsia="en-AU"/>
        </w:rPr>
        <w:t>It is expected the number of regional students who qualify for Youth Allowance under this criterion will increase by 75 per cent due to these reforms.</w:t>
      </w:r>
    </w:p>
    <w:p w14:paraId="59AEE8BD" w14:textId="77777777" w:rsidR="00316F7E" w:rsidRPr="00316F7E" w:rsidRDefault="00316F7E" w:rsidP="0023708F">
      <w:pPr>
        <w:pStyle w:val="Heading1"/>
      </w:pPr>
      <w:bookmarkStart w:id="8" w:name="_Toc515373081"/>
      <w:r w:rsidRPr="00316F7E">
        <w:t>Next Steps</w:t>
      </w:r>
      <w:bookmarkEnd w:id="8"/>
      <w:r w:rsidRPr="00316F7E">
        <w:t xml:space="preserve"> </w:t>
      </w:r>
    </w:p>
    <w:p w14:paraId="26237C38"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The Australian Government will work to implement the series of initiatives outlined in this response that support regional, rural and remote students in collaboration where possible.</w:t>
      </w:r>
    </w:p>
    <w:p w14:paraId="3A6136DA" w14:textId="77777777" w:rsidR="00316F7E" w:rsidRPr="00316F7E" w:rsidRDefault="00316F7E" w:rsidP="00316F7E">
      <w:pPr>
        <w:spacing w:before="240" w:after="240"/>
        <w:rPr>
          <w:rFonts w:ascii="Helvetica" w:hAnsi="Helvetica" w:cs="Helvetica"/>
          <w:sz w:val="21"/>
          <w:szCs w:val="21"/>
          <w:lang w:eastAsia="en-AU"/>
        </w:rPr>
      </w:pPr>
      <w:r w:rsidRPr="00316F7E">
        <w:rPr>
          <w:rFonts w:ascii="Helvetica" w:hAnsi="Helvetica" w:cs="Helvetica"/>
          <w:sz w:val="21"/>
          <w:szCs w:val="21"/>
          <w:lang w:eastAsia="en-AU"/>
        </w:rPr>
        <w:t>The Government will work with Education Council and the Industry and Skills Council and build a strong evidence base for what works in supporting regional, rural and remote education and training.</w:t>
      </w:r>
    </w:p>
    <w:p w14:paraId="3E82201D" w14:textId="77777777" w:rsidR="0040483C" w:rsidRPr="001508C6" w:rsidRDefault="00316F7E" w:rsidP="001508C6">
      <w:pPr>
        <w:spacing w:before="240" w:after="0"/>
        <w:rPr>
          <w:rFonts w:ascii="Helvetica" w:hAnsi="Helvetica" w:cs="Helvetica"/>
          <w:sz w:val="21"/>
          <w:szCs w:val="21"/>
          <w:lang w:eastAsia="en-AU"/>
        </w:rPr>
      </w:pPr>
      <w:r w:rsidRPr="00316F7E">
        <w:rPr>
          <w:rFonts w:ascii="Helvetica" w:hAnsi="Helvetica" w:cs="Helvetica"/>
          <w:sz w:val="21"/>
          <w:szCs w:val="21"/>
          <w:lang w:eastAsia="en-AU"/>
        </w:rPr>
        <w:t>The Government looks forward to working with our state and territory colleagues and across departments and agencies with interest and influence in the challenges for regional, rural and remote education in Australia.</w:t>
      </w:r>
    </w:p>
    <w:sectPr w:rsidR="0040483C" w:rsidRPr="001508C6" w:rsidSect="00326C98">
      <w:footerReference w:type="default" r:id="rId13"/>
      <w:headerReference w:type="first" r:id="rId14"/>
      <w:pgSz w:w="11906" w:h="16838" w:code="9"/>
      <w:pgMar w:top="1440" w:right="1133"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5FC08" w14:textId="77777777" w:rsidR="00316F7E" w:rsidRDefault="00316F7E" w:rsidP="00316F7E">
      <w:pPr>
        <w:spacing w:after="0" w:line="240" w:lineRule="auto"/>
      </w:pPr>
      <w:r>
        <w:separator/>
      </w:r>
    </w:p>
  </w:endnote>
  <w:endnote w:type="continuationSeparator" w:id="0">
    <w:p w14:paraId="6C92A987" w14:textId="77777777" w:rsidR="00316F7E" w:rsidRDefault="00316F7E" w:rsidP="00316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4DE7C" w14:textId="30E0ACAD" w:rsidR="00DE1A76" w:rsidRPr="00591FDF" w:rsidRDefault="001508C6" w:rsidP="00296D32">
    <w:pPr>
      <w:pStyle w:val="Footer"/>
      <w:jc w:val="right"/>
      <w:rPr>
        <w:rFonts w:cstheme="minorHAnsi"/>
      </w:rPr>
    </w:pPr>
    <w:r>
      <w:rPr>
        <w:noProof/>
        <w:color w:val="4F81BD" w:themeColor="accent1"/>
        <w:lang w:eastAsia="en-AU"/>
      </w:rPr>
      <mc:AlternateContent>
        <mc:Choice Requires="wps">
          <w:drawing>
            <wp:anchor distT="0" distB="0" distL="114300" distR="114300" simplePos="0" relativeHeight="251659264" behindDoc="0" locked="0" layoutInCell="1" allowOverlap="1" wp14:anchorId="6DC1EF3F" wp14:editId="440447B0">
              <wp:simplePos x="0" y="0"/>
              <wp:positionH relativeFrom="page">
                <wp:align>center</wp:align>
              </wp:positionH>
              <wp:positionV relativeFrom="page">
                <wp:align>center</wp:align>
              </wp:positionV>
              <wp:extent cx="7364730" cy="9528810"/>
              <wp:effectExtent l="0" t="0" r="26670" b="26670"/>
              <wp:wrapNone/>
              <wp:docPr id="452" name="Rectangle 452" title="Border"/>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cap="flat" cmpd="sng" algn="ctr">
                        <a:solidFill>
                          <a:srgbClr val="EEECE1">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8C50BCD" id="Rectangle 452" o:spid="_x0000_s1026" alt="Title: Border"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" filled="f" strokecolor="#948a54" strokeweight="1.25pt">
              <w10:wrap anchorx="page" anchory="page"/>
            </v:rect>
          </w:pict>
        </mc:Fallback>
      </mc:AlternateContent>
    </w:r>
    <w:r>
      <w:rPr>
        <w:color w:val="4F81BD" w:themeColor="accent1"/>
      </w:rPr>
      <w:t xml:space="preserve"> </w:t>
    </w:r>
    <w:r w:rsidRPr="00591FDF">
      <w:rPr>
        <w:rFonts w:eastAsiaTheme="majorEastAsia" w:cstheme="minorHAnsi"/>
        <w:sz w:val="20"/>
        <w:szCs w:val="20"/>
      </w:rPr>
      <w:t xml:space="preserve">pg. </w:t>
    </w:r>
    <w:r w:rsidRPr="00591FDF">
      <w:rPr>
        <w:rFonts w:eastAsiaTheme="minorEastAsia" w:cstheme="minorHAnsi"/>
        <w:sz w:val="20"/>
        <w:szCs w:val="20"/>
      </w:rPr>
      <w:fldChar w:fldCharType="begin"/>
    </w:r>
    <w:r w:rsidRPr="00591FDF">
      <w:rPr>
        <w:rFonts w:cstheme="minorHAnsi"/>
        <w:sz w:val="20"/>
        <w:szCs w:val="20"/>
      </w:rPr>
      <w:instrText xml:space="preserve"> PAGE    \* MERGEFORMAT </w:instrText>
    </w:r>
    <w:r w:rsidRPr="00591FDF">
      <w:rPr>
        <w:rFonts w:eastAsiaTheme="minorEastAsia" w:cstheme="minorHAnsi"/>
        <w:sz w:val="20"/>
        <w:szCs w:val="20"/>
      </w:rPr>
      <w:fldChar w:fldCharType="separate"/>
    </w:r>
    <w:r w:rsidR="007D7ED3" w:rsidRPr="007D7ED3">
      <w:rPr>
        <w:rFonts w:eastAsiaTheme="majorEastAsia" w:cstheme="minorHAnsi"/>
        <w:noProof/>
        <w:sz w:val="20"/>
        <w:szCs w:val="20"/>
      </w:rPr>
      <w:t>2</w:t>
    </w:r>
    <w:r w:rsidRPr="00591FDF">
      <w:rPr>
        <w:rFonts w:eastAsiaTheme="majorEastAsia" w:cstheme="minorHAns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78D7F4" w14:textId="77777777" w:rsidR="00316F7E" w:rsidRDefault="00316F7E" w:rsidP="00316F7E">
      <w:pPr>
        <w:spacing w:after="0" w:line="240" w:lineRule="auto"/>
      </w:pPr>
      <w:r>
        <w:separator/>
      </w:r>
    </w:p>
  </w:footnote>
  <w:footnote w:type="continuationSeparator" w:id="0">
    <w:p w14:paraId="27016CC1" w14:textId="77777777" w:rsidR="00316F7E" w:rsidRDefault="00316F7E" w:rsidP="00316F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13C73" w14:textId="77777777" w:rsidR="00030AF6" w:rsidRDefault="00316F7E">
    <w:pPr>
      <w:pStyle w:val="Header"/>
    </w:pPr>
    <w:r w:rsidRPr="00D268ED">
      <w:rPr>
        <w:noProof/>
        <w:lang w:eastAsia="en-AU"/>
      </w:rPr>
      <w:drawing>
        <wp:inline distT="0" distB="0" distL="0" distR="0" wp14:anchorId="07D208C2" wp14:editId="1FA6C21C">
          <wp:extent cx="2880360" cy="560832"/>
          <wp:effectExtent l="0" t="0" r="0" b="0"/>
          <wp:docPr id="1" name="Picture 1"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Education and Training_In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360" cy="56083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070AA"/>
    <w:multiLevelType w:val="hybridMultilevel"/>
    <w:tmpl w:val="182247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AFF5C6B"/>
    <w:multiLevelType w:val="hybridMultilevel"/>
    <w:tmpl w:val="83D03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52C53FE"/>
    <w:multiLevelType w:val="hybridMultilevel"/>
    <w:tmpl w:val="E9285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770286A"/>
    <w:multiLevelType w:val="hybridMultilevel"/>
    <w:tmpl w:val="5E205F7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 w15:restartNumberingAfterBreak="0">
    <w:nsid w:val="63CF5A2C"/>
    <w:multiLevelType w:val="hybridMultilevel"/>
    <w:tmpl w:val="2D6E1E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70553EE"/>
    <w:multiLevelType w:val="hybridMultilevel"/>
    <w:tmpl w:val="1E04D7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F7E"/>
    <w:rsid w:val="00130EDB"/>
    <w:rsid w:val="001508C6"/>
    <w:rsid w:val="0023708F"/>
    <w:rsid w:val="002F3149"/>
    <w:rsid w:val="00316F7E"/>
    <w:rsid w:val="0040483C"/>
    <w:rsid w:val="007D7ED3"/>
    <w:rsid w:val="009332C1"/>
    <w:rsid w:val="009F11A0"/>
    <w:rsid w:val="00D27221"/>
    <w:rsid w:val="00F76D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87F6B"/>
  <w15:docId w15:val="{62C39C09-AA42-4A23-96C4-48CF28C1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3708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3708F"/>
    <w:pPr>
      <w:numPr>
        <w:ilvl w:val="1"/>
      </w:numPr>
      <w:spacing w:after="120"/>
      <w:outlineLvl w:val="1"/>
    </w:pPr>
    <w:rPr>
      <w:rFonts w:asciiTheme="majorHAnsi" w:eastAsiaTheme="majorEastAsia" w:hAnsiTheme="majorHAnsi" w:cstheme="majorBidi"/>
      <w:i/>
      <w:iCs/>
      <w:spacing w:val="15"/>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6F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6F7E"/>
  </w:style>
  <w:style w:type="paragraph" w:styleId="Footer">
    <w:name w:val="footer"/>
    <w:basedOn w:val="Normal"/>
    <w:link w:val="FooterChar"/>
    <w:uiPriority w:val="99"/>
    <w:unhideWhenUsed/>
    <w:rsid w:val="00316F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6F7E"/>
  </w:style>
  <w:style w:type="paragraph" w:styleId="BalloonText">
    <w:name w:val="Balloon Text"/>
    <w:basedOn w:val="Normal"/>
    <w:link w:val="BalloonTextChar"/>
    <w:uiPriority w:val="99"/>
    <w:semiHidden/>
    <w:unhideWhenUsed/>
    <w:rsid w:val="00316F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6F7E"/>
    <w:rPr>
      <w:rFonts w:ascii="Tahoma" w:hAnsi="Tahoma" w:cs="Tahoma"/>
      <w:sz w:val="16"/>
      <w:szCs w:val="16"/>
    </w:rPr>
  </w:style>
  <w:style w:type="character" w:customStyle="1" w:styleId="Heading1Char">
    <w:name w:val="Heading 1 Char"/>
    <w:basedOn w:val="DefaultParagraphFont"/>
    <w:link w:val="Heading1"/>
    <w:uiPriority w:val="9"/>
    <w:rsid w:val="0023708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23708F"/>
    <w:rPr>
      <w:rFonts w:asciiTheme="majorHAnsi" w:eastAsiaTheme="majorEastAsia" w:hAnsiTheme="majorHAnsi" w:cstheme="majorBidi"/>
      <w:i/>
      <w:iCs/>
      <w:spacing w:val="15"/>
      <w:sz w:val="24"/>
      <w:szCs w:val="24"/>
      <w:lang w:eastAsia="en-AU"/>
    </w:rPr>
  </w:style>
  <w:style w:type="paragraph" w:styleId="TOC1">
    <w:name w:val="toc 1"/>
    <w:basedOn w:val="Normal"/>
    <w:next w:val="Normal"/>
    <w:autoRedefine/>
    <w:uiPriority w:val="39"/>
    <w:unhideWhenUsed/>
    <w:rsid w:val="0023708F"/>
    <w:pPr>
      <w:spacing w:after="100"/>
    </w:pPr>
  </w:style>
  <w:style w:type="paragraph" w:styleId="TOC2">
    <w:name w:val="toc 2"/>
    <w:basedOn w:val="Normal"/>
    <w:next w:val="Normal"/>
    <w:autoRedefine/>
    <w:uiPriority w:val="39"/>
    <w:unhideWhenUsed/>
    <w:rsid w:val="0023708F"/>
    <w:pPr>
      <w:spacing w:after="100"/>
      <w:ind w:left="220"/>
    </w:pPr>
  </w:style>
  <w:style w:type="character" w:styleId="Hyperlink">
    <w:name w:val="Hyperlink"/>
    <w:basedOn w:val="DefaultParagraphFont"/>
    <w:uiPriority w:val="99"/>
    <w:unhideWhenUsed/>
    <w:rsid w:val="0023708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ducation.gov.au/pathways-technolo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ducation.gov.au/news/national-career-education-strategy"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docs.education.gov.au/node/3673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98C989-5BD4-499D-A3B0-F8F0EEC695EA}">
  <ds:schemaRef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www.w3.org/XML/1998/namespace"/>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BBE663DC-8F97-4104-8342-BBA7841D3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C3BEBA7-1A6B-4BBC-B99A-D6639A81FE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F5254C07.dotm</Template>
  <TotalTime>1</TotalTime>
  <Pages>14</Pages>
  <Words>5875</Words>
  <Characters>33494</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FORTRESS - WHITE,Rosemary</dc:creator>
  <cp:lastModifiedBy>MANNIE,Ryan</cp:lastModifiedBy>
  <cp:revision>2</cp:revision>
  <dcterms:created xsi:type="dcterms:W3CDTF">2018-05-29T23:50:00Z</dcterms:created>
  <dcterms:modified xsi:type="dcterms:W3CDTF">2018-05-29T23:50:00Z</dcterms:modified>
</cp:coreProperties>
</file>